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4924E5">
      <w:pPr>
        <w:pStyle w:val="121"/>
        <w:pageBreakBefore w:val="0"/>
        <w:wordWrap w:val="0"/>
        <w:overflowPunct/>
        <w:bidi w:val="0"/>
        <w:jc w:val="both"/>
        <w:outlineLvl w:val="9"/>
        <w:rPr>
          <w:rFonts w:hint="default" w:ascii="仿宋" w:hAnsi="仿宋" w:eastAsia="仿宋" w:cs="仿宋"/>
          <w:color w:val="auto"/>
          <w:sz w:val="28"/>
          <w:szCs w:val="28"/>
          <w:highlight w:val="none"/>
          <w:lang w:val="en-US" w:eastAsia="zh-CN"/>
        </w:rPr>
      </w:pPr>
      <w:bookmarkStart w:id="0" w:name="_Toc124275682"/>
      <w:r>
        <w:rPr>
          <w:rFonts w:hint="eastAsia" w:ascii="仿宋" w:hAnsi="仿宋" w:eastAsia="仿宋" w:cs="仿宋"/>
          <w:color w:val="000000"/>
          <w:sz w:val="28"/>
          <w:szCs w:val="28"/>
          <w:highlight w:val="none"/>
          <w:lang w:eastAsia="zh-CN"/>
        </w:rPr>
        <w:t>项目</w:t>
      </w:r>
      <w:r>
        <w:rPr>
          <w:rFonts w:hint="eastAsia" w:ascii="仿宋" w:hAnsi="仿宋" w:eastAsia="仿宋" w:cs="仿宋"/>
          <w:color w:val="auto"/>
          <w:sz w:val="28"/>
          <w:szCs w:val="28"/>
          <w:highlight w:val="none"/>
          <w:lang w:eastAsia="zh-CN"/>
        </w:rPr>
        <w:t>编号：</w:t>
      </w:r>
      <w:r>
        <w:rPr>
          <w:rFonts w:hint="eastAsia" w:ascii="仿宋" w:hAnsi="仿宋" w:eastAsia="仿宋" w:cs="仿宋"/>
          <w:color w:val="auto"/>
          <w:sz w:val="28"/>
          <w:szCs w:val="28"/>
          <w:highlight w:val="none"/>
          <w:lang w:val="en-US" w:eastAsia="zh-CN"/>
        </w:rPr>
        <w:t xml:space="preserve"> 272242</w:t>
      </w:r>
    </w:p>
    <w:p w14:paraId="2981D1C1">
      <w:pPr>
        <w:pStyle w:val="121"/>
        <w:pageBreakBefore w:val="0"/>
        <w:wordWrap w:val="0"/>
        <w:overflowPunct/>
        <w:bidi w:val="0"/>
        <w:jc w:val="both"/>
        <w:outlineLvl w:val="9"/>
        <w:rPr>
          <w:rFonts w:hint="eastAsia"/>
          <w:color w:val="auto"/>
          <w:highlight w:val="none"/>
        </w:rPr>
      </w:pPr>
    </w:p>
    <w:p w14:paraId="4358E803">
      <w:pPr>
        <w:pStyle w:val="121"/>
        <w:pageBreakBefore w:val="0"/>
        <w:wordWrap w:val="0"/>
        <w:overflowPunct/>
        <w:bidi w:val="0"/>
        <w:outlineLvl w:val="9"/>
        <w:rPr>
          <w:rFonts w:hint="eastAsia" w:ascii="宋体" w:hAnsi="宋体" w:eastAsia="宋体" w:cs="宋体"/>
          <w:color w:val="auto"/>
          <w:highlight w:val="none"/>
        </w:rPr>
      </w:pPr>
      <w:bookmarkStart w:id="1" w:name="_Toc30376"/>
      <w:r>
        <w:rPr>
          <w:rFonts w:hint="eastAsia" w:ascii="宋体" w:hAnsi="宋体" w:eastAsia="宋体" w:cs="宋体"/>
          <w:color w:val="auto"/>
          <w:highlight w:val="none"/>
        </w:rPr>
        <w:t>建设项目环境影响报告表</w:t>
      </w:r>
      <w:bookmarkEnd w:id="0"/>
      <w:bookmarkEnd w:id="1"/>
    </w:p>
    <w:p w14:paraId="0541C625">
      <w:pPr>
        <w:pageBreakBefore w:val="0"/>
        <w:wordWrap w:val="0"/>
        <w:overflowPunct/>
        <w:bidi w:val="0"/>
        <w:jc w:val="center"/>
        <w:rPr>
          <w:rFonts w:ascii="仿宋_GB2312" w:hAnsi="仿宋_GB2312" w:eastAsia="仿宋_GB2312"/>
          <w:color w:val="auto"/>
          <w:sz w:val="36"/>
          <w:highlight w:val="none"/>
        </w:rPr>
      </w:pPr>
      <w:r>
        <w:rPr>
          <w:rFonts w:hint="eastAsia" w:ascii="楷体_GB2312" w:eastAsia="楷体_GB2312"/>
          <w:bCs/>
          <w:color w:val="auto"/>
          <w:sz w:val="48"/>
          <w:szCs w:val="48"/>
          <w:highlight w:val="none"/>
        </w:rPr>
        <w:t>（污染影响类）</w:t>
      </w:r>
    </w:p>
    <w:p w14:paraId="61B244AB">
      <w:pPr>
        <w:pageBreakBefore w:val="0"/>
        <w:wordWrap w:val="0"/>
        <w:overflowPunct/>
        <w:bidi w:val="0"/>
        <w:rPr>
          <w:rFonts w:ascii="仿宋_GB2312" w:hAnsi="仿宋_GB2312" w:eastAsia="仿宋_GB2312"/>
          <w:color w:val="auto"/>
          <w:sz w:val="36"/>
          <w:highlight w:val="none"/>
        </w:rPr>
      </w:pPr>
    </w:p>
    <w:p w14:paraId="66072C7D">
      <w:pPr>
        <w:pageBreakBefore w:val="0"/>
        <w:wordWrap w:val="0"/>
        <w:overflowPunct/>
        <w:bidi w:val="0"/>
        <w:rPr>
          <w:rFonts w:ascii="仿宋_GB2312" w:hAnsi="仿宋_GB2312" w:eastAsia="仿宋_GB2312"/>
          <w:color w:val="auto"/>
          <w:sz w:val="36"/>
          <w:highlight w:val="none"/>
        </w:rPr>
      </w:pPr>
    </w:p>
    <w:p w14:paraId="463D56FE">
      <w:pPr>
        <w:pStyle w:val="19"/>
        <w:pageBreakBefore w:val="0"/>
        <w:wordWrap w:val="0"/>
        <w:overflowPunct/>
        <w:bidi w:val="0"/>
        <w:rPr>
          <w:rFonts w:ascii="仿宋_GB2312" w:hAnsi="仿宋_GB2312" w:eastAsia="仿宋_GB2312"/>
          <w:color w:val="auto"/>
          <w:sz w:val="36"/>
          <w:highlight w:val="none"/>
        </w:rPr>
      </w:pPr>
    </w:p>
    <w:p w14:paraId="20307EF1">
      <w:pPr>
        <w:pStyle w:val="19"/>
        <w:pageBreakBefore w:val="0"/>
        <w:wordWrap w:val="0"/>
        <w:overflowPunct/>
        <w:bidi w:val="0"/>
        <w:rPr>
          <w:rFonts w:ascii="仿宋_GB2312" w:hAnsi="仿宋_GB2312" w:eastAsia="仿宋_GB2312"/>
          <w:color w:val="auto"/>
          <w:sz w:val="36"/>
          <w:highlight w:val="none"/>
        </w:rPr>
      </w:pPr>
    </w:p>
    <w:p w14:paraId="489899BD">
      <w:pPr>
        <w:pStyle w:val="58"/>
        <w:pageBreakBefore w:val="0"/>
        <w:wordWrap w:val="0"/>
        <w:overflowPunct/>
        <w:bidi w:val="0"/>
        <w:rPr>
          <w:color w:val="auto"/>
          <w:highlight w:val="none"/>
        </w:rPr>
      </w:pPr>
    </w:p>
    <w:p w14:paraId="7F627172">
      <w:pPr>
        <w:pageBreakBefore w:val="0"/>
        <w:wordWrap w:val="0"/>
        <w:overflowPunct/>
        <w:bidi w:val="0"/>
        <w:jc w:val="center"/>
        <w:rPr>
          <w:rFonts w:hint="eastAsia" w:ascii="仿宋_GB2312" w:hAnsi="仿宋_GB2312" w:eastAsia="仿宋_GB2312"/>
          <w:color w:val="auto"/>
          <w:sz w:val="36"/>
          <w:highlight w:val="none"/>
          <w:lang w:eastAsia="zh-CN"/>
        </w:rPr>
      </w:pPr>
      <w:r>
        <w:rPr>
          <w:rFonts w:hint="eastAsia" w:ascii="仿宋_GB2312" w:hAnsi="仿宋_GB2312" w:eastAsia="仿宋_GB2312"/>
          <w:color w:val="auto"/>
          <w:sz w:val="36"/>
          <w:szCs w:val="36"/>
          <w:highlight w:val="none"/>
        </w:rPr>
        <w:t>项目名称：</w:t>
      </w:r>
      <w:r>
        <w:rPr>
          <w:rFonts w:hint="eastAsia" w:ascii="仿宋_GB2312" w:hAnsi="仿宋_GB2312" w:eastAsia="仿宋_GB2312"/>
          <w:color w:val="auto"/>
          <w:sz w:val="36"/>
          <w:highlight w:val="none"/>
          <w:u w:val="single"/>
          <w:lang w:eastAsia="zh-CN"/>
        </w:rPr>
        <w:t>乐昌市拓芯安五金精密项目</w:t>
      </w:r>
    </w:p>
    <w:p w14:paraId="2FBAD941">
      <w:pPr>
        <w:pageBreakBefore w:val="0"/>
        <w:wordWrap w:val="0"/>
        <w:overflowPunct/>
        <w:bidi w:val="0"/>
        <w:jc w:val="center"/>
        <w:rPr>
          <w:rFonts w:hint="eastAsia" w:ascii="仿宋_GB2312" w:hAnsi="仿宋_GB2312" w:eastAsia="仿宋_GB2312"/>
          <w:color w:val="auto"/>
          <w:sz w:val="36"/>
          <w:highlight w:val="none"/>
          <w:lang w:eastAsia="zh-CN"/>
        </w:rPr>
      </w:pPr>
      <w:r>
        <w:rPr>
          <w:rFonts w:hint="eastAsia" w:ascii="仿宋_GB2312" w:hAnsi="仿宋_GB2312" w:eastAsia="仿宋_GB2312"/>
          <w:color w:val="auto"/>
          <w:sz w:val="36"/>
          <w:highlight w:val="none"/>
        </w:rPr>
        <w:t>建设单位（盖章）：</w:t>
      </w:r>
      <w:r>
        <w:rPr>
          <w:rFonts w:hint="eastAsia" w:ascii="仿宋_GB2312" w:hAnsi="仿宋_GB2312" w:eastAsia="仿宋_GB2312"/>
          <w:color w:val="auto"/>
          <w:sz w:val="36"/>
          <w:highlight w:val="none"/>
          <w:u w:val="single"/>
        </w:rPr>
        <w:t xml:space="preserve"> </w:t>
      </w:r>
      <w:r>
        <w:rPr>
          <w:rFonts w:hint="eastAsia" w:ascii="仿宋_GB2312" w:hAnsi="仿宋_GB2312" w:eastAsia="仿宋_GB2312"/>
          <w:color w:val="auto"/>
          <w:sz w:val="36"/>
          <w:highlight w:val="none"/>
          <w:u w:val="single"/>
          <w:lang w:eastAsia="zh-CN"/>
        </w:rPr>
        <w:t>广东拓芯安精密五金有限公司</w:t>
      </w:r>
    </w:p>
    <w:p w14:paraId="6E22BE26">
      <w:pPr>
        <w:pageBreakBefore w:val="0"/>
        <w:wordWrap w:val="0"/>
        <w:overflowPunct/>
        <w:bidi w:val="0"/>
        <w:jc w:val="center"/>
        <w:rPr>
          <w:color w:val="auto"/>
          <w:highlight w:val="none"/>
        </w:rPr>
      </w:pPr>
      <w:r>
        <w:rPr>
          <w:rFonts w:hint="eastAsia" w:ascii="仿宋_GB2312" w:hAnsi="仿宋_GB2312" w:eastAsia="仿宋_GB2312"/>
          <w:color w:val="auto"/>
          <w:sz w:val="36"/>
          <w:highlight w:val="none"/>
        </w:rPr>
        <w:t>编制日期：</w:t>
      </w:r>
      <w:r>
        <w:rPr>
          <w:rFonts w:ascii="仿宋_GB2312" w:hAnsi="仿宋_GB2312" w:eastAsia="仿宋_GB2312"/>
          <w:color w:val="auto"/>
          <w:sz w:val="36"/>
          <w:highlight w:val="none"/>
          <w:u w:val="single"/>
        </w:rPr>
        <w:tab/>
      </w:r>
      <w:r>
        <w:rPr>
          <w:rFonts w:hint="eastAsia" w:ascii="仿宋_GB2312" w:hAnsi="仿宋_GB2312" w:eastAsia="仿宋_GB2312"/>
          <w:color w:val="auto"/>
          <w:sz w:val="36"/>
          <w:highlight w:val="none"/>
          <w:u w:val="single"/>
          <w:lang w:val="en-US" w:eastAsia="zh-CN"/>
        </w:rPr>
        <w:t>2026年6月</w:t>
      </w:r>
    </w:p>
    <w:p w14:paraId="3DE77C29">
      <w:pPr>
        <w:pageBreakBefore w:val="0"/>
        <w:wordWrap w:val="0"/>
        <w:overflowPunct/>
        <w:bidi w:val="0"/>
        <w:rPr>
          <w:rFonts w:ascii="仿宋_GB2312" w:hAnsi="仿宋_GB2312" w:eastAsia="仿宋_GB2312"/>
          <w:color w:val="auto"/>
          <w:sz w:val="36"/>
          <w:highlight w:val="none"/>
        </w:rPr>
      </w:pPr>
      <w:bookmarkStart w:id="2" w:name="_Hlk57884087"/>
    </w:p>
    <w:p w14:paraId="4CE637A2">
      <w:pPr>
        <w:pStyle w:val="19"/>
        <w:pageBreakBefore w:val="0"/>
        <w:wordWrap w:val="0"/>
        <w:overflowPunct/>
        <w:bidi w:val="0"/>
        <w:ind w:firstLine="0" w:firstLineChars="0"/>
        <w:rPr>
          <w:rFonts w:ascii="仿宋_GB2312" w:hAnsi="仿宋_GB2312" w:eastAsia="仿宋_GB2312"/>
          <w:color w:val="auto"/>
          <w:sz w:val="36"/>
          <w:highlight w:val="none"/>
        </w:rPr>
      </w:pPr>
    </w:p>
    <w:p w14:paraId="1292BCCC">
      <w:pPr>
        <w:pStyle w:val="19"/>
        <w:pageBreakBefore w:val="0"/>
        <w:wordWrap w:val="0"/>
        <w:overflowPunct/>
        <w:bidi w:val="0"/>
        <w:rPr>
          <w:rFonts w:ascii="仿宋_GB2312" w:hAnsi="仿宋_GB2312" w:eastAsia="仿宋_GB2312"/>
          <w:color w:val="auto"/>
          <w:sz w:val="36"/>
          <w:highlight w:val="none"/>
        </w:rPr>
      </w:pPr>
    </w:p>
    <w:p w14:paraId="5B7FBC1E">
      <w:pPr>
        <w:pageBreakBefore w:val="0"/>
        <w:wordWrap w:val="0"/>
        <w:overflowPunct/>
        <w:bidi w:val="0"/>
        <w:rPr>
          <w:rFonts w:ascii="仿宋_GB2312" w:hAnsi="仿宋_GB2312" w:eastAsia="仿宋_GB2312"/>
          <w:color w:val="auto"/>
          <w:sz w:val="36"/>
          <w:highlight w:val="none"/>
        </w:rPr>
      </w:pPr>
    </w:p>
    <w:p w14:paraId="3FF1C9C7">
      <w:pPr>
        <w:pageBreakBefore w:val="0"/>
        <w:wordWrap w:val="0"/>
        <w:overflowPunct/>
        <w:bidi w:val="0"/>
        <w:jc w:val="center"/>
        <w:rPr>
          <w:rFonts w:hint="eastAsia" w:ascii="楷体_GB2312" w:hAnsi="楷体_GB2312" w:eastAsia="楷体_GB2312"/>
          <w:color w:val="auto"/>
          <w:sz w:val="36"/>
          <w:szCs w:val="36"/>
          <w:highlight w:val="none"/>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ascii="楷体_GB2312" w:hAnsi="楷体_GB2312" w:eastAsia="楷体_GB2312"/>
          <w:color w:val="auto"/>
          <w:sz w:val="36"/>
          <w:szCs w:val="36"/>
          <w:highlight w:val="none"/>
        </w:rPr>
        <w:t>中华人民共和国生态环境部制</w:t>
      </w:r>
      <w:bookmarkEnd w:id="2"/>
    </w:p>
    <w:p w14:paraId="1260475D">
      <w:pPr>
        <w:pStyle w:val="19"/>
        <w:pageBreakBefore w:val="0"/>
        <w:wordWrap w:val="0"/>
        <w:overflowPunct/>
        <w:bidi w:val="0"/>
        <w:rPr>
          <w:color w:val="auto"/>
          <w:highlight w:val="none"/>
        </w:rPr>
      </w:pPr>
    </w:p>
    <w:p w14:paraId="6E38899E">
      <w:pPr>
        <w:pageBreakBefore w:val="0"/>
        <w:wordWrap w:val="0"/>
        <w:overflowPunct/>
        <w:bidi w:val="0"/>
        <w:spacing w:line="240" w:lineRule="auto"/>
        <w:jc w:val="center"/>
        <w:rPr>
          <w:rFonts w:hint="default" w:ascii="Times New Roman" w:hAnsi="Times New Roman" w:cs="Times New Roman"/>
          <w:b/>
          <w:bCs/>
          <w:color w:val="auto"/>
          <w:sz w:val="44"/>
          <w:szCs w:val="44"/>
          <w:highlight w:val="none"/>
        </w:rPr>
      </w:pPr>
      <w:r>
        <w:rPr>
          <w:rFonts w:hint="default" w:ascii="Times New Roman" w:hAnsi="Times New Roman" w:cs="Times New Roman"/>
          <w:b/>
          <w:bCs/>
          <w:color w:val="auto"/>
          <w:sz w:val="36"/>
          <w:szCs w:val="44"/>
          <w:highlight w:val="none"/>
        </w:rPr>
        <w:t>目</w:t>
      </w:r>
      <w:r>
        <w:rPr>
          <w:rFonts w:hint="default" w:ascii="Times New Roman" w:hAnsi="Times New Roman" w:cs="Times New Roman"/>
          <w:b/>
          <w:bCs/>
          <w:color w:val="auto"/>
          <w:sz w:val="36"/>
          <w:szCs w:val="44"/>
          <w:highlight w:val="none"/>
          <w:lang w:val="en-US" w:eastAsia="zh-CN"/>
        </w:rPr>
        <w:t xml:space="preserve">  </w:t>
      </w:r>
      <w:r>
        <w:rPr>
          <w:rFonts w:hint="default" w:ascii="Times New Roman" w:hAnsi="Times New Roman" w:cs="Times New Roman"/>
          <w:b/>
          <w:bCs/>
          <w:color w:val="auto"/>
          <w:sz w:val="36"/>
          <w:szCs w:val="44"/>
          <w:highlight w:val="none"/>
        </w:rPr>
        <w:t>录</w:t>
      </w:r>
    </w:p>
    <w:p w14:paraId="4382B8A7">
      <w:pPr>
        <w:pStyle w:val="33"/>
        <w:tabs>
          <w:tab w:val="right" w:leader="dot" w:pos="8844"/>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TOC \o "1-2" \h \u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_Toc15059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一、建设项目基本情况</w:t>
      </w:r>
      <w:r>
        <w:rPr>
          <w:color w:val="auto"/>
          <w:highlight w:val="none"/>
        </w:rPr>
        <w:tab/>
      </w:r>
      <w:r>
        <w:rPr>
          <w:color w:val="auto"/>
          <w:highlight w:val="none"/>
        </w:rPr>
        <w:fldChar w:fldCharType="begin"/>
      </w:r>
      <w:r>
        <w:rPr>
          <w:color w:val="auto"/>
          <w:highlight w:val="none"/>
        </w:rPr>
        <w:instrText xml:space="preserve"> PAGEREF _Toc15059 \h </w:instrText>
      </w:r>
      <w:r>
        <w:rPr>
          <w:color w:val="auto"/>
          <w:highlight w:val="none"/>
        </w:rPr>
        <w:fldChar w:fldCharType="separate"/>
      </w:r>
      <w:r>
        <w:rPr>
          <w:color w:val="auto"/>
          <w:highlight w:val="none"/>
        </w:rPr>
        <w:t>1</w:t>
      </w:r>
      <w:r>
        <w:rPr>
          <w:color w:val="auto"/>
          <w:highlight w:val="none"/>
        </w:rPr>
        <w:fldChar w:fldCharType="end"/>
      </w:r>
      <w:r>
        <w:rPr>
          <w:rFonts w:hint="default" w:ascii="Times New Roman" w:hAnsi="Times New Roman" w:cs="Times New Roman"/>
          <w:color w:val="auto"/>
          <w:highlight w:val="none"/>
        </w:rPr>
        <w:fldChar w:fldCharType="end"/>
      </w:r>
    </w:p>
    <w:p w14:paraId="49424FEA">
      <w:pPr>
        <w:pStyle w:val="33"/>
        <w:tabs>
          <w:tab w:val="right" w:leader="dot" w:pos="8844"/>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_Toc7455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二、建设项目工程分析</w:t>
      </w:r>
      <w:r>
        <w:rPr>
          <w:color w:val="auto"/>
          <w:highlight w:val="none"/>
        </w:rPr>
        <w:tab/>
      </w:r>
      <w:r>
        <w:rPr>
          <w:color w:val="auto"/>
          <w:highlight w:val="none"/>
        </w:rPr>
        <w:fldChar w:fldCharType="begin"/>
      </w:r>
      <w:r>
        <w:rPr>
          <w:color w:val="auto"/>
          <w:highlight w:val="none"/>
        </w:rPr>
        <w:instrText xml:space="preserve"> PAGEREF _Toc7455 \h </w:instrText>
      </w:r>
      <w:r>
        <w:rPr>
          <w:color w:val="auto"/>
          <w:highlight w:val="none"/>
        </w:rPr>
        <w:fldChar w:fldCharType="separate"/>
      </w:r>
      <w:r>
        <w:rPr>
          <w:color w:val="auto"/>
          <w:highlight w:val="none"/>
        </w:rPr>
        <w:t>17</w:t>
      </w:r>
      <w:r>
        <w:rPr>
          <w:color w:val="auto"/>
          <w:highlight w:val="none"/>
        </w:rPr>
        <w:fldChar w:fldCharType="end"/>
      </w:r>
      <w:r>
        <w:rPr>
          <w:rFonts w:hint="default" w:ascii="Times New Roman" w:hAnsi="Times New Roman" w:cs="Times New Roman"/>
          <w:color w:val="auto"/>
          <w:highlight w:val="none"/>
        </w:rPr>
        <w:fldChar w:fldCharType="end"/>
      </w:r>
    </w:p>
    <w:p w14:paraId="16B3F454">
      <w:pPr>
        <w:pStyle w:val="33"/>
        <w:tabs>
          <w:tab w:val="right" w:leader="dot" w:pos="8844"/>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_Toc13342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三、区域环境质量现状、环境保护目标及评价标准</w:t>
      </w:r>
      <w:r>
        <w:rPr>
          <w:color w:val="auto"/>
          <w:highlight w:val="none"/>
        </w:rPr>
        <w:tab/>
      </w:r>
      <w:r>
        <w:rPr>
          <w:color w:val="auto"/>
          <w:highlight w:val="none"/>
        </w:rPr>
        <w:fldChar w:fldCharType="begin"/>
      </w:r>
      <w:r>
        <w:rPr>
          <w:color w:val="auto"/>
          <w:highlight w:val="none"/>
        </w:rPr>
        <w:instrText xml:space="preserve"> PAGEREF _Toc13342 \h </w:instrText>
      </w:r>
      <w:r>
        <w:rPr>
          <w:color w:val="auto"/>
          <w:highlight w:val="none"/>
        </w:rPr>
        <w:fldChar w:fldCharType="separate"/>
      </w:r>
      <w:r>
        <w:rPr>
          <w:color w:val="auto"/>
          <w:highlight w:val="none"/>
        </w:rPr>
        <w:t>47</w:t>
      </w:r>
      <w:r>
        <w:rPr>
          <w:color w:val="auto"/>
          <w:highlight w:val="none"/>
        </w:rPr>
        <w:fldChar w:fldCharType="end"/>
      </w:r>
      <w:r>
        <w:rPr>
          <w:rFonts w:hint="default" w:ascii="Times New Roman" w:hAnsi="Times New Roman" w:cs="Times New Roman"/>
          <w:color w:val="auto"/>
          <w:highlight w:val="none"/>
        </w:rPr>
        <w:fldChar w:fldCharType="end"/>
      </w:r>
    </w:p>
    <w:p w14:paraId="5ACA9092">
      <w:pPr>
        <w:pStyle w:val="33"/>
        <w:tabs>
          <w:tab w:val="right" w:leader="dot" w:pos="8844"/>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_Toc29934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四、主要环境影响和保护措施</w:t>
      </w:r>
      <w:r>
        <w:rPr>
          <w:color w:val="auto"/>
          <w:highlight w:val="none"/>
        </w:rPr>
        <w:tab/>
      </w:r>
      <w:r>
        <w:rPr>
          <w:color w:val="auto"/>
          <w:highlight w:val="none"/>
        </w:rPr>
        <w:fldChar w:fldCharType="begin"/>
      </w:r>
      <w:r>
        <w:rPr>
          <w:color w:val="auto"/>
          <w:highlight w:val="none"/>
        </w:rPr>
        <w:instrText xml:space="preserve"> PAGEREF _Toc29934 \h </w:instrText>
      </w:r>
      <w:r>
        <w:rPr>
          <w:color w:val="auto"/>
          <w:highlight w:val="none"/>
        </w:rPr>
        <w:fldChar w:fldCharType="separate"/>
      </w:r>
      <w:r>
        <w:rPr>
          <w:color w:val="auto"/>
          <w:highlight w:val="none"/>
        </w:rPr>
        <w:t>56</w:t>
      </w:r>
      <w:r>
        <w:rPr>
          <w:color w:val="auto"/>
          <w:highlight w:val="none"/>
        </w:rPr>
        <w:fldChar w:fldCharType="end"/>
      </w:r>
      <w:r>
        <w:rPr>
          <w:rFonts w:hint="default" w:ascii="Times New Roman" w:hAnsi="Times New Roman" w:cs="Times New Roman"/>
          <w:color w:val="auto"/>
          <w:highlight w:val="none"/>
        </w:rPr>
        <w:fldChar w:fldCharType="end"/>
      </w:r>
    </w:p>
    <w:p w14:paraId="074852E0">
      <w:pPr>
        <w:pStyle w:val="33"/>
        <w:tabs>
          <w:tab w:val="right" w:leader="dot" w:pos="8844"/>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_Toc27433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五、环境保护措施监督检查清单</w:t>
      </w:r>
      <w:r>
        <w:rPr>
          <w:color w:val="auto"/>
          <w:highlight w:val="none"/>
        </w:rPr>
        <w:tab/>
      </w:r>
      <w:r>
        <w:rPr>
          <w:color w:val="auto"/>
          <w:highlight w:val="none"/>
        </w:rPr>
        <w:fldChar w:fldCharType="begin"/>
      </w:r>
      <w:r>
        <w:rPr>
          <w:color w:val="auto"/>
          <w:highlight w:val="none"/>
        </w:rPr>
        <w:instrText xml:space="preserve"> PAGEREF _Toc27433 \h </w:instrText>
      </w:r>
      <w:r>
        <w:rPr>
          <w:color w:val="auto"/>
          <w:highlight w:val="none"/>
        </w:rPr>
        <w:fldChar w:fldCharType="separate"/>
      </w:r>
      <w:r>
        <w:rPr>
          <w:color w:val="auto"/>
          <w:highlight w:val="none"/>
        </w:rPr>
        <w:t>117</w:t>
      </w:r>
      <w:r>
        <w:rPr>
          <w:color w:val="auto"/>
          <w:highlight w:val="none"/>
        </w:rPr>
        <w:fldChar w:fldCharType="end"/>
      </w:r>
      <w:r>
        <w:rPr>
          <w:rFonts w:hint="default" w:ascii="Times New Roman" w:hAnsi="Times New Roman" w:cs="Times New Roman"/>
          <w:color w:val="auto"/>
          <w:highlight w:val="none"/>
        </w:rPr>
        <w:fldChar w:fldCharType="end"/>
      </w:r>
    </w:p>
    <w:p w14:paraId="530797E7">
      <w:pPr>
        <w:pStyle w:val="33"/>
        <w:tabs>
          <w:tab w:val="right" w:leader="dot" w:pos="8844"/>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_Toc11576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六、结论</w:t>
      </w:r>
      <w:r>
        <w:rPr>
          <w:color w:val="auto"/>
          <w:highlight w:val="none"/>
        </w:rPr>
        <w:tab/>
      </w:r>
      <w:r>
        <w:rPr>
          <w:color w:val="auto"/>
          <w:highlight w:val="none"/>
        </w:rPr>
        <w:fldChar w:fldCharType="begin"/>
      </w:r>
      <w:r>
        <w:rPr>
          <w:color w:val="auto"/>
          <w:highlight w:val="none"/>
        </w:rPr>
        <w:instrText xml:space="preserve"> PAGEREF _Toc11576 \h </w:instrText>
      </w:r>
      <w:r>
        <w:rPr>
          <w:color w:val="auto"/>
          <w:highlight w:val="none"/>
        </w:rPr>
        <w:fldChar w:fldCharType="separate"/>
      </w:r>
      <w:r>
        <w:rPr>
          <w:color w:val="auto"/>
          <w:highlight w:val="none"/>
        </w:rPr>
        <w:t>122</w:t>
      </w:r>
      <w:r>
        <w:rPr>
          <w:color w:val="auto"/>
          <w:highlight w:val="none"/>
        </w:rPr>
        <w:fldChar w:fldCharType="end"/>
      </w:r>
      <w:r>
        <w:rPr>
          <w:rFonts w:hint="default" w:ascii="Times New Roman" w:hAnsi="Times New Roman" w:cs="Times New Roman"/>
          <w:color w:val="auto"/>
          <w:highlight w:val="none"/>
        </w:rPr>
        <w:fldChar w:fldCharType="end"/>
      </w:r>
    </w:p>
    <w:p w14:paraId="02DFD945">
      <w:pPr>
        <w:pStyle w:val="33"/>
        <w:tabs>
          <w:tab w:val="right" w:leader="dot" w:pos="8844"/>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_Toc11516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color w:val="auto"/>
          <w:szCs w:val="28"/>
          <w:highlight w:val="none"/>
          <w:lang w:val="en-US" w:eastAsia="zh-CN"/>
        </w:rPr>
        <w:t>附表</w:t>
      </w:r>
      <w:r>
        <w:rPr>
          <w:color w:val="auto"/>
          <w:highlight w:val="none"/>
        </w:rPr>
        <w:tab/>
      </w:r>
      <w:r>
        <w:rPr>
          <w:color w:val="auto"/>
          <w:highlight w:val="none"/>
        </w:rPr>
        <w:fldChar w:fldCharType="begin"/>
      </w:r>
      <w:r>
        <w:rPr>
          <w:color w:val="auto"/>
          <w:highlight w:val="none"/>
        </w:rPr>
        <w:instrText xml:space="preserve"> PAGEREF _Toc11516 \h </w:instrText>
      </w:r>
      <w:r>
        <w:rPr>
          <w:color w:val="auto"/>
          <w:highlight w:val="none"/>
        </w:rPr>
        <w:fldChar w:fldCharType="separate"/>
      </w:r>
      <w:r>
        <w:rPr>
          <w:color w:val="auto"/>
          <w:highlight w:val="none"/>
        </w:rPr>
        <w:t>123</w:t>
      </w:r>
      <w:r>
        <w:rPr>
          <w:color w:val="auto"/>
          <w:highlight w:val="none"/>
        </w:rPr>
        <w:fldChar w:fldCharType="end"/>
      </w:r>
      <w:r>
        <w:rPr>
          <w:rFonts w:hint="default" w:ascii="Times New Roman" w:hAnsi="Times New Roman" w:cs="Times New Roman"/>
          <w:color w:val="auto"/>
          <w:highlight w:val="none"/>
        </w:rPr>
        <w:fldChar w:fldCharType="end"/>
      </w:r>
    </w:p>
    <w:p w14:paraId="765C4508">
      <w:pPr>
        <w:pStyle w:val="33"/>
        <w:tabs>
          <w:tab w:val="right" w:leader="dot" w:pos="8844"/>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_Toc32585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szCs w:val="24"/>
          <w:highlight w:val="none"/>
        </w:rPr>
        <w:t>附图1 项目地理位置图</w:t>
      </w:r>
      <w:r>
        <w:rPr>
          <w:color w:val="auto"/>
          <w:highlight w:val="none"/>
        </w:rPr>
        <w:tab/>
      </w:r>
      <w:r>
        <w:rPr>
          <w:color w:val="auto"/>
          <w:highlight w:val="none"/>
        </w:rPr>
        <w:fldChar w:fldCharType="begin"/>
      </w:r>
      <w:r>
        <w:rPr>
          <w:color w:val="auto"/>
          <w:highlight w:val="none"/>
        </w:rPr>
        <w:instrText xml:space="preserve"> PAGEREF _Toc32585 \h </w:instrText>
      </w:r>
      <w:r>
        <w:rPr>
          <w:color w:val="auto"/>
          <w:highlight w:val="none"/>
        </w:rPr>
        <w:fldChar w:fldCharType="separate"/>
      </w:r>
      <w:r>
        <w:rPr>
          <w:color w:val="auto"/>
          <w:highlight w:val="none"/>
        </w:rPr>
        <w:t>126</w:t>
      </w:r>
      <w:r>
        <w:rPr>
          <w:color w:val="auto"/>
          <w:highlight w:val="none"/>
        </w:rPr>
        <w:fldChar w:fldCharType="end"/>
      </w:r>
      <w:r>
        <w:rPr>
          <w:rFonts w:hint="default" w:ascii="Times New Roman" w:hAnsi="Times New Roman" w:cs="Times New Roman"/>
          <w:color w:val="auto"/>
          <w:highlight w:val="none"/>
        </w:rPr>
        <w:fldChar w:fldCharType="end"/>
      </w:r>
    </w:p>
    <w:p w14:paraId="13B7A6CF">
      <w:pPr>
        <w:pStyle w:val="33"/>
        <w:tabs>
          <w:tab w:val="right" w:leader="dot" w:pos="8844"/>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_Toc26950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szCs w:val="24"/>
          <w:highlight w:val="none"/>
        </w:rPr>
        <w:t>附图2 项目四至情况</w:t>
      </w:r>
      <w:r>
        <w:rPr>
          <w:rFonts w:hint="default" w:ascii="Times New Roman" w:hAnsi="Times New Roman" w:cs="Times New Roman"/>
          <w:bCs/>
          <w:color w:val="auto"/>
          <w:szCs w:val="24"/>
          <w:highlight w:val="none"/>
          <w:lang w:val="en-US" w:eastAsia="zh-CN"/>
        </w:rPr>
        <w:t>卫星图</w:t>
      </w:r>
      <w:r>
        <w:rPr>
          <w:color w:val="auto"/>
          <w:highlight w:val="none"/>
        </w:rPr>
        <w:tab/>
      </w:r>
      <w:r>
        <w:rPr>
          <w:color w:val="auto"/>
          <w:highlight w:val="none"/>
        </w:rPr>
        <w:fldChar w:fldCharType="begin"/>
      </w:r>
      <w:r>
        <w:rPr>
          <w:color w:val="auto"/>
          <w:highlight w:val="none"/>
        </w:rPr>
        <w:instrText xml:space="preserve"> PAGEREF _Toc26950 \h </w:instrText>
      </w:r>
      <w:r>
        <w:rPr>
          <w:color w:val="auto"/>
          <w:highlight w:val="none"/>
        </w:rPr>
        <w:fldChar w:fldCharType="separate"/>
      </w:r>
      <w:r>
        <w:rPr>
          <w:color w:val="auto"/>
          <w:highlight w:val="none"/>
        </w:rPr>
        <w:t>127</w:t>
      </w:r>
      <w:r>
        <w:rPr>
          <w:color w:val="auto"/>
          <w:highlight w:val="none"/>
        </w:rPr>
        <w:fldChar w:fldCharType="end"/>
      </w:r>
      <w:r>
        <w:rPr>
          <w:rFonts w:hint="default" w:ascii="Times New Roman" w:hAnsi="Times New Roman" w:cs="Times New Roman"/>
          <w:color w:val="auto"/>
          <w:highlight w:val="none"/>
        </w:rPr>
        <w:fldChar w:fldCharType="end"/>
      </w:r>
    </w:p>
    <w:p w14:paraId="78BD7813">
      <w:pPr>
        <w:pStyle w:val="33"/>
        <w:tabs>
          <w:tab w:val="right" w:leader="dot" w:pos="8844"/>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_Toc18325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szCs w:val="24"/>
          <w:highlight w:val="none"/>
        </w:rPr>
        <w:t xml:space="preserve">附图3 </w:t>
      </w:r>
      <w:r>
        <w:rPr>
          <w:rFonts w:hint="default" w:ascii="Times New Roman" w:hAnsi="Times New Roman" w:cs="Times New Roman"/>
          <w:bCs/>
          <w:color w:val="auto"/>
          <w:szCs w:val="24"/>
          <w:highlight w:val="none"/>
          <w:lang w:eastAsia="zh-CN"/>
        </w:rPr>
        <w:t>厂区</w:t>
      </w:r>
      <w:r>
        <w:rPr>
          <w:rFonts w:hint="default" w:ascii="Times New Roman" w:hAnsi="Times New Roman" w:eastAsia="宋体" w:cs="Times New Roman"/>
          <w:bCs/>
          <w:color w:val="auto"/>
          <w:szCs w:val="24"/>
          <w:highlight w:val="none"/>
        </w:rPr>
        <w:t>平面布置图</w:t>
      </w:r>
      <w:r>
        <w:rPr>
          <w:color w:val="auto"/>
          <w:highlight w:val="none"/>
        </w:rPr>
        <w:tab/>
      </w:r>
      <w:r>
        <w:rPr>
          <w:color w:val="auto"/>
          <w:highlight w:val="none"/>
        </w:rPr>
        <w:fldChar w:fldCharType="begin"/>
      </w:r>
      <w:r>
        <w:rPr>
          <w:color w:val="auto"/>
          <w:highlight w:val="none"/>
        </w:rPr>
        <w:instrText xml:space="preserve"> PAGEREF _Toc18325 \h </w:instrText>
      </w:r>
      <w:r>
        <w:rPr>
          <w:color w:val="auto"/>
          <w:highlight w:val="none"/>
        </w:rPr>
        <w:fldChar w:fldCharType="separate"/>
      </w:r>
      <w:r>
        <w:rPr>
          <w:color w:val="auto"/>
          <w:highlight w:val="none"/>
        </w:rPr>
        <w:t>128</w:t>
      </w:r>
      <w:r>
        <w:rPr>
          <w:color w:val="auto"/>
          <w:highlight w:val="none"/>
        </w:rPr>
        <w:fldChar w:fldCharType="end"/>
      </w:r>
      <w:r>
        <w:rPr>
          <w:rFonts w:hint="default" w:ascii="Times New Roman" w:hAnsi="Times New Roman" w:cs="Times New Roman"/>
          <w:color w:val="auto"/>
          <w:highlight w:val="none"/>
        </w:rPr>
        <w:fldChar w:fldCharType="end"/>
      </w:r>
    </w:p>
    <w:p w14:paraId="45F30FEF">
      <w:pPr>
        <w:pStyle w:val="33"/>
        <w:tabs>
          <w:tab w:val="right" w:leader="dot" w:pos="8844"/>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_Toc23299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szCs w:val="24"/>
          <w:highlight w:val="none"/>
          <w:lang w:eastAsia="zh-CN"/>
        </w:rPr>
        <w:t xml:space="preserve">附图4 </w:t>
      </w:r>
      <w:r>
        <w:rPr>
          <w:rFonts w:hint="default" w:ascii="Times New Roman" w:hAnsi="Times New Roman" w:cs="Times New Roman"/>
          <w:bCs/>
          <w:color w:val="auto"/>
          <w:szCs w:val="24"/>
          <w:highlight w:val="none"/>
          <w:lang w:eastAsia="zh-CN"/>
        </w:rPr>
        <w:t>车间</w:t>
      </w:r>
      <w:r>
        <w:rPr>
          <w:rFonts w:hint="eastAsia" w:cs="Times New Roman"/>
          <w:bCs/>
          <w:color w:val="auto"/>
          <w:szCs w:val="24"/>
          <w:highlight w:val="none"/>
          <w:lang w:val="en-US" w:eastAsia="zh-CN"/>
        </w:rPr>
        <w:t>雨污管网</w:t>
      </w:r>
      <w:r>
        <w:rPr>
          <w:rFonts w:hint="default" w:ascii="Times New Roman" w:hAnsi="Times New Roman" w:eastAsia="宋体" w:cs="Times New Roman"/>
          <w:bCs/>
          <w:color w:val="auto"/>
          <w:szCs w:val="24"/>
          <w:highlight w:val="none"/>
          <w:lang w:eastAsia="zh-CN"/>
        </w:rPr>
        <w:t>布置图</w:t>
      </w:r>
      <w:r>
        <w:rPr>
          <w:color w:val="auto"/>
          <w:highlight w:val="none"/>
        </w:rPr>
        <w:tab/>
      </w:r>
      <w:r>
        <w:rPr>
          <w:color w:val="auto"/>
          <w:highlight w:val="none"/>
        </w:rPr>
        <w:fldChar w:fldCharType="begin"/>
      </w:r>
      <w:r>
        <w:rPr>
          <w:color w:val="auto"/>
          <w:highlight w:val="none"/>
        </w:rPr>
        <w:instrText xml:space="preserve"> PAGEREF _Toc23299 \h </w:instrText>
      </w:r>
      <w:r>
        <w:rPr>
          <w:color w:val="auto"/>
          <w:highlight w:val="none"/>
        </w:rPr>
        <w:fldChar w:fldCharType="separate"/>
      </w:r>
      <w:r>
        <w:rPr>
          <w:color w:val="auto"/>
          <w:highlight w:val="none"/>
        </w:rPr>
        <w:t>129</w:t>
      </w:r>
      <w:r>
        <w:rPr>
          <w:color w:val="auto"/>
          <w:highlight w:val="none"/>
        </w:rPr>
        <w:fldChar w:fldCharType="end"/>
      </w:r>
      <w:r>
        <w:rPr>
          <w:rFonts w:hint="default" w:ascii="Times New Roman" w:hAnsi="Times New Roman" w:cs="Times New Roman"/>
          <w:color w:val="auto"/>
          <w:highlight w:val="none"/>
        </w:rPr>
        <w:fldChar w:fldCharType="end"/>
      </w:r>
    </w:p>
    <w:p w14:paraId="797612D3">
      <w:pPr>
        <w:pStyle w:val="33"/>
        <w:tabs>
          <w:tab w:val="right" w:leader="dot" w:pos="8844"/>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_Toc19479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szCs w:val="24"/>
          <w:highlight w:val="none"/>
          <w:lang w:eastAsia="zh-CN"/>
        </w:rPr>
        <w:t>附图5 环境保护目标分布图</w:t>
      </w:r>
      <w:r>
        <w:rPr>
          <w:color w:val="auto"/>
          <w:highlight w:val="none"/>
        </w:rPr>
        <w:tab/>
      </w:r>
      <w:r>
        <w:rPr>
          <w:color w:val="auto"/>
          <w:highlight w:val="none"/>
        </w:rPr>
        <w:fldChar w:fldCharType="begin"/>
      </w:r>
      <w:r>
        <w:rPr>
          <w:color w:val="auto"/>
          <w:highlight w:val="none"/>
        </w:rPr>
        <w:instrText xml:space="preserve"> PAGEREF _Toc19479 \h </w:instrText>
      </w:r>
      <w:r>
        <w:rPr>
          <w:color w:val="auto"/>
          <w:highlight w:val="none"/>
        </w:rPr>
        <w:fldChar w:fldCharType="separate"/>
      </w:r>
      <w:r>
        <w:rPr>
          <w:color w:val="auto"/>
          <w:highlight w:val="none"/>
        </w:rPr>
        <w:t>130</w:t>
      </w:r>
      <w:r>
        <w:rPr>
          <w:color w:val="auto"/>
          <w:highlight w:val="none"/>
        </w:rPr>
        <w:fldChar w:fldCharType="end"/>
      </w:r>
      <w:r>
        <w:rPr>
          <w:rFonts w:hint="default" w:ascii="Times New Roman" w:hAnsi="Times New Roman" w:cs="Times New Roman"/>
          <w:color w:val="auto"/>
          <w:highlight w:val="none"/>
        </w:rPr>
        <w:fldChar w:fldCharType="end"/>
      </w:r>
    </w:p>
    <w:p w14:paraId="1B93DD7F">
      <w:pPr>
        <w:pStyle w:val="33"/>
        <w:tabs>
          <w:tab w:val="right" w:leader="dot" w:pos="8844"/>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_Toc22436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szCs w:val="24"/>
          <w:highlight w:val="none"/>
          <w:lang w:eastAsia="zh-CN"/>
        </w:rPr>
        <w:t>附图6 建设项目土地利用规划图</w:t>
      </w:r>
      <w:r>
        <w:rPr>
          <w:color w:val="auto"/>
          <w:highlight w:val="none"/>
        </w:rPr>
        <w:tab/>
      </w:r>
      <w:r>
        <w:rPr>
          <w:color w:val="auto"/>
          <w:highlight w:val="none"/>
        </w:rPr>
        <w:fldChar w:fldCharType="begin"/>
      </w:r>
      <w:r>
        <w:rPr>
          <w:color w:val="auto"/>
          <w:highlight w:val="none"/>
        </w:rPr>
        <w:instrText xml:space="preserve"> PAGEREF _Toc22436 \h </w:instrText>
      </w:r>
      <w:r>
        <w:rPr>
          <w:color w:val="auto"/>
          <w:highlight w:val="none"/>
        </w:rPr>
        <w:fldChar w:fldCharType="separate"/>
      </w:r>
      <w:r>
        <w:rPr>
          <w:color w:val="auto"/>
          <w:highlight w:val="none"/>
        </w:rPr>
        <w:t>131</w:t>
      </w:r>
      <w:r>
        <w:rPr>
          <w:color w:val="auto"/>
          <w:highlight w:val="none"/>
        </w:rPr>
        <w:fldChar w:fldCharType="end"/>
      </w:r>
      <w:r>
        <w:rPr>
          <w:rFonts w:hint="default" w:ascii="Times New Roman" w:hAnsi="Times New Roman" w:cs="Times New Roman"/>
          <w:color w:val="auto"/>
          <w:highlight w:val="none"/>
        </w:rPr>
        <w:fldChar w:fldCharType="end"/>
      </w:r>
    </w:p>
    <w:p w14:paraId="675D699F">
      <w:pPr>
        <w:pStyle w:val="33"/>
        <w:tabs>
          <w:tab w:val="right" w:leader="dot" w:pos="8844"/>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_Toc16001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szCs w:val="24"/>
          <w:highlight w:val="none"/>
          <w:lang w:eastAsia="zh-CN"/>
        </w:rPr>
        <w:t xml:space="preserve">附图7 </w:t>
      </w:r>
      <w:r>
        <w:rPr>
          <w:rFonts w:hint="eastAsia" w:cs="Times New Roman"/>
          <w:bCs/>
          <w:color w:val="auto"/>
          <w:szCs w:val="24"/>
          <w:highlight w:val="none"/>
          <w:lang w:val="en-US" w:eastAsia="zh-CN"/>
        </w:rPr>
        <w:t>项目所在区域周边</w:t>
      </w:r>
      <w:r>
        <w:rPr>
          <w:rFonts w:hint="default" w:ascii="Times New Roman" w:hAnsi="Times New Roman" w:eastAsia="宋体" w:cs="Times New Roman"/>
          <w:bCs/>
          <w:color w:val="auto"/>
          <w:szCs w:val="24"/>
          <w:highlight w:val="none"/>
          <w:lang w:eastAsia="zh-CN"/>
        </w:rPr>
        <w:t>水</w:t>
      </w:r>
      <w:r>
        <w:rPr>
          <w:rFonts w:hint="eastAsia" w:cs="Times New Roman"/>
          <w:bCs/>
          <w:color w:val="auto"/>
          <w:szCs w:val="24"/>
          <w:highlight w:val="none"/>
          <w:lang w:val="en-US" w:eastAsia="zh-CN"/>
        </w:rPr>
        <w:t>系</w:t>
      </w:r>
      <w:r>
        <w:rPr>
          <w:rFonts w:hint="default" w:ascii="Times New Roman" w:hAnsi="Times New Roman" w:eastAsia="宋体" w:cs="Times New Roman"/>
          <w:bCs/>
          <w:color w:val="auto"/>
          <w:szCs w:val="24"/>
          <w:highlight w:val="none"/>
          <w:lang w:eastAsia="zh-CN"/>
        </w:rPr>
        <w:t>图</w:t>
      </w:r>
      <w:r>
        <w:rPr>
          <w:color w:val="auto"/>
          <w:highlight w:val="none"/>
        </w:rPr>
        <w:tab/>
      </w:r>
      <w:r>
        <w:rPr>
          <w:color w:val="auto"/>
          <w:highlight w:val="none"/>
        </w:rPr>
        <w:fldChar w:fldCharType="begin"/>
      </w:r>
      <w:r>
        <w:rPr>
          <w:color w:val="auto"/>
          <w:highlight w:val="none"/>
        </w:rPr>
        <w:instrText xml:space="preserve"> PAGEREF _Toc16001 \h </w:instrText>
      </w:r>
      <w:r>
        <w:rPr>
          <w:color w:val="auto"/>
          <w:highlight w:val="none"/>
        </w:rPr>
        <w:fldChar w:fldCharType="separate"/>
      </w:r>
      <w:r>
        <w:rPr>
          <w:color w:val="auto"/>
          <w:highlight w:val="none"/>
        </w:rPr>
        <w:t>132</w:t>
      </w:r>
      <w:r>
        <w:rPr>
          <w:color w:val="auto"/>
          <w:highlight w:val="none"/>
        </w:rPr>
        <w:fldChar w:fldCharType="end"/>
      </w:r>
      <w:r>
        <w:rPr>
          <w:rFonts w:hint="default" w:ascii="Times New Roman" w:hAnsi="Times New Roman" w:cs="Times New Roman"/>
          <w:color w:val="auto"/>
          <w:highlight w:val="none"/>
        </w:rPr>
        <w:fldChar w:fldCharType="end"/>
      </w:r>
    </w:p>
    <w:p w14:paraId="5AA83686">
      <w:pPr>
        <w:pStyle w:val="33"/>
        <w:tabs>
          <w:tab w:val="right" w:leader="dot" w:pos="8844"/>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_Toc10460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szCs w:val="24"/>
          <w:highlight w:val="none"/>
          <w:lang w:eastAsia="zh-CN"/>
        </w:rPr>
        <w:t xml:space="preserve">附图8 </w:t>
      </w:r>
      <w:r>
        <w:rPr>
          <w:rFonts w:hint="eastAsia" w:cs="Times New Roman"/>
          <w:bCs/>
          <w:color w:val="auto"/>
          <w:szCs w:val="24"/>
          <w:highlight w:val="none"/>
          <w:lang w:val="en-US" w:eastAsia="zh-CN"/>
        </w:rPr>
        <w:t>项目所在区域</w:t>
      </w:r>
      <w:r>
        <w:rPr>
          <w:rFonts w:hint="default" w:ascii="Times New Roman" w:hAnsi="Times New Roman" w:eastAsia="宋体" w:cs="Times New Roman"/>
          <w:bCs/>
          <w:color w:val="auto"/>
          <w:szCs w:val="24"/>
          <w:highlight w:val="none"/>
          <w:lang w:eastAsia="zh-CN"/>
        </w:rPr>
        <w:t>大气环境功能区划图</w:t>
      </w:r>
      <w:r>
        <w:rPr>
          <w:color w:val="auto"/>
          <w:highlight w:val="none"/>
        </w:rPr>
        <w:tab/>
      </w:r>
      <w:r>
        <w:rPr>
          <w:color w:val="auto"/>
          <w:highlight w:val="none"/>
        </w:rPr>
        <w:fldChar w:fldCharType="begin"/>
      </w:r>
      <w:r>
        <w:rPr>
          <w:color w:val="auto"/>
          <w:highlight w:val="none"/>
        </w:rPr>
        <w:instrText xml:space="preserve"> PAGEREF _Toc10460 \h </w:instrText>
      </w:r>
      <w:r>
        <w:rPr>
          <w:color w:val="auto"/>
          <w:highlight w:val="none"/>
        </w:rPr>
        <w:fldChar w:fldCharType="separate"/>
      </w:r>
      <w:r>
        <w:rPr>
          <w:color w:val="auto"/>
          <w:highlight w:val="none"/>
        </w:rPr>
        <w:t>133</w:t>
      </w:r>
      <w:r>
        <w:rPr>
          <w:color w:val="auto"/>
          <w:highlight w:val="none"/>
        </w:rPr>
        <w:fldChar w:fldCharType="end"/>
      </w:r>
      <w:r>
        <w:rPr>
          <w:rFonts w:hint="default" w:ascii="Times New Roman" w:hAnsi="Times New Roman" w:cs="Times New Roman"/>
          <w:color w:val="auto"/>
          <w:highlight w:val="none"/>
        </w:rPr>
        <w:fldChar w:fldCharType="end"/>
      </w:r>
    </w:p>
    <w:p w14:paraId="48F6E4C2">
      <w:pPr>
        <w:pStyle w:val="33"/>
        <w:tabs>
          <w:tab w:val="right" w:leader="dot" w:pos="8844"/>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_Toc8360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szCs w:val="24"/>
          <w:highlight w:val="none"/>
          <w:lang w:eastAsia="zh-CN"/>
        </w:rPr>
        <w:t xml:space="preserve">附图9 </w:t>
      </w:r>
      <w:r>
        <w:rPr>
          <w:rFonts w:hint="eastAsia" w:cs="Times New Roman"/>
          <w:bCs/>
          <w:color w:val="auto"/>
          <w:szCs w:val="24"/>
          <w:highlight w:val="none"/>
          <w:lang w:eastAsia="zh-CN"/>
        </w:rPr>
        <w:t>声环境功能区划图</w:t>
      </w:r>
      <w:r>
        <w:rPr>
          <w:color w:val="auto"/>
          <w:highlight w:val="none"/>
        </w:rPr>
        <w:tab/>
      </w:r>
      <w:r>
        <w:rPr>
          <w:color w:val="auto"/>
          <w:highlight w:val="none"/>
        </w:rPr>
        <w:fldChar w:fldCharType="begin"/>
      </w:r>
      <w:r>
        <w:rPr>
          <w:color w:val="auto"/>
          <w:highlight w:val="none"/>
        </w:rPr>
        <w:instrText xml:space="preserve"> PAGEREF _Toc8360 \h </w:instrText>
      </w:r>
      <w:r>
        <w:rPr>
          <w:color w:val="auto"/>
          <w:highlight w:val="none"/>
        </w:rPr>
        <w:fldChar w:fldCharType="separate"/>
      </w:r>
      <w:r>
        <w:rPr>
          <w:color w:val="auto"/>
          <w:highlight w:val="none"/>
        </w:rPr>
        <w:t>134</w:t>
      </w:r>
      <w:r>
        <w:rPr>
          <w:color w:val="auto"/>
          <w:highlight w:val="none"/>
        </w:rPr>
        <w:fldChar w:fldCharType="end"/>
      </w:r>
      <w:r>
        <w:rPr>
          <w:rFonts w:hint="default" w:ascii="Times New Roman" w:hAnsi="Times New Roman" w:cs="Times New Roman"/>
          <w:color w:val="auto"/>
          <w:highlight w:val="none"/>
        </w:rPr>
        <w:fldChar w:fldCharType="end"/>
      </w:r>
    </w:p>
    <w:p w14:paraId="510CEA67">
      <w:pPr>
        <w:pStyle w:val="33"/>
        <w:tabs>
          <w:tab w:val="right" w:leader="dot" w:pos="8844"/>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_Toc6558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szCs w:val="24"/>
          <w:highlight w:val="none"/>
          <w:lang w:eastAsia="zh-CN"/>
        </w:rPr>
        <w:t>附图10 生态红线分布图</w:t>
      </w:r>
      <w:r>
        <w:rPr>
          <w:color w:val="auto"/>
          <w:highlight w:val="none"/>
        </w:rPr>
        <w:tab/>
      </w:r>
      <w:r>
        <w:rPr>
          <w:color w:val="auto"/>
          <w:highlight w:val="none"/>
        </w:rPr>
        <w:fldChar w:fldCharType="begin"/>
      </w:r>
      <w:r>
        <w:rPr>
          <w:color w:val="auto"/>
          <w:highlight w:val="none"/>
        </w:rPr>
        <w:instrText xml:space="preserve"> PAGEREF _Toc6558 \h </w:instrText>
      </w:r>
      <w:r>
        <w:rPr>
          <w:color w:val="auto"/>
          <w:highlight w:val="none"/>
        </w:rPr>
        <w:fldChar w:fldCharType="separate"/>
      </w:r>
      <w:r>
        <w:rPr>
          <w:color w:val="auto"/>
          <w:highlight w:val="none"/>
        </w:rPr>
        <w:t>135</w:t>
      </w:r>
      <w:r>
        <w:rPr>
          <w:color w:val="auto"/>
          <w:highlight w:val="none"/>
        </w:rPr>
        <w:fldChar w:fldCharType="end"/>
      </w:r>
      <w:r>
        <w:rPr>
          <w:rFonts w:hint="default" w:ascii="Times New Roman" w:hAnsi="Times New Roman" w:cs="Times New Roman"/>
          <w:color w:val="auto"/>
          <w:highlight w:val="none"/>
        </w:rPr>
        <w:fldChar w:fldCharType="end"/>
      </w:r>
    </w:p>
    <w:p w14:paraId="238CDA25">
      <w:pPr>
        <w:pStyle w:val="33"/>
        <w:tabs>
          <w:tab w:val="right" w:leader="dot" w:pos="8844"/>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_Toc16094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szCs w:val="24"/>
          <w:highlight w:val="none"/>
          <w:lang w:eastAsia="zh-CN"/>
        </w:rPr>
        <w:t>附图11 项目周边主要饮用水源保护区分布图</w:t>
      </w:r>
      <w:r>
        <w:rPr>
          <w:color w:val="auto"/>
          <w:highlight w:val="none"/>
        </w:rPr>
        <w:tab/>
      </w:r>
      <w:r>
        <w:rPr>
          <w:color w:val="auto"/>
          <w:highlight w:val="none"/>
        </w:rPr>
        <w:fldChar w:fldCharType="begin"/>
      </w:r>
      <w:r>
        <w:rPr>
          <w:color w:val="auto"/>
          <w:highlight w:val="none"/>
        </w:rPr>
        <w:instrText xml:space="preserve"> PAGEREF _Toc16094 \h </w:instrText>
      </w:r>
      <w:r>
        <w:rPr>
          <w:color w:val="auto"/>
          <w:highlight w:val="none"/>
        </w:rPr>
        <w:fldChar w:fldCharType="separate"/>
      </w:r>
      <w:r>
        <w:rPr>
          <w:color w:val="auto"/>
          <w:highlight w:val="none"/>
        </w:rPr>
        <w:t>136</w:t>
      </w:r>
      <w:r>
        <w:rPr>
          <w:color w:val="auto"/>
          <w:highlight w:val="none"/>
        </w:rPr>
        <w:fldChar w:fldCharType="end"/>
      </w:r>
      <w:r>
        <w:rPr>
          <w:rFonts w:hint="default" w:ascii="Times New Roman" w:hAnsi="Times New Roman" w:cs="Times New Roman"/>
          <w:color w:val="auto"/>
          <w:highlight w:val="none"/>
        </w:rPr>
        <w:fldChar w:fldCharType="end"/>
      </w:r>
    </w:p>
    <w:p w14:paraId="7952D40E">
      <w:pPr>
        <w:pStyle w:val="33"/>
        <w:tabs>
          <w:tab w:val="right" w:leader="dot" w:pos="8844"/>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_Toc19244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szCs w:val="24"/>
          <w:highlight w:val="none"/>
          <w:lang w:eastAsia="zh-CN"/>
        </w:rPr>
        <w:t>附图12 项目所在区域生态功能区划示意图</w:t>
      </w:r>
      <w:r>
        <w:rPr>
          <w:color w:val="auto"/>
          <w:highlight w:val="none"/>
        </w:rPr>
        <w:tab/>
      </w:r>
      <w:r>
        <w:rPr>
          <w:color w:val="auto"/>
          <w:highlight w:val="none"/>
        </w:rPr>
        <w:fldChar w:fldCharType="begin"/>
      </w:r>
      <w:r>
        <w:rPr>
          <w:color w:val="auto"/>
          <w:highlight w:val="none"/>
        </w:rPr>
        <w:instrText xml:space="preserve"> PAGEREF _Toc19244 \h </w:instrText>
      </w:r>
      <w:r>
        <w:rPr>
          <w:color w:val="auto"/>
          <w:highlight w:val="none"/>
        </w:rPr>
        <w:fldChar w:fldCharType="separate"/>
      </w:r>
      <w:r>
        <w:rPr>
          <w:color w:val="auto"/>
          <w:highlight w:val="none"/>
        </w:rPr>
        <w:t>137</w:t>
      </w:r>
      <w:r>
        <w:rPr>
          <w:color w:val="auto"/>
          <w:highlight w:val="none"/>
        </w:rPr>
        <w:fldChar w:fldCharType="end"/>
      </w:r>
      <w:r>
        <w:rPr>
          <w:rFonts w:hint="default" w:ascii="Times New Roman" w:hAnsi="Times New Roman" w:cs="Times New Roman"/>
          <w:color w:val="auto"/>
          <w:highlight w:val="none"/>
        </w:rPr>
        <w:fldChar w:fldCharType="end"/>
      </w:r>
    </w:p>
    <w:p w14:paraId="4FADB8A9">
      <w:pPr>
        <w:pStyle w:val="33"/>
        <w:tabs>
          <w:tab w:val="right" w:leader="dot" w:pos="8844"/>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_Toc27843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szCs w:val="24"/>
          <w:highlight w:val="none"/>
          <w:lang w:eastAsia="zh-CN"/>
        </w:rPr>
        <w:t>附图13 项目周边永久农田、耕地、园地分布图</w:t>
      </w:r>
      <w:r>
        <w:rPr>
          <w:color w:val="auto"/>
          <w:highlight w:val="none"/>
        </w:rPr>
        <w:tab/>
      </w:r>
      <w:r>
        <w:rPr>
          <w:color w:val="auto"/>
          <w:highlight w:val="none"/>
        </w:rPr>
        <w:fldChar w:fldCharType="begin"/>
      </w:r>
      <w:r>
        <w:rPr>
          <w:color w:val="auto"/>
          <w:highlight w:val="none"/>
        </w:rPr>
        <w:instrText xml:space="preserve"> PAGEREF _Toc27843 \h </w:instrText>
      </w:r>
      <w:r>
        <w:rPr>
          <w:color w:val="auto"/>
          <w:highlight w:val="none"/>
        </w:rPr>
        <w:fldChar w:fldCharType="separate"/>
      </w:r>
      <w:r>
        <w:rPr>
          <w:color w:val="auto"/>
          <w:highlight w:val="none"/>
        </w:rPr>
        <w:t>138</w:t>
      </w:r>
      <w:r>
        <w:rPr>
          <w:color w:val="auto"/>
          <w:highlight w:val="none"/>
        </w:rPr>
        <w:fldChar w:fldCharType="end"/>
      </w:r>
      <w:r>
        <w:rPr>
          <w:rFonts w:hint="default" w:ascii="Times New Roman" w:hAnsi="Times New Roman" w:cs="Times New Roman"/>
          <w:color w:val="auto"/>
          <w:highlight w:val="none"/>
        </w:rPr>
        <w:fldChar w:fldCharType="end"/>
      </w:r>
    </w:p>
    <w:p w14:paraId="02E2B0E5">
      <w:pPr>
        <w:pStyle w:val="33"/>
        <w:tabs>
          <w:tab w:val="right" w:leader="dot" w:pos="8844"/>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_Toc17510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szCs w:val="24"/>
          <w:highlight w:val="none"/>
          <w:lang w:eastAsia="zh-CN"/>
        </w:rPr>
        <w:t>附图14 项目周边现状图</w:t>
      </w:r>
      <w:r>
        <w:rPr>
          <w:color w:val="auto"/>
          <w:highlight w:val="none"/>
        </w:rPr>
        <w:tab/>
      </w:r>
      <w:r>
        <w:rPr>
          <w:color w:val="auto"/>
          <w:highlight w:val="none"/>
        </w:rPr>
        <w:fldChar w:fldCharType="begin"/>
      </w:r>
      <w:r>
        <w:rPr>
          <w:color w:val="auto"/>
          <w:highlight w:val="none"/>
        </w:rPr>
        <w:instrText xml:space="preserve"> PAGEREF _Toc17510 \h </w:instrText>
      </w:r>
      <w:r>
        <w:rPr>
          <w:color w:val="auto"/>
          <w:highlight w:val="none"/>
        </w:rPr>
        <w:fldChar w:fldCharType="separate"/>
      </w:r>
      <w:r>
        <w:rPr>
          <w:color w:val="auto"/>
          <w:highlight w:val="none"/>
        </w:rPr>
        <w:t>139</w:t>
      </w:r>
      <w:r>
        <w:rPr>
          <w:color w:val="auto"/>
          <w:highlight w:val="none"/>
        </w:rPr>
        <w:fldChar w:fldCharType="end"/>
      </w:r>
      <w:r>
        <w:rPr>
          <w:rFonts w:hint="default" w:ascii="Times New Roman" w:hAnsi="Times New Roman" w:cs="Times New Roman"/>
          <w:color w:val="auto"/>
          <w:highlight w:val="none"/>
        </w:rPr>
        <w:fldChar w:fldCharType="end"/>
      </w:r>
    </w:p>
    <w:p w14:paraId="67C47556">
      <w:pPr>
        <w:pStyle w:val="33"/>
        <w:tabs>
          <w:tab w:val="right" w:leader="dot" w:pos="8844"/>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_Toc6838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szCs w:val="24"/>
          <w:highlight w:val="none"/>
          <w:lang w:val="en-US" w:eastAsia="zh-CN"/>
        </w:rPr>
        <w:t>附图15 广东省</w:t>
      </w:r>
      <w:r>
        <w:rPr>
          <w:rFonts w:hint="eastAsia" w:cs="Times New Roman"/>
          <w:bCs/>
          <w:color w:val="auto"/>
          <w:szCs w:val="24"/>
          <w:highlight w:val="none"/>
          <w:lang w:val="en-US" w:eastAsia="zh-CN"/>
        </w:rPr>
        <w:t>生态环境分区管控</w:t>
      </w:r>
      <w:r>
        <w:rPr>
          <w:rFonts w:hint="default" w:ascii="Times New Roman" w:hAnsi="Times New Roman" w:eastAsia="宋体" w:cs="Times New Roman"/>
          <w:bCs/>
          <w:color w:val="auto"/>
          <w:szCs w:val="24"/>
          <w:highlight w:val="none"/>
          <w:lang w:val="en-US" w:eastAsia="zh-CN"/>
        </w:rPr>
        <w:t>截图</w:t>
      </w:r>
      <w:r>
        <w:rPr>
          <w:color w:val="auto"/>
          <w:highlight w:val="none"/>
        </w:rPr>
        <w:tab/>
      </w:r>
      <w:r>
        <w:rPr>
          <w:color w:val="auto"/>
          <w:highlight w:val="none"/>
        </w:rPr>
        <w:fldChar w:fldCharType="begin"/>
      </w:r>
      <w:r>
        <w:rPr>
          <w:color w:val="auto"/>
          <w:highlight w:val="none"/>
        </w:rPr>
        <w:instrText xml:space="preserve"> PAGEREF _Toc6838 \h </w:instrText>
      </w:r>
      <w:r>
        <w:rPr>
          <w:color w:val="auto"/>
          <w:highlight w:val="none"/>
        </w:rPr>
        <w:fldChar w:fldCharType="separate"/>
      </w:r>
      <w:r>
        <w:rPr>
          <w:color w:val="auto"/>
          <w:highlight w:val="none"/>
        </w:rPr>
        <w:t>140</w:t>
      </w:r>
      <w:r>
        <w:rPr>
          <w:color w:val="auto"/>
          <w:highlight w:val="none"/>
        </w:rPr>
        <w:fldChar w:fldCharType="end"/>
      </w:r>
      <w:r>
        <w:rPr>
          <w:rFonts w:hint="default" w:ascii="Times New Roman" w:hAnsi="Times New Roman" w:cs="Times New Roman"/>
          <w:color w:val="auto"/>
          <w:highlight w:val="none"/>
        </w:rPr>
        <w:fldChar w:fldCharType="end"/>
      </w:r>
    </w:p>
    <w:p w14:paraId="7C223270">
      <w:pPr>
        <w:pStyle w:val="33"/>
        <w:tabs>
          <w:tab w:val="right" w:leader="dot" w:pos="8844"/>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_Toc10823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szCs w:val="24"/>
          <w:highlight w:val="none"/>
          <w:lang w:val="en-US" w:eastAsia="zh-CN"/>
        </w:rPr>
        <w:t>附图16 项目与大气</w:t>
      </w:r>
      <w:r>
        <w:rPr>
          <w:rFonts w:hint="eastAsia" w:cs="Times New Roman"/>
          <w:bCs/>
          <w:color w:val="auto"/>
          <w:szCs w:val="24"/>
          <w:highlight w:val="none"/>
          <w:lang w:val="en-US" w:eastAsia="zh-CN"/>
        </w:rPr>
        <w:t>引用</w:t>
      </w:r>
      <w:r>
        <w:rPr>
          <w:rFonts w:hint="default" w:ascii="Times New Roman" w:hAnsi="Times New Roman" w:eastAsia="宋体" w:cs="Times New Roman"/>
          <w:bCs/>
          <w:color w:val="auto"/>
          <w:szCs w:val="24"/>
          <w:highlight w:val="none"/>
          <w:lang w:val="en-US" w:eastAsia="zh-CN"/>
        </w:rPr>
        <w:t>监测点位置图</w:t>
      </w:r>
      <w:r>
        <w:rPr>
          <w:color w:val="auto"/>
          <w:highlight w:val="none"/>
        </w:rPr>
        <w:tab/>
      </w:r>
      <w:r>
        <w:rPr>
          <w:color w:val="auto"/>
          <w:highlight w:val="none"/>
        </w:rPr>
        <w:fldChar w:fldCharType="begin"/>
      </w:r>
      <w:r>
        <w:rPr>
          <w:color w:val="auto"/>
          <w:highlight w:val="none"/>
        </w:rPr>
        <w:instrText xml:space="preserve"> PAGEREF _Toc10823 \h </w:instrText>
      </w:r>
      <w:r>
        <w:rPr>
          <w:color w:val="auto"/>
          <w:highlight w:val="none"/>
        </w:rPr>
        <w:fldChar w:fldCharType="separate"/>
      </w:r>
      <w:r>
        <w:rPr>
          <w:color w:val="auto"/>
          <w:highlight w:val="none"/>
        </w:rPr>
        <w:t>141</w:t>
      </w:r>
      <w:r>
        <w:rPr>
          <w:color w:val="auto"/>
          <w:highlight w:val="none"/>
        </w:rPr>
        <w:fldChar w:fldCharType="end"/>
      </w:r>
      <w:r>
        <w:rPr>
          <w:rFonts w:hint="default" w:ascii="Times New Roman" w:hAnsi="Times New Roman" w:cs="Times New Roman"/>
          <w:color w:val="auto"/>
          <w:highlight w:val="none"/>
        </w:rPr>
        <w:fldChar w:fldCharType="end"/>
      </w:r>
    </w:p>
    <w:p w14:paraId="566F4099">
      <w:pPr>
        <w:pStyle w:val="33"/>
        <w:tabs>
          <w:tab w:val="right" w:leader="dot" w:pos="8844"/>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_Toc15940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szCs w:val="24"/>
          <w:highlight w:val="none"/>
          <w:lang w:val="en-US" w:eastAsia="zh-CN"/>
        </w:rPr>
        <w:t>附图17 乐昌产业转移工业园管网分布图</w:t>
      </w:r>
      <w:r>
        <w:rPr>
          <w:color w:val="auto"/>
          <w:highlight w:val="none"/>
        </w:rPr>
        <w:tab/>
      </w:r>
      <w:r>
        <w:rPr>
          <w:color w:val="auto"/>
          <w:highlight w:val="none"/>
        </w:rPr>
        <w:fldChar w:fldCharType="begin"/>
      </w:r>
      <w:r>
        <w:rPr>
          <w:color w:val="auto"/>
          <w:highlight w:val="none"/>
        </w:rPr>
        <w:instrText xml:space="preserve"> PAGEREF _Toc15940 \h </w:instrText>
      </w:r>
      <w:r>
        <w:rPr>
          <w:color w:val="auto"/>
          <w:highlight w:val="none"/>
        </w:rPr>
        <w:fldChar w:fldCharType="separate"/>
      </w:r>
      <w:r>
        <w:rPr>
          <w:color w:val="auto"/>
          <w:highlight w:val="none"/>
        </w:rPr>
        <w:t>142</w:t>
      </w:r>
      <w:r>
        <w:rPr>
          <w:color w:val="auto"/>
          <w:highlight w:val="none"/>
        </w:rPr>
        <w:fldChar w:fldCharType="end"/>
      </w:r>
      <w:r>
        <w:rPr>
          <w:rFonts w:hint="default" w:ascii="Times New Roman" w:hAnsi="Times New Roman" w:cs="Times New Roman"/>
          <w:color w:val="auto"/>
          <w:highlight w:val="none"/>
        </w:rPr>
        <w:fldChar w:fldCharType="end"/>
      </w:r>
    </w:p>
    <w:p w14:paraId="202562F4">
      <w:pPr>
        <w:pStyle w:val="33"/>
        <w:tabs>
          <w:tab w:val="right" w:leader="dot" w:pos="8844"/>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_Toc23682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bCs/>
          <w:color w:val="auto"/>
          <w:szCs w:val="24"/>
          <w:highlight w:val="none"/>
          <w:lang w:val="en-US" w:eastAsia="zh-CN"/>
        </w:rPr>
        <w:t xml:space="preserve">附图18 </w:t>
      </w:r>
      <w:r>
        <w:rPr>
          <w:rFonts w:hint="eastAsia" w:cs="Times New Roman"/>
          <w:bCs/>
          <w:color w:val="auto"/>
          <w:szCs w:val="24"/>
          <w:highlight w:val="none"/>
          <w:lang w:val="en-US" w:eastAsia="zh-CN"/>
        </w:rPr>
        <w:t>建设项目与韶关市区武江饮用水水源保护区关系示意图</w:t>
      </w:r>
      <w:r>
        <w:rPr>
          <w:color w:val="auto"/>
          <w:highlight w:val="none"/>
        </w:rPr>
        <w:tab/>
      </w:r>
      <w:r>
        <w:rPr>
          <w:color w:val="auto"/>
          <w:highlight w:val="none"/>
        </w:rPr>
        <w:fldChar w:fldCharType="begin"/>
      </w:r>
      <w:r>
        <w:rPr>
          <w:color w:val="auto"/>
          <w:highlight w:val="none"/>
        </w:rPr>
        <w:instrText xml:space="preserve"> PAGEREF _Toc23682 \h </w:instrText>
      </w:r>
      <w:r>
        <w:rPr>
          <w:color w:val="auto"/>
          <w:highlight w:val="none"/>
        </w:rPr>
        <w:fldChar w:fldCharType="separate"/>
      </w:r>
      <w:r>
        <w:rPr>
          <w:color w:val="auto"/>
          <w:highlight w:val="none"/>
        </w:rPr>
        <w:t>143</w:t>
      </w:r>
      <w:r>
        <w:rPr>
          <w:color w:val="auto"/>
          <w:highlight w:val="none"/>
        </w:rPr>
        <w:fldChar w:fldCharType="end"/>
      </w:r>
      <w:r>
        <w:rPr>
          <w:rFonts w:hint="default" w:ascii="Times New Roman" w:hAnsi="Times New Roman" w:cs="Times New Roman"/>
          <w:color w:val="auto"/>
          <w:highlight w:val="none"/>
        </w:rPr>
        <w:fldChar w:fldCharType="end"/>
      </w:r>
    </w:p>
    <w:p w14:paraId="0B64CC47">
      <w:pPr>
        <w:pStyle w:val="33"/>
        <w:tabs>
          <w:tab w:val="right" w:leader="dot" w:pos="8844"/>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_Toc28843 </w:instrText>
      </w:r>
      <w:r>
        <w:rPr>
          <w:rFonts w:hint="default" w:ascii="Times New Roman" w:hAnsi="Times New Roman" w:cs="Times New Roman"/>
          <w:color w:val="auto"/>
          <w:highlight w:val="none"/>
        </w:rPr>
        <w:fldChar w:fldCharType="separate"/>
      </w:r>
      <w:r>
        <w:rPr>
          <w:rFonts w:hint="default" w:ascii="Times New Roman" w:hAnsi="Times New Roman" w:eastAsia="宋体" w:cs="宋体"/>
          <w:bCs/>
          <w:color w:val="auto"/>
          <w:szCs w:val="24"/>
          <w:highlight w:val="none"/>
          <w:lang w:val="en-US" w:eastAsia="zh-CN"/>
        </w:rPr>
        <w:t xml:space="preserve">附件1 </w:t>
      </w:r>
      <w:r>
        <w:rPr>
          <w:rFonts w:hint="default" w:ascii="Times New Roman" w:hAnsi="Times New Roman" w:cs="Times New Roman"/>
          <w:bCs/>
          <w:color w:val="auto"/>
          <w:szCs w:val="24"/>
          <w:highlight w:val="none"/>
          <w:lang w:val="en-US" w:eastAsia="zh-CN"/>
        </w:rPr>
        <w:t>营业执照</w:t>
      </w:r>
      <w:r>
        <w:rPr>
          <w:color w:val="auto"/>
          <w:highlight w:val="none"/>
        </w:rPr>
        <w:tab/>
      </w:r>
      <w:r>
        <w:rPr>
          <w:color w:val="auto"/>
          <w:highlight w:val="none"/>
        </w:rPr>
        <w:fldChar w:fldCharType="begin"/>
      </w:r>
      <w:r>
        <w:rPr>
          <w:color w:val="auto"/>
          <w:highlight w:val="none"/>
        </w:rPr>
        <w:instrText xml:space="preserve"> PAGEREF _Toc28843 \h </w:instrText>
      </w:r>
      <w:r>
        <w:rPr>
          <w:color w:val="auto"/>
          <w:highlight w:val="none"/>
        </w:rPr>
        <w:fldChar w:fldCharType="separate"/>
      </w:r>
      <w:r>
        <w:rPr>
          <w:color w:val="auto"/>
          <w:highlight w:val="none"/>
        </w:rPr>
        <w:t>144</w:t>
      </w:r>
      <w:r>
        <w:rPr>
          <w:color w:val="auto"/>
          <w:highlight w:val="none"/>
        </w:rPr>
        <w:fldChar w:fldCharType="end"/>
      </w:r>
      <w:r>
        <w:rPr>
          <w:rFonts w:hint="default" w:ascii="Times New Roman" w:hAnsi="Times New Roman" w:cs="Times New Roman"/>
          <w:color w:val="auto"/>
          <w:highlight w:val="none"/>
        </w:rPr>
        <w:fldChar w:fldCharType="end"/>
      </w:r>
    </w:p>
    <w:p w14:paraId="4549E16E">
      <w:pPr>
        <w:pStyle w:val="33"/>
        <w:tabs>
          <w:tab w:val="right" w:leader="dot" w:pos="8844"/>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_Toc23922 </w:instrText>
      </w:r>
      <w:r>
        <w:rPr>
          <w:rFonts w:hint="default" w:ascii="Times New Roman" w:hAnsi="Times New Roman" w:cs="Times New Roman"/>
          <w:color w:val="auto"/>
          <w:highlight w:val="none"/>
        </w:rPr>
        <w:fldChar w:fldCharType="separate"/>
      </w:r>
      <w:r>
        <w:rPr>
          <w:rFonts w:hint="default" w:ascii="Times New Roman" w:hAnsi="Times New Roman" w:eastAsia="宋体" w:cs="宋体"/>
          <w:bCs/>
          <w:color w:val="auto"/>
          <w:szCs w:val="24"/>
          <w:highlight w:val="none"/>
          <w:lang w:val="en-US" w:eastAsia="zh-CN"/>
        </w:rPr>
        <w:t xml:space="preserve">附件2 </w:t>
      </w:r>
      <w:r>
        <w:rPr>
          <w:rFonts w:hint="default" w:ascii="Times New Roman" w:hAnsi="Times New Roman" w:cs="Times New Roman"/>
          <w:bCs/>
          <w:color w:val="auto"/>
          <w:szCs w:val="24"/>
          <w:highlight w:val="none"/>
          <w:lang w:val="en-US" w:eastAsia="zh-CN"/>
        </w:rPr>
        <w:t>法人身份证复印件</w:t>
      </w:r>
      <w:r>
        <w:rPr>
          <w:color w:val="auto"/>
          <w:highlight w:val="none"/>
        </w:rPr>
        <w:tab/>
      </w:r>
      <w:r>
        <w:rPr>
          <w:color w:val="auto"/>
          <w:highlight w:val="none"/>
        </w:rPr>
        <w:fldChar w:fldCharType="begin"/>
      </w:r>
      <w:r>
        <w:rPr>
          <w:color w:val="auto"/>
          <w:highlight w:val="none"/>
        </w:rPr>
        <w:instrText xml:space="preserve"> PAGEREF _Toc23922 \h </w:instrText>
      </w:r>
      <w:r>
        <w:rPr>
          <w:color w:val="auto"/>
          <w:highlight w:val="none"/>
        </w:rPr>
        <w:fldChar w:fldCharType="separate"/>
      </w:r>
      <w:r>
        <w:rPr>
          <w:color w:val="auto"/>
          <w:highlight w:val="none"/>
        </w:rPr>
        <w:t>145</w:t>
      </w:r>
      <w:r>
        <w:rPr>
          <w:color w:val="auto"/>
          <w:highlight w:val="none"/>
        </w:rPr>
        <w:fldChar w:fldCharType="end"/>
      </w:r>
      <w:r>
        <w:rPr>
          <w:rFonts w:hint="default" w:ascii="Times New Roman" w:hAnsi="Times New Roman" w:cs="Times New Roman"/>
          <w:color w:val="auto"/>
          <w:highlight w:val="none"/>
        </w:rPr>
        <w:fldChar w:fldCharType="end"/>
      </w:r>
    </w:p>
    <w:p w14:paraId="0B822CEA">
      <w:pPr>
        <w:pStyle w:val="33"/>
        <w:tabs>
          <w:tab w:val="right" w:leader="dot" w:pos="8844"/>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_Toc31112 </w:instrText>
      </w:r>
      <w:r>
        <w:rPr>
          <w:rFonts w:hint="default" w:ascii="Times New Roman" w:hAnsi="Times New Roman" w:cs="Times New Roman"/>
          <w:color w:val="auto"/>
          <w:highlight w:val="none"/>
        </w:rPr>
        <w:fldChar w:fldCharType="separate"/>
      </w:r>
      <w:r>
        <w:rPr>
          <w:rFonts w:hint="default" w:ascii="Times New Roman" w:hAnsi="Times New Roman" w:eastAsia="宋体" w:cs="宋体"/>
          <w:bCs/>
          <w:color w:val="auto"/>
          <w:szCs w:val="24"/>
          <w:highlight w:val="none"/>
          <w:lang w:val="en-US" w:eastAsia="zh-CN"/>
        </w:rPr>
        <w:t xml:space="preserve">附件3 </w:t>
      </w:r>
      <w:r>
        <w:rPr>
          <w:rFonts w:hint="eastAsia" w:cs="Times New Roman"/>
          <w:bCs/>
          <w:color w:val="auto"/>
          <w:szCs w:val="24"/>
          <w:highlight w:val="none"/>
          <w:lang w:val="en-US" w:eastAsia="zh-CN"/>
        </w:rPr>
        <w:t>租赁合同及不动产权证</w:t>
      </w:r>
      <w:r>
        <w:rPr>
          <w:color w:val="auto"/>
          <w:highlight w:val="none"/>
        </w:rPr>
        <w:tab/>
      </w:r>
      <w:r>
        <w:rPr>
          <w:color w:val="auto"/>
          <w:highlight w:val="none"/>
        </w:rPr>
        <w:fldChar w:fldCharType="begin"/>
      </w:r>
      <w:r>
        <w:rPr>
          <w:color w:val="auto"/>
          <w:highlight w:val="none"/>
        </w:rPr>
        <w:instrText xml:space="preserve"> PAGEREF _Toc31112 \h </w:instrText>
      </w:r>
      <w:r>
        <w:rPr>
          <w:color w:val="auto"/>
          <w:highlight w:val="none"/>
        </w:rPr>
        <w:fldChar w:fldCharType="separate"/>
      </w:r>
      <w:r>
        <w:rPr>
          <w:color w:val="auto"/>
          <w:highlight w:val="none"/>
        </w:rPr>
        <w:t>146</w:t>
      </w:r>
      <w:r>
        <w:rPr>
          <w:color w:val="auto"/>
          <w:highlight w:val="none"/>
        </w:rPr>
        <w:fldChar w:fldCharType="end"/>
      </w:r>
      <w:r>
        <w:rPr>
          <w:rFonts w:hint="default" w:ascii="Times New Roman" w:hAnsi="Times New Roman" w:cs="Times New Roman"/>
          <w:color w:val="auto"/>
          <w:highlight w:val="none"/>
        </w:rPr>
        <w:fldChar w:fldCharType="end"/>
      </w:r>
    </w:p>
    <w:p w14:paraId="71BDB1D4">
      <w:pPr>
        <w:pStyle w:val="33"/>
        <w:tabs>
          <w:tab w:val="right" w:leader="dot" w:pos="8844"/>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_Toc9079 </w:instrText>
      </w:r>
      <w:r>
        <w:rPr>
          <w:rFonts w:hint="default" w:ascii="Times New Roman" w:hAnsi="Times New Roman" w:cs="Times New Roman"/>
          <w:color w:val="auto"/>
          <w:highlight w:val="none"/>
        </w:rPr>
        <w:fldChar w:fldCharType="separate"/>
      </w:r>
      <w:r>
        <w:rPr>
          <w:rFonts w:hint="default" w:ascii="Times New Roman" w:hAnsi="Times New Roman" w:eastAsia="宋体" w:cs="宋体"/>
          <w:bCs/>
          <w:color w:val="auto"/>
          <w:szCs w:val="24"/>
          <w:highlight w:val="none"/>
          <w:lang w:val="en-US" w:eastAsia="zh-CN"/>
        </w:rPr>
        <w:t xml:space="preserve">附件4 </w:t>
      </w:r>
      <w:r>
        <w:rPr>
          <w:rFonts w:hint="default" w:ascii="Times New Roman" w:hAnsi="Times New Roman" w:cs="Times New Roman"/>
          <w:bCs/>
          <w:color w:val="auto"/>
          <w:szCs w:val="24"/>
          <w:highlight w:val="none"/>
          <w:lang w:val="en-US" w:eastAsia="zh-CN"/>
        </w:rPr>
        <w:t>备案证</w:t>
      </w:r>
      <w:r>
        <w:rPr>
          <w:color w:val="auto"/>
          <w:highlight w:val="none"/>
        </w:rPr>
        <w:tab/>
      </w:r>
      <w:r>
        <w:rPr>
          <w:color w:val="auto"/>
          <w:highlight w:val="none"/>
        </w:rPr>
        <w:fldChar w:fldCharType="begin"/>
      </w:r>
      <w:r>
        <w:rPr>
          <w:color w:val="auto"/>
          <w:highlight w:val="none"/>
        </w:rPr>
        <w:instrText xml:space="preserve"> PAGEREF _Toc9079 \h </w:instrText>
      </w:r>
      <w:r>
        <w:rPr>
          <w:color w:val="auto"/>
          <w:highlight w:val="none"/>
        </w:rPr>
        <w:fldChar w:fldCharType="separate"/>
      </w:r>
      <w:r>
        <w:rPr>
          <w:color w:val="auto"/>
          <w:highlight w:val="none"/>
        </w:rPr>
        <w:t>150</w:t>
      </w:r>
      <w:r>
        <w:rPr>
          <w:color w:val="auto"/>
          <w:highlight w:val="none"/>
        </w:rPr>
        <w:fldChar w:fldCharType="end"/>
      </w:r>
      <w:r>
        <w:rPr>
          <w:rFonts w:hint="default" w:ascii="Times New Roman" w:hAnsi="Times New Roman" w:cs="Times New Roman"/>
          <w:color w:val="auto"/>
          <w:highlight w:val="none"/>
        </w:rPr>
        <w:fldChar w:fldCharType="end"/>
      </w:r>
    </w:p>
    <w:p w14:paraId="6A48D021">
      <w:pPr>
        <w:pStyle w:val="33"/>
        <w:tabs>
          <w:tab w:val="right" w:leader="dot" w:pos="8844"/>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_Toc31432 </w:instrText>
      </w:r>
      <w:r>
        <w:rPr>
          <w:rFonts w:hint="default" w:ascii="Times New Roman" w:hAnsi="Times New Roman" w:cs="Times New Roman"/>
          <w:color w:val="auto"/>
          <w:highlight w:val="none"/>
        </w:rPr>
        <w:fldChar w:fldCharType="separate"/>
      </w:r>
      <w:r>
        <w:rPr>
          <w:rFonts w:hint="default" w:ascii="Times New Roman" w:hAnsi="Times New Roman" w:eastAsia="宋体" w:cs="宋体"/>
          <w:bCs/>
          <w:color w:val="auto"/>
          <w:szCs w:val="24"/>
          <w:highlight w:val="none"/>
          <w:lang w:val="en-US" w:eastAsia="zh-CN"/>
        </w:rPr>
        <w:t xml:space="preserve">附件5 </w:t>
      </w:r>
      <w:r>
        <w:rPr>
          <w:rFonts w:hint="default" w:ascii="Times New Roman" w:hAnsi="Times New Roman" w:cs="Times New Roman"/>
          <w:bCs/>
          <w:color w:val="auto"/>
          <w:szCs w:val="24"/>
          <w:highlight w:val="none"/>
          <w:lang w:val="en-US" w:eastAsia="zh-CN"/>
        </w:rPr>
        <w:t>环境质量现状监测报告（摘录部分）</w:t>
      </w:r>
      <w:r>
        <w:rPr>
          <w:color w:val="auto"/>
          <w:highlight w:val="none"/>
        </w:rPr>
        <w:tab/>
      </w:r>
      <w:r>
        <w:rPr>
          <w:color w:val="auto"/>
          <w:highlight w:val="none"/>
        </w:rPr>
        <w:fldChar w:fldCharType="begin"/>
      </w:r>
      <w:r>
        <w:rPr>
          <w:color w:val="auto"/>
          <w:highlight w:val="none"/>
        </w:rPr>
        <w:instrText xml:space="preserve"> PAGEREF _Toc31432 \h </w:instrText>
      </w:r>
      <w:r>
        <w:rPr>
          <w:color w:val="auto"/>
          <w:highlight w:val="none"/>
        </w:rPr>
        <w:fldChar w:fldCharType="separate"/>
      </w:r>
      <w:r>
        <w:rPr>
          <w:color w:val="auto"/>
          <w:highlight w:val="none"/>
        </w:rPr>
        <w:t>151</w:t>
      </w:r>
      <w:r>
        <w:rPr>
          <w:color w:val="auto"/>
          <w:highlight w:val="none"/>
        </w:rPr>
        <w:fldChar w:fldCharType="end"/>
      </w:r>
      <w:r>
        <w:rPr>
          <w:rFonts w:hint="default" w:ascii="Times New Roman" w:hAnsi="Times New Roman" w:cs="Times New Roman"/>
          <w:color w:val="auto"/>
          <w:highlight w:val="none"/>
        </w:rPr>
        <w:fldChar w:fldCharType="end"/>
      </w:r>
    </w:p>
    <w:p w14:paraId="1DBD69FC">
      <w:pPr>
        <w:pStyle w:val="33"/>
        <w:tabs>
          <w:tab w:val="right" w:leader="dot" w:pos="8844"/>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_Toc15368 </w:instrText>
      </w:r>
      <w:r>
        <w:rPr>
          <w:rFonts w:hint="default" w:ascii="Times New Roman" w:hAnsi="Times New Roman" w:cs="Times New Roman"/>
          <w:color w:val="auto"/>
          <w:highlight w:val="none"/>
        </w:rPr>
        <w:fldChar w:fldCharType="separate"/>
      </w:r>
      <w:r>
        <w:rPr>
          <w:rFonts w:hint="default" w:ascii="Times New Roman" w:hAnsi="Times New Roman" w:eastAsia="宋体" w:cs="宋体"/>
          <w:bCs/>
          <w:color w:val="auto"/>
          <w:szCs w:val="24"/>
          <w:highlight w:val="none"/>
          <w:lang w:val="en-US" w:eastAsia="zh-CN"/>
        </w:rPr>
        <w:t xml:space="preserve">附件6 </w:t>
      </w:r>
      <w:r>
        <w:rPr>
          <w:rFonts w:hint="eastAsia" w:cs="Times New Roman"/>
          <w:bCs/>
          <w:color w:val="auto"/>
          <w:szCs w:val="24"/>
          <w:highlight w:val="none"/>
          <w:lang w:val="en-US" w:eastAsia="zh-CN"/>
        </w:rPr>
        <w:t>原辅料MSDS</w:t>
      </w:r>
      <w:r>
        <w:rPr>
          <w:color w:val="auto"/>
          <w:highlight w:val="none"/>
        </w:rPr>
        <w:tab/>
      </w:r>
      <w:r>
        <w:rPr>
          <w:color w:val="auto"/>
          <w:highlight w:val="none"/>
        </w:rPr>
        <w:fldChar w:fldCharType="begin"/>
      </w:r>
      <w:r>
        <w:rPr>
          <w:color w:val="auto"/>
          <w:highlight w:val="none"/>
        </w:rPr>
        <w:instrText xml:space="preserve"> PAGEREF _Toc15368 \h </w:instrText>
      </w:r>
      <w:r>
        <w:rPr>
          <w:color w:val="auto"/>
          <w:highlight w:val="none"/>
        </w:rPr>
        <w:fldChar w:fldCharType="separate"/>
      </w:r>
      <w:r>
        <w:rPr>
          <w:color w:val="auto"/>
          <w:highlight w:val="none"/>
        </w:rPr>
        <w:t>158</w:t>
      </w:r>
      <w:r>
        <w:rPr>
          <w:color w:val="auto"/>
          <w:highlight w:val="none"/>
        </w:rPr>
        <w:fldChar w:fldCharType="end"/>
      </w:r>
      <w:r>
        <w:rPr>
          <w:rFonts w:hint="default" w:ascii="Times New Roman" w:hAnsi="Times New Roman" w:cs="Times New Roman"/>
          <w:color w:val="auto"/>
          <w:highlight w:val="none"/>
        </w:rPr>
        <w:fldChar w:fldCharType="end"/>
      </w:r>
    </w:p>
    <w:p w14:paraId="0B3B979B">
      <w:pPr>
        <w:pStyle w:val="33"/>
        <w:tabs>
          <w:tab w:val="right" w:leader="dot" w:pos="8844"/>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_Toc10784 </w:instrText>
      </w:r>
      <w:r>
        <w:rPr>
          <w:rFonts w:hint="default" w:ascii="Times New Roman" w:hAnsi="Times New Roman" w:cs="Times New Roman"/>
          <w:color w:val="auto"/>
          <w:highlight w:val="none"/>
        </w:rPr>
        <w:fldChar w:fldCharType="separate"/>
      </w:r>
      <w:r>
        <w:rPr>
          <w:rFonts w:hint="default" w:ascii="Times New Roman" w:hAnsi="Times New Roman" w:eastAsia="宋体" w:cs="宋体"/>
          <w:bCs/>
          <w:color w:val="auto"/>
          <w:szCs w:val="24"/>
          <w:highlight w:val="none"/>
          <w:lang w:val="en-US" w:eastAsia="zh-CN"/>
        </w:rPr>
        <w:t xml:space="preserve">附件7 </w:t>
      </w:r>
      <w:r>
        <w:rPr>
          <w:rFonts w:hint="eastAsia" w:cs="Times New Roman"/>
          <w:bCs/>
          <w:color w:val="auto"/>
          <w:szCs w:val="24"/>
          <w:highlight w:val="none"/>
          <w:lang w:val="en-US" w:eastAsia="zh-CN"/>
        </w:rPr>
        <w:t>VOC检测报告</w:t>
      </w:r>
      <w:r>
        <w:rPr>
          <w:color w:val="auto"/>
          <w:highlight w:val="none"/>
        </w:rPr>
        <w:tab/>
      </w:r>
      <w:r>
        <w:rPr>
          <w:color w:val="auto"/>
          <w:highlight w:val="none"/>
        </w:rPr>
        <w:fldChar w:fldCharType="begin"/>
      </w:r>
      <w:r>
        <w:rPr>
          <w:color w:val="auto"/>
          <w:highlight w:val="none"/>
        </w:rPr>
        <w:instrText xml:space="preserve"> PAGEREF _Toc10784 \h </w:instrText>
      </w:r>
      <w:r>
        <w:rPr>
          <w:color w:val="auto"/>
          <w:highlight w:val="none"/>
        </w:rPr>
        <w:fldChar w:fldCharType="separate"/>
      </w:r>
      <w:r>
        <w:rPr>
          <w:color w:val="auto"/>
          <w:highlight w:val="none"/>
        </w:rPr>
        <w:t>200</w:t>
      </w:r>
      <w:r>
        <w:rPr>
          <w:color w:val="auto"/>
          <w:highlight w:val="none"/>
        </w:rPr>
        <w:fldChar w:fldCharType="end"/>
      </w:r>
      <w:r>
        <w:rPr>
          <w:rFonts w:hint="default" w:ascii="Times New Roman" w:hAnsi="Times New Roman" w:cs="Times New Roman"/>
          <w:color w:val="auto"/>
          <w:highlight w:val="none"/>
        </w:rPr>
        <w:fldChar w:fldCharType="end"/>
      </w:r>
    </w:p>
    <w:p w14:paraId="4609B0BA">
      <w:pPr>
        <w:pStyle w:val="33"/>
        <w:tabs>
          <w:tab w:val="right" w:leader="dot" w:pos="8844"/>
        </w:tabs>
        <w:rPr>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_Toc10638 </w:instrText>
      </w:r>
      <w:r>
        <w:rPr>
          <w:rFonts w:hint="default" w:ascii="Times New Roman" w:hAnsi="Times New Roman" w:cs="Times New Roman"/>
          <w:color w:val="auto"/>
          <w:highlight w:val="none"/>
        </w:rPr>
        <w:fldChar w:fldCharType="separate"/>
      </w:r>
      <w:r>
        <w:rPr>
          <w:rFonts w:hint="default" w:ascii="Times New Roman" w:hAnsi="Times New Roman" w:eastAsia="宋体" w:cs="宋体"/>
          <w:bCs/>
          <w:color w:val="auto"/>
          <w:szCs w:val="24"/>
          <w:highlight w:val="none"/>
          <w:lang w:val="en-US" w:eastAsia="zh-CN"/>
        </w:rPr>
        <w:t xml:space="preserve">附件8 </w:t>
      </w:r>
      <w:r>
        <w:rPr>
          <w:rFonts w:hint="eastAsia" w:cs="Times New Roman"/>
          <w:bCs/>
          <w:color w:val="auto"/>
          <w:szCs w:val="24"/>
          <w:highlight w:val="none"/>
          <w:lang w:val="en-US" w:eastAsia="zh-CN"/>
        </w:rPr>
        <w:t>废水接纳协议</w:t>
      </w:r>
      <w:r>
        <w:rPr>
          <w:color w:val="auto"/>
          <w:highlight w:val="none"/>
        </w:rPr>
        <w:tab/>
      </w:r>
      <w:r>
        <w:rPr>
          <w:color w:val="auto"/>
          <w:highlight w:val="none"/>
        </w:rPr>
        <w:fldChar w:fldCharType="begin"/>
      </w:r>
      <w:r>
        <w:rPr>
          <w:color w:val="auto"/>
          <w:highlight w:val="none"/>
        </w:rPr>
        <w:instrText xml:space="preserve"> PAGEREF _Toc10638 \h </w:instrText>
      </w:r>
      <w:r>
        <w:rPr>
          <w:color w:val="auto"/>
          <w:highlight w:val="none"/>
        </w:rPr>
        <w:fldChar w:fldCharType="separate"/>
      </w:r>
      <w:r>
        <w:rPr>
          <w:color w:val="auto"/>
          <w:highlight w:val="none"/>
        </w:rPr>
        <w:t>216</w:t>
      </w:r>
      <w:r>
        <w:rPr>
          <w:color w:val="auto"/>
          <w:highlight w:val="none"/>
        </w:rPr>
        <w:fldChar w:fldCharType="end"/>
      </w:r>
      <w:r>
        <w:rPr>
          <w:rFonts w:hint="default" w:ascii="Times New Roman" w:hAnsi="Times New Roman" w:cs="Times New Roman"/>
          <w:color w:val="auto"/>
          <w:highlight w:val="none"/>
        </w:rPr>
        <w:fldChar w:fldCharType="end"/>
      </w:r>
    </w:p>
    <w:p w14:paraId="2CF5F986">
      <w:pPr>
        <w:pageBreakBefore w:val="0"/>
        <w:wordWrap w:val="0"/>
        <w:overflowPunct/>
        <w:bidi w:val="0"/>
        <w:spacing w:line="240" w:lineRule="auto"/>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end"/>
      </w:r>
    </w:p>
    <w:p w14:paraId="22DC9297">
      <w:pPr>
        <w:pageBreakBefore w:val="0"/>
        <w:wordWrap w:val="0"/>
        <w:overflowPunct/>
        <w:bidi w:val="0"/>
        <w:rPr>
          <w:rFonts w:hint="default" w:ascii="Times New Roman" w:hAnsi="Times New Roman" w:cs="Times New Roman"/>
          <w:color w:val="auto"/>
          <w:highlight w:val="none"/>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upperRoman" w:start="1"/>
          <w:cols w:space="0" w:num="1"/>
          <w:docGrid w:linePitch="312" w:charSpace="0"/>
        </w:sectPr>
      </w:pPr>
    </w:p>
    <w:p w14:paraId="3F4F7197">
      <w:pPr>
        <w:pStyle w:val="7"/>
        <w:pageBreakBefore w:val="0"/>
        <w:numPr>
          <w:ilvl w:val="0"/>
          <w:numId w:val="0"/>
        </w:numPr>
        <w:wordWrap w:val="0"/>
        <w:overflowPunct/>
        <w:bidi w:val="0"/>
        <w:rPr>
          <w:rFonts w:hint="default" w:ascii="Times New Roman" w:hAnsi="Times New Roman" w:cs="Times New Roman"/>
          <w:color w:val="auto"/>
          <w:highlight w:val="none"/>
        </w:rPr>
      </w:pPr>
      <w:bookmarkStart w:id="3" w:name="_Toc15059"/>
      <w:bookmarkStart w:id="4" w:name="_Toc26935"/>
      <w:r>
        <w:rPr>
          <w:rFonts w:hint="default" w:ascii="Times New Roman" w:hAnsi="Times New Roman" w:cs="Times New Roman"/>
          <w:color w:val="auto"/>
          <w:highlight w:val="none"/>
        </w:rPr>
        <w:t>一、建设项目基本情况</w:t>
      </w:r>
      <w:bookmarkEnd w:id="3"/>
      <w:bookmarkEnd w:id="4"/>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486"/>
        <w:gridCol w:w="1808"/>
        <w:gridCol w:w="502"/>
        <w:gridCol w:w="1146"/>
        <w:gridCol w:w="967"/>
        <w:gridCol w:w="2163"/>
      </w:tblGrid>
      <w:tr w14:paraId="4ED72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38" w:type="pct"/>
            <w:gridSpan w:val="2"/>
            <w:vAlign w:val="center"/>
          </w:tcPr>
          <w:p w14:paraId="4C4B17DA">
            <w:pPr>
              <w:pStyle w:val="61"/>
              <w:pageBreakBefore w:val="0"/>
              <w:wordWrap w:val="0"/>
              <w:overflowPunct/>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建设项目名称</w:t>
            </w:r>
          </w:p>
        </w:tc>
        <w:tc>
          <w:tcPr>
            <w:tcW w:w="3861" w:type="pct"/>
            <w:gridSpan w:val="5"/>
            <w:vAlign w:val="center"/>
          </w:tcPr>
          <w:p w14:paraId="5690585A">
            <w:pPr>
              <w:keepNext w:val="0"/>
              <w:keepLines w:val="0"/>
              <w:pageBreakBefore w:val="0"/>
              <w:kinsoku/>
              <w:wordWrap w:val="0"/>
              <w:overflowPunct/>
              <w:topLinePunct w:val="0"/>
              <w:bidi w:val="0"/>
              <w:adjustRightInd/>
              <w:snapToGrid/>
              <w:jc w:val="center"/>
              <w:outlineLvl w:val="9"/>
              <w:rPr>
                <w:rFonts w:hint="default" w:ascii="Times New Roman" w:hAnsi="Times New Roman" w:cs="Times New Roman"/>
                <w:color w:val="auto"/>
                <w:highlight w:val="none"/>
              </w:rPr>
            </w:pPr>
            <w:r>
              <w:rPr>
                <w:rFonts w:hint="eastAsia" w:cs="Times New Roman"/>
                <w:color w:val="auto"/>
                <w:highlight w:val="none"/>
                <w:lang w:val="en-US" w:eastAsia="zh-CN"/>
              </w:rPr>
              <w:t>乐昌市拓芯安五金精密项目</w:t>
            </w:r>
          </w:p>
        </w:tc>
      </w:tr>
      <w:tr w14:paraId="4F020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38" w:type="pct"/>
            <w:gridSpan w:val="2"/>
            <w:vAlign w:val="center"/>
          </w:tcPr>
          <w:p w14:paraId="5BA1605C">
            <w:pPr>
              <w:pStyle w:val="61"/>
              <w:pageBreakBefore w:val="0"/>
              <w:wordWrap w:val="0"/>
              <w:overflowPunct/>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项目代码</w:t>
            </w:r>
          </w:p>
        </w:tc>
        <w:tc>
          <w:tcPr>
            <w:tcW w:w="3861" w:type="pct"/>
            <w:gridSpan w:val="5"/>
            <w:vAlign w:val="center"/>
          </w:tcPr>
          <w:p w14:paraId="08847FB0">
            <w:pPr>
              <w:pStyle w:val="61"/>
              <w:keepNext w:val="0"/>
              <w:keepLines w:val="0"/>
              <w:pageBreakBefore w:val="0"/>
              <w:kinsoku/>
              <w:wordWrap w:val="0"/>
              <w:overflowPunct/>
              <w:topLinePunct w:val="0"/>
              <w:bidi w:val="0"/>
              <w:adjustRightInd/>
              <w:snapToGrid/>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2602-440281-04-01-572044</w:t>
            </w:r>
          </w:p>
        </w:tc>
      </w:tr>
      <w:tr w14:paraId="5CEB3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38" w:type="pct"/>
            <w:gridSpan w:val="2"/>
            <w:vAlign w:val="center"/>
          </w:tcPr>
          <w:p w14:paraId="7BF988F2">
            <w:pPr>
              <w:pStyle w:val="61"/>
              <w:pageBreakBefore w:val="0"/>
              <w:wordWrap w:val="0"/>
              <w:overflowPunct/>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建设单位联系人</w:t>
            </w:r>
          </w:p>
        </w:tc>
        <w:tc>
          <w:tcPr>
            <w:tcW w:w="1354" w:type="pct"/>
            <w:gridSpan w:val="2"/>
            <w:vAlign w:val="center"/>
          </w:tcPr>
          <w:p w14:paraId="6F9144ED">
            <w:pPr>
              <w:pStyle w:val="61"/>
              <w:keepNext w:val="0"/>
              <w:keepLines w:val="0"/>
              <w:pageBreakBefore w:val="0"/>
              <w:kinsoku/>
              <w:wordWrap w:val="0"/>
              <w:overflowPunct/>
              <w:topLinePunct w:val="0"/>
              <w:bidi w:val="0"/>
              <w:adjustRightInd/>
              <w:snapToGrid/>
              <w:outlineLvl w:val="9"/>
              <w:rPr>
                <w:rFonts w:hint="default" w:ascii="Times New Roman" w:hAnsi="Times New Roman" w:eastAsia="宋体" w:cs="Times New Roman"/>
                <w:color w:val="auto"/>
                <w:sz w:val="24"/>
                <w:szCs w:val="24"/>
                <w:highlight w:val="none"/>
                <w:lang w:val="en-US" w:eastAsia="zh-CN"/>
              </w:rPr>
            </w:pPr>
          </w:p>
        </w:tc>
        <w:tc>
          <w:tcPr>
            <w:tcW w:w="1239" w:type="pct"/>
            <w:gridSpan w:val="2"/>
            <w:vAlign w:val="center"/>
          </w:tcPr>
          <w:p w14:paraId="0BA6DA6F">
            <w:pPr>
              <w:pStyle w:val="61"/>
              <w:keepNext w:val="0"/>
              <w:keepLines w:val="0"/>
              <w:pageBreakBefore w:val="0"/>
              <w:kinsoku/>
              <w:wordWrap w:val="0"/>
              <w:overflowPunct/>
              <w:topLinePunct w:val="0"/>
              <w:bidi w:val="0"/>
              <w:adjustRightInd/>
              <w:snapToGrid/>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联系方式</w:t>
            </w:r>
          </w:p>
        </w:tc>
        <w:tc>
          <w:tcPr>
            <w:tcW w:w="1267" w:type="pct"/>
            <w:vAlign w:val="center"/>
          </w:tcPr>
          <w:p w14:paraId="070B21B8">
            <w:pPr>
              <w:pStyle w:val="61"/>
              <w:keepNext w:val="0"/>
              <w:keepLines w:val="0"/>
              <w:pageBreakBefore w:val="0"/>
              <w:kinsoku/>
              <w:wordWrap w:val="0"/>
              <w:overflowPunct/>
              <w:topLinePunct w:val="0"/>
              <w:bidi w:val="0"/>
              <w:adjustRightInd/>
              <w:snapToGrid/>
              <w:outlineLvl w:val="9"/>
              <w:rPr>
                <w:rFonts w:hint="default" w:ascii="Times New Roman" w:hAnsi="Times New Roman" w:eastAsia="宋体" w:cs="Times New Roman"/>
                <w:color w:val="auto"/>
                <w:sz w:val="24"/>
                <w:szCs w:val="24"/>
                <w:highlight w:val="none"/>
                <w:lang w:val="en-US" w:eastAsia="zh-CN"/>
              </w:rPr>
            </w:pPr>
          </w:p>
        </w:tc>
      </w:tr>
      <w:tr w14:paraId="10653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38" w:type="pct"/>
            <w:gridSpan w:val="2"/>
            <w:vAlign w:val="center"/>
          </w:tcPr>
          <w:p w14:paraId="2862E889">
            <w:pPr>
              <w:pStyle w:val="61"/>
              <w:pageBreakBefore w:val="0"/>
              <w:wordWrap w:val="0"/>
              <w:overflowPunct/>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建设地点</w:t>
            </w:r>
          </w:p>
        </w:tc>
        <w:tc>
          <w:tcPr>
            <w:tcW w:w="3861" w:type="pct"/>
            <w:gridSpan w:val="5"/>
            <w:vAlign w:val="center"/>
          </w:tcPr>
          <w:p w14:paraId="59757F7C">
            <w:pPr>
              <w:keepNext w:val="0"/>
              <w:keepLines w:val="0"/>
              <w:pageBreakBefore w:val="0"/>
              <w:widowControl/>
              <w:kinsoku/>
              <w:wordWrap w:val="0"/>
              <w:overflowPunct/>
              <w:topLinePunct w:val="0"/>
              <w:bidi w:val="0"/>
              <w:adjustRightInd/>
              <w:snapToGrid/>
              <w:jc w:val="center"/>
              <w:outlineLvl w:val="9"/>
              <w:rPr>
                <w:rFonts w:hint="default" w:ascii="Times New Roman" w:hAnsi="Times New Roman" w:cs="Times New Roman"/>
                <w:color w:val="auto"/>
                <w:highlight w:val="none"/>
              </w:rPr>
            </w:pPr>
            <w:r>
              <w:rPr>
                <w:rFonts w:hint="eastAsia" w:cs="Times New Roman"/>
                <w:color w:val="auto"/>
                <w:highlight w:val="none"/>
                <w:lang w:val="en-US" w:eastAsia="zh-CN"/>
              </w:rPr>
              <w:t>韶关市乐昌市乐昌产业转移工业园乐园大道33号（1号厂房）</w:t>
            </w:r>
          </w:p>
        </w:tc>
      </w:tr>
      <w:tr w14:paraId="61D32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38" w:type="pct"/>
            <w:gridSpan w:val="2"/>
            <w:vAlign w:val="center"/>
          </w:tcPr>
          <w:p w14:paraId="75826459">
            <w:pPr>
              <w:pStyle w:val="61"/>
              <w:pageBreakBefore w:val="0"/>
              <w:wordWrap w:val="0"/>
              <w:overflowPunct/>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地理坐标</w:t>
            </w:r>
          </w:p>
        </w:tc>
        <w:tc>
          <w:tcPr>
            <w:tcW w:w="3861" w:type="pct"/>
            <w:gridSpan w:val="5"/>
            <w:vAlign w:val="center"/>
          </w:tcPr>
          <w:p w14:paraId="3F40CC7E">
            <w:pPr>
              <w:pStyle w:val="61"/>
              <w:keepNext w:val="0"/>
              <w:keepLines w:val="0"/>
              <w:pageBreakBefore w:val="0"/>
              <w:kinsoku/>
              <w:wordWrap w:val="0"/>
              <w:overflowPunct/>
              <w:topLinePunct w:val="0"/>
              <w:bidi w:val="0"/>
              <w:adjustRightInd/>
              <w:snapToGrid/>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E113°24′14.355″</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N25°9′7.786″</w:t>
            </w:r>
          </w:p>
        </w:tc>
      </w:tr>
      <w:tr w14:paraId="3F9A1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138" w:type="pct"/>
            <w:gridSpan w:val="2"/>
            <w:vAlign w:val="center"/>
          </w:tcPr>
          <w:p w14:paraId="2F4F2893">
            <w:pPr>
              <w:pStyle w:val="61"/>
              <w:pageBreakBefore w:val="0"/>
              <w:wordWrap w:val="0"/>
              <w:overflowPunct/>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国民经济</w:t>
            </w:r>
          </w:p>
          <w:p w14:paraId="7B56DE60">
            <w:pPr>
              <w:pStyle w:val="61"/>
              <w:pageBreakBefore w:val="0"/>
              <w:wordWrap w:val="0"/>
              <w:overflowPunct/>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行业类别</w:t>
            </w:r>
          </w:p>
        </w:tc>
        <w:tc>
          <w:tcPr>
            <w:tcW w:w="1060" w:type="pct"/>
            <w:vAlign w:val="center"/>
          </w:tcPr>
          <w:p w14:paraId="162C7F7F">
            <w:pPr>
              <w:pStyle w:val="61"/>
              <w:keepNext w:val="0"/>
              <w:keepLines w:val="0"/>
              <w:pageBreakBefore w:val="0"/>
              <w:kinsoku/>
              <w:wordWrap w:val="0"/>
              <w:overflowPunct/>
              <w:topLinePunct w:val="0"/>
              <w:bidi w:val="0"/>
              <w:adjustRightInd/>
              <w:snapToGrid/>
              <w:outlineLvl w:val="9"/>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rPr>
              <w:t>C3</w:t>
            </w:r>
            <w:r>
              <w:rPr>
                <w:rFonts w:hint="eastAsia" w:cs="Times New Roman"/>
                <w:color w:val="auto"/>
                <w:sz w:val="24"/>
                <w:szCs w:val="24"/>
                <w:highlight w:val="none"/>
                <w:lang w:val="en-US" w:eastAsia="zh-CN"/>
              </w:rPr>
              <w:t>311</w:t>
            </w:r>
            <w:r>
              <w:rPr>
                <w:rFonts w:hint="default" w:ascii="Times New Roman" w:hAnsi="Times New Roman" w:cs="Times New Roman"/>
                <w:color w:val="auto"/>
                <w:sz w:val="24"/>
                <w:szCs w:val="24"/>
                <w:highlight w:val="none"/>
              </w:rPr>
              <w:t xml:space="preserve"> </w:t>
            </w:r>
            <w:r>
              <w:rPr>
                <w:rFonts w:hint="eastAsia" w:cs="Times New Roman"/>
                <w:color w:val="auto"/>
                <w:sz w:val="24"/>
                <w:szCs w:val="24"/>
                <w:highlight w:val="none"/>
                <w:lang w:val="en-US" w:eastAsia="zh-CN"/>
              </w:rPr>
              <w:t>金属结构制造</w:t>
            </w:r>
          </w:p>
        </w:tc>
        <w:tc>
          <w:tcPr>
            <w:tcW w:w="966" w:type="pct"/>
            <w:gridSpan w:val="2"/>
            <w:vAlign w:val="center"/>
          </w:tcPr>
          <w:p w14:paraId="6278A7D0">
            <w:pPr>
              <w:pStyle w:val="61"/>
              <w:keepNext w:val="0"/>
              <w:keepLines w:val="0"/>
              <w:pageBreakBefore w:val="0"/>
              <w:kinsoku/>
              <w:wordWrap w:val="0"/>
              <w:overflowPunct/>
              <w:topLinePunct w:val="0"/>
              <w:bidi w:val="0"/>
              <w:adjustRightInd/>
              <w:snapToGrid/>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w:t>
            </w:r>
          </w:p>
          <w:p w14:paraId="560FFA77">
            <w:pPr>
              <w:pStyle w:val="61"/>
              <w:keepNext w:val="0"/>
              <w:keepLines w:val="0"/>
              <w:pageBreakBefore w:val="0"/>
              <w:kinsoku/>
              <w:wordWrap w:val="0"/>
              <w:overflowPunct/>
              <w:topLinePunct w:val="0"/>
              <w:bidi w:val="0"/>
              <w:adjustRightInd/>
              <w:snapToGrid/>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行业类别</w:t>
            </w:r>
          </w:p>
        </w:tc>
        <w:tc>
          <w:tcPr>
            <w:tcW w:w="1834" w:type="pct"/>
            <w:gridSpan w:val="2"/>
            <w:vAlign w:val="center"/>
          </w:tcPr>
          <w:p w14:paraId="12961743">
            <w:pPr>
              <w:pStyle w:val="61"/>
              <w:keepNext w:val="0"/>
              <w:keepLines w:val="0"/>
              <w:pageBreakBefore w:val="0"/>
              <w:kinsoku/>
              <w:wordWrap w:val="0"/>
              <w:overflowPunct/>
              <w:topLinePunct w:val="0"/>
              <w:bidi w:val="0"/>
              <w:adjustRightInd/>
              <w:snapToGrid/>
              <w:spacing w:line="240" w:lineRule="auto"/>
              <w:outlineLvl w:val="9"/>
              <w:rPr>
                <w:rFonts w:hint="default" w:ascii="Times New Roman" w:hAnsi="Times New Roman" w:eastAsia="宋体" w:cs="Times New Roman"/>
                <w:color w:val="auto"/>
                <w:sz w:val="24"/>
                <w:szCs w:val="24"/>
                <w:highlight w:val="none"/>
                <w:lang w:val="en-US" w:eastAsia="zh-CN"/>
              </w:rPr>
            </w:pPr>
            <w:r>
              <w:rPr>
                <w:rFonts w:hint="eastAsia"/>
                <w:color w:val="auto"/>
                <w:sz w:val="24"/>
                <w:szCs w:val="24"/>
                <w:highlight w:val="none"/>
              </w:rPr>
              <w:t>三十、</w:t>
            </w:r>
            <w:r>
              <w:rPr>
                <w:rFonts w:hint="eastAsia"/>
                <w:color w:val="auto"/>
                <w:sz w:val="24"/>
                <w:szCs w:val="24"/>
                <w:highlight w:val="none"/>
                <w:lang w:val="en-US" w:eastAsia="zh-CN"/>
              </w:rPr>
              <w:t>金属制品</w:t>
            </w:r>
            <w:r>
              <w:rPr>
                <w:rFonts w:hint="eastAsia"/>
                <w:color w:val="auto"/>
                <w:sz w:val="24"/>
                <w:szCs w:val="24"/>
                <w:highlight w:val="none"/>
              </w:rPr>
              <w:t>业</w:t>
            </w:r>
            <w:r>
              <w:rPr>
                <w:rFonts w:hint="eastAsia"/>
                <w:color w:val="auto"/>
                <w:sz w:val="24"/>
                <w:szCs w:val="24"/>
                <w:highlight w:val="none"/>
                <w:lang w:val="en-US" w:eastAsia="zh-CN"/>
              </w:rPr>
              <w:t>33-66.结构性金属制品制造331其他（仅分割、焊接、组装的除外；年用非溶剂型低 VOCs含量涂料 10 吨以下的除外）</w:t>
            </w:r>
          </w:p>
        </w:tc>
      </w:tr>
      <w:tr w14:paraId="66DCB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jc w:val="center"/>
        </w:trPr>
        <w:tc>
          <w:tcPr>
            <w:tcW w:w="1138" w:type="pct"/>
            <w:gridSpan w:val="2"/>
            <w:vAlign w:val="center"/>
          </w:tcPr>
          <w:p w14:paraId="63886822">
            <w:pPr>
              <w:pStyle w:val="61"/>
              <w:pageBreakBefore w:val="0"/>
              <w:wordWrap w:val="0"/>
              <w:overflowPunct/>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建设性质</w:t>
            </w:r>
          </w:p>
        </w:tc>
        <w:tc>
          <w:tcPr>
            <w:tcW w:w="1060" w:type="pct"/>
            <w:vAlign w:val="center"/>
          </w:tcPr>
          <w:p w14:paraId="502440C4">
            <w:pPr>
              <w:keepNext w:val="0"/>
              <w:keepLines w:val="0"/>
              <w:pageBreakBefore w:val="0"/>
              <w:kinsoku/>
              <w:wordWrap w:val="0"/>
              <w:overflowPunct/>
              <w:topLinePunct w:val="0"/>
              <w:bidi w:val="0"/>
              <w:adjustRightInd/>
              <w:snapToGrid/>
              <w:spacing w:line="240" w:lineRule="auto"/>
              <w:jc w:val="left"/>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w:char="00FE"/>
            </w:r>
            <w:r>
              <w:rPr>
                <w:rFonts w:hint="default" w:ascii="Times New Roman" w:hAnsi="Times New Roman" w:cs="Times New Roman"/>
                <w:color w:val="auto"/>
                <w:highlight w:val="none"/>
              </w:rPr>
              <w:t>新建（迁建）</w:t>
            </w:r>
          </w:p>
          <w:p w14:paraId="2D50FFA9">
            <w:pPr>
              <w:keepNext w:val="0"/>
              <w:keepLines w:val="0"/>
              <w:pageBreakBefore w:val="0"/>
              <w:kinsoku/>
              <w:wordWrap w:val="0"/>
              <w:overflowPunct/>
              <w:topLinePunct w:val="0"/>
              <w:bidi w:val="0"/>
              <w:adjustRightInd/>
              <w:snapToGrid/>
              <w:spacing w:line="240" w:lineRule="auto"/>
              <w:jc w:val="left"/>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w:char="00A8"/>
            </w:r>
            <w:r>
              <w:rPr>
                <w:rFonts w:hint="default" w:ascii="Times New Roman" w:hAnsi="Times New Roman" w:cs="Times New Roman"/>
                <w:color w:val="auto"/>
                <w:highlight w:val="none"/>
              </w:rPr>
              <w:t>改建</w:t>
            </w:r>
          </w:p>
          <w:p w14:paraId="227753EB">
            <w:pPr>
              <w:keepNext w:val="0"/>
              <w:keepLines w:val="0"/>
              <w:pageBreakBefore w:val="0"/>
              <w:kinsoku/>
              <w:wordWrap w:val="0"/>
              <w:overflowPunct/>
              <w:topLinePunct w:val="0"/>
              <w:bidi w:val="0"/>
              <w:adjustRightInd/>
              <w:snapToGrid/>
              <w:spacing w:line="240" w:lineRule="auto"/>
              <w:jc w:val="left"/>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w:char="00A8"/>
            </w:r>
            <w:r>
              <w:rPr>
                <w:rFonts w:hint="default" w:ascii="Times New Roman" w:hAnsi="Times New Roman" w:cs="Times New Roman"/>
                <w:color w:val="auto"/>
                <w:highlight w:val="none"/>
              </w:rPr>
              <w:t>扩建</w:t>
            </w:r>
          </w:p>
          <w:p w14:paraId="23639911">
            <w:pPr>
              <w:keepNext w:val="0"/>
              <w:keepLines w:val="0"/>
              <w:pageBreakBefore w:val="0"/>
              <w:kinsoku/>
              <w:wordWrap w:val="0"/>
              <w:overflowPunct/>
              <w:topLinePunct w:val="0"/>
              <w:bidi w:val="0"/>
              <w:adjustRightInd/>
              <w:snapToGrid/>
              <w:spacing w:line="240" w:lineRule="auto"/>
              <w:jc w:val="left"/>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w:char="00A8"/>
            </w:r>
            <w:r>
              <w:rPr>
                <w:rFonts w:hint="default" w:ascii="Times New Roman" w:hAnsi="Times New Roman" w:cs="Times New Roman"/>
                <w:color w:val="auto"/>
                <w:highlight w:val="none"/>
              </w:rPr>
              <w:t>技术改造</w:t>
            </w:r>
          </w:p>
        </w:tc>
        <w:tc>
          <w:tcPr>
            <w:tcW w:w="966" w:type="pct"/>
            <w:gridSpan w:val="2"/>
            <w:vAlign w:val="center"/>
          </w:tcPr>
          <w:p w14:paraId="2636F2AE">
            <w:pPr>
              <w:pStyle w:val="61"/>
              <w:keepNext w:val="0"/>
              <w:keepLines w:val="0"/>
              <w:pageBreakBefore w:val="0"/>
              <w:kinsoku/>
              <w:wordWrap w:val="0"/>
              <w:overflowPunct/>
              <w:topLinePunct w:val="0"/>
              <w:bidi w:val="0"/>
              <w:adjustRightInd/>
              <w:snapToGrid/>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w:t>
            </w:r>
          </w:p>
          <w:p w14:paraId="4D9082B1">
            <w:pPr>
              <w:pStyle w:val="61"/>
              <w:keepNext w:val="0"/>
              <w:keepLines w:val="0"/>
              <w:pageBreakBefore w:val="0"/>
              <w:kinsoku/>
              <w:wordWrap w:val="0"/>
              <w:overflowPunct/>
              <w:topLinePunct w:val="0"/>
              <w:bidi w:val="0"/>
              <w:adjustRightInd/>
              <w:snapToGrid/>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申报情形</w:t>
            </w:r>
          </w:p>
        </w:tc>
        <w:tc>
          <w:tcPr>
            <w:tcW w:w="1834" w:type="pct"/>
            <w:gridSpan w:val="2"/>
            <w:vAlign w:val="center"/>
          </w:tcPr>
          <w:p w14:paraId="4EAB4132">
            <w:pPr>
              <w:keepNext w:val="0"/>
              <w:keepLines w:val="0"/>
              <w:pageBreakBefore w:val="0"/>
              <w:kinsoku/>
              <w:wordWrap w:val="0"/>
              <w:overflowPunct/>
              <w:topLinePunct w:val="0"/>
              <w:bidi w:val="0"/>
              <w:adjustRightInd/>
              <w:snapToGrid/>
              <w:spacing w:line="240" w:lineRule="auto"/>
              <w:jc w:val="left"/>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w:char="00FE"/>
            </w:r>
            <w:r>
              <w:rPr>
                <w:rFonts w:hint="default" w:ascii="Times New Roman" w:hAnsi="Times New Roman" w:cs="Times New Roman"/>
                <w:color w:val="auto"/>
                <w:highlight w:val="none"/>
              </w:rPr>
              <w:t>首次申报项目</w:t>
            </w:r>
          </w:p>
          <w:p w14:paraId="60E5180A">
            <w:pPr>
              <w:keepNext w:val="0"/>
              <w:keepLines w:val="0"/>
              <w:pageBreakBefore w:val="0"/>
              <w:kinsoku/>
              <w:wordWrap w:val="0"/>
              <w:overflowPunct/>
              <w:topLinePunct w:val="0"/>
              <w:bidi w:val="0"/>
              <w:adjustRightInd/>
              <w:snapToGrid/>
              <w:spacing w:line="240" w:lineRule="auto"/>
              <w:jc w:val="left"/>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w:char="00A8"/>
            </w:r>
            <w:r>
              <w:rPr>
                <w:rFonts w:hint="default" w:ascii="Times New Roman" w:hAnsi="Times New Roman" w:cs="Times New Roman"/>
                <w:color w:val="auto"/>
                <w:highlight w:val="none"/>
              </w:rPr>
              <w:t>不予批准后再次申报项目</w:t>
            </w:r>
          </w:p>
          <w:p w14:paraId="6E1DCDBF">
            <w:pPr>
              <w:keepNext w:val="0"/>
              <w:keepLines w:val="0"/>
              <w:pageBreakBefore w:val="0"/>
              <w:kinsoku/>
              <w:wordWrap w:val="0"/>
              <w:overflowPunct/>
              <w:topLinePunct w:val="0"/>
              <w:bidi w:val="0"/>
              <w:adjustRightInd/>
              <w:snapToGrid/>
              <w:spacing w:line="240" w:lineRule="auto"/>
              <w:jc w:val="left"/>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w:char="00A8"/>
            </w:r>
            <w:r>
              <w:rPr>
                <w:rFonts w:hint="default" w:ascii="Times New Roman" w:hAnsi="Times New Roman" w:cs="Times New Roman"/>
                <w:color w:val="auto"/>
                <w:highlight w:val="none"/>
              </w:rPr>
              <w:t>超五年重新审核项目</w:t>
            </w:r>
          </w:p>
          <w:p w14:paraId="3822A20C">
            <w:pPr>
              <w:keepNext w:val="0"/>
              <w:keepLines w:val="0"/>
              <w:pageBreakBefore w:val="0"/>
              <w:kinsoku/>
              <w:wordWrap w:val="0"/>
              <w:overflowPunct/>
              <w:topLinePunct w:val="0"/>
              <w:bidi w:val="0"/>
              <w:adjustRightInd/>
              <w:snapToGrid/>
              <w:spacing w:line="240" w:lineRule="auto"/>
              <w:jc w:val="left"/>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w:char="00A8"/>
            </w:r>
            <w:r>
              <w:rPr>
                <w:rFonts w:hint="default" w:ascii="Times New Roman" w:hAnsi="Times New Roman" w:cs="Times New Roman"/>
                <w:color w:val="auto"/>
                <w:highlight w:val="none"/>
              </w:rPr>
              <w:t>重大变动重新报批项目</w:t>
            </w:r>
          </w:p>
        </w:tc>
      </w:tr>
      <w:tr w14:paraId="132B9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1138" w:type="pct"/>
            <w:gridSpan w:val="2"/>
            <w:vAlign w:val="center"/>
          </w:tcPr>
          <w:p w14:paraId="7662AA7C">
            <w:pPr>
              <w:pStyle w:val="61"/>
              <w:pageBreakBefore w:val="0"/>
              <w:wordWrap w:val="0"/>
              <w:overflowPunct/>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项目审批（核准/备案）部门（选填）</w:t>
            </w:r>
          </w:p>
        </w:tc>
        <w:tc>
          <w:tcPr>
            <w:tcW w:w="1060" w:type="pct"/>
            <w:vAlign w:val="center"/>
          </w:tcPr>
          <w:p w14:paraId="50852507">
            <w:pPr>
              <w:pStyle w:val="61"/>
              <w:keepNext w:val="0"/>
              <w:keepLines w:val="0"/>
              <w:pageBreakBefore w:val="0"/>
              <w:kinsoku/>
              <w:wordWrap w:val="0"/>
              <w:overflowPunct/>
              <w:topLinePunct w:val="0"/>
              <w:bidi w:val="0"/>
              <w:adjustRightInd/>
              <w:snapToGrid/>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c>
          <w:tcPr>
            <w:tcW w:w="966" w:type="pct"/>
            <w:gridSpan w:val="2"/>
            <w:vAlign w:val="center"/>
          </w:tcPr>
          <w:p w14:paraId="5EEFB578">
            <w:pPr>
              <w:pStyle w:val="61"/>
              <w:keepNext w:val="0"/>
              <w:keepLines w:val="0"/>
              <w:pageBreakBefore w:val="0"/>
              <w:kinsoku/>
              <w:wordWrap w:val="0"/>
              <w:overflowPunct/>
              <w:topLinePunct w:val="0"/>
              <w:bidi w:val="0"/>
              <w:adjustRightInd/>
              <w:snapToGrid/>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项目审批（核准/备案）文号（选填）</w:t>
            </w:r>
          </w:p>
        </w:tc>
        <w:tc>
          <w:tcPr>
            <w:tcW w:w="1834" w:type="pct"/>
            <w:gridSpan w:val="2"/>
            <w:vAlign w:val="center"/>
          </w:tcPr>
          <w:p w14:paraId="4CBB9113">
            <w:pPr>
              <w:pStyle w:val="61"/>
              <w:keepNext w:val="0"/>
              <w:keepLines w:val="0"/>
              <w:pageBreakBefore w:val="0"/>
              <w:kinsoku/>
              <w:wordWrap w:val="0"/>
              <w:overflowPunct/>
              <w:topLinePunct w:val="0"/>
              <w:bidi w:val="0"/>
              <w:adjustRightInd/>
              <w:snapToGrid/>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r>
      <w:tr w14:paraId="1C67C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138" w:type="pct"/>
            <w:gridSpan w:val="2"/>
            <w:vAlign w:val="center"/>
          </w:tcPr>
          <w:p w14:paraId="5BC605A1">
            <w:pPr>
              <w:pStyle w:val="61"/>
              <w:pageBreakBefore w:val="0"/>
              <w:wordWrap w:val="0"/>
              <w:overflowPunct/>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总投资（万元）</w:t>
            </w:r>
          </w:p>
        </w:tc>
        <w:tc>
          <w:tcPr>
            <w:tcW w:w="1060" w:type="pct"/>
            <w:vAlign w:val="center"/>
          </w:tcPr>
          <w:p w14:paraId="2C176E2E">
            <w:pPr>
              <w:pStyle w:val="61"/>
              <w:keepNext w:val="0"/>
              <w:keepLines w:val="0"/>
              <w:pageBreakBefore w:val="0"/>
              <w:kinsoku/>
              <w:wordWrap w:val="0"/>
              <w:overflowPunct/>
              <w:topLinePunct w:val="0"/>
              <w:bidi w:val="0"/>
              <w:adjustRightInd/>
              <w:snapToGrid/>
              <w:outlineLvl w:val="9"/>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650</w:t>
            </w:r>
          </w:p>
        </w:tc>
        <w:tc>
          <w:tcPr>
            <w:tcW w:w="966" w:type="pct"/>
            <w:gridSpan w:val="2"/>
            <w:vAlign w:val="center"/>
          </w:tcPr>
          <w:p w14:paraId="7D1E2603">
            <w:pPr>
              <w:pStyle w:val="61"/>
              <w:keepNext w:val="0"/>
              <w:keepLines w:val="0"/>
              <w:pageBreakBefore w:val="0"/>
              <w:kinsoku/>
              <w:wordWrap w:val="0"/>
              <w:overflowPunct/>
              <w:topLinePunct w:val="0"/>
              <w:bidi w:val="0"/>
              <w:adjustRightInd/>
              <w:snapToGrid/>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w:t>
            </w:r>
          </w:p>
          <w:p w14:paraId="1B78CA2F">
            <w:pPr>
              <w:pStyle w:val="61"/>
              <w:keepNext w:val="0"/>
              <w:keepLines w:val="0"/>
              <w:pageBreakBefore w:val="0"/>
              <w:kinsoku/>
              <w:wordWrap w:val="0"/>
              <w:overflowPunct/>
              <w:topLinePunct w:val="0"/>
              <w:bidi w:val="0"/>
              <w:adjustRightInd/>
              <w:snapToGrid/>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（万元）</w:t>
            </w:r>
          </w:p>
        </w:tc>
        <w:tc>
          <w:tcPr>
            <w:tcW w:w="1834" w:type="pct"/>
            <w:gridSpan w:val="2"/>
            <w:vAlign w:val="center"/>
          </w:tcPr>
          <w:p w14:paraId="39E85EA7">
            <w:pPr>
              <w:pStyle w:val="61"/>
              <w:keepNext w:val="0"/>
              <w:keepLines w:val="0"/>
              <w:pageBreakBefore w:val="0"/>
              <w:kinsoku/>
              <w:wordWrap w:val="0"/>
              <w:overflowPunct/>
              <w:topLinePunct w:val="0"/>
              <w:bidi w:val="0"/>
              <w:adjustRightInd/>
              <w:snapToGrid/>
              <w:outlineLvl w:val="9"/>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10</w:t>
            </w:r>
            <w:r>
              <w:rPr>
                <w:rFonts w:hint="default" w:ascii="Times New Roman" w:hAnsi="Times New Roman" w:cs="Times New Roman"/>
                <w:color w:val="auto"/>
                <w:sz w:val="24"/>
                <w:szCs w:val="24"/>
                <w:highlight w:val="none"/>
                <w:lang w:val="en-US" w:eastAsia="zh-CN"/>
              </w:rPr>
              <w:t>0</w:t>
            </w:r>
          </w:p>
        </w:tc>
      </w:tr>
      <w:tr w14:paraId="672FC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138" w:type="pct"/>
            <w:gridSpan w:val="2"/>
            <w:vAlign w:val="center"/>
          </w:tcPr>
          <w:p w14:paraId="112134DC">
            <w:pPr>
              <w:pStyle w:val="61"/>
              <w:pageBreakBefore w:val="0"/>
              <w:wordWrap w:val="0"/>
              <w:overflowPunct/>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环保投资占比（%）</w:t>
            </w:r>
          </w:p>
        </w:tc>
        <w:tc>
          <w:tcPr>
            <w:tcW w:w="1060" w:type="pct"/>
            <w:vAlign w:val="center"/>
          </w:tcPr>
          <w:p w14:paraId="2761158E">
            <w:pPr>
              <w:pStyle w:val="61"/>
              <w:keepNext w:val="0"/>
              <w:keepLines w:val="0"/>
              <w:pageBreakBefore w:val="0"/>
              <w:kinsoku/>
              <w:wordWrap w:val="0"/>
              <w:overflowPunct/>
              <w:topLinePunct w:val="0"/>
              <w:bidi w:val="0"/>
              <w:adjustRightInd/>
              <w:snapToGrid/>
              <w:outlineLvl w:val="9"/>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15.38</w:t>
            </w:r>
          </w:p>
        </w:tc>
        <w:tc>
          <w:tcPr>
            <w:tcW w:w="966" w:type="pct"/>
            <w:gridSpan w:val="2"/>
            <w:vAlign w:val="center"/>
          </w:tcPr>
          <w:p w14:paraId="62BC657F">
            <w:pPr>
              <w:pStyle w:val="61"/>
              <w:keepNext w:val="0"/>
              <w:keepLines w:val="0"/>
              <w:pageBreakBefore w:val="0"/>
              <w:kinsoku/>
              <w:wordWrap w:val="0"/>
              <w:overflowPunct/>
              <w:topLinePunct w:val="0"/>
              <w:bidi w:val="0"/>
              <w:adjustRightInd/>
              <w:snapToGrid/>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施工工期</w:t>
            </w:r>
          </w:p>
        </w:tc>
        <w:tc>
          <w:tcPr>
            <w:tcW w:w="1834" w:type="pct"/>
            <w:gridSpan w:val="2"/>
            <w:vAlign w:val="center"/>
          </w:tcPr>
          <w:p w14:paraId="6AEF5EB2">
            <w:pPr>
              <w:pStyle w:val="61"/>
              <w:keepNext w:val="0"/>
              <w:keepLines w:val="0"/>
              <w:pageBreakBefore w:val="0"/>
              <w:kinsoku/>
              <w:wordWrap w:val="0"/>
              <w:overflowPunct/>
              <w:topLinePunct w:val="0"/>
              <w:bidi w:val="0"/>
              <w:adjustRightInd/>
              <w:snapToGrid/>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个月</w:t>
            </w:r>
          </w:p>
        </w:tc>
      </w:tr>
      <w:tr w14:paraId="73485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1138" w:type="pct"/>
            <w:gridSpan w:val="2"/>
            <w:vAlign w:val="center"/>
          </w:tcPr>
          <w:p w14:paraId="2ADF5269">
            <w:pPr>
              <w:pStyle w:val="61"/>
              <w:pageBreakBefore w:val="0"/>
              <w:wordWrap w:val="0"/>
              <w:overflowPunct/>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是否开工建设</w:t>
            </w:r>
          </w:p>
        </w:tc>
        <w:tc>
          <w:tcPr>
            <w:tcW w:w="1060" w:type="pct"/>
            <w:vAlign w:val="center"/>
          </w:tcPr>
          <w:p w14:paraId="39DD6B53">
            <w:pPr>
              <w:keepNext w:val="0"/>
              <w:keepLines w:val="0"/>
              <w:pageBreakBefore w:val="0"/>
              <w:kinsoku/>
              <w:wordWrap w:val="0"/>
              <w:overflowPunct/>
              <w:topLinePunct w:val="0"/>
              <w:bidi w:val="0"/>
              <w:adjustRightInd/>
              <w:snapToGrid/>
              <w:spacing w:line="240" w:lineRule="auto"/>
              <w:jc w:val="left"/>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w:char="00FE"/>
            </w:r>
            <w:r>
              <w:rPr>
                <w:rFonts w:hint="default" w:ascii="Times New Roman" w:hAnsi="Times New Roman" w:cs="Times New Roman"/>
                <w:color w:val="auto"/>
                <w:highlight w:val="none"/>
              </w:rPr>
              <w:t>否</w:t>
            </w:r>
          </w:p>
          <w:p w14:paraId="431427DD">
            <w:pPr>
              <w:keepNext w:val="0"/>
              <w:keepLines w:val="0"/>
              <w:pageBreakBefore w:val="0"/>
              <w:kinsoku/>
              <w:wordWrap w:val="0"/>
              <w:overflowPunct/>
              <w:topLinePunct w:val="0"/>
              <w:bidi w:val="0"/>
              <w:adjustRightInd/>
              <w:snapToGrid/>
              <w:spacing w:line="240" w:lineRule="auto"/>
              <w:jc w:val="left"/>
              <w:outlineLvl w:val="9"/>
              <w:rPr>
                <w:rFonts w:hint="default" w:ascii="Times New Roman" w:hAnsi="Times New Roman" w:eastAsia="宋体" w:cs="Times New Roman"/>
                <w:color w:val="auto"/>
                <w:highlight w:val="none"/>
                <w:u w:val="single"/>
                <w:lang w:val="en-US" w:eastAsia="zh-CN"/>
              </w:rPr>
            </w:pPr>
            <w:r>
              <w:rPr>
                <w:rFonts w:hint="default" w:ascii="Times New Roman" w:hAnsi="Times New Roman" w:cs="Times New Roman"/>
                <w:color w:val="auto"/>
                <w:highlight w:val="none"/>
              </w:rPr>
              <w:sym w:font="Wingdings" w:char="00A8"/>
            </w:r>
            <w:r>
              <w:rPr>
                <w:rFonts w:hint="default" w:ascii="Times New Roman" w:hAnsi="Times New Roman" w:cs="Times New Roman"/>
                <w:color w:val="auto"/>
                <w:highlight w:val="none"/>
              </w:rPr>
              <w:t>是</w:t>
            </w:r>
            <w:r>
              <w:rPr>
                <w:rFonts w:hint="eastAsia" w:cs="Times New Roman"/>
                <w:color w:val="auto"/>
                <w:highlight w:val="none"/>
                <w:lang w:eastAsia="zh-CN"/>
              </w:rPr>
              <w:t>：</w:t>
            </w:r>
          </w:p>
        </w:tc>
        <w:tc>
          <w:tcPr>
            <w:tcW w:w="966" w:type="pct"/>
            <w:gridSpan w:val="2"/>
            <w:vAlign w:val="center"/>
          </w:tcPr>
          <w:p w14:paraId="19578331">
            <w:pPr>
              <w:pStyle w:val="61"/>
              <w:keepNext w:val="0"/>
              <w:keepLines w:val="0"/>
              <w:pageBreakBefore w:val="0"/>
              <w:kinsoku/>
              <w:wordWrap w:val="0"/>
              <w:overflowPunct/>
              <w:topLinePunct w:val="0"/>
              <w:bidi w:val="0"/>
              <w:adjustRightInd/>
              <w:snapToGrid/>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用地（用海）面积（m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p>
        </w:tc>
        <w:tc>
          <w:tcPr>
            <w:tcW w:w="1834" w:type="pct"/>
            <w:gridSpan w:val="2"/>
            <w:vAlign w:val="center"/>
          </w:tcPr>
          <w:p w14:paraId="05FCF1BA">
            <w:pPr>
              <w:pStyle w:val="61"/>
              <w:keepNext w:val="0"/>
              <w:keepLines w:val="0"/>
              <w:pageBreakBefore w:val="0"/>
              <w:kinsoku/>
              <w:wordWrap w:val="0"/>
              <w:overflowPunct/>
              <w:topLinePunct w:val="0"/>
              <w:bidi w:val="0"/>
              <w:adjustRightInd/>
              <w:snapToGrid/>
              <w:outlineLvl w:val="9"/>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5400</w:t>
            </w:r>
          </w:p>
        </w:tc>
      </w:tr>
      <w:tr w14:paraId="3FEF7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38" w:type="pct"/>
            <w:gridSpan w:val="2"/>
            <w:vAlign w:val="center"/>
          </w:tcPr>
          <w:p w14:paraId="4CC21BBD">
            <w:pPr>
              <w:pStyle w:val="61"/>
              <w:pageBreakBefore w:val="0"/>
              <w:wordWrap w:val="0"/>
              <w:overflowPunct/>
              <w:bidi w:val="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专项评价设置情况</w:t>
            </w:r>
          </w:p>
        </w:tc>
        <w:tc>
          <w:tcPr>
            <w:tcW w:w="3861" w:type="pct"/>
            <w:gridSpan w:val="5"/>
            <w:vAlign w:val="center"/>
          </w:tcPr>
          <w:p w14:paraId="6DFB55FF">
            <w:pPr>
              <w:pStyle w:val="61"/>
              <w:keepNext w:val="0"/>
              <w:keepLines w:val="0"/>
              <w:pageBreakBefore w:val="0"/>
              <w:kinsoku/>
              <w:wordWrap w:val="0"/>
              <w:overflowPunct/>
              <w:topLinePunct w:val="0"/>
              <w:bidi w:val="0"/>
              <w:adjustRightInd/>
              <w:snapToGrid/>
              <w:outlineLvl w:val="9"/>
              <w:rPr>
                <w:rFonts w:hint="default" w:ascii="Times New Roman" w:hAnsi="Times New Roman" w:eastAsia="宋体" w:cs="Times New Roman"/>
                <w:color w:val="auto"/>
                <w:sz w:val="24"/>
                <w:szCs w:val="22"/>
                <w:highlight w:val="none"/>
                <w:lang w:val="en-US" w:eastAsia="zh-CN"/>
              </w:rPr>
            </w:pPr>
            <w:r>
              <w:rPr>
                <w:rFonts w:hint="default" w:ascii="Times New Roman" w:hAnsi="Times New Roman" w:cs="Times New Roman"/>
                <w:color w:val="auto"/>
                <w:sz w:val="24"/>
                <w:szCs w:val="22"/>
                <w:highlight w:val="none"/>
                <w:lang w:val="en-US" w:eastAsia="zh-CN"/>
              </w:rPr>
              <w:t>无</w:t>
            </w:r>
          </w:p>
        </w:tc>
      </w:tr>
      <w:tr w14:paraId="3DB71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1138" w:type="pct"/>
            <w:gridSpan w:val="2"/>
            <w:vAlign w:val="center"/>
          </w:tcPr>
          <w:p w14:paraId="780B9155">
            <w:pPr>
              <w:pStyle w:val="61"/>
              <w:pageBreakBefore w:val="0"/>
              <w:wordWrap w:val="0"/>
              <w:overflowPunct/>
              <w:bidi w:val="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规划情况</w:t>
            </w:r>
          </w:p>
        </w:tc>
        <w:tc>
          <w:tcPr>
            <w:tcW w:w="3861" w:type="pct"/>
            <w:gridSpan w:val="5"/>
            <w:vAlign w:val="center"/>
          </w:tcPr>
          <w:p w14:paraId="1B12C8B7">
            <w:pPr>
              <w:pStyle w:val="61"/>
              <w:keepNext w:val="0"/>
              <w:keepLines w:val="0"/>
              <w:pageBreakBefore w:val="0"/>
              <w:kinsoku/>
              <w:wordWrap w:val="0"/>
              <w:overflowPunct/>
              <w:topLinePunct w:val="0"/>
              <w:bidi w:val="0"/>
              <w:adjustRightInd/>
              <w:snapToGrid/>
              <w:outlineLvl w:val="9"/>
              <w:rPr>
                <w:rFonts w:hint="default" w:ascii="Times New Roman" w:hAnsi="Times New Roman" w:cs="Times New Roman"/>
                <w:color w:val="auto"/>
                <w:sz w:val="24"/>
                <w:szCs w:val="22"/>
                <w:highlight w:val="none"/>
              </w:rPr>
            </w:pPr>
            <w:r>
              <w:rPr>
                <w:rFonts w:hint="default" w:ascii="Times New Roman" w:hAnsi="Times New Roman" w:cs="Times New Roman"/>
                <w:color w:val="auto"/>
                <w:spacing w:val="-1"/>
                <w:sz w:val="24"/>
                <w:szCs w:val="24"/>
                <w:highlight w:val="none"/>
              </w:rPr>
              <w:t>《乐昌产业转移工业园</w:t>
            </w:r>
            <w:r>
              <w:rPr>
                <w:rFonts w:hint="default" w:ascii="Times New Roman" w:hAnsi="Times New Roman" w:cs="Times New Roman"/>
                <w:color w:val="auto"/>
                <w:spacing w:val="-1"/>
                <w:sz w:val="24"/>
                <w:szCs w:val="24"/>
                <w:highlight w:val="none"/>
                <w:lang w:val="en-US" w:eastAsia="zh-CN"/>
              </w:rPr>
              <w:t>城东片区控制性详细规划修编（2023年）</w:t>
            </w:r>
            <w:r>
              <w:rPr>
                <w:rFonts w:hint="default" w:ascii="Times New Roman" w:hAnsi="Times New Roman" w:cs="Times New Roman"/>
                <w:color w:val="auto"/>
                <w:spacing w:val="-1"/>
                <w:sz w:val="24"/>
                <w:szCs w:val="24"/>
                <w:highlight w:val="none"/>
              </w:rPr>
              <w:t>》</w:t>
            </w:r>
          </w:p>
        </w:tc>
      </w:tr>
      <w:tr w14:paraId="284B0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138" w:type="pct"/>
            <w:gridSpan w:val="2"/>
            <w:vAlign w:val="center"/>
          </w:tcPr>
          <w:p w14:paraId="3CB78CB3">
            <w:pPr>
              <w:pStyle w:val="61"/>
              <w:pageBreakBefore w:val="0"/>
              <w:wordWrap w:val="0"/>
              <w:overflowPunct/>
              <w:bidi w:val="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规划环境影响评价情况</w:t>
            </w:r>
          </w:p>
        </w:tc>
        <w:tc>
          <w:tcPr>
            <w:tcW w:w="3861" w:type="pct"/>
            <w:gridSpan w:val="5"/>
            <w:vAlign w:val="center"/>
          </w:tcPr>
          <w:p w14:paraId="650B0C82">
            <w:pPr>
              <w:pStyle w:val="61"/>
              <w:keepNext w:val="0"/>
              <w:keepLines w:val="0"/>
              <w:pageBreakBefore w:val="0"/>
              <w:kinsoku/>
              <w:wordWrap w:val="0"/>
              <w:overflowPunct/>
              <w:topLinePunct w:val="0"/>
              <w:bidi w:val="0"/>
              <w:adjustRightInd/>
              <w:snapToGrid/>
              <w:outlineLvl w:val="9"/>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韶关乐昌经济开发区规划环境影响报告书》，召集审查机关：广东省生态环境厅，审查文件名称：《广东省生态环境厅关于印发&lt;韶关乐昌经济开发区规划环境影响报告书审查意见&gt;的函》，审查文件文号：粤环审〔2026〕80号</w:t>
            </w:r>
          </w:p>
        </w:tc>
      </w:tr>
      <w:tr w14:paraId="6A69B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3" w:hRule="atLeast"/>
          <w:jc w:val="center"/>
        </w:trPr>
        <w:tc>
          <w:tcPr>
            <w:tcW w:w="1138" w:type="pct"/>
            <w:gridSpan w:val="2"/>
            <w:vAlign w:val="center"/>
          </w:tcPr>
          <w:p w14:paraId="03E4BC47">
            <w:pPr>
              <w:pStyle w:val="61"/>
              <w:pageBreakBefore w:val="0"/>
              <w:wordWrap w:val="0"/>
              <w:overflowPunct/>
              <w:bidi w:val="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规划及规划环境影响评价符合性分析</w:t>
            </w:r>
          </w:p>
        </w:tc>
        <w:tc>
          <w:tcPr>
            <w:tcW w:w="3861" w:type="pct"/>
            <w:gridSpan w:val="5"/>
            <w:vAlign w:val="center"/>
          </w:tcPr>
          <w:p w14:paraId="07DE61CF">
            <w:pPr>
              <w:keepNext w:val="0"/>
              <w:keepLines w:val="0"/>
              <w:widowControl/>
              <w:suppressLineNumbers w:val="0"/>
              <w:jc w:val="left"/>
              <w:rPr>
                <w:rFonts w:hint="default" w:ascii="Times New Roman" w:hAnsi="Times New Roman" w:cs="Times New Roman"/>
                <w:color w:val="auto"/>
                <w:highlight w:val="none"/>
              </w:rPr>
            </w:pPr>
            <w:bookmarkStart w:id="5" w:name="_Toc24148"/>
            <w:bookmarkStart w:id="6" w:name="_Toc9596"/>
            <w:r>
              <w:rPr>
                <w:rFonts w:hint="default" w:ascii="Times New Roman" w:hAnsi="Times New Roman" w:eastAsia="宋体" w:cs="Times New Roman"/>
                <w:color w:val="auto"/>
                <w:spacing w:val="-1"/>
                <w:sz w:val="24"/>
                <w:szCs w:val="24"/>
                <w:highlight w:val="none"/>
              </w:rPr>
              <w:t>根据</w:t>
            </w:r>
            <w:r>
              <w:rPr>
                <w:rFonts w:hint="default" w:ascii="Times New Roman" w:hAnsi="Times New Roman" w:cs="Times New Roman"/>
                <w:color w:val="auto"/>
                <w:spacing w:val="-1"/>
                <w:sz w:val="24"/>
                <w:szCs w:val="24"/>
                <w:highlight w:val="none"/>
                <w:lang w:eastAsia="zh-CN"/>
              </w:rPr>
              <w:t>《</w:t>
            </w:r>
            <w:r>
              <w:rPr>
                <w:rFonts w:hint="default" w:ascii="Times New Roman" w:hAnsi="Times New Roman" w:cs="Times New Roman"/>
                <w:color w:val="auto"/>
                <w:spacing w:val="-1"/>
                <w:sz w:val="24"/>
                <w:szCs w:val="24"/>
                <w:highlight w:val="none"/>
              </w:rPr>
              <w:t>韶关乐昌经济开发区规划环境影响报告书审查意见</w:t>
            </w:r>
            <w:r>
              <w:rPr>
                <w:rFonts w:hint="default" w:ascii="Times New Roman" w:hAnsi="Times New Roman" w:cs="Times New Roman"/>
                <w:color w:val="auto"/>
                <w:spacing w:val="-1"/>
                <w:sz w:val="24"/>
                <w:szCs w:val="24"/>
                <w:highlight w:val="none"/>
                <w:lang w:eastAsia="zh-CN"/>
              </w:rPr>
              <w:t>》</w:t>
            </w:r>
            <w:r>
              <w:rPr>
                <w:rFonts w:hint="default" w:ascii="Times New Roman" w:hAnsi="Times New Roman" w:eastAsia="宋体" w:cs="Times New Roman"/>
                <w:color w:val="auto"/>
                <w:spacing w:val="-1"/>
                <w:sz w:val="24"/>
                <w:szCs w:val="24"/>
                <w:highlight w:val="none"/>
              </w:rPr>
              <w:t>，新引入企业</w:t>
            </w:r>
            <w:r>
              <w:rPr>
                <w:rFonts w:hint="default" w:ascii="Times New Roman" w:hAnsi="Times New Roman" w:cs="Times New Roman"/>
                <w:color w:val="auto"/>
                <w:highlight w:val="none"/>
                <w:vertAlign w:val="baseline"/>
              </w:rPr>
              <w:t>应符合现行有效的《产业结构调整指导目录</w:t>
            </w:r>
            <w:r>
              <w:rPr>
                <w:rFonts w:hint="default" w:ascii="Times New Roman" w:hAnsi="Times New Roman" w:cs="Times New Roman"/>
                <w:color w:val="auto"/>
                <w:highlight w:val="none"/>
                <w:vertAlign w:val="baseline"/>
                <w:lang w:val="en-US" w:eastAsia="zh-CN"/>
              </w:rPr>
              <w:t>2024本</w:t>
            </w:r>
            <w:r>
              <w:rPr>
                <w:rFonts w:hint="default" w:ascii="Times New Roman" w:hAnsi="Times New Roman" w:cs="Times New Roman"/>
                <w:color w:val="auto"/>
                <w:highlight w:val="none"/>
                <w:vertAlign w:val="baseline"/>
              </w:rPr>
              <w:t>》、《市场准入负面清单》</w:t>
            </w:r>
            <w:r>
              <w:rPr>
                <w:rFonts w:hint="default" w:ascii="Times New Roman" w:hAnsi="Times New Roman" w:cs="Times New Roman"/>
                <w:color w:val="auto"/>
                <w:highlight w:val="none"/>
                <w:vertAlign w:val="baseline"/>
                <w:lang w:eastAsia="zh-CN"/>
              </w:rPr>
              <w:t>（</w:t>
            </w:r>
            <w:r>
              <w:rPr>
                <w:rFonts w:hint="default" w:ascii="Times New Roman" w:hAnsi="Times New Roman" w:eastAsia="宋体" w:cs="Times New Roman"/>
                <w:color w:val="auto"/>
                <w:sz w:val="24"/>
                <w:szCs w:val="24"/>
                <w:highlight w:val="none"/>
              </w:rPr>
              <w:t>发改体改规〔2025〕466 号</w:t>
            </w:r>
            <w:r>
              <w:rPr>
                <w:rFonts w:hint="default" w:ascii="Times New Roman" w:hAnsi="Times New Roman" w:cs="Times New Roman"/>
                <w:color w:val="auto"/>
                <w:highlight w:val="none"/>
                <w:vertAlign w:val="baseline"/>
                <w:lang w:eastAsia="zh-CN"/>
              </w:rPr>
              <w:t>）</w:t>
            </w:r>
            <w:r>
              <w:rPr>
                <w:rFonts w:hint="default" w:ascii="Times New Roman" w:hAnsi="Times New Roman" w:cs="Times New Roman"/>
                <w:color w:val="auto"/>
                <w:highlight w:val="none"/>
                <w:vertAlign w:val="baseline"/>
              </w:rPr>
              <w:t>、《广东省国家重点生态功能区产业准入负面清单(试行</w:t>
            </w:r>
            <w:r>
              <w:rPr>
                <w:rFonts w:hint="default" w:ascii="Times New Roman" w:hAnsi="Times New Roman" w:cs="Times New Roman"/>
                <w:color w:val="auto"/>
                <w:highlight w:val="none"/>
                <w:vertAlign w:val="baseline"/>
                <w:lang w:eastAsia="zh-CN"/>
              </w:rPr>
              <w:t>）</w:t>
            </w:r>
            <w:r>
              <w:rPr>
                <w:rFonts w:hint="default" w:ascii="Times New Roman" w:hAnsi="Times New Roman" w:cs="Times New Roman"/>
                <w:color w:val="auto"/>
                <w:highlight w:val="none"/>
                <w:vertAlign w:val="baseline"/>
              </w:rPr>
              <w:t>》</w:t>
            </w:r>
            <w:r>
              <w:rPr>
                <w:rFonts w:hint="default" w:ascii="Times New Roman" w:hAnsi="Times New Roman" w:cs="Times New Roman"/>
                <w:color w:val="auto"/>
                <w:highlight w:val="none"/>
                <w:vertAlign w:val="baseline"/>
                <w:lang w:eastAsia="zh-CN"/>
              </w:rPr>
              <w:t>（</w:t>
            </w:r>
            <w:r>
              <w:rPr>
                <w:rFonts w:hint="default" w:ascii="Times New Roman" w:hAnsi="Times New Roman" w:eastAsia="宋体" w:cs="Times New Roman"/>
                <w:color w:val="auto"/>
                <w:sz w:val="24"/>
                <w:szCs w:val="24"/>
                <w:highlight w:val="none"/>
              </w:rPr>
              <w:t>粤发改规划〔2017〕331 号</w:t>
            </w:r>
            <w:r>
              <w:rPr>
                <w:rFonts w:hint="default" w:ascii="Times New Roman" w:hAnsi="Times New Roman" w:cs="Times New Roman"/>
                <w:color w:val="auto"/>
                <w:highlight w:val="none"/>
                <w:vertAlign w:val="baseline"/>
                <w:lang w:eastAsia="zh-CN"/>
              </w:rPr>
              <w:t>）</w:t>
            </w:r>
            <w:r>
              <w:rPr>
                <w:rFonts w:hint="default" w:ascii="Times New Roman" w:hAnsi="Times New Roman" w:cs="Times New Roman"/>
                <w:color w:val="auto"/>
                <w:highlight w:val="none"/>
                <w:vertAlign w:val="baseline"/>
              </w:rPr>
              <w:t>等相关产业政策要求</w:t>
            </w:r>
            <w:r>
              <w:rPr>
                <w:rFonts w:hint="default" w:ascii="Times New Roman" w:hAnsi="Times New Roman" w:eastAsia="宋体" w:cs="Times New Roman"/>
                <w:color w:val="auto"/>
                <w:spacing w:val="-1"/>
                <w:sz w:val="24"/>
                <w:szCs w:val="24"/>
                <w:highlight w:val="none"/>
              </w:rPr>
              <w:t>。本次规划确定以轻工纺织、机械制造、电子信息、家具制造、金属制品为主导，以特色商贸等现代服务业为支撑的产业体系，重点发展机械、电子、纺织产业，优先引进无污染物或轻污染项目，</w:t>
            </w:r>
            <w:bookmarkEnd w:id="5"/>
            <w:bookmarkEnd w:id="6"/>
            <w:r>
              <w:rPr>
                <w:rFonts w:hint="default" w:ascii="Times New Roman" w:hAnsi="Times New Roman" w:cs="Times New Roman"/>
                <w:color w:val="auto"/>
                <w:highlight w:val="none"/>
              </w:rPr>
              <w:t>禁止建设生产和使用高VOCs含量的溶剂型涂料、油墨、胶粘剂等项目。</w:t>
            </w:r>
            <w:r>
              <w:rPr>
                <w:rFonts w:hint="default" w:ascii="Times New Roman" w:hAnsi="Times New Roman" w:cs="Times New Roman"/>
                <w:color w:val="auto"/>
                <w:highlight w:val="none"/>
                <w:vertAlign w:val="baseline"/>
              </w:rPr>
              <w:t>禁止新建、扩建专业电镀、鞣革、印染、化学制浆等水污染物排放量大或排放一类污染物、持久性有机污染物的项目。</w:t>
            </w:r>
            <w:r>
              <w:rPr>
                <w:rFonts w:ascii="瀹嬩綋" w:hAnsi="瀹嬩綋" w:eastAsia="瀹嬩綋" w:cs="瀹嬩綋"/>
                <w:color w:val="auto"/>
                <w:kern w:val="0"/>
                <w:sz w:val="24"/>
                <w:szCs w:val="24"/>
                <w:highlight w:val="none"/>
                <w:lang w:val="en-US" w:eastAsia="zh-CN"/>
              </w:rPr>
              <w:t>对于配套电镀、阳极氧化物、钝</w:t>
            </w:r>
            <w:r>
              <w:rPr>
                <w:rFonts w:hint="default" w:ascii="瀹嬩綋" w:hAnsi="瀹嬩綋" w:eastAsia="瀹嬩綋" w:cs="瀹嬩綋"/>
                <w:color w:val="auto"/>
                <w:kern w:val="0"/>
                <w:sz w:val="24"/>
                <w:szCs w:val="24"/>
                <w:highlight w:val="none"/>
                <w:lang w:val="en-US" w:eastAsia="zh-CN"/>
              </w:rPr>
              <w:t xml:space="preserve">化、酸洗、磷化等表面处理工艺产生的含镍等一类污染物废水必须预处理后回用。表面处理工序应优先采用陶化等不涉及重金属（重金属污染防控中所列重金属类别）的生产工艺，废水预处理达标后排入园区污水处理厂。原则上居住区附近禁止引入专业的铸造、热加工生产企业；表面涂装工序应尽可能采用的水性或低排放 </w:t>
            </w:r>
            <w:r>
              <w:rPr>
                <w:rFonts w:hint="default" w:ascii="Times New Roman" w:hAnsi="Times New Roman" w:eastAsia="宋体" w:cs="Times New Roman"/>
                <w:color w:val="auto"/>
                <w:kern w:val="0"/>
                <w:sz w:val="24"/>
                <w:szCs w:val="24"/>
                <w:highlight w:val="none"/>
                <w:lang w:val="en-US" w:eastAsia="zh-CN"/>
              </w:rPr>
              <w:t xml:space="preserve">VOCs </w:t>
            </w:r>
            <w:r>
              <w:rPr>
                <w:rFonts w:hint="default" w:ascii="瀹嬩綋" w:hAnsi="瀹嬩綋" w:eastAsia="瀹嬩綋" w:cs="瀹嬩綋"/>
                <w:color w:val="auto"/>
                <w:kern w:val="0"/>
                <w:sz w:val="24"/>
                <w:szCs w:val="24"/>
                <w:highlight w:val="none"/>
                <w:lang w:val="en-US" w:eastAsia="zh-CN"/>
              </w:rPr>
              <w:t>含量的涂料</w:t>
            </w:r>
            <w:r>
              <w:rPr>
                <w:rFonts w:hint="eastAsia" w:ascii="瀹嬩綋" w:hAnsi="瀹嬩綋" w:eastAsia="瀹嬩綋" w:cs="瀹嬩綋"/>
                <w:color w:val="auto"/>
                <w:kern w:val="0"/>
                <w:sz w:val="24"/>
                <w:szCs w:val="24"/>
                <w:highlight w:val="none"/>
                <w:lang w:val="en-US" w:eastAsia="zh-CN"/>
              </w:rPr>
              <w:t>。</w:t>
            </w:r>
          </w:p>
          <w:p w14:paraId="0B07A8DD">
            <w:pPr>
              <w:pStyle w:val="61"/>
              <w:keepNext w:val="0"/>
              <w:keepLines w:val="0"/>
              <w:pageBreakBefore w:val="0"/>
              <w:kinsoku/>
              <w:wordWrap w:val="0"/>
              <w:overflowPunct/>
              <w:topLinePunct w:val="0"/>
              <w:bidi w:val="0"/>
              <w:adjustRightInd/>
              <w:snapToGrid/>
              <w:spacing w:line="360" w:lineRule="auto"/>
              <w:ind w:firstLine="476" w:firstLineChars="200"/>
              <w:jc w:val="left"/>
              <w:outlineLvl w:val="9"/>
              <w:rPr>
                <w:rFonts w:hint="default" w:ascii="Times New Roman" w:hAnsi="Times New Roman" w:cs="Times New Roman"/>
                <w:color w:val="auto"/>
                <w:spacing w:val="-1"/>
                <w:sz w:val="24"/>
                <w:szCs w:val="24"/>
                <w:highlight w:val="none"/>
              </w:rPr>
            </w:pPr>
            <w:r>
              <w:rPr>
                <w:rFonts w:hint="default" w:ascii="Times New Roman" w:hAnsi="Times New Roman" w:cs="Times New Roman"/>
                <w:color w:val="auto"/>
                <w:spacing w:val="-1"/>
                <w:sz w:val="24"/>
                <w:szCs w:val="24"/>
                <w:highlight w:val="none"/>
              </w:rPr>
              <w:t>本项目满足国家和地方相关产业政策，</w:t>
            </w:r>
            <w:r>
              <w:rPr>
                <w:rFonts w:hint="default" w:ascii="Times New Roman" w:hAnsi="Times New Roman" w:cs="Times New Roman"/>
                <w:color w:val="auto"/>
                <w:spacing w:val="-1"/>
                <w:sz w:val="24"/>
                <w:szCs w:val="24"/>
                <w:highlight w:val="none"/>
                <w:lang w:val="en-US" w:eastAsia="zh-CN"/>
              </w:rPr>
              <w:t>项目所使用</w:t>
            </w:r>
            <w:r>
              <w:rPr>
                <w:rFonts w:hint="eastAsia" w:cs="Times New Roman"/>
                <w:color w:val="auto"/>
                <w:spacing w:val="-1"/>
                <w:sz w:val="24"/>
                <w:szCs w:val="24"/>
                <w:highlight w:val="none"/>
                <w:lang w:val="en-US" w:eastAsia="zh-CN"/>
              </w:rPr>
              <w:t>水性漆、</w:t>
            </w:r>
            <w:r>
              <w:rPr>
                <w:rFonts w:hint="default" w:ascii="Times New Roman" w:hAnsi="Times New Roman" w:cs="Times New Roman"/>
                <w:color w:val="auto"/>
                <w:spacing w:val="-1"/>
                <w:sz w:val="24"/>
                <w:szCs w:val="24"/>
                <w:highlight w:val="none"/>
                <w:lang w:val="en-US" w:eastAsia="zh-CN"/>
              </w:rPr>
              <w:t>溶剂型涂料和油墨</w:t>
            </w:r>
            <w:r>
              <w:rPr>
                <w:rFonts w:hint="eastAsia" w:cs="Times New Roman"/>
                <w:color w:val="auto"/>
                <w:spacing w:val="-1"/>
                <w:sz w:val="24"/>
                <w:szCs w:val="24"/>
                <w:highlight w:val="none"/>
                <w:lang w:val="en-US" w:eastAsia="zh-CN"/>
              </w:rPr>
              <w:t>等原料</w:t>
            </w:r>
            <w:r>
              <w:rPr>
                <w:rFonts w:hint="default" w:ascii="Times New Roman" w:hAnsi="Times New Roman" w:cs="Times New Roman"/>
                <w:color w:val="auto"/>
                <w:spacing w:val="-1"/>
                <w:sz w:val="24"/>
                <w:szCs w:val="24"/>
                <w:highlight w:val="none"/>
                <w:lang w:val="en-US" w:eastAsia="zh-CN"/>
              </w:rPr>
              <w:t>均为低</w:t>
            </w:r>
            <w:r>
              <w:rPr>
                <w:rFonts w:hint="eastAsia" w:cs="Times New Roman"/>
                <w:color w:val="auto"/>
                <w:spacing w:val="-1"/>
                <w:sz w:val="24"/>
                <w:szCs w:val="24"/>
                <w:highlight w:val="none"/>
                <w:lang w:val="en-US" w:eastAsia="zh-CN"/>
              </w:rPr>
              <w:t>VOCs含量</w:t>
            </w:r>
            <w:r>
              <w:rPr>
                <w:rFonts w:hint="default" w:ascii="Times New Roman" w:hAnsi="Times New Roman" w:cs="Times New Roman"/>
                <w:color w:val="auto"/>
                <w:spacing w:val="-1"/>
                <w:sz w:val="24"/>
                <w:szCs w:val="24"/>
                <w:highlight w:val="none"/>
                <w:lang w:val="en-US" w:eastAsia="zh-CN"/>
              </w:rPr>
              <w:t>产品</w:t>
            </w:r>
            <w:r>
              <w:rPr>
                <w:rFonts w:hint="eastAsia" w:cs="Times New Roman"/>
                <w:color w:val="auto"/>
                <w:spacing w:val="-1"/>
                <w:sz w:val="24"/>
                <w:szCs w:val="24"/>
                <w:highlight w:val="none"/>
                <w:lang w:val="en-US" w:eastAsia="zh-CN"/>
              </w:rPr>
              <w:t>，项目使用锌铁系磷化剂，表调剂和磷化剂均不含汞、砷、镉、铬、铅等重金属污染物和持久性有机污染物，</w:t>
            </w:r>
            <w:r>
              <w:rPr>
                <w:rFonts w:hint="default" w:ascii="Times New Roman" w:hAnsi="Times New Roman" w:cs="Times New Roman"/>
                <w:color w:val="auto"/>
                <w:spacing w:val="-1"/>
                <w:sz w:val="24"/>
                <w:szCs w:val="24"/>
                <w:highlight w:val="none"/>
                <w:lang w:val="en-US" w:eastAsia="zh-CN"/>
              </w:rPr>
              <w:t>项目</w:t>
            </w:r>
            <w:r>
              <w:rPr>
                <w:rFonts w:hint="default" w:ascii="Times New Roman" w:hAnsi="Times New Roman" w:cs="Times New Roman"/>
                <w:color w:val="auto"/>
                <w:spacing w:val="-1"/>
                <w:sz w:val="24"/>
                <w:szCs w:val="24"/>
                <w:highlight w:val="none"/>
              </w:rPr>
              <w:t>不排放一类污染物和有毒有害物质，不向河流排放含汞、砷、镉、铬、铅等重金属污染物和持久性有机污染物，</w:t>
            </w:r>
            <w:r>
              <w:rPr>
                <w:rFonts w:hint="eastAsia" w:cs="Times New Roman"/>
                <w:color w:val="auto"/>
                <w:spacing w:val="-1"/>
                <w:sz w:val="24"/>
                <w:szCs w:val="24"/>
                <w:highlight w:val="none"/>
                <w:lang w:val="en-US" w:eastAsia="zh-CN"/>
              </w:rPr>
              <w:t>采用的生产工艺</w:t>
            </w:r>
            <w:r>
              <w:rPr>
                <w:rFonts w:hint="default" w:ascii="Times New Roman" w:hAnsi="Times New Roman" w:cs="Times New Roman"/>
                <w:color w:val="auto"/>
                <w:spacing w:val="-1"/>
                <w:sz w:val="24"/>
                <w:szCs w:val="24"/>
                <w:highlight w:val="none"/>
              </w:rPr>
              <w:t>属于园区优先引进的表面处理工艺，不属于园区禁止项目，符合园区准入条件。</w:t>
            </w:r>
          </w:p>
          <w:p w14:paraId="0C070EFB">
            <w:pPr>
              <w:pStyle w:val="1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与</w:t>
            </w:r>
            <w:r>
              <w:rPr>
                <w:rFonts w:hint="default" w:ascii="Times New Roman" w:hAnsi="Times New Roman" w:eastAsia="宋体" w:cs="Times New Roman"/>
                <w:color w:val="auto"/>
                <w:sz w:val="21"/>
                <w:szCs w:val="21"/>
                <w:highlight w:val="none"/>
                <w:lang w:val="en-US" w:eastAsia="zh-CN"/>
              </w:rPr>
              <w:t>《韶关乐昌经济开发区规划</w:t>
            </w:r>
          </w:p>
          <w:p w14:paraId="1F06AF07">
            <w:pPr>
              <w:pStyle w:val="130"/>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环境影响报告书审查意见》的</w:t>
            </w:r>
            <w:r>
              <w:rPr>
                <w:rFonts w:hint="eastAsia" w:ascii="Times New Roman" w:hAnsi="Times New Roman" w:eastAsia="宋体" w:cs="Times New Roman"/>
                <w:color w:val="auto"/>
                <w:sz w:val="21"/>
                <w:szCs w:val="21"/>
                <w:highlight w:val="none"/>
                <w:lang w:val="en-US" w:eastAsia="zh-CN"/>
              </w:rPr>
              <w:t>相符性分析</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3555"/>
              <w:gridCol w:w="1680"/>
              <w:gridCol w:w="577"/>
            </w:tblGrid>
            <w:tr w14:paraId="0F7FF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tcMar>
                    <w:top w:w="0" w:type="dxa"/>
                    <w:left w:w="0" w:type="dxa"/>
                    <w:bottom w:w="0" w:type="dxa"/>
                    <w:right w:w="0" w:type="dxa"/>
                  </w:tcMar>
                  <w:vAlign w:val="center"/>
                </w:tcPr>
                <w:p w14:paraId="02265759">
                  <w:p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管控要求</w:t>
                  </w:r>
                </w:p>
              </w:tc>
              <w:tc>
                <w:tcPr>
                  <w:tcW w:w="3555" w:type="dxa"/>
                  <w:tcMar>
                    <w:top w:w="0" w:type="dxa"/>
                    <w:left w:w="0" w:type="dxa"/>
                    <w:bottom w:w="0" w:type="dxa"/>
                    <w:right w:w="0" w:type="dxa"/>
                  </w:tcMar>
                  <w:vAlign w:val="center"/>
                </w:tcPr>
                <w:p w14:paraId="034E8FDF">
                  <w:p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总体准入要求</w:t>
                  </w:r>
                </w:p>
              </w:tc>
              <w:tc>
                <w:tcPr>
                  <w:tcW w:w="1680" w:type="dxa"/>
                  <w:tcMar>
                    <w:top w:w="0" w:type="dxa"/>
                    <w:left w:w="0" w:type="dxa"/>
                    <w:bottom w:w="0" w:type="dxa"/>
                    <w:right w:w="0" w:type="dxa"/>
                  </w:tcMar>
                  <w:vAlign w:val="center"/>
                </w:tcPr>
                <w:p w14:paraId="55B94685">
                  <w:p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项目情况</w:t>
                  </w:r>
                </w:p>
              </w:tc>
              <w:tc>
                <w:tcPr>
                  <w:tcW w:w="577" w:type="dxa"/>
                  <w:tcMar>
                    <w:top w:w="0" w:type="dxa"/>
                    <w:left w:w="0" w:type="dxa"/>
                    <w:bottom w:w="0" w:type="dxa"/>
                    <w:right w:w="0" w:type="dxa"/>
                  </w:tcMar>
                  <w:vAlign w:val="center"/>
                </w:tcPr>
                <w:p w14:paraId="7CA629BE">
                  <w:p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相符性</w:t>
                  </w:r>
                </w:p>
              </w:tc>
            </w:tr>
            <w:tr w14:paraId="790B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548" w:type="dxa"/>
                  <w:tcMar>
                    <w:top w:w="0" w:type="dxa"/>
                    <w:left w:w="0" w:type="dxa"/>
                    <w:bottom w:w="0" w:type="dxa"/>
                    <w:right w:w="0" w:type="dxa"/>
                  </w:tcMar>
                  <w:vAlign w:val="center"/>
                </w:tcPr>
                <w:p w14:paraId="6B5E015F">
                  <w:p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空间布局约束</w:t>
                  </w:r>
                </w:p>
              </w:tc>
              <w:tc>
                <w:tcPr>
                  <w:tcW w:w="3555" w:type="dxa"/>
                  <w:tcMar>
                    <w:top w:w="0" w:type="dxa"/>
                    <w:left w:w="0" w:type="dxa"/>
                    <w:bottom w:w="0" w:type="dxa"/>
                    <w:right w:w="0" w:type="dxa"/>
                  </w:tcMar>
                  <w:vAlign w:val="center"/>
                </w:tcPr>
                <w:p w14:paraId="46F70836">
                  <w:pPr>
                    <w:spacing w:line="240" w:lineRule="auto"/>
                    <w:jc w:val="center"/>
                    <w:rPr>
                      <w:rFonts w:hint="eastAsia"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rPr>
                    <w:t>1、重点发展符合开发区定位的金属制品业、橡胶和塑料制品业以及计算机、通信和其他电子设备制造业产业。引入产业应符合现行有效的《产业结构调整指导目录》、《市场准入负面清单》、《广东省国家重点生态功能区产业准入负面清单(试行)》等相关产业政策要求。开发区应优先引进无铬钝化、陶化、锌铁系磷化等不涉及一类水污染物排放的表面处理工艺</w:t>
                  </w:r>
                  <w:r>
                    <w:rPr>
                      <w:rFonts w:hint="eastAsia" w:cs="Times New Roman"/>
                      <w:color w:val="auto"/>
                      <w:sz w:val="21"/>
                      <w:szCs w:val="21"/>
                      <w:highlight w:val="none"/>
                      <w:vertAlign w:val="baseline"/>
                      <w:lang w:eastAsia="zh-CN"/>
                    </w:rPr>
                    <w:t>。</w:t>
                  </w:r>
                </w:p>
                <w:p w14:paraId="370D8C62">
                  <w:pPr>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2、优先发展低污染、低水耗、低能耗的企业。规划区新、改、扩建项目要达到国内清洁生产先进水平。</w:t>
                  </w:r>
                </w:p>
                <w:p w14:paraId="692852AF">
                  <w:pPr>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3、禁止销售、燃用高污染燃料;禁止新建、扩建燃用高污染燃料的设施。</w:t>
                  </w:r>
                </w:p>
                <w:p w14:paraId="068B1772">
                  <w:pPr>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4、禁止新建、扩建专业电镀、鞣革、印染、化学制浆等水污染物排放量大或排放一类污染物、持久性有机污染物的项目。</w:t>
                  </w:r>
                </w:p>
                <w:p w14:paraId="7110F379">
                  <w:pPr>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5、按照要求做好居民的搬迁安置工作，防范“楼企矛盾”发生。</w:t>
                  </w:r>
                </w:p>
                <w:p w14:paraId="76218956">
                  <w:pPr>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6、与中部规划居住用地、行政办公用地、教育用地等敏感区域临近的区域优先引进无污染的生产性服务业，布置废气排放量小、工业噪声影响小及没有恶臭气体产生的产业。相关项目环评阶段应充分论证、优化项目布局以及按照相关要求确定大气环境防护距离。学校周围直线延伸二百米范围内禁止设立易燃易爆、剧毒、放射性、腐蚀性等危险物品的生产、经营、储存、使用场所或者设施。</w:t>
                  </w:r>
                </w:p>
                <w:p w14:paraId="36F681BC">
                  <w:pPr>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7、开发区环境管理机构应尽快按照原环评要求将城东片区依托污水厂排放口由霜降坑整改至武江，在排放口位置完成调整之前必须严格控制引进涉及生产废水排放的企业，且园区总废水排放量不得突破2999m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vertAlign w:val="baseline"/>
                    </w:rPr>
                    <w:t>/d。</w:t>
                  </w:r>
                </w:p>
                <w:p w14:paraId="3059DF15">
                  <w:pPr>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8、在永久基本农田以及居民区、学校、医疗和养老机构等单位周边，避免新建涉重金属、多环芳烃类等持久性有机污染物企业。永久基本农田集中区域内，禁止建设工业固体废物、危险废物集中贮存、利用、处置的设施、场所。</w:t>
                  </w:r>
                </w:p>
                <w:p w14:paraId="38826741">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rPr>
                    <w:t>9、其它:应符合《韶关市人民政府关于印发韶关市“三线一单”生态环境分区管控方案的通知》(韶府(2021)10号)、《韶关市生态环境分区管控动态更新成果》及后续生态环境分区管控动态更新要求。</w:t>
                  </w:r>
                </w:p>
              </w:tc>
              <w:tc>
                <w:tcPr>
                  <w:tcW w:w="1680" w:type="dxa"/>
                  <w:tcMar>
                    <w:top w:w="0" w:type="dxa"/>
                    <w:left w:w="0" w:type="dxa"/>
                    <w:bottom w:w="0" w:type="dxa"/>
                    <w:right w:w="0" w:type="dxa"/>
                  </w:tcMar>
                  <w:vAlign w:val="center"/>
                </w:tcPr>
                <w:p w14:paraId="72148161">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val="en-US" w:eastAsia="zh-CN"/>
                    </w:rPr>
                    <w:t>属于</w:t>
                  </w:r>
                  <w:r>
                    <w:rPr>
                      <w:rFonts w:hint="default" w:ascii="Times New Roman" w:hAnsi="Times New Roman" w:eastAsia="宋体" w:cs="Times New Roman"/>
                      <w:color w:val="auto"/>
                      <w:sz w:val="21"/>
                      <w:szCs w:val="21"/>
                      <w:highlight w:val="none"/>
                    </w:rPr>
                    <w:t>金属结构制造行业</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符合相关产业政策要求，</w:t>
                  </w:r>
                  <w:r>
                    <w:rPr>
                      <w:rFonts w:hint="eastAsia" w:cs="Times New Roman"/>
                      <w:color w:val="auto"/>
                      <w:spacing w:val="-1"/>
                      <w:sz w:val="21"/>
                      <w:szCs w:val="21"/>
                      <w:highlight w:val="none"/>
                      <w:lang w:val="en-US" w:eastAsia="zh-CN"/>
                    </w:rPr>
                    <w:t>使用锌铁系磷化剂，表调剂和磷化剂均不含</w:t>
                  </w:r>
                  <w:r>
                    <w:rPr>
                      <w:rFonts w:hint="default" w:ascii="Times New Roman" w:hAnsi="Times New Roman" w:eastAsia="宋体" w:cs="Times New Roman"/>
                      <w:color w:val="auto"/>
                      <w:spacing w:val="-1"/>
                      <w:sz w:val="21"/>
                      <w:szCs w:val="21"/>
                      <w:highlight w:val="none"/>
                    </w:rPr>
                    <w:t>汞、砷、镉、铬、铅等重金属污染物和持久性有机污染物</w:t>
                  </w:r>
                  <w:r>
                    <w:rPr>
                      <w:rFonts w:hint="eastAsia" w:cs="Times New Roman"/>
                      <w:color w:val="auto"/>
                      <w:spacing w:val="-1"/>
                      <w:sz w:val="21"/>
                      <w:szCs w:val="21"/>
                      <w:highlight w:val="none"/>
                      <w:lang w:eastAsia="zh-CN"/>
                    </w:rPr>
                    <w:t>，</w:t>
                  </w:r>
                  <w:r>
                    <w:rPr>
                      <w:rFonts w:hint="eastAsia" w:cs="Times New Roman"/>
                      <w:color w:val="auto"/>
                      <w:spacing w:val="-1"/>
                      <w:sz w:val="21"/>
                      <w:szCs w:val="21"/>
                      <w:highlight w:val="none"/>
                      <w:lang w:val="en-US" w:eastAsia="zh-CN"/>
                    </w:rPr>
                    <w:t>采用的生产工艺属于园区优先引进的表面处理工艺。2、项目属于低能耗企业。3、不涉及。4、项目</w:t>
                  </w:r>
                  <w:r>
                    <w:rPr>
                      <w:rFonts w:hint="default" w:ascii="Times New Roman" w:hAnsi="Times New Roman" w:eastAsia="宋体" w:cs="Times New Roman"/>
                      <w:color w:val="auto"/>
                      <w:sz w:val="21"/>
                      <w:szCs w:val="21"/>
                      <w:highlight w:val="none"/>
                    </w:rPr>
                    <w:t>不属于</w:t>
                  </w:r>
                  <w:r>
                    <w:rPr>
                      <w:rFonts w:hint="default" w:ascii="Times New Roman" w:hAnsi="Times New Roman" w:eastAsia="宋体" w:cs="Times New Roman"/>
                      <w:color w:val="auto"/>
                      <w:sz w:val="21"/>
                      <w:szCs w:val="21"/>
                      <w:highlight w:val="none"/>
                      <w:vertAlign w:val="baseline"/>
                    </w:rPr>
                    <w:t>专业电镀、鞣革、印染、化学制浆等水污染物排放量大或排放一类污染物、持久性有机污染物的项目。</w:t>
                  </w:r>
                  <w:r>
                    <w:rPr>
                      <w:rFonts w:hint="eastAsia" w:cs="Times New Roman"/>
                      <w:color w:val="auto"/>
                      <w:sz w:val="21"/>
                      <w:szCs w:val="21"/>
                      <w:highlight w:val="none"/>
                      <w:vertAlign w:val="baseline"/>
                      <w:lang w:val="en-US" w:eastAsia="zh-CN"/>
                    </w:rPr>
                    <w:t>5、不涉及</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pacing w:val="-1"/>
                      <w:sz w:val="21"/>
                      <w:szCs w:val="21"/>
                      <w:highlight w:val="none"/>
                    </w:rPr>
                    <w:t>本项目</w:t>
                  </w:r>
                  <w:r>
                    <w:rPr>
                      <w:rFonts w:hint="eastAsia" w:cs="Times New Roman"/>
                      <w:color w:val="auto"/>
                      <w:spacing w:val="-1"/>
                      <w:sz w:val="21"/>
                      <w:szCs w:val="21"/>
                      <w:highlight w:val="none"/>
                      <w:lang w:val="en-US" w:eastAsia="zh-CN"/>
                    </w:rPr>
                    <w:t>远离敏感区域。7、项目废水产生量小，对园区污水处理厂影响不大。8、不涉及。9、满足韶关市</w:t>
                  </w:r>
                  <w:r>
                    <w:rPr>
                      <w:rFonts w:hint="default" w:ascii="Times New Roman" w:hAnsi="Times New Roman" w:eastAsia="宋体" w:cs="Times New Roman"/>
                      <w:color w:val="auto"/>
                      <w:sz w:val="21"/>
                      <w:szCs w:val="21"/>
                      <w:highlight w:val="none"/>
                      <w:vertAlign w:val="baseline"/>
                    </w:rPr>
                    <w:t>生态环境分区管控</w:t>
                  </w:r>
                  <w:r>
                    <w:rPr>
                      <w:rFonts w:hint="eastAsia" w:cs="Times New Roman"/>
                      <w:color w:val="auto"/>
                      <w:sz w:val="21"/>
                      <w:szCs w:val="21"/>
                      <w:highlight w:val="none"/>
                      <w:vertAlign w:val="baseline"/>
                      <w:lang w:val="en-US" w:eastAsia="zh-CN"/>
                    </w:rPr>
                    <w:t>要求。</w:t>
                  </w:r>
                </w:p>
              </w:tc>
              <w:tc>
                <w:tcPr>
                  <w:tcW w:w="577" w:type="dxa"/>
                  <w:tcMar>
                    <w:top w:w="0" w:type="dxa"/>
                    <w:left w:w="0" w:type="dxa"/>
                    <w:bottom w:w="0" w:type="dxa"/>
                    <w:right w:w="0" w:type="dxa"/>
                  </w:tcMar>
                  <w:vAlign w:val="center"/>
                </w:tcPr>
                <w:p w14:paraId="0999741C">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相符</w:t>
                  </w:r>
                </w:p>
              </w:tc>
            </w:tr>
            <w:tr w14:paraId="4392D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548" w:type="dxa"/>
                  <w:tcMar>
                    <w:top w:w="0" w:type="dxa"/>
                    <w:left w:w="0" w:type="dxa"/>
                    <w:bottom w:w="0" w:type="dxa"/>
                    <w:right w:w="0" w:type="dxa"/>
                  </w:tcMar>
                  <w:vAlign w:val="center"/>
                </w:tcPr>
                <w:p w14:paraId="357B90F9">
                  <w:p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污染物排放管控</w:t>
                  </w:r>
                </w:p>
              </w:tc>
              <w:tc>
                <w:tcPr>
                  <w:tcW w:w="3555" w:type="dxa"/>
                  <w:tcMar>
                    <w:top w:w="0" w:type="dxa"/>
                    <w:left w:w="0" w:type="dxa"/>
                    <w:bottom w:w="0" w:type="dxa"/>
                    <w:right w:w="0" w:type="dxa"/>
                  </w:tcMar>
                  <w:vAlign w:val="center"/>
                </w:tcPr>
                <w:p w14:paraId="652F885E">
                  <w:pPr>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1、污染物排放总量不得突破“污染物排放总量管控限值清单”的总量管控要求;在可核查、可监管的基础上，新建项目原则上实施氮氧化物(NOx)和挥发性有机物(VOCs)等量替代。</w:t>
                  </w:r>
                </w:p>
                <w:p w14:paraId="621DE290">
                  <w:pPr>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2、根据《广东省生态环境厅关于在重点区域执行污染物特别排放限值的公告》(粤环发(2023)1号)要求，执行相应特别排放限值要求。</w:t>
                  </w:r>
                </w:p>
                <w:p w14:paraId="0D73CD18">
                  <w:pPr>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3、开发区内各企业污废水原则上应接入园区污水处理厂进行集中处理、达标排放。依法依规完成排污口整改工作前严格控制引进涉及生产废水排放的企业。各企业生产废水需经预处理达到广东省《水污染物排放限值》(DB44/26-2001)第二时段三级标准、所属行业排放标准(间接排放)，以及污水处理厂接管标准后，方可与规划区生活污水通过污水管线一并进入园区污水处理厂处理。规划区依托的园区污水处理厂执行《城镇污水处理厂污染物排放标准》(GB18918-2002)一级A标准和《水污染物排放限值》(DB44/26-2001)</w:t>
                  </w:r>
                </w:p>
                <w:p w14:paraId="7DC9A4C5">
                  <w:pPr>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第二时段一级标准。涉及阳极氧化、钝化、磷化或者化学转化膜工序的企业，其工业废水需满足广东省地方标准《电镀水污染物排放标准》（DB44/1597-2015）非珠三角排放限值（总铬、六价铬、总镍、总镉、总银、总铅、总汞等第一类污染物执行表 1和表 2 标准，其它污染物排放不超过该标准现有项目相应排放限值的 200%）、广东省《水污染物排放限值》（DB44/26-2001）第二时段三级标准与依托污水处理厂接管标准后方可接入市政管网。</w:t>
                  </w:r>
                </w:p>
                <w:p w14:paraId="354B145A">
                  <w:pPr>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4、开发区后续新建燃气锅炉废气执行《锅炉大气污染物排放标准》(DB44</w:t>
                  </w:r>
                  <w:r>
                    <w:rPr>
                      <w:rFonts w:hint="eastAsia"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rPr>
                    <w:t>765-2019)表3大气污染物特别排放限值;现有单台出力1蒸吨/小时(0.7兆瓦)以上，65蒸吨/小时及以下燃气锅炉执行《锅炉大气污染物排放标准》(DB44/765-2019)表3大气污染物特别排放限值:其它行业工艺废气有行业标准的执行行业标准，无行业标准的排放执行广东省地方标准《大气污染物排放限值》</w:t>
                  </w:r>
                  <w:r>
                    <w:rPr>
                      <w:rFonts w:hint="eastAsia" w:cs="Times New Roman"/>
                      <w:color w:val="auto"/>
                      <w:sz w:val="21"/>
                      <w:szCs w:val="21"/>
                      <w:highlight w:val="none"/>
                      <w:vertAlign w:val="baseline"/>
                      <w:lang w:eastAsia="zh-CN"/>
                    </w:rPr>
                    <w:t>（</w:t>
                  </w:r>
                  <w:r>
                    <w:rPr>
                      <w:rFonts w:hint="default" w:ascii="Times New Roman" w:hAnsi="Times New Roman" w:eastAsia="宋体" w:cs="Times New Roman"/>
                      <w:color w:val="auto"/>
                      <w:sz w:val="21"/>
                      <w:szCs w:val="21"/>
                      <w:highlight w:val="none"/>
                      <w:vertAlign w:val="baseline"/>
                    </w:rPr>
                    <w:t>DB44/27-2001)第二时段二级标准。</w:t>
                  </w:r>
                </w:p>
                <w:p w14:paraId="02AD962E">
                  <w:pPr>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5、产生固体废物(含危险废物)的企业须配套建设符合规范且满足需求的贮存场所，固体废物(含危险废物)贮存、转移过程中应配套防扬散、防流失、防渗漏及其它防止污染环境的措施。</w:t>
                  </w:r>
                </w:p>
                <w:p w14:paraId="55DDBCC5">
                  <w:pPr>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6、重点重金属按照韶关市生态环境分区管控要求执行。</w:t>
                  </w:r>
                </w:p>
                <w:p w14:paraId="64BD7CD4">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rPr>
                    <w:t>7、其它:应符合《韶关市人民政府关于印发韶关市“三线一单"生态环境分区管控方案的通知》(韶府(2021)10号)、《韶关市生态环境分区管控动态更新成果》及后续生态环境分区管控动态更新要求</w:t>
                  </w:r>
                  <w:r>
                    <w:rPr>
                      <w:rFonts w:hint="eastAsia" w:cs="Times New Roman"/>
                      <w:color w:val="auto"/>
                      <w:sz w:val="21"/>
                      <w:szCs w:val="21"/>
                      <w:highlight w:val="none"/>
                      <w:vertAlign w:val="baseline"/>
                      <w:lang w:eastAsia="zh-CN"/>
                    </w:rPr>
                    <w:t>。</w:t>
                  </w:r>
                </w:p>
              </w:tc>
              <w:tc>
                <w:tcPr>
                  <w:tcW w:w="1680" w:type="dxa"/>
                  <w:tcMar>
                    <w:top w:w="0" w:type="dxa"/>
                    <w:left w:w="0" w:type="dxa"/>
                    <w:bottom w:w="0" w:type="dxa"/>
                    <w:right w:w="0" w:type="dxa"/>
                  </w:tcMar>
                  <w:vAlign w:val="center"/>
                </w:tcPr>
                <w:p w14:paraId="0222A704">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pacing w:val="-1"/>
                      <w:sz w:val="21"/>
                      <w:szCs w:val="21"/>
                      <w:highlight w:val="none"/>
                      <w:lang w:val="en-US" w:eastAsia="zh-CN"/>
                    </w:rPr>
                    <w:t>1、项目</w:t>
                  </w:r>
                  <w:r>
                    <w:rPr>
                      <w:rFonts w:hint="default" w:ascii="Times New Roman" w:hAnsi="Times New Roman" w:eastAsia="宋体" w:cs="Times New Roman"/>
                      <w:color w:val="auto"/>
                      <w:sz w:val="21"/>
                      <w:szCs w:val="21"/>
                      <w:highlight w:val="none"/>
                    </w:rPr>
                    <w:t>氮氧化物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VOCs实行总量控制</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需申请污染物排放总量指标</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2、不涉及。3、本</w:t>
                  </w:r>
                  <w:r>
                    <w:rPr>
                      <w:rFonts w:hint="default" w:ascii="Times New Roman" w:hAnsi="Times New Roman" w:eastAsia="宋体" w:cs="Times New Roman"/>
                      <w:color w:val="auto"/>
                      <w:sz w:val="21"/>
                      <w:szCs w:val="21"/>
                      <w:highlight w:val="none"/>
                    </w:rPr>
                    <w:t>项目</w:t>
                  </w:r>
                  <w:r>
                    <w:rPr>
                      <w:rFonts w:hint="eastAsia" w:cs="Times New Roman"/>
                      <w:color w:val="auto"/>
                      <w:sz w:val="21"/>
                      <w:szCs w:val="21"/>
                      <w:highlight w:val="none"/>
                      <w:lang w:val="en-US" w:eastAsia="zh-CN"/>
                    </w:rPr>
                    <w:t>涉及磷化工序，</w:t>
                  </w:r>
                  <w:r>
                    <w:rPr>
                      <w:rFonts w:hint="default" w:ascii="Times New Roman" w:hAnsi="Times New Roman" w:eastAsia="宋体" w:cs="Times New Roman"/>
                      <w:color w:val="auto"/>
                      <w:sz w:val="21"/>
                      <w:szCs w:val="21"/>
                      <w:highlight w:val="none"/>
                    </w:rPr>
                    <w:t>生产废水经自建污水处理站处理</w:t>
                  </w:r>
                  <w:r>
                    <w:rPr>
                      <w:rFonts w:hint="eastAsia" w:cs="Times New Roman"/>
                      <w:color w:val="auto"/>
                      <w:sz w:val="21"/>
                      <w:szCs w:val="21"/>
                      <w:highlight w:val="none"/>
                      <w:lang w:val="en-US" w:eastAsia="zh-CN"/>
                    </w:rPr>
                    <w:t>达</w:t>
                  </w:r>
                  <w:r>
                    <w:rPr>
                      <w:rFonts w:hint="default" w:ascii="Times New Roman" w:hAnsi="Times New Roman" w:eastAsia="宋体" w:cs="Times New Roman"/>
                      <w:color w:val="auto"/>
                      <w:sz w:val="21"/>
                      <w:szCs w:val="21"/>
                      <w:highlight w:val="none"/>
                      <w:vertAlign w:val="baseline"/>
                    </w:rPr>
                    <w:t>《电镀水污染物排放标准》（DB44/1597-2015）非珠三角排放限值</w:t>
                  </w:r>
                  <w:r>
                    <w:rPr>
                      <w:rFonts w:hint="eastAsia" w:cs="Times New Roman"/>
                      <w:color w:val="auto"/>
                      <w:sz w:val="21"/>
                      <w:szCs w:val="21"/>
                      <w:highlight w:val="none"/>
                      <w:vertAlign w:val="baseline"/>
                      <w:lang w:eastAsia="zh-CN"/>
                    </w:rPr>
                    <w:t>、</w:t>
                  </w:r>
                  <w:r>
                    <w:rPr>
                      <w:rFonts w:hint="default" w:ascii="Times New Roman" w:hAnsi="Times New Roman" w:eastAsia="宋体" w:cs="Times New Roman"/>
                      <w:color w:val="auto"/>
                      <w:sz w:val="21"/>
                      <w:szCs w:val="21"/>
                      <w:highlight w:val="none"/>
                      <w:vertAlign w:val="baseline"/>
                    </w:rPr>
                    <w:t>广东省《水污染物排放限值》（DB44/26-2001）第二时段三级标准与依托污水处理厂接管标准</w:t>
                  </w:r>
                  <w:r>
                    <w:rPr>
                      <w:rFonts w:hint="eastAsia" w:cs="Times New Roman"/>
                      <w:color w:val="auto"/>
                      <w:sz w:val="21"/>
                      <w:szCs w:val="21"/>
                      <w:highlight w:val="none"/>
                      <w:vertAlign w:val="baseline"/>
                      <w:lang w:val="en-US" w:eastAsia="zh-CN"/>
                    </w:rPr>
                    <w:t>三者较严值</w:t>
                  </w:r>
                  <w:r>
                    <w:rPr>
                      <w:rFonts w:hint="default" w:ascii="Times New Roman" w:hAnsi="Times New Roman" w:eastAsia="宋体" w:cs="Times New Roman"/>
                      <w:color w:val="auto"/>
                      <w:sz w:val="21"/>
                      <w:szCs w:val="21"/>
                      <w:highlight w:val="none"/>
                    </w:rPr>
                    <w:t>后排入园区污水处理厂</w:t>
                  </w:r>
                  <w:r>
                    <w:rPr>
                      <w:rFonts w:hint="default" w:ascii="Times New Roman" w:hAnsi="Times New Roman" w:eastAsia="宋体" w:cs="Times New Roman"/>
                      <w:color w:val="auto"/>
                      <w:sz w:val="21"/>
                      <w:szCs w:val="21"/>
                      <w:highlight w:val="none"/>
                      <w:lang w:val="en-US" w:eastAsia="zh-CN"/>
                    </w:rPr>
                    <w:t>深度处理</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处理</w:t>
                  </w:r>
                  <w:r>
                    <w:rPr>
                      <w:rFonts w:hint="default" w:ascii="Times New Roman" w:hAnsi="Times New Roman" w:eastAsia="宋体" w:cs="Times New Roman"/>
                      <w:color w:val="auto"/>
                      <w:sz w:val="21"/>
                      <w:szCs w:val="21"/>
                      <w:highlight w:val="none"/>
                    </w:rPr>
                    <w:t>达标后通过出水管道输送</w:t>
                  </w:r>
                  <w:r>
                    <w:rPr>
                      <w:rFonts w:hint="default" w:ascii="Times New Roman" w:hAnsi="Times New Roman" w:eastAsia="宋体" w:cs="Times New Roman"/>
                      <w:color w:val="auto"/>
                      <w:sz w:val="21"/>
                      <w:szCs w:val="21"/>
                      <w:highlight w:val="none"/>
                      <w:lang w:val="en-US" w:eastAsia="zh-CN"/>
                    </w:rPr>
                    <w:t>尾水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rPr>
                    <w:t>废水排放口</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WS-LC005001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排放至</w:t>
                  </w:r>
                  <w:r>
                    <w:rPr>
                      <w:rFonts w:hint="default" w:ascii="Times New Roman" w:hAnsi="Times New Roman" w:eastAsia="宋体" w:cs="Times New Roman"/>
                      <w:color w:val="auto"/>
                      <w:sz w:val="21"/>
                      <w:szCs w:val="21"/>
                      <w:highlight w:val="none"/>
                    </w:rPr>
                    <w:t>榴村霜降坑河</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最终</w:t>
                  </w:r>
                  <w:r>
                    <w:rPr>
                      <w:rFonts w:hint="default" w:ascii="Times New Roman" w:hAnsi="Times New Roman" w:eastAsia="宋体" w:cs="Times New Roman"/>
                      <w:color w:val="auto"/>
                      <w:sz w:val="21"/>
                      <w:szCs w:val="21"/>
                      <w:highlight w:val="none"/>
                    </w:rPr>
                    <w:t>流入武江；生活污水经三级化粪池处理后排入园区污水处理厂，园区污水处理厂执行《城镇污水处理厂污染物排放标准》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GB18918-2002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中一级B标准和广东省《水污染物排放限值</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（DB44/26-2001）中的第二时段一级排放标准中严者。</w:t>
                  </w:r>
                  <w:r>
                    <w:rPr>
                      <w:rFonts w:hint="eastAsia" w:cs="Times New Roman"/>
                      <w:color w:val="auto"/>
                      <w:sz w:val="21"/>
                      <w:szCs w:val="21"/>
                      <w:highlight w:val="none"/>
                      <w:lang w:val="en-US" w:eastAsia="zh-CN"/>
                    </w:rPr>
                    <w:t>4、不涉及。5、项目配套建设固废贮存间。6、不涉及。7、</w:t>
                  </w:r>
                  <w:r>
                    <w:rPr>
                      <w:rFonts w:hint="eastAsia" w:cs="Times New Roman"/>
                      <w:color w:val="auto"/>
                      <w:spacing w:val="-1"/>
                      <w:sz w:val="21"/>
                      <w:szCs w:val="21"/>
                      <w:highlight w:val="none"/>
                      <w:lang w:val="en-US" w:eastAsia="zh-CN"/>
                    </w:rPr>
                    <w:t>满足韶关市</w:t>
                  </w:r>
                  <w:r>
                    <w:rPr>
                      <w:rFonts w:hint="default" w:ascii="Times New Roman" w:hAnsi="Times New Roman" w:eastAsia="宋体" w:cs="Times New Roman"/>
                      <w:color w:val="auto"/>
                      <w:sz w:val="21"/>
                      <w:szCs w:val="21"/>
                      <w:highlight w:val="none"/>
                      <w:vertAlign w:val="baseline"/>
                    </w:rPr>
                    <w:t>生态环境分区管控</w:t>
                  </w:r>
                  <w:r>
                    <w:rPr>
                      <w:rFonts w:hint="eastAsia" w:cs="Times New Roman"/>
                      <w:color w:val="auto"/>
                      <w:sz w:val="21"/>
                      <w:szCs w:val="21"/>
                      <w:highlight w:val="none"/>
                      <w:vertAlign w:val="baseline"/>
                      <w:lang w:val="en-US" w:eastAsia="zh-CN"/>
                    </w:rPr>
                    <w:t>要求。</w:t>
                  </w:r>
                </w:p>
              </w:tc>
              <w:tc>
                <w:tcPr>
                  <w:tcW w:w="577" w:type="dxa"/>
                  <w:tcMar>
                    <w:top w:w="0" w:type="dxa"/>
                    <w:left w:w="0" w:type="dxa"/>
                    <w:bottom w:w="0" w:type="dxa"/>
                    <w:right w:w="0" w:type="dxa"/>
                  </w:tcMar>
                  <w:vAlign w:val="center"/>
                </w:tcPr>
                <w:p w14:paraId="49114389">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相符</w:t>
                  </w:r>
                </w:p>
              </w:tc>
            </w:tr>
            <w:tr w14:paraId="0D917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6" w:hRule="atLeast"/>
              </w:trPr>
              <w:tc>
                <w:tcPr>
                  <w:tcW w:w="548" w:type="dxa"/>
                  <w:tcMar>
                    <w:top w:w="0" w:type="dxa"/>
                    <w:left w:w="0" w:type="dxa"/>
                    <w:bottom w:w="0" w:type="dxa"/>
                    <w:right w:w="0" w:type="dxa"/>
                  </w:tcMar>
                  <w:vAlign w:val="center"/>
                </w:tcPr>
                <w:p w14:paraId="455C11EF">
                  <w:p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环境风险管控</w:t>
                  </w:r>
                </w:p>
              </w:tc>
              <w:tc>
                <w:tcPr>
                  <w:tcW w:w="3555" w:type="dxa"/>
                  <w:tcMar>
                    <w:top w:w="0" w:type="dxa"/>
                    <w:left w:w="0" w:type="dxa"/>
                    <w:bottom w:w="0" w:type="dxa"/>
                    <w:right w:w="0" w:type="dxa"/>
                  </w:tcMar>
                  <w:vAlign w:val="center"/>
                </w:tcPr>
                <w:p w14:paraId="22A48F63">
                  <w:pPr>
                    <w:numPr>
                      <w:ilvl w:val="0"/>
                      <w:numId w:val="0"/>
                    </w:numPr>
                    <w:spacing w:line="240" w:lineRule="auto"/>
                    <w:ind w:leftChars="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1、应建立企业、管委会、乐昌市三级环境风险防控体系，加强产业园及入区企业环境应急设施整合共享，建立有效的拦截、降污、导流、暂存等工程措施，防止泄漏物、消防废水等进入外环境。2、生产、使用、储存危险化学品或其他存在环境风险的入区项目应配套有效的风险防范措施，并根据国家及广东省环境应急预案管理的要求编制环境风险应急预案，防止因渗漏污染地下水、土壤，以及因事故废水直排污染地表水体。</w:t>
                  </w:r>
                </w:p>
                <w:p w14:paraId="49833484">
                  <w:pPr>
                    <w:numPr>
                      <w:ilvl w:val="0"/>
                      <w:numId w:val="0"/>
                    </w:numPr>
                    <w:spacing w:line="240" w:lineRule="auto"/>
                    <w:ind w:leftChars="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3、涉及生产废水排放企业需配套有效措施，防止事故废水直排污染地表水体，防止因渗漏污染地下水。</w:t>
                  </w:r>
                </w:p>
                <w:p w14:paraId="02044AD4">
                  <w:pPr>
                    <w:numPr>
                      <w:ilvl w:val="0"/>
                      <w:numId w:val="0"/>
                    </w:numPr>
                    <w:spacing w:line="240" w:lineRule="auto"/>
                    <w:ind w:leftChars="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4、建立开发区环境应急监测机制、健全环境质量监测、环境风险防控等环保管理制度。结合开发区实际情况适时建设智能化环保管理监控平台，监控区内重点污染企业的用能、排污等情况。</w:t>
                  </w:r>
                </w:p>
                <w:p w14:paraId="29F1A106">
                  <w:pPr>
                    <w:numPr>
                      <w:ilvl w:val="0"/>
                      <w:numId w:val="0"/>
                    </w:numPr>
                    <w:spacing w:line="240" w:lineRule="auto"/>
                    <w:ind w:leftChars="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5、城东片区污水处理厂应设置有效容积不少于1248立方米的事故应急池，防止事故废水排入外环境，确保水环境安全。</w:t>
                  </w:r>
                </w:p>
                <w:p w14:paraId="3E690A33">
                  <w:pPr>
                    <w:numPr>
                      <w:ilvl w:val="0"/>
                      <w:numId w:val="0"/>
                    </w:numPr>
                    <w:spacing w:line="240" w:lineRule="auto"/>
                    <w:ind w:leftChars="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6、其它:应符合《韶关市人民政府关于印发韶关市“三线一单”生态环境分区管控方案的通知》(韶府</w:t>
                  </w:r>
                  <w:r>
                    <w:rPr>
                      <w:rFonts w:hint="eastAsia"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rPr>
                    <w:t>2021]10号)、《韶关市生态环境分区管控动态更新成果》及后续生态环境分区管控动态更新</w:t>
                  </w:r>
                  <w:r>
                    <w:rPr>
                      <w:rFonts w:hint="eastAsia" w:cs="Times New Roman"/>
                      <w:color w:val="auto"/>
                      <w:sz w:val="21"/>
                      <w:szCs w:val="21"/>
                      <w:highlight w:val="none"/>
                      <w:vertAlign w:val="baseline"/>
                      <w:lang w:eastAsia="zh-CN"/>
                    </w:rPr>
                    <w:t>要求。</w:t>
                  </w:r>
                </w:p>
              </w:tc>
              <w:tc>
                <w:tcPr>
                  <w:tcW w:w="1680" w:type="dxa"/>
                  <w:tcMar>
                    <w:top w:w="0" w:type="dxa"/>
                    <w:left w:w="0" w:type="dxa"/>
                    <w:bottom w:w="0" w:type="dxa"/>
                    <w:right w:w="0" w:type="dxa"/>
                  </w:tcMar>
                  <w:vAlign w:val="center"/>
                </w:tcPr>
                <w:p w14:paraId="43DB271E">
                  <w:pPr>
                    <w:numPr>
                      <w:ilvl w:val="0"/>
                      <w:numId w:val="0"/>
                    </w:numPr>
                    <w:spacing w:line="240" w:lineRule="auto"/>
                    <w:ind w:left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本项目</w:t>
                  </w:r>
                  <w:r>
                    <w:rPr>
                      <w:rFonts w:hint="eastAsia" w:cs="Times New Roman"/>
                      <w:color w:val="auto"/>
                      <w:sz w:val="21"/>
                      <w:szCs w:val="21"/>
                      <w:highlight w:val="none"/>
                      <w:lang w:val="en-US" w:eastAsia="zh-CN"/>
                    </w:rPr>
                    <w:t>配套有效的拦截、导流、暂存如围堰等工程措施。2、配套应急池用于收集消防废水。3、</w:t>
                  </w:r>
                  <w:r>
                    <w:rPr>
                      <w:rFonts w:hint="default" w:ascii="Times New Roman" w:hAnsi="Times New Roman" w:eastAsia="宋体" w:cs="Times New Roman"/>
                      <w:color w:val="auto"/>
                      <w:sz w:val="21"/>
                      <w:szCs w:val="21"/>
                      <w:highlight w:val="none"/>
                    </w:rPr>
                    <w:t>本项目制定有效的事故风险防范和应急措施，为防范污染事故发生，并避免发生事故对周围环境造成污染，确保环境安全。项目符合环境风险防控要求。</w:t>
                  </w:r>
                  <w:r>
                    <w:rPr>
                      <w:rFonts w:hint="eastAsia" w:cs="Times New Roman"/>
                      <w:color w:val="auto"/>
                      <w:sz w:val="21"/>
                      <w:szCs w:val="21"/>
                      <w:highlight w:val="none"/>
                      <w:lang w:val="en-US" w:eastAsia="zh-CN"/>
                    </w:rPr>
                    <w:t>4、不涉及。5、不涉及。6、</w:t>
                  </w:r>
                  <w:r>
                    <w:rPr>
                      <w:rFonts w:hint="eastAsia" w:cs="Times New Roman"/>
                      <w:color w:val="auto"/>
                      <w:spacing w:val="-1"/>
                      <w:sz w:val="21"/>
                      <w:szCs w:val="21"/>
                      <w:highlight w:val="none"/>
                      <w:lang w:val="en-US" w:eastAsia="zh-CN"/>
                    </w:rPr>
                    <w:t>满足韶关市</w:t>
                  </w:r>
                  <w:r>
                    <w:rPr>
                      <w:rFonts w:hint="default" w:ascii="Times New Roman" w:hAnsi="Times New Roman" w:eastAsia="宋体" w:cs="Times New Roman"/>
                      <w:color w:val="auto"/>
                      <w:sz w:val="21"/>
                      <w:szCs w:val="21"/>
                      <w:highlight w:val="none"/>
                      <w:vertAlign w:val="baseline"/>
                    </w:rPr>
                    <w:t>生态环境分区管控</w:t>
                  </w:r>
                  <w:r>
                    <w:rPr>
                      <w:rFonts w:hint="eastAsia" w:cs="Times New Roman"/>
                      <w:color w:val="auto"/>
                      <w:sz w:val="21"/>
                      <w:szCs w:val="21"/>
                      <w:highlight w:val="none"/>
                      <w:vertAlign w:val="baseline"/>
                      <w:lang w:val="en-US" w:eastAsia="zh-CN"/>
                    </w:rPr>
                    <w:t>要求。</w:t>
                  </w:r>
                </w:p>
              </w:tc>
              <w:tc>
                <w:tcPr>
                  <w:tcW w:w="577" w:type="dxa"/>
                  <w:tcMar>
                    <w:top w:w="0" w:type="dxa"/>
                    <w:left w:w="0" w:type="dxa"/>
                    <w:bottom w:w="0" w:type="dxa"/>
                    <w:right w:w="0" w:type="dxa"/>
                  </w:tcMar>
                  <w:vAlign w:val="center"/>
                </w:tcPr>
                <w:p w14:paraId="270D4C84">
                  <w:pPr>
                    <w:numPr>
                      <w:ilvl w:val="0"/>
                      <w:numId w:val="0"/>
                    </w:numPr>
                    <w:spacing w:line="240" w:lineRule="auto"/>
                    <w:ind w:left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相符</w:t>
                  </w:r>
                </w:p>
              </w:tc>
            </w:tr>
            <w:tr w14:paraId="7CDB0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8" w:hRule="atLeast"/>
              </w:trPr>
              <w:tc>
                <w:tcPr>
                  <w:tcW w:w="548" w:type="dxa"/>
                  <w:tcMar>
                    <w:top w:w="0" w:type="dxa"/>
                    <w:left w:w="0" w:type="dxa"/>
                    <w:bottom w:w="0" w:type="dxa"/>
                    <w:right w:w="0" w:type="dxa"/>
                  </w:tcMar>
                  <w:vAlign w:val="center"/>
                </w:tcPr>
                <w:p w14:paraId="03DC78EE">
                  <w:p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资源开发利用管理</w:t>
                  </w:r>
                </w:p>
              </w:tc>
              <w:tc>
                <w:tcPr>
                  <w:tcW w:w="3555" w:type="dxa"/>
                  <w:tcMar>
                    <w:top w:w="0" w:type="dxa"/>
                    <w:left w:w="0" w:type="dxa"/>
                    <w:bottom w:w="0" w:type="dxa"/>
                    <w:right w:w="0" w:type="dxa"/>
                  </w:tcMar>
                  <w:vAlign w:val="center"/>
                </w:tcPr>
                <w:p w14:paraId="3AA0DB8A">
                  <w:pPr>
                    <w:spacing w:line="240" w:lineRule="auto"/>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1、禁止使用高污染燃料，建议使用电能、天然气等清洁能源。</w:t>
                  </w:r>
                </w:p>
                <w:p w14:paraId="270D5B55">
                  <w:pPr>
                    <w:spacing w:line="240" w:lineRule="auto"/>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2、贯彻落实“节水优先”方针，实行最严格水资源管理制度;</w:t>
                  </w:r>
                </w:p>
                <w:p w14:paraId="4672DF94">
                  <w:pPr>
                    <w:spacing w:line="240" w:lineRule="auto"/>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3、其它应符合《韶关市人民政府关于印发韶关市“三线一单”生态环境分区管控方案的通知》(韶府(2021) 10号)、《韶关市生态环境分区管控动态更新成果》及后续生态环境分区管控动态更新</w:t>
                  </w:r>
                  <w:r>
                    <w:rPr>
                      <w:rFonts w:hint="eastAsia" w:cs="Times New Roman"/>
                      <w:color w:val="auto"/>
                      <w:sz w:val="21"/>
                      <w:szCs w:val="21"/>
                      <w:highlight w:val="none"/>
                      <w:vertAlign w:val="baseline"/>
                      <w:lang w:eastAsia="zh-CN"/>
                    </w:rPr>
                    <w:t>要求。</w:t>
                  </w:r>
                </w:p>
              </w:tc>
              <w:tc>
                <w:tcPr>
                  <w:tcW w:w="1680" w:type="dxa"/>
                  <w:tcMar>
                    <w:top w:w="0" w:type="dxa"/>
                    <w:left w:w="0" w:type="dxa"/>
                    <w:bottom w:w="0" w:type="dxa"/>
                    <w:right w:w="0" w:type="dxa"/>
                  </w:tcMar>
                  <w:vAlign w:val="center"/>
                </w:tcPr>
                <w:p w14:paraId="7765BF25">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本项目烘水炉</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固化炉</w:t>
                  </w:r>
                  <w:r>
                    <w:rPr>
                      <w:rFonts w:hint="default" w:ascii="Times New Roman" w:hAnsi="Times New Roman" w:eastAsia="宋体" w:cs="Times New Roman"/>
                      <w:color w:val="auto"/>
                      <w:sz w:val="21"/>
                      <w:szCs w:val="21"/>
                      <w:highlight w:val="none"/>
                    </w:rPr>
                    <w:t>能源使用天然气，天然气属于清洁能源。</w:t>
                  </w:r>
                  <w:r>
                    <w:rPr>
                      <w:rFonts w:hint="eastAsia" w:cs="Times New Roman"/>
                      <w:color w:val="auto"/>
                      <w:sz w:val="21"/>
                      <w:szCs w:val="21"/>
                      <w:highlight w:val="none"/>
                      <w:lang w:val="en-US" w:eastAsia="zh-CN"/>
                    </w:rPr>
                    <w:t>2、项目采用节水设备，实行严格的水资源管理制度。</w:t>
                  </w:r>
                </w:p>
                <w:p w14:paraId="27E614B9">
                  <w:pPr>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3、项目符合韶关市</w:t>
                  </w:r>
                  <w:r>
                    <w:rPr>
                      <w:rFonts w:hint="default" w:ascii="Times New Roman" w:hAnsi="Times New Roman" w:eastAsia="宋体" w:cs="Times New Roman"/>
                      <w:color w:val="auto"/>
                      <w:sz w:val="21"/>
                      <w:szCs w:val="21"/>
                      <w:highlight w:val="none"/>
                      <w:vertAlign w:val="baseline"/>
                      <w:lang w:eastAsia="zh-CN"/>
                    </w:rPr>
                    <w:t>生态环境分区管控</w:t>
                  </w:r>
                  <w:r>
                    <w:rPr>
                      <w:rFonts w:hint="eastAsia" w:cs="Times New Roman"/>
                      <w:color w:val="auto"/>
                      <w:sz w:val="21"/>
                      <w:szCs w:val="21"/>
                      <w:highlight w:val="none"/>
                      <w:vertAlign w:val="baseline"/>
                      <w:lang w:val="en-US" w:eastAsia="zh-CN"/>
                    </w:rPr>
                    <w:t>要求</w:t>
                  </w:r>
                </w:p>
              </w:tc>
              <w:tc>
                <w:tcPr>
                  <w:tcW w:w="577" w:type="dxa"/>
                  <w:tcMar>
                    <w:top w:w="0" w:type="dxa"/>
                    <w:left w:w="0" w:type="dxa"/>
                    <w:bottom w:w="0" w:type="dxa"/>
                    <w:right w:w="0" w:type="dxa"/>
                  </w:tcMar>
                  <w:vAlign w:val="center"/>
                </w:tcPr>
                <w:p w14:paraId="74C71E57">
                  <w:pPr>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相符</w:t>
                  </w:r>
                </w:p>
              </w:tc>
            </w:tr>
          </w:tbl>
          <w:p w14:paraId="7B06671A">
            <w:pPr>
              <w:pStyle w:val="61"/>
              <w:keepNext w:val="0"/>
              <w:keepLines w:val="0"/>
              <w:pageBreakBefore w:val="0"/>
              <w:kinsoku/>
              <w:wordWrap w:val="0"/>
              <w:overflowPunct/>
              <w:topLinePunct w:val="0"/>
              <w:bidi w:val="0"/>
              <w:adjustRightInd/>
              <w:snapToGrid/>
              <w:spacing w:line="360" w:lineRule="auto"/>
              <w:ind w:firstLine="476" w:firstLineChars="200"/>
              <w:jc w:val="left"/>
              <w:outlineLvl w:val="9"/>
              <w:rPr>
                <w:rFonts w:hint="default" w:ascii="Times New Roman" w:hAnsi="Times New Roman" w:cs="Times New Roman"/>
                <w:color w:val="auto"/>
                <w:spacing w:val="-1"/>
                <w:sz w:val="24"/>
                <w:szCs w:val="24"/>
                <w:highlight w:val="none"/>
              </w:rPr>
            </w:pPr>
          </w:p>
        </w:tc>
      </w:tr>
      <w:tr w14:paraId="0A460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jc w:val="center"/>
        </w:trPr>
        <w:tc>
          <w:tcPr>
            <w:tcW w:w="267" w:type="pct"/>
            <w:vAlign w:val="center"/>
          </w:tcPr>
          <w:p w14:paraId="14AD7E3A">
            <w:pPr>
              <w:keepNext/>
              <w:keepLines w:val="0"/>
              <w:pageBreakBefore w:val="0"/>
              <w:widowControl/>
              <w:numPr>
                <w:ilvl w:val="1"/>
                <w:numId w:val="0"/>
              </w:numPr>
              <w:tabs>
                <w:tab w:val="left" w:pos="420"/>
              </w:tabs>
              <w:kinsoku/>
              <w:wordWrap w:val="0"/>
              <w:overflowPunct/>
              <w:topLinePunct w:val="0"/>
              <w:autoSpaceDE/>
              <w:autoSpaceDN/>
              <w:bidi w:val="0"/>
              <w:adjustRightInd/>
              <w:snapToGrid/>
              <w:textAlignment w:val="auto"/>
              <w:outlineLvl w:val="9"/>
              <w:rPr>
                <w:rFonts w:hint="default" w:ascii="Times New Roman" w:hAnsi="Times New Roman" w:cs="Times New Roman"/>
                <w:color w:val="auto"/>
                <w:highlight w:val="none"/>
              </w:rPr>
            </w:pPr>
            <w:bookmarkStart w:id="7" w:name="_Toc28749"/>
            <w:bookmarkStart w:id="8" w:name="_Toc2999"/>
            <w:bookmarkStart w:id="9" w:name="_Toc11884"/>
            <w:bookmarkStart w:id="10" w:name="_Toc22642"/>
            <w:bookmarkStart w:id="11" w:name="_Toc27052"/>
            <w:r>
              <w:rPr>
                <w:rFonts w:hint="default" w:ascii="Times New Roman" w:hAnsi="Times New Roman" w:cs="Times New Roman"/>
                <w:color w:val="auto"/>
                <w:highlight w:val="none"/>
              </w:rPr>
              <w:t>其他符合性分析</w:t>
            </w:r>
            <w:bookmarkEnd w:id="7"/>
            <w:bookmarkEnd w:id="8"/>
            <w:bookmarkEnd w:id="9"/>
            <w:bookmarkEnd w:id="10"/>
            <w:bookmarkEnd w:id="11"/>
          </w:p>
        </w:tc>
        <w:tc>
          <w:tcPr>
            <w:tcW w:w="4732" w:type="pct"/>
            <w:gridSpan w:val="6"/>
            <w:vAlign w:val="center"/>
          </w:tcPr>
          <w:p w14:paraId="7E4519B8">
            <w:pPr>
              <w:keepNext/>
              <w:keepLines/>
              <w:pageBreakBefore w:val="0"/>
              <w:tabs>
                <w:tab w:val="left" w:pos="0"/>
              </w:tabs>
              <w:wordWrap w:val="0"/>
              <w:overflowPunct/>
              <w:bidi w:val="0"/>
              <w:ind w:left="-2" w:firstLine="480" w:firstLineChars="200"/>
              <w:outlineLvl w:val="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一、产业政策相符性分析</w:t>
            </w:r>
          </w:p>
          <w:p w14:paraId="40E360EE">
            <w:pPr>
              <w:keepNext/>
              <w:keepLines/>
              <w:pageBreakBefore w:val="0"/>
              <w:tabs>
                <w:tab w:val="left" w:pos="0"/>
              </w:tabs>
              <w:wordWrap w:val="0"/>
              <w:overflowPunct/>
              <w:bidi w:val="0"/>
              <w:ind w:firstLine="480" w:firstLineChars="200"/>
              <w:outlineLvl w:val="2"/>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本项目所属行业类别为</w:t>
            </w:r>
            <w:r>
              <w:rPr>
                <w:rFonts w:hint="eastAsia" w:cs="Times New Roman"/>
                <w:color w:val="auto"/>
                <w:highlight w:val="none"/>
                <w:lang w:eastAsia="zh-CN"/>
              </w:rPr>
              <w:t>C3311 金属结构制造</w:t>
            </w:r>
            <w:r>
              <w:rPr>
                <w:rFonts w:hint="default" w:ascii="Times New Roman" w:hAnsi="Times New Roman" w:cs="Times New Roman"/>
                <w:color w:val="auto"/>
                <w:highlight w:val="none"/>
              </w:rPr>
              <w:t>，根据《产业结构调整指导目录（2024年本）》（国家发展和改革委员会令 第7号），本项目不属于指导目录中的鼓励类、限制类和淘汰类产业，符合国家有关法律、法规和政策规定，属于允许类。</w:t>
            </w:r>
          </w:p>
          <w:p w14:paraId="43626209">
            <w:pPr>
              <w:pStyle w:val="20"/>
              <w:pageBreakBefore w:val="0"/>
              <w:wordWrap w:val="0"/>
              <w:overflowPunct/>
              <w:bidi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根据</w:t>
            </w:r>
            <w:r>
              <w:rPr>
                <w:rFonts w:hint="default" w:ascii="Times New Roman" w:hAnsi="Times New Roman" w:cs="Times New Roman"/>
                <w:color w:val="auto"/>
                <w:kern w:val="0"/>
                <w:highlight w:val="none"/>
                <w:lang w:eastAsia="zh-CN"/>
              </w:rPr>
              <w:t>《市场准入负面清单（2025年版）》（发改体改规〔2025〕466号）、</w:t>
            </w:r>
            <w:r>
              <w:rPr>
                <w:rFonts w:hint="default" w:ascii="Times New Roman" w:hAnsi="Times New Roman" w:cs="Times New Roman"/>
                <w:color w:val="auto"/>
                <w:kern w:val="0"/>
                <w:highlight w:val="none"/>
              </w:rPr>
              <w:t>《广东省国家重点生态功能区产业准入负面清单（试行）》（粤发改规划（2017）331号），</w:t>
            </w:r>
            <w:r>
              <w:rPr>
                <w:rFonts w:hint="default" w:ascii="Times New Roman" w:hAnsi="Times New Roman" w:cs="Times New Roman"/>
                <w:color w:val="auto"/>
                <w:kern w:val="0"/>
                <w:highlight w:val="none"/>
                <w:lang w:eastAsia="zh-CN"/>
              </w:rPr>
              <w:t>项目</w:t>
            </w:r>
            <w:r>
              <w:rPr>
                <w:rFonts w:hint="default" w:ascii="Times New Roman" w:hAnsi="Times New Roman" w:cs="Times New Roman"/>
                <w:color w:val="auto"/>
                <w:kern w:val="0"/>
                <w:highlight w:val="none"/>
              </w:rPr>
              <w:t>不属于</w:t>
            </w:r>
            <w:r>
              <w:rPr>
                <w:rFonts w:hint="default" w:ascii="Times New Roman" w:hAnsi="Times New Roman" w:cs="Times New Roman"/>
                <w:color w:val="auto"/>
                <w:highlight w:val="none"/>
                <w:lang w:val="en-US" w:eastAsia="zh-CN"/>
              </w:rPr>
              <w:t>负面清单所列行业，也不</w:t>
            </w:r>
            <w:r>
              <w:rPr>
                <w:rFonts w:hint="eastAsia" w:cs="Times New Roman"/>
                <w:color w:val="auto"/>
                <w:highlight w:val="none"/>
                <w:lang w:val="en-US" w:eastAsia="zh-CN"/>
              </w:rPr>
              <w:t>无</w:t>
            </w:r>
            <w:r>
              <w:rPr>
                <w:rFonts w:hint="default" w:ascii="Times New Roman" w:hAnsi="Times New Roman" w:cs="Times New Roman"/>
                <w:color w:val="auto"/>
                <w:highlight w:val="none"/>
                <w:lang w:val="en-US" w:eastAsia="zh-CN"/>
              </w:rPr>
              <w:t>许可准入事项</w:t>
            </w:r>
            <w:r>
              <w:rPr>
                <w:rFonts w:hint="default" w:ascii="Times New Roman" w:hAnsi="Times New Roman" w:cs="Times New Roman"/>
                <w:color w:val="auto"/>
                <w:kern w:val="0"/>
                <w:highlight w:val="none"/>
              </w:rPr>
              <w:t>。因此，本项目可依法进行建设和投产。</w:t>
            </w:r>
          </w:p>
          <w:p w14:paraId="6B7F884A">
            <w:pPr>
              <w:pageBreakBefore w:val="0"/>
              <w:wordWrap w:val="0"/>
              <w:overflowPunct/>
              <w:bidi w:val="0"/>
              <w:adjustRightInd w:val="0"/>
              <w:snapToGrid w:val="0"/>
              <w:ind w:firstLine="480" w:firstLineChars="200"/>
              <w:jc w:val="left"/>
              <w:rPr>
                <w:rFonts w:hint="default" w:ascii="Times New Roman" w:hAnsi="Times New Roman" w:cs="Times New Roman"/>
                <w:b/>
                <w:bCs/>
                <w:color w:val="auto"/>
                <w:kern w:val="0"/>
                <w:highlight w:val="none"/>
              </w:rPr>
            </w:pPr>
            <w:r>
              <w:rPr>
                <w:rFonts w:hint="default" w:ascii="Times New Roman" w:hAnsi="Times New Roman" w:cs="Times New Roman"/>
                <w:b/>
                <w:bCs/>
                <w:color w:val="auto"/>
                <w:kern w:val="0"/>
                <w:highlight w:val="none"/>
              </w:rPr>
              <w:t>二、与环境功能区划相符性分析</w:t>
            </w:r>
          </w:p>
          <w:p w14:paraId="7BF3B967">
            <w:pPr>
              <w:pStyle w:val="20"/>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（1）根据《广东省人民政府关于印发</w:t>
            </w:r>
            <w:r>
              <w:rPr>
                <w:rFonts w:hint="default" w:ascii="Times New Roman" w:hAnsi="Times New Roman" w:cs="Times New Roman"/>
                <w:color w:val="auto"/>
                <w:kern w:val="0"/>
                <w:highlight w:val="none"/>
                <w:lang w:val="en-US" w:eastAsia="zh-CN"/>
              </w:rPr>
              <w:t>&lt;</w:t>
            </w:r>
            <w:r>
              <w:rPr>
                <w:rFonts w:hint="default" w:ascii="Times New Roman" w:hAnsi="Times New Roman" w:cs="Times New Roman"/>
                <w:color w:val="auto"/>
                <w:kern w:val="0"/>
                <w:highlight w:val="none"/>
              </w:rPr>
              <w:t>部分市乡镇集中式饮用水源保护区划分方案</w:t>
            </w:r>
            <w:r>
              <w:rPr>
                <w:rFonts w:hint="default" w:ascii="Times New Roman" w:hAnsi="Times New Roman" w:cs="Times New Roman"/>
                <w:color w:val="auto"/>
                <w:kern w:val="0"/>
                <w:highlight w:val="none"/>
                <w:lang w:val="en-US" w:eastAsia="zh-CN"/>
              </w:rPr>
              <w:t>&gt;</w:t>
            </w:r>
            <w:r>
              <w:rPr>
                <w:rFonts w:hint="default" w:ascii="Times New Roman" w:hAnsi="Times New Roman" w:cs="Times New Roman"/>
                <w:color w:val="auto"/>
                <w:kern w:val="0"/>
                <w:highlight w:val="none"/>
              </w:rPr>
              <w:t>的通知》（粤府函〔2015〕17号）及《广东省人民政府关于调整韶关市部分饮用水水源保护区的批复》（粤府函〔2018〕427号），项目所在地不属于韶关市一、二级水源保护区，符合</w:t>
            </w:r>
            <w:r>
              <w:rPr>
                <w:rFonts w:hint="default" w:ascii="Times New Roman" w:hAnsi="Times New Roman" w:cs="Times New Roman"/>
                <w:color w:val="auto"/>
                <w:highlight w:val="none"/>
              </w:rPr>
              <w:t>水污染防治条例</w:t>
            </w:r>
            <w:r>
              <w:rPr>
                <w:rFonts w:hint="default" w:ascii="Times New Roman" w:hAnsi="Times New Roman" w:cs="Times New Roman"/>
                <w:color w:val="auto"/>
                <w:kern w:val="0"/>
                <w:highlight w:val="none"/>
              </w:rPr>
              <w:t>的有关要求。</w:t>
            </w:r>
          </w:p>
          <w:p w14:paraId="2B137A00">
            <w:pPr>
              <w:pStyle w:val="20"/>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default" w:ascii="Times New Roman" w:hAnsi="Times New Roman" w:cs="Times New Roman"/>
                <w:color w:val="auto"/>
                <w:kern w:val="0"/>
                <w:highlight w:val="none"/>
              </w:rPr>
            </w:pPr>
            <w:r>
              <w:rPr>
                <w:rFonts w:hint="default" w:ascii="Times New Roman" w:hAnsi="Times New Roman" w:cs="Times New Roman"/>
                <w:color w:val="auto"/>
                <w:kern w:val="0"/>
                <w:sz w:val="24"/>
                <w:highlight w:val="none"/>
                <w:lang w:val="en-US" w:eastAsia="zh-CN"/>
              </w:rPr>
              <w:t>同时根据《广东省水利厅关于印发&lt;韶关市部分饮用水水源保护区调整方案&gt;的通知》（粤环函〔2024〕146号）可知，本项目选址未处于各级饮用水水源保护区范围内，本项目与最近饮用水水源保护区：韶关市区武江饮用水水源地准保护区距离约为5150m（本项目西南边界至水域岸线距离为5650m，韶关市区武江饮用水水源地准保护区陆地保护范围为：</w:t>
            </w:r>
            <w:r>
              <w:rPr>
                <w:rFonts w:hint="default" w:ascii="Times New Roman" w:hAnsi="Times New Roman" w:cs="Times New Roman"/>
                <w:color w:val="auto"/>
                <w:kern w:val="0"/>
                <w:sz w:val="24"/>
                <w:highlight w:val="none"/>
              </w:rPr>
              <w:t>水域的两岸正常岸线向陆纵深500米不超过第一重山山脊线的陆域集雨范围，包括江心岛</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两者关系距离取5650m-500m=5150m），详见附图18。</w:t>
            </w:r>
          </w:p>
          <w:p w14:paraId="2011C1F1">
            <w:pPr>
              <w:pageBreakBefore w:val="0"/>
              <w:widowControl/>
              <w:wordWrap w:val="0"/>
              <w:overflowPunct/>
              <w:bidi w:val="0"/>
              <w:ind w:firstLine="480" w:firstLineChars="200"/>
              <w:jc w:val="left"/>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（2）根据《乐昌市人民政府办公室关于印发</w:t>
            </w:r>
            <w:r>
              <w:rPr>
                <w:rFonts w:hint="default" w:ascii="Times New Roman" w:hAnsi="Times New Roman" w:cs="Times New Roman"/>
                <w:color w:val="auto"/>
                <w:kern w:val="0"/>
                <w:highlight w:val="none"/>
                <w:lang w:val="en-US" w:eastAsia="zh-CN"/>
              </w:rPr>
              <w:t>&lt;</w:t>
            </w:r>
            <w:r>
              <w:rPr>
                <w:rFonts w:hint="default" w:ascii="Times New Roman" w:hAnsi="Times New Roman" w:cs="Times New Roman"/>
                <w:color w:val="auto"/>
                <w:kern w:val="0"/>
                <w:highlight w:val="none"/>
              </w:rPr>
              <w:t>乐昌市生态环境保护“十四五”规划</w:t>
            </w:r>
            <w:r>
              <w:rPr>
                <w:rFonts w:hint="default" w:ascii="Times New Roman" w:hAnsi="Times New Roman" w:cs="Times New Roman"/>
                <w:color w:val="auto"/>
                <w:kern w:val="0"/>
                <w:highlight w:val="none"/>
                <w:lang w:val="en-US" w:eastAsia="zh-CN"/>
              </w:rPr>
              <w:t>&gt;</w:t>
            </w:r>
            <w:r>
              <w:rPr>
                <w:rFonts w:hint="default" w:ascii="Times New Roman" w:hAnsi="Times New Roman" w:cs="Times New Roman"/>
                <w:color w:val="auto"/>
                <w:kern w:val="0"/>
                <w:highlight w:val="none"/>
              </w:rPr>
              <w:t>的通知》（乐府办〔2022〕16号）中《乐昌市“十四五”生态环境保护规划大气环境功能区划图》，项目所在区域为环境空气质量二类功能区（详见附图</w:t>
            </w:r>
            <w:r>
              <w:rPr>
                <w:rFonts w:hint="default" w:ascii="Times New Roman" w:hAnsi="Times New Roman" w:cs="Times New Roman"/>
                <w:color w:val="auto"/>
                <w:kern w:val="0"/>
                <w:highlight w:val="none"/>
                <w:lang w:val="en-US" w:eastAsia="zh-CN"/>
              </w:rPr>
              <w:t>8</w:t>
            </w:r>
            <w:r>
              <w:rPr>
                <w:rFonts w:hint="default" w:ascii="Times New Roman" w:hAnsi="Times New Roman" w:cs="Times New Roman"/>
                <w:color w:val="auto"/>
                <w:kern w:val="0"/>
                <w:highlight w:val="none"/>
              </w:rPr>
              <w:t>），不属于环境空气质量一类功能区中的自然保护区风景名胜区和</w:t>
            </w:r>
            <w:r>
              <w:rPr>
                <w:rFonts w:hint="default" w:ascii="Times New Roman" w:hAnsi="Times New Roman" w:cs="Times New Roman"/>
                <w:color w:val="auto"/>
                <w:kern w:val="0"/>
                <w:highlight w:val="none"/>
                <w:lang w:eastAsia="zh-CN"/>
              </w:rPr>
              <w:t>其他需要</w:t>
            </w:r>
            <w:r>
              <w:rPr>
                <w:rFonts w:hint="default" w:ascii="Times New Roman" w:hAnsi="Times New Roman" w:cs="Times New Roman"/>
                <w:color w:val="auto"/>
                <w:kern w:val="0"/>
                <w:highlight w:val="none"/>
              </w:rPr>
              <w:t>特殊保护的区域。</w:t>
            </w:r>
          </w:p>
          <w:p w14:paraId="4DA702EE">
            <w:pPr>
              <w:pageBreakBefore w:val="0"/>
              <w:wordWrap w:val="0"/>
              <w:overflowPunct/>
              <w:bidi w:val="0"/>
              <w:adjustRightInd w:val="0"/>
              <w:snapToGrid w:val="0"/>
              <w:ind w:firstLine="480" w:firstLineChars="200"/>
              <w:jc w:val="left"/>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（3）根据《乐昌产业转移工业园控制性详细规划-城东地块论证报告调整后》</w:t>
            </w:r>
            <w:r>
              <w:rPr>
                <w:rFonts w:hint="eastAsia" w:cs="Times New Roman"/>
                <w:color w:val="auto"/>
                <w:kern w:val="0"/>
                <w:highlight w:val="none"/>
                <w:lang w:eastAsia="zh-CN"/>
              </w:rPr>
              <w:t>、</w:t>
            </w:r>
            <w:r>
              <w:rPr>
                <w:rFonts w:hint="eastAsia" w:cs="Times New Roman"/>
                <w:color w:val="auto"/>
                <w:kern w:val="0"/>
                <w:highlight w:val="none"/>
                <w:lang w:val="en-US" w:eastAsia="zh-CN"/>
              </w:rPr>
              <w:t>声环境功能区划图</w:t>
            </w:r>
            <w:r>
              <w:rPr>
                <w:rFonts w:hint="default" w:ascii="Times New Roman" w:hAnsi="Times New Roman" w:cs="Times New Roman"/>
                <w:color w:val="auto"/>
                <w:kern w:val="0"/>
                <w:highlight w:val="none"/>
              </w:rPr>
              <w:t>及不动产权证，项目</w:t>
            </w:r>
            <w:r>
              <w:rPr>
                <w:rFonts w:hint="eastAsia" w:cs="Times New Roman"/>
                <w:color w:val="auto"/>
                <w:kern w:val="0"/>
                <w:highlight w:val="none"/>
                <w:lang w:eastAsia="zh-CN"/>
              </w:rPr>
              <w:t>所在地</w:t>
            </w:r>
            <w:r>
              <w:rPr>
                <w:rFonts w:hint="default" w:ascii="Times New Roman" w:hAnsi="Times New Roman" w:cs="Times New Roman"/>
                <w:color w:val="auto"/>
                <w:kern w:val="0"/>
                <w:highlight w:val="none"/>
              </w:rPr>
              <w:t>为工业用地，项目所在区域为声环境3类区，不属于声环境1类区。</w:t>
            </w:r>
          </w:p>
          <w:p w14:paraId="2EA3F4FB">
            <w:pPr>
              <w:pageBreakBefore w:val="0"/>
              <w:wordWrap w:val="0"/>
              <w:overflowPunct/>
              <w:bidi w:val="0"/>
              <w:adjustRightInd w:val="0"/>
              <w:snapToGrid w:val="0"/>
              <w:ind w:firstLine="480" w:firstLineChars="200"/>
              <w:jc w:val="left"/>
              <w:rPr>
                <w:rFonts w:hint="default" w:ascii="Times New Roman" w:hAnsi="Times New Roman" w:cs="Times New Roman"/>
                <w:b/>
                <w:bCs/>
                <w:color w:val="auto"/>
                <w:kern w:val="0"/>
                <w:highlight w:val="none"/>
              </w:rPr>
            </w:pPr>
            <w:r>
              <w:rPr>
                <w:rFonts w:hint="default" w:ascii="Times New Roman" w:hAnsi="Times New Roman" w:cs="Times New Roman"/>
                <w:b/>
                <w:bCs/>
                <w:color w:val="auto"/>
                <w:kern w:val="0"/>
                <w:highlight w:val="none"/>
              </w:rPr>
              <w:t>三、与城市规划相符性分析</w:t>
            </w:r>
          </w:p>
          <w:p w14:paraId="6251AB72">
            <w:pPr>
              <w:pageBreakBefore w:val="0"/>
              <w:wordWrap w:val="0"/>
              <w:overflowPunct/>
              <w:bidi w:val="0"/>
              <w:adjustRightInd w:val="0"/>
              <w:snapToGri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项目位于</w:t>
            </w:r>
            <w:r>
              <w:rPr>
                <w:rFonts w:hint="eastAsia" w:cs="Times New Roman"/>
                <w:color w:val="auto"/>
                <w:kern w:val="0"/>
                <w:highlight w:val="none"/>
                <w:lang w:eastAsia="zh-CN"/>
              </w:rPr>
              <w:t>韶关市乐昌市乐昌产业转移工业园乐园大道33号（1号厂房）</w:t>
            </w:r>
            <w:r>
              <w:rPr>
                <w:rFonts w:hint="default" w:ascii="Times New Roman" w:hAnsi="Times New Roman" w:cs="Times New Roman"/>
                <w:color w:val="auto"/>
                <w:kern w:val="0"/>
                <w:highlight w:val="none"/>
              </w:rPr>
              <w:t>，根据《乐昌产业转移工业园控制性详细规划-城东地块论证报告调整后》，项目所在地为工业用地，项目所在地没有占用基本农业用地和林地，符合韶关市城市建设和环境功能区规划的要求，且具有水、电等供应保障，交通便利等条件。项目周围没有风景名胜区、生态脆弱带等。故项目选址是合理的。</w:t>
            </w:r>
            <w:bookmarkStart w:id="12" w:name="_Toc459880767"/>
          </w:p>
          <w:bookmarkEnd w:id="12"/>
          <w:p w14:paraId="371A3FD0">
            <w:pPr>
              <w:keepNext/>
              <w:keepLines/>
              <w:pageBreakBefore w:val="0"/>
              <w:tabs>
                <w:tab w:val="left" w:pos="0"/>
              </w:tabs>
              <w:wordWrap w:val="0"/>
              <w:overflowPunct/>
              <w:bidi w:val="0"/>
              <w:ind w:left="-2" w:firstLine="480" w:firstLineChars="200"/>
              <w:outlineLvl w:val="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四、与《</w:t>
            </w:r>
            <w:r>
              <w:rPr>
                <w:rFonts w:hint="default" w:ascii="Times New Roman" w:hAnsi="Times New Roman" w:cs="Times New Roman"/>
                <w:b/>
                <w:bCs/>
                <w:color w:val="auto"/>
                <w:szCs w:val="28"/>
                <w:highlight w:val="none"/>
              </w:rPr>
              <w:t>工业和信息化部发布&lt;限期淘汰产生严重污染环境的工业固体废物的落后生产工艺设备名录&gt;公告》（中华人民共和国工业和信息化部公告 2021年第25号）相符性分析</w:t>
            </w:r>
          </w:p>
          <w:p w14:paraId="4123430A">
            <w:pPr>
              <w:pStyle w:val="2"/>
              <w:pageBreakBefore w:val="0"/>
              <w:wordWrap w:val="0"/>
              <w:overflowPunct/>
              <w:bidi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szCs w:val="28"/>
                <w:highlight w:val="none"/>
              </w:rPr>
              <w:t>本项目所用生产工艺及设备不属于《限期淘汰产生严重污染环境的工业固体废物的落后生产工艺设备名录》中限期淘汰的落后生产工艺设备，故与《工业和信息化部发布&lt;限期淘汰产生严重污染环境的工业固体废物的落后生产工艺设备名录&gt;公告》（中华人民共和国工业和信息化部公告 2021年第25号）相符。</w:t>
            </w:r>
          </w:p>
          <w:p w14:paraId="022FBA22">
            <w:pPr>
              <w:keepNext/>
              <w:keepLines/>
              <w:pageBreakBefore w:val="0"/>
              <w:tabs>
                <w:tab w:val="left" w:pos="0"/>
              </w:tabs>
              <w:wordWrap w:val="0"/>
              <w:overflowPunct/>
              <w:bidi w:val="0"/>
              <w:ind w:left="-2" w:firstLine="480" w:firstLineChars="200"/>
              <w:outlineLvl w:val="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五、“三线一单”相符性分析</w:t>
            </w:r>
          </w:p>
          <w:p w14:paraId="57B24152">
            <w:pPr>
              <w:pStyle w:val="10"/>
              <w:pageBreakBefore w:val="0"/>
              <w:numPr>
                <w:ilvl w:val="3"/>
                <w:numId w:val="0"/>
              </w:numPr>
              <w:wordWrap w:val="0"/>
              <w:overflowPunct/>
              <w:bidi w:val="0"/>
              <w:ind w:firstLine="48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项目</w:t>
            </w:r>
            <w:r>
              <w:rPr>
                <w:rFonts w:hint="default" w:ascii="Times New Roman" w:hAnsi="Times New Roman" w:eastAsia="宋体" w:cs="Times New Roman"/>
                <w:b/>
                <w:bCs/>
                <w:color w:val="auto"/>
                <w:sz w:val="24"/>
                <w:highlight w:val="none"/>
              </w:rPr>
              <w:t>与《广东省“三线一单”生态环境分区管控方案》</w:t>
            </w:r>
            <w:r>
              <w:rPr>
                <w:rFonts w:hint="default" w:ascii="Times New Roman" w:hAnsi="Times New Roman" w:cs="Times New Roman"/>
                <w:color w:val="auto"/>
                <w:highlight w:val="none"/>
              </w:rPr>
              <w:t>（粤府〔2020〕71号）</w:t>
            </w:r>
            <w:r>
              <w:rPr>
                <w:rFonts w:hint="eastAsia" w:ascii="Times New Roman" w:hAnsi="Times New Roman" w:cs="Times New Roman"/>
                <w:color w:val="auto"/>
                <w:highlight w:val="none"/>
                <w:lang w:eastAsia="zh-CN"/>
              </w:rPr>
              <w:t>、</w:t>
            </w:r>
            <w:r>
              <w:rPr>
                <w:rFonts w:hint="default" w:ascii="Times New Roman" w:hAnsi="Times New Roman" w:eastAsia="宋体" w:cs="Times New Roman"/>
                <w:b/>
                <w:bCs/>
                <w:color w:val="auto"/>
                <w:sz w:val="24"/>
                <w:highlight w:val="none"/>
                <w:lang w:eastAsia="zh-CN"/>
              </w:rPr>
              <w:t>《广东省2023年度生态环境分区管控动态更新成果公告》</w:t>
            </w:r>
            <w:r>
              <w:rPr>
                <w:rFonts w:hint="default" w:ascii="Times New Roman" w:hAnsi="Times New Roman" w:cs="Times New Roman"/>
                <w:color w:val="auto"/>
                <w:highlight w:val="none"/>
                <w:lang w:val="en-US" w:eastAsia="zh-CN"/>
              </w:rPr>
              <w:t>的相符性分析</w:t>
            </w:r>
          </w:p>
          <w:p w14:paraId="0B60EC92">
            <w:pPr>
              <w:pStyle w:val="1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cs="Times New Roman"/>
                <w:color w:val="auto"/>
                <w:highlight w:val="none"/>
              </w:rPr>
            </w:pPr>
            <w:r>
              <w:rPr>
                <w:rFonts w:hint="eastAsia" w:ascii="Times New Roman" w:hAnsi="Times New Roman" w:eastAsia="宋体" w:cs="Times New Roman"/>
                <w:color w:val="auto"/>
                <w:sz w:val="21"/>
                <w:szCs w:val="21"/>
                <w:highlight w:val="none"/>
                <w:lang w:val="en-US" w:eastAsia="zh-CN"/>
              </w:rPr>
              <w:t xml:space="preserve"> 与</w:t>
            </w:r>
            <w:r>
              <w:rPr>
                <w:rFonts w:hint="default" w:ascii="Times New Roman" w:hAnsi="Times New Roman" w:eastAsia="宋体" w:cs="Times New Roman"/>
                <w:color w:val="auto"/>
                <w:sz w:val="21"/>
                <w:szCs w:val="21"/>
                <w:highlight w:val="none"/>
                <w:lang w:val="en-US" w:eastAsia="zh-CN"/>
              </w:rPr>
              <w:t>（粤府〔2020〕71号）</w:t>
            </w:r>
            <w:r>
              <w:rPr>
                <w:rFonts w:hint="eastAsia" w:ascii="Times New Roman" w:hAnsi="Times New Roman" w:eastAsia="宋体" w:cs="Times New Roman"/>
                <w:color w:val="auto"/>
                <w:sz w:val="21"/>
                <w:szCs w:val="21"/>
                <w:highlight w:val="none"/>
                <w:lang w:val="en-US" w:eastAsia="zh-CN"/>
              </w:rPr>
              <w:t>及《广东省</w:t>
            </w:r>
            <w:r>
              <w:rPr>
                <w:rFonts w:hint="eastAsia" w:ascii="Times New Roman" w:hAnsi="Times New Roman" w:eastAsia="宋体" w:cs="Times New Roman"/>
                <w:color w:val="auto"/>
                <w:sz w:val="21"/>
                <w:szCs w:val="21"/>
                <w:highlight w:val="none"/>
                <w:lang w:val="en-US" w:eastAsia="zh-CN"/>
              </w:rPr>
              <w:br w:type="textWrapping"/>
            </w:r>
            <w:r>
              <w:rPr>
                <w:rFonts w:hint="eastAsia" w:ascii="Times New Roman" w:hAnsi="Times New Roman" w:eastAsia="宋体" w:cs="Times New Roman"/>
                <w:color w:val="auto"/>
                <w:sz w:val="21"/>
                <w:szCs w:val="21"/>
                <w:highlight w:val="none"/>
                <w:lang w:val="en-US" w:eastAsia="zh-CN"/>
              </w:rPr>
              <w:t>2023年度生态环境分区管控动态更新成果公告》</w:t>
            </w:r>
            <w:r>
              <w:rPr>
                <w:rFonts w:hint="default" w:ascii="Times New Roman" w:hAnsi="Times New Roman" w:eastAsia="宋体" w:cs="Times New Roman"/>
                <w:color w:val="auto"/>
                <w:sz w:val="21"/>
                <w:szCs w:val="21"/>
                <w:highlight w:val="none"/>
                <w:lang w:val="en-US" w:eastAsia="zh-CN"/>
              </w:rPr>
              <w:t>相符性分析一览表</w:t>
            </w:r>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32"/>
              <w:gridCol w:w="6116"/>
              <w:gridCol w:w="795"/>
            </w:tblGrid>
            <w:tr w14:paraId="611DF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0" w:hRule="atLeast"/>
              </w:trPr>
              <w:tc>
                <w:tcPr>
                  <w:tcW w:w="594" w:type="pct"/>
                  <w:vAlign w:val="center"/>
                </w:tcPr>
                <w:p w14:paraId="1B3B6DD5">
                  <w:pPr>
                    <w:pStyle w:val="61"/>
                    <w:pageBreakBefore w:val="0"/>
                    <w:wordWrap w:val="0"/>
                    <w:overflowPunct/>
                    <w:bidi w:val="0"/>
                    <w:spacing w:line="240" w:lineRule="auto"/>
                    <w:rPr>
                      <w:rFonts w:hint="default" w:ascii="Times New Roman" w:hAnsi="Times New Roman" w:cs="Times New Roman"/>
                      <w:b/>
                      <w:bCs/>
                      <w:color w:val="auto"/>
                      <w:highlight w:val="none"/>
                      <w:lang w:val="en-US"/>
                    </w:rPr>
                  </w:pPr>
                  <w:r>
                    <w:rPr>
                      <w:rFonts w:hint="eastAsia" w:cs="Times New Roman"/>
                      <w:b/>
                      <w:bCs/>
                      <w:color w:val="auto"/>
                      <w:highlight w:val="none"/>
                      <w:lang w:val="en-US" w:eastAsia="zh-CN"/>
                    </w:rPr>
                    <w:t>管控要求</w:t>
                  </w:r>
                </w:p>
              </w:tc>
              <w:tc>
                <w:tcPr>
                  <w:tcW w:w="3899" w:type="pct"/>
                  <w:vAlign w:val="center"/>
                </w:tcPr>
                <w:p w14:paraId="7C6F55B2">
                  <w:pPr>
                    <w:pStyle w:val="61"/>
                    <w:pageBreakBefore w:val="0"/>
                    <w:wordWrap w:val="0"/>
                    <w:overflowPunct/>
                    <w:bidi w:val="0"/>
                    <w:spacing w:line="240" w:lineRule="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相符性</w:t>
                  </w:r>
                </w:p>
              </w:tc>
              <w:tc>
                <w:tcPr>
                  <w:tcW w:w="506" w:type="pct"/>
                  <w:vAlign w:val="center"/>
                </w:tcPr>
                <w:p w14:paraId="5A60E936">
                  <w:pPr>
                    <w:pStyle w:val="61"/>
                    <w:pageBreakBefore w:val="0"/>
                    <w:wordWrap w:val="0"/>
                    <w:overflowPunct/>
                    <w:bidi w:val="0"/>
                    <w:spacing w:line="240" w:lineRule="auto"/>
                    <w:rPr>
                      <w:rFonts w:hint="default"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lang w:eastAsia="zh-CN"/>
                    </w:rPr>
                    <w:t>相符性</w:t>
                  </w:r>
                </w:p>
              </w:tc>
            </w:tr>
            <w:tr w14:paraId="33898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0" w:hRule="atLeast"/>
              </w:trPr>
              <w:tc>
                <w:tcPr>
                  <w:tcW w:w="594" w:type="pct"/>
                  <w:vAlign w:val="center"/>
                </w:tcPr>
                <w:p w14:paraId="527A0E4E">
                  <w:pPr>
                    <w:pStyle w:val="61"/>
                    <w:pageBreakBefore w:val="0"/>
                    <w:wordWrap w:val="0"/>
                    <w:overflowPunct/>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生态保护红线</w:t>
                  </w:r>
                </w:p>
              </w:tc>
              <w:tc>
                <w:tcPr>
                  <w:tcW w:w="3899" w:type="pct"/>
                  <w:vAlign w:val="center"/>
                </w:tcPr>
                <w:p w14:paraId="5B503FB0">
                  <w:pPr>
                    <w:pStyle w:val="61"/>
                    <w:pageBreakBefore w:val="0"/>
                    <w:wordWrap w:val="0"/>
                    <w:overflowPunct/>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kern w:val="2"/>
                      <w:highlight w:val="none"/>
                    </w:rPr>
                    <w:t>项目用地用途为工业厂房，不在</w:t>
                  </w:r>
                  <w:r>
                    <w:rPr>
                      <w:rFonts w:hint="default" w:ascii="Times New Roman" w:hAnsi="Times New Roman" w:cs="Times New Roman"/>
                      <w:color w:val="auto"/>
                      <w:kern w:val="2"/>
                      <w:highlight w:val="none"/>
                      <w:lang w:val="zh-CN"/>
                    </w:rPr>
                    <w:t>生态保护红线和生态环境空间管控区内，</w:t>
                  </w:r>
                  <w:r>
                    <w:rPr>
                      <w:rFonts w:hint="default" w:ascii="Times New Roman" w:hAnsi="Times New Roman" w:cs="Times New Roman"/>
                      <w:color w:val="auto"/>
                      <w:kern w:val="2"/>
                      <w:highlight w:val="none"/>
                    </w:rPr>
                    <w:t>符合生态保护红线要求</w:t>
                  </w:r>
                  <w:r>
                    <w:rPr>
                      <w:rFonts w:hint="default" w:ascii="Times New Roman" w:hAnsi="Times New Roman" w:cs="Times New Roman"/>
                      <w:color w:val="auto"/>
                      <w:highlight w:val="none"/>
                    </w:rPr>
                    <w:t>。</w:t>
                  </w:r>
                </w:p>
              </w:tc>
              <w:tc>
                <w:tcPr>
                  <w:tcW w:w="506" w:type="pct"/>
                  <w:vAlign w:val="center"/>
                </w:tcPr>
                <w:p w14:paraId="5A2A1D73">
                  <w:pPr>
                    <w:pStyle w:val="61"/>
                    <w:pageBreakBefore w:val="0"/>
                    <w:wordWrap w:val="0"/>
                    <w:overflowPunct/>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104E8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0" w:hRule="atLeast"/>
              </w:trPr>
              <w:tc>
                <w:tcPr>
                  <w:tcW w:w="594" w:type="pct"/>
                  <w:vAlign w:val="center"/>
                </w:tcPr>
                <w:p w14:paraId="1F889F5A">
                  <w:pPr>
                    <w:pStyle w:val="61"/>
                    <w:pageBreakBefore w:val="0"/>
                    <w:wordWrap w:val="0"/>
                    <w:overflowPunct/>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资源利用上线</w:t>
                  </w:r>
                </w:p>
              </w:tc>
              <w:tc>
                <w:tcPr>
                  <w:tcW w:w="3899" w:type="pct"/>
                  <w:vAlign w:val="center"/>
                </w:tcPr>
                <w:p w14:paraId="3184D4A9">
                  <w:pPr>
                    <w:pStyle w:val="61"/>
                    <w:pageBreakBefore w:val="0"/>
                    <w:wordWrap w:val="0"/>
                    <w:overflowPunct/>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不占用基本农田等，土地资源消耗符合要求；生产所用资源主要为水、电，由市政自来水管网供水，由市政电网供电，不会突破当地的资源利用上线。生产及辅助设备均使用电能源，资源消耗量相对较少，不属于“三高”行业建设项目。</w:t>
                  </w:r>
                </w:p>
              </w:tc>
              <w:tc>
                <w:tcPr>
                  <w:tcW w:w="506" w:type="pct"/>
                  <w:vAlign w:val="center"/>
                </w:tcPr>
                <w:p w14:paraId="32DB0D1B">
                  <w:pPr>
                    <w:pStyle w:val="61"/>
                    <w:pageBreakBefore w:val="0"/>
                    <w:wordWrap w:val="0"/>
                    <w:overflowPunct/>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0AE32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10" w:hRule="atLeast"/>
              </w:trPr>
              <w:tc>
                <w:tcPr>
                  <w:tcW w:w="594" w:type="pct"/>
                  <w:vAlign w:val="center"/>
                </w:tcPr>
                <w:p w14:paraId="43D72BE0">
                  <w:pPr>
                    <w:pStyle w:val="61"/>
                    <w:pageBreakBefore w:val="0"/>
                    <w:wordWrap w:val="0"/>
                    <w:overflowPunct/>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环境质量底线</w:t>
                  </w:r>
                </w:p>
              </w:tc>
              <w:tc>
                <w:tcPr>
                  <w:tcW w:w="3899" w:type="pct"/>
                  <w:vAlign w:val="center"/>
                </w:tcPr>
                <w:p w14:paraId="1E57905B">
                  <w:pPr>
                    <w:pageBreakBefore w:val="0"/>
                    <w:wordWrap w:val="0"/>
                    <w:overflowPunct/>
                    <w:autoSpaceDE w:val="0"/>
                    <w:autoSpaceDN w:val="0"/>
                    <w:bidi w:val="0"/>
                    <w:adjustRightInd w:val="0"/>
                    <w:spacing w:line="240" w:lineRule="auto"/>
                    <w:jc w:val="left"/>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rPr>
                    <w:t>根据《202</w:t>
                  </w: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年韶关市生态环境状况公报》，可知项目所在地地表水环境质量现状良好。生活污水、生产废水经处理后引入园区污水处理厂处理，不直接排入水体。在严格落实各项污染防治措施的前提下，本项目的建设对周边环境影响较小，建成后不会突破当地环境质量底线，符合环境质量底线要求。</w:t>
                  </w:r>
                </w:p>
              </w:tc>
              <w:tc>
                <w:tcPr>
                  <w:tcW w:w="506" w:type="pct"/>
                  <w:vAlign w:val="center"/>
                </w:tcPr>
                <w:p w14:paraId="288403BA">
                  <w:pPr>
                    <w:pStyle w:val="61"/>
                    <w:pageBreakBefore w:val="0"/>
                    <w:wordWrap w:val="0"/>
                    <w:overflowPunct/>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1BEF3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trPr>
              <w:tc>
                <w:tcPr>
                  <w:tcW w:w="594" w:type="pct"/>
                  <w:vAlign w:val="center"/>
                </w:tcPr>
                <w:p w14:paraId="1A8B3F92">
                  <w:pPr>
                    <w:pStyle w:val="61"/>
                    <w:pageBreakBefore w:val="0"/>
                    <w:wordWrap w:val="0"/>
                    <w:overflowPunct/>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生态环境准入清单</w:t>
                  </w:r>
                </w:p>
              </w:tc>
              <w:tc>
                <w:tcPr>
                  <w:tcW w:w="3899" w:type="pct"/>
                  <w:vAlign w:val="center"/>
                </w:tcPr>
                <w:p w14:paraId="6D048A9C">
                  <w:pPr>
                    <w:pStyle w:val="61"/>
                    <w:pageBreakBefore w:val="0"/>
                    <w:wordWrap w:val="0"/>
                    <w:overflowPunct/>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本项目营运期主要污染物为废水、废气、噪声和固体废物，分别经处理后均能实现达标排放，固体废物经有效</w:t>
                  </w:r>
                  <w:r>
                    <w:rPr>
                      <w:rFonts w:hint="eastAsia" w:cs="Times New Roman"/>
                      <w:color w:val="auto"/>
                      <w:highlight w:val="none"/>
                      <w:lang w:eastAsia="zh-CN"/>
                    </w:rPr>
                    <w:t>地</w:t>
                  </w:r>
                  <w:r>
                    <w:rPr>
                      <w:rFonts w:hint="default" w:ascii="Times New Roman" w:hAnsi="Times New Roman" w:cs="Times New Roman"/>
                      <w:color w:val="auto"/>
                      <w:highlight w:val="none"/>
                    </w:rPr>
                    <w:t>分类收集、处置，对周围环境影响较小，故本项目可与周围环境相容，本项目不属于</w:t>
                  </w:r>
                  <w:r>
                    <w:rPr>
                      <w:rFonts w:hint="default" w:ascii="Times New Roman" w:hAnsi="Times New Roman" w:cs="Times New Roman"/>
                      <w:color w:val="auto"/>
                      <w:highlight w:val="none"/>
                      <w:lang w:val="en-US" w:eastAsia="zh-CN"/>
                    </w:rPr>
                    <w:t>《市场准入负面清单（2025年版）》（发改体改规〔2025〕466号）</w:t>
                  </w:r>
                  <w:r>
                    <w:rPr>
                      <w:rFonts w:hint="default" w:ascii="Times New Roman" w:hAnsi="Times New Roman" w:cs="Times New Roman"/>
                      <w:color w:val="auto"/>
                      <w:highlight w:val="none"/>
                    </w:rPr>
                    <w:t>禁止准入类项目。</w:t>
                  </w:r>
                </w:p>
              </w:tc>
              <w:tc>
                <w:tcPr>
                  <w:tcW w:w="506" w:type="pct"/>
                  <w:vAlign w:val="center"/>
                </w:tcPr>
                <w:p w14:paraId="213FDE8F">
                  <w:pPr>
                    <w:pStyle w:val="61"/>
                    <w:pageBreakBefore w:val="0"/>
                    <w:wordWrap w:val="0"/>
                    <w:overflowPunct/>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bl>
          <w:p w14:paraId="59EDABAA">
            <w:pPr>
              <w:pStyle w:val="1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环境管控单元要求一览表</w:t>
            </w:r>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78"/>
              <w:gridCol w:w="4329"/>
              <w:gridCol w:w="2078"/>
              <w:gridCol w:w="758"/>
            </w:tblGrid>
            <w:tr w14:paraId="53B95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432" w:type="pct"/>
                  <w:vAlign w:val="center"/>
                </w:tcPr>
                <w:p w14:paraId="41504AB1">
                  <w:pPr>
                    <w:pageBreakBefore w:val="0"/>
                    <w:widowControl/>
                    <w:wordWrap w:val="0"/>
                    <w:overflowPunct/>
                    <w:bidi w:val="0"/>
                    <w:spacing w:line="240" w:lineRule="auto"/>
                    <w:jc w:val="center"/>
                    <w:textAlignment w:val="center"/>
                    <w:rPr>
                      <w:rFonts w:hint="default" w:ascii="Times New Roman" w:hAnsi="Times New Roman" w:cs="Times New Roman"/>
                      <w:b/>
                      <w:bCs/>
                      <w:color w:val="auto"/>
                      <w:position w:val="-10"/>
                      <w:sz w:val="21"/>
                      <w:szCs w:val="21"/>
                      <w:highlight w:val="none"/>
                    </w:rPr>
                  </w:pPr>
                  <w:r>
                    <w:rPr>
                      <w:rFonts w:hint="default" w:ascii="Times New Roman" w:hAnsi="Times New Roman" w:cs="Times New Roman"/>
                      <w:b/>
                      <w:bCs/>
                      <w:color w:val="auto"/>
                      <w:position w:val="-10"/>
                      <w:sz w:val="21"/>
                      <w:szCs w:val="21"/>
                      <w:highlight w:val="none"/>
                    </w:rPr>
                    <w:t>单元</w:t>
                  </w:r>
                </w:p>
              </w:tc>
              <w:tc>
                <w:tcPr>
                  <w:tcW w:w="2759" w:type="pct"/>
                  <w:vAlign w:val="center"/>
                </w:tcPr>
                <w:p w14:paraId="7D7135BF">
                  <w:pPr>
                    <w:pageBreakBefore w:val="0"/>
                    <w:widowControl/>
                    <w:wordWrap w:val="0"/>
                    <w:overflowPunct/>
                    <w:bidi w:val="0"/>
                    <w:spacing w:line="240" w:lineRule="auto"/>
                    <w:jc w:val="center"/>
                    <w:textAlignment w:val="center"/>
                    <w:rPr>
                      <w:rFonts w:hint="default" w:ascii="Times New Roman" w:hAnsi="Times New Roman" w:cs="Times New Roman"/>
                      <w:b/>
                      <w:bCs/>
                      <w:color w:val="auto"/>
                      <w:position w:val="-10"/>
                      <w:sz w:val="21"/>
                      <w:szCs w:val="21"/>
                      <w:highlight w:val="none"/>
                    </w:rPr>
                  </w:pPr>
                  <w:r>
                    <w:rPr>
                      <w:rFonts w:hint="default" w:ascii="Times New Roman" w:hAnsi="Times New Roman" w:cs="Times New Roman"/>
                      <w:b/>
                      <w:bCs/>
                      <w:color w:val="auto"/>
                      <w:position w:val="-10"/>
                      <w:sz w:val="21"/>
                      <w:szCs w:val="21"/>
                      <w:highlight w:val="none"/>
                    </w:rPr>
                    <w:t>保护和管控分区或相关要求（节选）</w:t>
                  </w:r>
                </w:p>
              </w:tc>
              <w:tc>
                <w:tcPr>
                  <w:tcW w:w="1324" w:type="pct"/>
                  <w:vAlign w:val="center"/>
                </w:tcPr>
                <w:p w14:paraId="5BA003B2">
                  <w:pPr>
                    <w:pageBreakBefore w:val="0"/>
                    <w:widowControl/>
                    <w:wordWrap w:val="0"/>
                    <w:overflowPunct/>
                    <w:bidi w:val="0"/>
                    <w:spacing w:line="240" w:lineRule="auto"/>
                    <w:jc w:val="center"/>
                    <w:textAlignment w:val="center"/>
                    <w:rPr>
                      <w:rFonts w:hint="default" w:ascii="Times New Roman" w:hAnsi="Times New Roman" w:cs="Times New Roman"/>
                      <w:b/>
                      <w:bCs/>
                      <w:color w:val="auto"/>
                      <w:position w:val="-10"/>
                      <w:sz w:val="21"/>
                      <w:szCs w:val="21"/>
                      <w:highlight w:val="none"/>
                    </w:rPr>
                  </w:pPr>
                  <w:r>
                    <w:rPr>
                      <w:rFonts w:hint="default" w:ascii="Times New Roman" w:hAnsi="Times New Roman" w:cs="Times New Roman"/>
                      <w:b/>
                      <w:bCs/>
                      <w:color w:val="auto"/>
                      <w:position w:val="-10"/>
                      <w:sz w:val="21"/>
                      <w:szCs w:val="21"/>
                      <w:highlight w:val="none"/>
                    </w:rPr>
                    <w:t>项目情况</w:t>
                  </w:r>
                </w:p>
              </w:tc>
              <w:tc>
                <w:tcPr>
                  <w:tcW w:w="483" w:type="pct"/>
                  <w:vAlign w:val="center"/>
                </w:tcPr>
                <w:p w14:paraId="073D1B68">
                  <w:pPr>
                    <w:pStyle w:val="61"/>
                    <w:pageBreakBefore w:val="0"/>
                    <w:wordWrap w:val="0"/>
                    <w:overflowPunct/>
                    <w:bidi w:val="0"/>
                    <w:spacing w:line="240" w:lineRule="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相符性</w:t>
                  </w:r>
                </w:p>
              </w:tc>
            </w:tr>
            <w:tr w14:paraId="40571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432" w:type="pct"/>
                  <w:vMerge w:val="restart"/>
                  <w:vAlign w:val="center"/>
                </w:tcPr>
                <w:p w14:paraId="184A6EF6">
                  <w:pPr>
                    <w:pStyle w:val="61"/>
                    <w:pageBreakBefore w:val="0"/>
                    <w:wordWrap w:val="0"/>
                    <w:overflowPunct/>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优先保护单元</w:t>
                  </w:r>
                </w:p>
              </w:tc>
              <w:tc>
                <w:tcPr>
                  <w:tcW w:w="2759" w:type="pct"/>
                  <w:vAlign w:val="center"/>
                </w:tcPr>
                <w:p w14:paraId="338A2F9E">
                  <w:pPr>
                    <w:pStyle w:val="61"/>
                    <w:pageBreakBefore w:val="0"/>
                    <w:wordWrap w:val="0"/>
                    <w:overflowPunct/>
                    <w:bidi w:val="0"/>
                    <w:spacing w:line="240" w:lineRule="auto"/>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生态优先保护区：生态保护红线、一般生态空间</w:t>
                  </w:r>
                </w:p>
              </w:tc>
              <w:tc>
                <w:tcPr>
                  <w:tcW w:w="1324" w:type="pct"/>
                  <w:vAlign w:val="center"/>
                </w:tcPr>
                <w:p w14:paraId="325DD280">
                  <w:pPr>
                    <w:pStyle w:val="61"/>
                    <w:pageBreakBefore w:val="0"/>
                    <w:wordWrap w:val="0"/>
                    <w:overflowPunct/>
                    <w:bidi w:val="0"/>
                    <w:spacing w:line="240" w:lineRule="auto"/>
                    <w:jc w:val="both"/>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项目不在生态保护红线内，详见附图</w:t>
                  </w:r>
                  <w:r>
                    <w:rPr>
                      <w:rFonts w:hint="default" w:ascii="Times New Roman" w:hAnsi="Times New Roman" w:cs="Times New Roman"/>
                      <w:color w:val="auto"/>
                      <w:highlight w:val="none"/>
                      <w:lang w:val="en-US" w:eastAsia="zh-CN"/>
                    </w:rPr>
                    <w:t>10</w:t>
                  </w:r>
                </w:p>
              </w:tc>
              <w:tc>
                <w:tcPr>
                  <w:tcW w:w="483" w:type="pct"/>
                  <w:vAlign w:val="center"/>
                </w:tcPr>
                <w:p w14:paraId="0390179B">
                  <w:pPr>
                    <w:pStyle w:val="61"/>
                    <w:pageBreakBefore w:val="0"/>
                    <w:wordWrap w:val="0"/>
                    <w:overflowPunct/>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00990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432" w:type="pct"/>
                  <w:vMerge w:val="continue"/>
                  <w:vAlign w:val="center"/>
                </w:tcPr>
                <w:p w14:paraId="2EB7B970">
                  <w:pPr>
                    <w:pStyle w:val="61"/>
                    <w:pageBreakBefore w:val="0"/>
                    <w:wordWrap w:val="0"/>
                    <w:overflowPunct/>
                    <w:bidi w:val="0"/>
                    <w:spacing w:line="240" w:lineRule="auto"/>
                    <w:rPr>
                      <w:rFonts w:hint="default" w:ascii="Times New Roman" w:hAnsi="Times New Roman" w:cs="Times New Roman"/>
                      <w:color w:val="auto"/>
                      <w:highlight w:val="none"/>
                    </w:rPr>
                  </w:pPr>
                </w:p>
              </w:tc>
              <w:tc>
                <w:tcPr>
                  <w:tcW w:w="2759" w:type="pct"/>
                  <w:vAlign w:val="center"/>
                </w:tcPr>
                <w:p w14:paraId="4B614A29">
                  <w:pPr>
                    <w:pStyle w:val="61"/>
                    <w:pageBreakBefore w:val="0"/>
                    <w:wordWrap w:val="0"/>
                    <w:overflowPunct/>
                    <w:bidi w:val="0"/>
                    <w:spacing w:line="240" w:lineRule="auto"/>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水环境优先保护区：饮用水水源一级保护区、二级保护区、准保护区</w:t>
                  </w:r>
                </w:p>
              </w:tc>
              <w:tc>
                <w:tcPr>
                  <w:tcW w:w="1324" w:type="pct"/>
                  <w:vAlign w:val="center"/>
                </w:tcPr>
                <w:p w14:paraId="0200870E">
                  <w:pPr>
                    <w:pStyle w:val="61"/>
                    <w:pageBreakBefore w:val="0"/>
                    <w:wordWrap w:val="0"/>
                    <w:overflowPunct/>
                    <w:bidi w:val="0"/>
                    <w:spacing w:line="240" w:lineRule="auto"/>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项目不在饮用水水源保护区内，不属于水环境优先保护区</w:t>
                  </w:r>
                </w:p>
              </w:tc>
              <w:tc>
                <w:tcPr>
                  <w:tcW w:w="483" w:type="pct"/>
                  <w:vAlign w:val="center"/>
                </w:tcPr>
                <w:p w14:paraId="461ED7E5">
                  <w:pPr>
                    <w:pStyle w:val="61"/>
                    <w:pageBreakBefore w:val="0"/>
                    <w:wordWrap w:val="0"/>
                    <w:overflowPunct/>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3C9E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432" w:type="pct"/>
                  <w:vMerge w:val="continue"/>
                  <w:vAlign w:val="center"/>
                </w:tcPr>
                <w:p w14:paraId="12E307CC">
                  <w:pPr>
                    <w:pStyle w:val="61"/>
                    <w:pageBreakBefore w:val="0"/>
                    <w:wordWrap w:val="0"/>
                    <w:overflowPunct/>
                    <w:bidi w:val="0"/>
                    <w:spacing w:line="240" w:lineRule="auto"/>
                    <w:rPr>
                      <w:rFonts w:hint="default" w:ascii="Times New Roman" w:hAnsi="Times New Roman" w:cs="Times New Roman"/>
                      <w:color w:val="auto"/>
                      <w:highlight w:val="none"/>
                    </w:rPr>
                  </w:pPr>
                </w:p>
              </w:tc>
              <w:tc>
                <w:tcPr>
                  <w:tcW w:w="2759" w:type="pct"/>
                  <w:vAlign w:val="center"/>
                </w:tcPr>
                <w:p w14:paraId="013EF92E">
                  <w:pPr>
                    <w:pStyle w:val="61"/>
                    <w:pageBreakBefore w:val="0"/>
                    <w:wordWrap w:val="0"/>
                    <w:overflowPunct/>
                    <w:bidi w:val="0"/>
                    <w:spacing w:line="240" w:lineRule="auto"/>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大气环境优先保护区（环境空气质量一类功能区）</w:t>
                  </w:r>
                </w:p>
              </w:tc>
              <w:tc>
                <w:tcPr>
                  <w:tcW w:w="1324" w:type="pct"/>
                  <w:vAlign w:val="center"/>
                </w:tcPr>
                <w:p w14:paraId="7321EBE4">
                  <w:pPr>
                    <w:pStyle w:val="61"/>
                    <w:pageBreakBefore w:val="0"/>
                    <w:wordWrap w:val="0"/>
                    <w:overflowPunct/>
                    <w:bidi w:val="0"/>
                    <w:spacing w:line="240" w:lineRule="auto"/>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项目属于空气质量二类功能区，不属于大气环境优先保护区</w:t>
                  </w:r>
                </w:p>
              </w:tc>
              <w:tc>
                <w:tcPr>
                  <w:tcW w:w="483" w:type="pct"/>
                  <w:vAlign w:val="center"/>
                </w:tcPr>
                <w:p w14:paraId="1CB7E896">
                  <w:pPr>
                    <w:pStyle w:val="61"/>
                    <w:pageBreakBefore w:val="0"/>
                    <w:wordWrap w:val="0"/>
                    <w:overflowPunct/>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44BBF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432" w:type="pct"/>
                  <w:vMerge w:val="restart"/>
                  <w:vAlign w:val="center"/>
                </w:tcPr>
                <w:p w14:paraId="670F3F18">
                  <w:pPr>
                    <w:pStyle w:val="61"/>
                    <w:pageBreakBefore w:val="0"/>
                    <w:wordWrap w:val="0"/>
                    <w:overflowPunct/>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重点管控单元</w:t>
                  </w:r>
                </w:p>
              </w:tc>
              <w:tc>
                <w:tcPr>
                  <w:tcW w:w="2759" w:type="pct"/>
                  <w:vAlign w:val="center"/>
                </w:tcPr>
                <w:p w14:paraId="046FB85E">
                  <w:pPr>
                    <w:pStyle w:val="61"/>
                    <w:pageBreakBefore w:val="0"/>
                    <w:wordWrap w:val="0"/>
                    <w:overflowPunct/>
                    <w:bidi w:val="0"/>
                    <w:spacing w:line="240" w:lineRule="auto"/>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省级以上工业园区重点管控单元。依法开展园区规划环评，严格落实规划环评管理要求，开展环境质量跟踪监测，发布环境管理状况公告，制定并实施园区突发环境事件应急预案，定期开展环境安全隐患排查，提升风险防控及应急处置能力。周边1公里范围内涉及生态保护红线、自然保护地、饮用水水源地等生态环境敏感区域的园区，应优化产业布局，控制开发强度，优先引进无污染或轻污染的产业和项目，防止侵占生态空间。纳污水体水质超标的园区，应实施污水深度处理，新建、改建、扩建项目应实行重点污染物排放等量或减量替代。造纸、电镀、印染、鞣革等专业园区或基地应不断提升工艺水平，提高水回用率，逐步削减污染物排放总量；石化园区加快绿色智能升级改造，强化环保投入和管理，构建高效、清洁、低碳、循环的绿色制造体系。</w:t>
                  </w:r>
                </w:p>
              </w:tc>
              <w:tc>
                <w:tcPr>
                  <w:tcW w:w="1324" w:type="pct"/>
                  <w:vAlign w:val="center"/>
                </w:tcPr>
                <w:p w14:paraId="7B742E5D">
                  <w:pPr>
                    <w:pageBreakBefore w:val="0"/>
                    <w:wordWrap w:val="0"/>
                    <w:overflowPunct/>
                    <w:bidi w:val="0"/>
                    <w:spacing w:line="240" w:lineRule="auto"/>
                    <w:jc w:val="both"/>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rPr>
                    <w:t>项目位于乐昌经济开发区重点管控单元（管控编码ZH44028120003），属于园区重点管控单元，项目</w:t>
                  </w:r>
                  <w:r>
                    <w:rPr>
                      <w:rFonts w:hint="eastAsia" w:cs="Times New Roman"/>
                      <w:color w:val="auto"/>
                      <w:sz w:val="21"/>
                      <w:szCs w:val="21"/>
                      <w:highlight w:val="none"/>
                      <w:lang w:val="en-US" w:eastAsia="zh-CN"/>
                    </w:rPr>
                    <w:t>需要从事</w:t>
                  </w:r>
                  <w:r>
                    <w:rPr>
                      <w:rFonts w:hint="eastAsia" w:cs="Times New Roman"/>
                      <w:color w:val="auto"/>
                      <w:sz w:val="21"/>
                      <w:szCs w:val="21"/>
                      <w:highlight w:val="none"/>
                      <w:lang w:eastAsia="zh-CN"/>
                    </w:rPr>
                    <w:t>储能电箱制造</w:t>
                  </w:r>
                  <w:r>
                    <w:rPr>
                      <w:rFonts w:hint="default" w:ascii="Times New Roman" w:hAnsi="Times New Roman" w:cs="Times New Roman"/>
                      <w:color w:val="auto"/>
                      <w:sz w:val="21"/>
                      <w:szCs w:val="21"/>
                      <w:highlight w:val="none"/>
                    </w:rPr>
                    <w:t>，生产过程中产生</w:t>
                  </w:r>
                  <w:r>
                    <w:rPr>
                      <w:rFonts w:hint="default" w:ascii="Times New Roman" w:hAnsi="Times New Roman" w:cs="Times New Roman"/>
                      <w:color w:val="auto"/>
                      <w:sz w:val="21"/>
                      <w:szCs w:val="21"/>
                      <w:highlight w:val="none"/>
                      <w:lang w:val="en-US" w:eastAsia="zh-CN"/>
                    </w:rPr>
                    <w:t>有机废气</w:t>
                  </w:r>
                  <w:r>
                    <w:rPr>
                      <w:rFonts w:hint="eastAsia" w:cs="Times New Roman"/>
                      <w:color w:val="auto"/>
                      <w:sz w:val="21"/>
                      <w:szCs w:val="21"/>
                      <w:highlight w:val="none"/>
                      <w:lang w:val="en-US" w:eastAsia="zh-CN"/>
                    </w:rPr>
                    <w:t>VOCs和NOx</w:t>
                  </w:r>
                  <w:r>
                    <w:rPr>
                      <w:rFonts w:hint="default" w:ascii="Times New Roman" w:hAnsi="Times New Roman" w:cs="Times New Roman"/>
                      <w:color w:val="auto"/>
                      <w:sz w:val="21"/>
                      <w:szCs w:val="21"/>
                      <w:highlight w:val="none"/>
                    </w:rPr>
                    <w:t>需分配大气污染物总量；</w:t>
                  </w:r>
                  <w:r>
                    <w:rPr>
                      <w:rFonts w:hint="eastAsia" w:cs="Times New Roman"/>
                      <w:color w:val="auto"/>
                      <w:sz w:val="21"/>
                      <w:szCs w:val="21"/>
                      <w:highlight w:val="none"/>
                      <w:lang w:val="en-US" w:eastAsia="zh-CN"/>
                    </w:rPr>
                    <w:t>生产废水经自建污水处理站处理，</w:t>
                  </w:r>
                  <w:r>
                    <w:rPr>
                      <w:rFonts w:hint="default" w:ascii="Times New Roman" w:hAnsi="Times New Roman" w:cs="Times New Roman"/>
                      <w:color w:val="auto"/>
                      <w:sz w:val="21"/>
                      <w:szCs w:val="21"/>
                      <w:highlight w:val="none"/>
                    </w:rPr>
                    <w:t>生活污水经三级化粪池处理后</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两股废水</w:t>
                  </w:r>
                  <w:r>
                    <w:rPr>
                      <w:rFonts w:hint="default" w:ascii="Times New Roman" w:hAnsi="Times New Roman" w:cs="Times New Roman"/>
                      <w:color w:val="auto"/>
                      <w:sz w:val="21"/>
                      <w:szCs w:val="21"/>
                      <w:highlight w:val="none"/>
                      <w:lang w:val="en-US" w:eastAsia="zh-CN"/>
                    </w:rPr>
                    <w:t>引入</w:t>
                  </w:r>
                  <w:r>
                    <w:rPr>
                      <w:rFonts w:hint="default" w:ascii="Times New Roman" w:hAnsi="Times New Roman" w:cs="Times New Roman"/>
                      <w:color w:val="auto"/>
                      <w:sz w:val="21"/>
                      <w:szCs w:val="21"/>
                      <w:highlight w:val="none"/>
                    </w:rPr>
                    <w:t>园区污水处理厂处理，无需分配水污染物总量。</w:t>
                  </w:r>
                </w:p>
              </w:tc>
              <w:tc>
                <w:tcPr>
                  <w:tcW w:w="483" w:type="pct"/>
                  <w:vAlign w:val="center"/>
                </w:tcPr>
                <w:p w14:paraId="54278997">
                  <w:pPr>
                    <w:pStyle w:val="61"/>
                    <w:pageBreakBefore w:val="0"/>
                    <w:wordWrap w:val="0"/>
                    <w:overflowPunct/>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0630B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432" w:type="pct"/>
                  <w:vMerge w:val="continue"/>
                  <w:vAlign w:val="center"/>
                </w:tcPr>
                <w:p w14:paraId="1FD457FB">
                  <w:pPr>
                    <w:pStyle w:val="61"/>
                    <w:pageBreakBefore w:val="0"/>
                    <w:wordWrap w:val="0"/>
                    <w:overflowPunct/>
                    <w:bidi w:val="0"/>
                    <w:spacing w:line="240" w:lineRule="auto"/>
                    <w:rPr>
                      <w:rFonts w:hint="default" w:ascii="Times New Roman" w:hAnsi="Times New Roman" w:cs="Times New Roman"/>
                      <w:color w:val="auto"/>
                      <w:highlight w:val="none"/>
                    </w:rPr>
                  </w:pPr>
                </w:p>
              </w:tc>
              <w:tc>
                <w:tcPr>
                  <w:tcW w:w="2759" w:type="pct"/>
                  <w:vAlign w:val="center"/>
                </w:tcPr>
                <w:p w14:paraId="5B923EB1">
                  <w:pPr>
                    <w:pStyle w:val="61"/>
                    <w:pageBreakBefore w:val="0"/>
                    <w:wordWrap w:val="0"/>
                    <w:overflowPunct/>
                    <w:bidi w:val="0"/>
                    <w:spacing w:line="240" w:lineRule="auto"/>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水环境质量超标类重点管控单元。严格控制耗水量大、污染物排放强度高的行业发展，新建、改建、扩建项目实施重点水污染物减量替代。以城镇生活污染为主的单元，加快推进城镇生活污水有效收集处理，重点完善污水处理设施配套管网建设，加快实施雨污分流改造，推动提升污水处理设施进水水量和浓度，充分发挥污水处理设施治污效能。</w:t>
                  </w:r>
                </w:p>
              </w:tc>
              <w:tc>
                <w:tcPr>
                  <w:tcW w:w="1324" w:type="pct"/>
                  <w:vAlign w:val="center"/>
                </w:tcPr>
                <w:p w14:paraId="54BBE54B">
                  <w:pPr>
                    <w:pStyle w:val="61"/>
                    <w:pageBreakBefore w:val="0"/>
                    <w:wordWrap w:val="0"/>
                    <w:overflowPunct/>
                    <w:bidi w:val="0"/>
                    <w:spacing w:line="240" w:lineRule="auto"/>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项目不属于耗水量大和污染物排放强度高的行业，生活污水</w:t>
                  </w:r>
                  <w:r>
                    <w:rPr>
                      <w:rFonts w:hint="eastAsia" w:cs="Times New Roman"/>
                      <w:color w:val="auto"/>
                      <w:highlight w:val="none"/>
                      <w:lang w:eastAsia="zh-CN"/>
                    </w:rPr>
                    <w:t>、</w:t>
                  </w:r>
                  <w:r>
                    <w:rPr>
                      <w:rFonts w:hint="eastAsia" w:cs="Times New Roman"/>
                      <w:color w:val="auto"/>
                      <w:highlight w:val="none"/>
                      <w:lang w:val="en-US" w:eastAsia="zh-CN"/>
                    </w:rPr>
                    <w:t>生产废水经</w:t>
                  </w:r>
                  <w:r>
                    <w:rPr>
                      <w:rFonts w:hint="default" w:ascii="Times New Roman" w:hAnsi="Times New Roman" w:cs="Times New Roman"/>
                      <w:color w:val="auto"/>
                      <w:highlight w:val="none"/>
                    </w:rPr>
                    <w:t>处理后排入园区污水处理</w:t>
                  </w:r>
                  <w:r>
                    <w:rPr>
                      <w:rFonts w:hint="default" w:ascii="Times New Roman" w:hAnsi="Times New Roman" w:cs="Times New Roman"/>
                      <w:color w:val="auto"/>
                      <w:highlight w:val="none"/>
                      <w:lang w:eastAsia="zh-CN"/>
                    </w:rPr>
                    <w:t>厂</w:t>
                  </w:r>
                  <w:r>
                    <w:rPr>
                      <w:rFonts w:hint="default" w:ascii="Times New Roman" w:hAnsi="Times New Roman" w:cs="Times New Roman"/>
                      <w:color w:val="auto"/>
                      <w:highlight w:val="none"/>
                    </w:rPr>
                    <w:t>，不直接</w:t>
                  </w:r>
                  <w:r>
                    <w:rPr>
                      <w:rFonts w:hint="default" w:ascii="Times New Roman" w:hAnsi="Times New Roman" w:cs="Times New Roman"/>
                      <w:color w:val="auto"/>
                      <w:highlight w:val="none"/>
                      <w:lang w:val="en-US" w:eastAsia="zh-CN"/>
                    </w:rPr>
                    <w:t>排</w:t>
                  </w:r>
                  <w:r>
                    <w:rPr>
                      <w:rFonts w:hint="default" w:ascii="Times New Roman" w:hAnsi="Times New Roman" w:cs="Times New Roman"/>
                      <w:color w:val="auto"/>
                      <w:highlight w:val="none"/>
                    </w:rPr>
                    <w:t>入水体，对水环境影响不大。</w:t>
                  </w:r>
                </w:p>
              </w:tc>
              <w:tc>
                <w:tcPr>
                  <w:tcW w:w="483" w:type="pct"/>
                  <w:vAlign w:val="center"/>
                </w:tcPr>
                <w:p w14:paraId="1EFFE043">
                  <w:pPr>
                    <w:pStyle w:val="61"/>
                    <w:pageBreakBefore w:val="0"/>
                    <w:wordWrap w:val="0"/>
                    <w:overflowPunct/>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7BED1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432" w:type="pct"/>
                  <w:vMerge w:val="continue"/>
                  <w:vAlign w:val="center"/>
                </w:tcPr>
                <w:p w14:paraId="2DA44CC4">
                  <w:pPr>
                    <w:pStyle w:val="61"/>
                    <w:pageBreakBefore w:val="0"/>
                    <w:wordWrap w:val="0"/>
                    <w:overflowPunct/>
                    <w:bidi w:val="0"/>
                    <w:spacing w:line="240" w:lineRule="auto"/>
                    <w:rPr>
                      <w:rFonts w:hint="default" w:ascii="Times New Roman" w:hAnsi="Times New Roman" w:cs="Times New Roman"/>
                      <w:color w:val="auto"/>
                      <w:highlight w:val="none"/>
                    </w:rPr>
                  </w:pPr>
                </w:p>
              </w:tc>
              <w:tc>
                <w:tcPr>
                  <w:tcW w:w="2759" w:type="pct"/>
                  <w:vAlign w:val="center"/>
                </w:tcPr>
                <w:p w14:paraId="44C4E32D">
                  <w:pPr>
                    <w:pStyle w:val="61"/>
                    <w:pageBreakBefore w:val="0"/>
                    <w:wordWrap w:val="0"/>
                    <w:overflowPunct/>
                    <w:bidi w:val="0"/>
                    <w:spacing w:line="240" w:lineRule="auto"/>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大气环境受体敏感类重点管控单元。严格限制新建钢铁、燃煤燃油火电、石化、储油库等项目，产生和排放有毒有害大气污染物项目，以及使用溶剂型油墨、涂料、清洗剂、胶黏剂等高挥发性有机物原辅材料的项目；鼓励现有该类项目逐步搬迁退出</w:t>
                  </w:r>
                </w:p>
              </w:tc>
              <w:tc>
                <w:tcPr>
                  <w:tcW w:w="1324" w:type="pct"/>
                  <w:vAlign w:val="center"/>
                </w:tcPr>
                <w:p w14:paraId="6D48CDDB">
                  <w:pPr>
                    <w:pStyle w:val="61"/>
                    <w:pageBreakBefore w:val="0"/>
                    <w:wordWrap w:val="0"/>
                    <w:overflowPunct/>
                    <w:bidi w:val="0"/>
                    <w:spacing w:line="240" w:lineRule="auto"/>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项目不属于产排有毒有害大气污染物的项目</w:t>
                  </w:r>
                </w:p>
              </w:tc>
              <w:tc>
                <w:tcPr>
                  <w:tcW w:w="483" w:type="pct"/>
                  <w:vAlign w:val="center"/>
                </w:tcPr>
                <w:p w14:paraId="72B2454E">
                  <w:pPr>
                    <w:pStyle w:val="61"/>
                    <w:pageBreakBefore w:val="0"/>
                    <w:wordWrap w:val="0"/>
                    <w:overflowPunct/>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7F6FE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432" w:type="pct"/>
                  <w:vAlign w:val="center"/>
                </w:tcPr>
                <w:p w14:paraId="15AAAB3A">
                  <w:pPr>
                    <w:pStyle w:val="61"/>
                    <w:pageBreakBefore w:val="0"/>
                    <w:wordWrap w:val="0"/>
                    <w:overflowPunct/>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一般管控单元</w:t>
                  </w:r>
                </w:p>
              </w:tc>
              <w:tc>
                <w:tcPr>
                  <w:tcW w:w="2759" w:type="pct"/>
                  <w:vAlign w:val="center"/>
                </w:tcPr>
                <w:p w14:paraId="6D0C3EE7">
                  <w:pPr>
                    <w:pStyle w:val="61"/>
                    <w:pageBreakBefore w:val="0"/>
                    <w:wordWrap w:val="0"/>
                    <w:overflowPunct/>
                    <w:bidi w:val="0"/>
                    <w:spacing w:line="240" w:lineRule="auto"/>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执行区域生态环境保护的基本要求。根据资源环境承载能力，引导产业科学布局，合理控制开发强度，维护生态环境功能稳定</w:t>
                  </w:r>
                </w:p>
              </w:tc>
              <w:tc>
                <w:tcPr>
                  <w:tcW w:w="1324" w:type="pct"/>
                  <w:vAlign w:val="center"/>
                </w:tcPr>
                <w:p w14:paraId="7BA4774A">
                  <w:pPr>
                    <w:pStyle w:val="61"/>
                    <w:pageBreakBefore w:val="0"/>
                    <w:wordWrap w:val="0"/>
                    <w:overflowPunct/>
                    <w:bidi w:val="0"/>
                    <w:spacing w:line="240" w:lineRule="auto"/>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项目执行区域生态环境保护的基本要求</w:t>
                  </w:r>
                </w:p>
              </w:tc>
              <w:tc>
                <w:tcPr>
                  <w:tcW w:w="483" w:type="pct"/>
                  <w:vAlign w:val="center"/>
                </w:tcPr>
                <w:p w14:paraId="5DF99D92">
                  <w:pPr>
                    <w:pStyle w:val="61"/>
                    <w:pageBreakBefore w:val="0"/>
                    <w:wordWrap w:val="0"/>
                    <w:overflowPunct/>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bl>
          <w:p w14:paraId="33E4233D">
            <w:pPr>
              <w:pageBreakBefore w:val="0"/>
              <w:wordWrap w:val="0"/>
              <w:overflowPunct/>
              <w:bidi w:val="0"/>
              <w:spacing w:line="348" w:lineRule="auto"/>
              <w:ind w:right="86" w:rightChars="36" w:firstLine="480" w:firstLineChars="20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综上所述，项目符合《广东省人民政府关于印发广东省“三线一单”生态环境分区管控方案的通知（粤府〔2020〕71号）》、《广东省2023年度生态环境分区管控动态更新成果公告》的相关要求。</w:t>
            </w:r>
          </w:p>
          <w:p w14:paraId="3859C07A">
            <w:pPr>
              <w:pageBreakBefore w:val="0"/>
              <w:wordWrap w:val="0"/>
              <w:overflowPunct/>
              <w:bidi w:val="0"/>
              <w:spacing w:line="348" w:lineRule="auto"/>
              <w:ind w:right="86" w:rightChars="36" w:firstLine="480" w:firstLineChars="200"/>
              <w:jc w:val="left"/>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2、</w:t>
            </w:r>
            <w:r>
              <w:rPr>
                <w:rFonts w:hint="default" w:ascii="Times New Roman" w:hAnsi="Times New Roman" w:cs="Times New Roman"/>
                <w:b/>
                <w:bCs/>
                <w:color w:val="auto"/>
                <w:highlight w:val="none"/>
              </w:rPr>
              <w:t>项目与韶关市人民政府关于印发《韶关市“三线一单”生态环境分区管控方案的通知》的通知（韶府〔2021〕10号）</w:t>
            </w:r>
            <w:r>
              <w:rPr>
                <w:rFonts w:hint="default" w:ascii="Times New Roman" w:hAnsi="Times New Roman" w:cs="Times New Roman"/>
                <w:b/>
                <w:bCs/>
                <w:color w:val="auto"/>
                <w:highlight w:val="none"/>
                <w:lang w:val="en-US" w:eastAsia="zh-CN"/>
              </w:rPr>
              <w:t>及《韶关市生态环境分区管控动态更新成果》（2024年8月5日公布）的相符性分析</w:t>
            </w:r>
          </w:p>
          <w:p w14:paraId="62FB80C8">
            <w:pPr>
              <w:pStyle w:val="1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bCs/>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与（韶府〔2021〕10号）及《韶关市</w:t>
            </w:r>
            <w:r>
              <w:rPr>
                <w:rFonts w:hint="default" w:ascii="Times New Roman" w:hAnsi="Times New Roman" w:eastAsia="宋体" w:cs="Times New Roman"/>
                <w:color w:val="auto"/>
                <w:sz w:val="21"/>
                <w:szCs w:val="21"/>
                <w:highlight w:val="none"/>
                <w:lang w:val="en-US" w:eastAsia="zh-CN"/>
              </w:rPr>
              <w:br w:type="textWrapping"/>
            </w:r>
            <w:r>
              <w:rPr>
                <w:rFonts w:hint="default" w:ascii="Times New Roman" w:hAnsi="Times New Roman" w:eastAsia="宋体" w:cs="Times New Roman"/>
                <w:color w:val="auto"/>
                <w:sz w:val="21"/>
                <w:szCs w:val="21"/>
                <w:highlight w:val="none"/>
                <w:lang w:val="en-US" w:eastAsia="zh-CN"/>
              </w:rPr>
              <w:t>生态环境分区管控动态更新成果》的相符性分析一览表</w:t>
            </w:r>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56"/>
              <w:gridCol w:w="584"/>
              <w:gridCol w:w="4464"/>
              <w:gridCol w:w="1951"/>
              <w:gridCol w:w="488"/>
            </w:tblGrid>
            <w:tr w14:paraId="58DCB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599" w:type="pct"/>
                  <w:gridSpan w:val="2"/>
                  <w:tcBorders>
                    <w:tl2br w:val="nil"/>
                    <w:tr2bl w:val="nil"/>
                  </w:tcBorders>
                  <w:vAlign w:val="center"/>
                </w:tcPr>
                <w:p w14:paraId="625F97C6">
                  <w:pPr>
                    <w:pageBreakBefore w:val="0"/>
                    <w:wordWrap w:val="0"/>
                    <w:overflowPunct/>
                    <w:bidi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内容</w:t>
                  </w:r>
                </w:p>
              </w:tc>
              <w:tc>
                <w:tcPr>
                  <w:tcW w:w="2845" w:type="pct"/>
                  <w:tcBorders>
                    <w:tl2br w:val="nil"/>
                    <w:tr2bl w:val="nil"/>
                  </w:tcBorders>
                  <w:vAlign w:val="center"/>
                </w:tcPr>
                <w:p w14:paraId="0364C3A1">
                  <w:pPr>
                    <w:pageBreakBefore w:val="0"/>
                    <w:wordWrap w:val="0"/>
                    <w:overflowPunct/>
                    <w:bidi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要求</w:t>
                  </w:r>
                </w:p>
              </w:tc>
              <w:tc>
                <w:tcPr>
                  <w:tcW w:w="1243" w:type="pct"/>
                  <w:tcBorders>
                    <w:tl2br w:val="nil"/>
                    <w:tr2bl w:val="nil"/>
                  </w:tcBorders>
                  <w:vAlign w:val="center"/>
                </w:tcPr>
                <w:p w14:paraId="6CAE0F6D">
                  <w:pPr>
                    <w:pageBreakBefore w:val="0"/>
                    <w:wordWrap w:val="0"/>
                    <w:overflowPunct/>
                    <w:bidi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相符性分析</w:t>
                  </w:r>
                </w:p>
              </w:tc>
              <w:tc>
                <w:tcPr>
                  <w:tcW w:w="311" w:type="pct"/>
                  <w:tcBorders>
                    <w:tl2br w:val="nil"/>
                    <w:tr2bl w:val="nil"/>
                  </w:tcBorders>
                  <w:vAlign w:val="center"/>
                </w:tcPr>
                <w:p w14:paraId="4F0C61DC">
                  <w:pPr>
                    <w:pageBreakBefore w:val="0"/>
                    <w:wordWrap w:val="0"/>
                    <w:overflowPunct/>
                    <w:bidi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结论</w:t>
                  </w:r>
                </w:p>
              </w:tc>
            </w:tr>
            <w:tr w14:paraId="7F874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27" w:type="pct"/>
                  <w:vMerge w:val="restart"/>
                  <w:tcBorders>
                    <w:tl2br w:val="nil"/>
                    <w:tr2bl w:val="nil"/>
                  </w:tcBorders>
                  <w:vAlign w:val="center"/>
                </w:tcPr>
                <w:p w14:paraId="7FC12E60">
                  <w:pPr>
                    <w:pageBreakBefore w:val="0"/>
                    <w:wordWrap w:val="0"/>
                    <w:overflowPunct/>
                    <w:bidi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全市总体管控</w:t>
                  </w:r>
                </w:p>
              </w:tc>
              <w:tc>
                <w:tcPr>
                  <w:tcW w:w="372" w:type="pct"/>
                  <w:tcBorders>
                    <w:tl2br w:val="nil"/>
                    <w:tr2bl w:val="nil"/>
                  </w:tcBorders>
                  <w:vAlign w:val="center"/>
                </w:tcPr>
                <w:p w14:paraId="435FD68D">
                  <w:pPr>
                    <w:pageBreakBefore w:val="0"/>
                    <w:widowControl/>
                    <w:wordWrap w:val="0"/>
                    <w:overflowPunct/>
                    <w:bidi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kern w:val="0"/>
                      <w:sz w:val="21"/>
                      <w:szCs w:val="21"/>
                      <w:highlight w:val="none"/>
                    </w:rPr>
                    <w:t>区域布局管控</w:t>
                  </w:r>
                </w:p>
              </w:tc>
              <w:tc>
                <w:tcPr>
                  <w:tcW w:w="2845" w:type="pct"/>
                  <w:tcBorders>
                    <w:tl2br w:val="nil"/>
                    <w:tr2bl w:val="nil"/>
                  </w:tcBorders>
                  <w:vAlign w:val="center"/>
                </w:tcPr>
                <w:p w14:paraId="7D4CB938">
                  <w:pPr>
                    <w:pStyle w:val="19"/>
                    <w:pageBreakBefore w:val="0"/>
                    <w:wordWrap w:val="0"/>
                    <w:overflowPunct/>
                    <w:bidi w:val="0"/>
                    <w:spacing w:line="240" w:lineRule="auto"/>
                    <w:ind w:firstLine="48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生态保护红线及一般生态空间。全市陆域生态保护红线面积5827.58平方千米，占全市陆域国土面积的31.65%；一般生态空间面积4951.43平方千米。</w:t>
                  </w:r>
                </w:p>
                <w:p w14:paraId="56A7EB1A">
                  <w:pPr>
                    <w:pStyle w:val="19"/>
                    <w:pageBreakBefore w:val="0"/>
                    <w:wordWrap w:val="0"/>
                    <w:overflowPunct/>
                    <w:bidi w:val="0"/>
                    <w:spacing w:line="240" w:lineRule="auto"/>
                    <w:ind w:firstLine="48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态保护红线内自然保护地核心保护区外，禁止开发性、生产性建设活动，在符合法律法规的前提下，仅允许对生态功能不造成破坏的有限人为活动；生态保护红线内自然保护区、风景名胜区、饮用水水源保护区等区域，依照法律法规执行。上述允许的有限人为活动之外，确需占用生态保护红线的国家重大项目，按照有关规定办理用地审批。</w:t>
                  </w:r>
                </w:p>
                <w:p w14:paraId="3277CBF6">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严格控制涉重金属和高污染高能耗项目建设。新建、扩建石化、化工、焦化、有色金属冶炼、平板玻璃项目应布设在依法合规设立并经规划环评的产业园区。严格控制水污染严重地区和水源保护敏感区域高耗水、高污染行业发展。新丰县东南部（丰城街道、梅坑镇、黄礤镇、马头镇）严控水污染项目建设，新建、改建、扩建涉水建设项目实行主要污染物和特征污染物排放减量替代。环境空气质量一类功能区实施严格保护，禁止新建、扩建排放大气污染物的工业项目（国家和省规定不纳入环评管理的项目除外）。逐步扩大高污染燃料禁燃区范围。</w:t>
                  </w:r>
                </w:p>
              </w:tc>
              <w:tc>
                <w:tcPr>
                  <w:tcW w:w="1243" w:type="pct"/>
                  <w:tcBorders>
                    <w:tl2br w:val="nil"/>
                    <w:tr2bl w:val="nil"/>
                  </w:tcBorders>
                  <w:vAlign w:val="center"/>
                </w:tcPr>
                <w:p w14:paraId="50D0D93A">
                  <w:pPr>
                    <w:pageBreakBefore w:val="0"/>
                    <w:wordWrap w:val="0"/>
                    <w:overflowPunct/>
                    <w:bidi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本项目主要</w:t>
                  </w:r>
                  <w:r>
                    <w:rPr>
                      <w:rFonts w:hint="eastAsia" w:cs="Times New Roman"/>
                      <w:color w:val="auto"/>
                      <w:sz w:val="21"/>
                      <w:szCs w:val="21"/>
                      <w:highlight w:val="none"/>
                      <w:lang w:val="en-US" w:eastAsia="zh-CN"/>
                    </w:rPr>
                    <w:t>从事</w:t>
                  </w:r>
                  <w:r>
                    <w:rPr>
                      <w:rFonts w:hint="eastAsia" w:cs="Times New Roman"/>
                      <w:color w:val="auto"/>
                      <w:sz w:val="21"/>
                      <w:szCs w:val="21"/>
                      <w:highlight w:val="none"/>
                      <w:lang w:eastAsia="zh-CN"/>
                    </w:rPr>
                    <w:t>储能电箱制造</w:t>
                  </w:r>
                  <w:r>
                    <w:rPr>
                      <w:rFonts w:hint="default" w:ascii="Times New Roman" w:hAnsi="Times New Roman" w:cs="Times New Roman"/>
                      <w:color w:val="auto"/>
                      <w:sz w:val="21"/>
                      <w:szCs w:val="21"/>
                      <w:highlight w:val="none"/>
                    </w:rPr>
                    <w:t>，不涉重金属，不属于高污染高耗能行业，项目位于乐昌产业转移工业园，园区已开展规划环境评价，项目符合园区准入条件。项目所在地属于</w:t>
                  </w:r>
                  <w:r>
                    <w:rPr>
                      <w:rFonts w:hint="default" w:ascii="Times New Roman" w:hAnsi="Times New Roman" w:cs="Times New Roman"/>
                      <w:color w:val="auto"/>
                      <w:sz w:val="21"/>
                      <w:szCs w:val="21"/>
                      <w:highlight w:val="none"/>
                      <w:lang w:val="en-US" w:eastAsia="zh-CN"/>
                    </w:rPr>
                    <w:t>大气</w:t>
                  </w:r>
                  <w:r>
                    <w:rPr>
                      <w:rFonts w:hint="default" w:ascii="Times New Roman" w:hAnsi="Times New Roman" w:cs="Times New Roman"/>
                      <w:color w:val="auto"/>
                      <w:sz w:val="21"/>
                      <w:szCs w:val="21"/>
                      <w:highlight w:val="none"/>
                    </w:rPr>
                    <w:t>环境功能二类区、水环境质量达标区。</w:t>
                  </w:r>
                </w:p>
                <w:p w14:paraId="48A2D103">
                  <w:pPr>
                    <w:pageBreakBefore w:val="0"/>
                    <w:wordWrap w:val="0"/>
                    <w:overflowPunct/>
                    <w:bidi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项目位于乐昌产业转移工业园，</w:t>
                  </w:r>
                  <w:r>
                    <w:rPr>
                      <w:rFonts w:hint="default" w:ascii="Times New Roman" w:hAnsi="Times New Roman" w:cs="Times New Roman"/>
                      <w:color w:val="auto"/>
                      <w:sz w:val="21"/>
                      <w:szCs w:val="21"/>
                      <w:highlight w:val="none"/>
                      <w:lang w:val="en-US" w:eastAsia="zh-CN"/>
                    </w:rPr>
                    <w:t>不占用</w:t>
                  </w:r>
                  <w:r>
                    <w:rPr>
                      <w:rFonts w:hint="default" w:ascii="Times New Roman" w:hAnsi="Times New Roman" w:cs="Times New Roman"/>
                      <w:color w:val="auto"/>
                      <w:sz w:val="21"/>
                      <w:szCs w:val="21"/>
                      <w:highlight w:val="none"/>
                    </w:rPr>
                    <w:t>生态保护红线</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与最近</w:t>
                  </w:r>
                  <w:r>
                    <w:rPr>
                      <w:rFonts w:hint="eastAsia" w:cs="Times New Roman"/>
                      <w:color w:val="auto"/>
                      <w:sz w:val="21"/>
                      <w:szCs w:val="21"/>
                      <w:highlight w:val="none"/>
                      <w:lang w:val="en-US" w:eastAsia="zh-CN"/>
                    </w:rPr>
                    <w:t>饮用水</w:t>
                  </w:r>
                  <w:r>
                    <w:rPr>
                      <w:rFonts w:hint="default" w:ascii="Times New Roman" w:hAnsi="Times New Roman" w:cs="Times New Roman"/>
                      <w:color w:val="auto"/>
                      <w:sz w:val="21"/>
                      <w:szCs w:val="21"/>
                      <w:highlight w:val="none"/>
                      <w:lang w:val="en-US" w:eastAsia="zh-CN"/>
                    </w:rPr>
                    <w:t>水源保护区：韶关市区武江饮用水水源地准保护区距离约为5</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50m，</w:t>
                  </w:r>
                  <w:r>
                    <w:rPr>
                      <w:rFonts w:hint="default" w:ascii="Times New Roman" w:hAnsi="Times New Roman" w:cs="Times New Roman"/>
                      <w:color w:val="auto"/>
                      <w:sz w:val="21"/>
                      <w:szCs w:val="21"/>
                      <w:highlight w:val="none"/>
                    </w:rPr>
                    <w:t>园区已开展规划环境评价，项目符合园区准入条件。项目所在地属于环境功能二类区、水环境质量达标区</w:t>
                  </w:r>
                  <w:r>
                    <w:rPr>
                      <w:rFonts w:hint="default" w:ascii="Times New Roman" w:hAnsi="Times New Roman" w:cs="Times New Roman"/>
                      <w:color w:val="auto"/>
                      <w:sz w:val="21"/>
                      <w:szCs w:val="21"/>
                      <w:highlight w:val="none"/>
                      <w:lang w:eastAsia="zh-CN"/>
                    </w:rPr>
                    <w:t>。</w:t>
                  </w:r>
                </w:p>
              </w:tc>
              <w:tc>
                <w:tcPr>
                  <w:tcW w:w="311" w:type="pct"/>
                  <w:tcBorders>
                    <w:tl2br w:val="nil"/>
                    <w:tr2bl w:val="nil"/>
                  </w:tcBorders>
                  <w:vAlign w:val="center"/>
                </w:tcPr>
                <w:p w14:paraId="01D06675">
                  <w:pPr>
                    <w:pageBreakBefore w:val="0"/>
                    <w:wordWrap w:val="0"/>
                    <w:overflowPunct/>
                    <w:bidi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符合</w:t>
                  </w:r>
                </w:p>
              </w:tc>
            </w:tr>
            <w:tr w14:paraId="77B81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27" w:type="pct"/>
                  <w:vMerge w:val="continue"/>
                  <w:tcBorders>
                    <w:tl2br w:val="nil"/>
                    <w:tr2bl w:val="nil"/>
                  </w:tcBorders>
                  <w:vAlign w:val="center"/>
                </w:tcPr>
                <w:p w14:paraId="3BDF7119">
                  <w:pPr>
                    <w:pageBreakBefore w:val="0"/>
                    <w:wordWrap w:val="0"/>
                    <w:overflowPunct/>
                    <w:bidi w:val="0"/>
                    <w:spacing w:line="240" w:lineRule="auto"/>
                    <w:jc w:val="center"/>
                    <w:rPr>
                      <w:rFonts w:hint="default" w:ascii="Times New Roman" w:hAnsi="Times New Roman" w:cs="Times New Roman"/>
                      <w:b/>
                      <w:bCs/>
                      <w:color w:val="auto"/>
                      <w:sz w:val="21"/>
                      <w:szCs w:val="21"/>
                      <w:highlight w:val="none"/>
                    </w:rPr>
                  </w:pPr>
                </w:p>
              </w:tc>
              <w:tc>
                <w:tcPr>
                  <w:tcW w:w="372" w:type="pct"/>
                  <w:tcBorders>
                    <w:tl2br w:val="nil"/>
                    <w:tr2bl w:val="nil"/>
                  </w:tcBorders>
                  <w:vAlign w:val="center"/>
                </w:tcPr>
                <w:p w14:paraId="3F550077">
                  <w:pPr>
                    <w:pageBreakBefore w:val="0"/>
                    <w:wordWrap w:val="0"/>
                    <w:overflowPunct/>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能源资源利用</w:t>
                  </w:r>
                </w:p>
              </w:tc>
              <w:tc>
                <w:tcPr>
                  <w:tcW w:w="2845" w:type="pct"/>
                  <w:tcBorders>
                    <w:tl2br w:val="nil"/>
                    <w:tr2bl w:val="nil"/>
                  </w:tcBorders>
                  <w:vAlign w:val="center"/>
                </w:tcPr>
                <w:p w14:paraId="109EE978">
                  <w:pPr>
                    <w:pageBreakBefore w:val="0"/>
                    <w:wordWrap w:val="0"/>
                    <w:overflowPunct/>
                    <w:bidi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积极落实国家、省制定的碳达峰碳中和目标任务，制定并落实碳达峰与碳减排工作计划、行动方案，综合运用相关政策工具和手段措施，持续推动实施。进一步优化调整能源结构，发展以光伏全产业链为龙头的风光氢等多元化可再生清洁能源产业，提高可再生能源发电装机占比，推动电力源网荷储一体化和多能互补。实行能源消费强度与消费总量“双控”制度。抓好电力、建材、冶炼等重点耗能行业的节能降耗工作，推动单位GDP能源消耗、单位GDP二氧化碳排放持续下降。鼓励使用天然气及可再生能源，县级及以上城市建成区，禁止新建每小时35蒸吨以下燃煤锅炉。原则上不再新建小水电以及除国家和省规划外的风电项目，对不符合生态环境要求的小水电进行清理整改。严格落实东江、北江流域等重要控制断面生态流量保障目标。加强城市节水，提高水资源的利用效率和效益。严格矿产资源开发准入管理，从严控制矿产资源开发总量和综合利用标准。加强矿产资源规划管理，提高矿产资源开发利用效率，推动矿产资源开发合理布局和节约集约利用。推进大宝山、凡口矿等矿山企业转型升级，打造国家级绿色矿山。全市矿山企业在2025年前全部达到绿色矿山标准。</w:t>
                  </w:r>
                </w:p>
              </w:tc>
              <w:tc>
                <w:tcPr>
                  <w:tcW w:w="1243" w:type="pct"/>
                  <w:tcBorders>
                    <w:tl2br w:val="nil"/>
                    <w:tr2bl w:val="nil"/>
                  </w:tcBorders>
                  <w:vAlign w:val="center"/>
                </w:tcPr>
                <w:p w14:paraId="572C8068">
                  <w:pPr>
                    <w:pageBreakBefore w:val="0"/>
                    <w:wordWrap w:val="0"/>
                    <w:overflowPunct/>
                    <w:bidi w:val="0"/>
                    <w:spacing w:line="240" w:lineRule="auto"/>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本项目</w:t>
                  </w:r>
                  <w:r>
                    <w:rPr>
                      <w:rFonts w:hint="eastAsia" w:cs="Times New Roman"/>
                      <w:color w:val="auto"/>
                      <w:sz w:val="21"/>
                      <w:szCs w:val="21"/>
                      <w:highlight w:val="none"/>
                      <w:lang w:val="en-US" w:eastAsia="zh-CN"/>
                    </w:rPr>
                    <w:t>主要从事</w:t>
                  </w:r>
                  <w:r>
                    <w:rPr>
                      <w:rFonts w:hint="eastAsia" w:cs="Times New Roman"/>
                      <w:color w:val="auto"/>
                      <w:sz w:val="21"/>
                      <w:szCs w:val="21"/>
                      <w:highlight w:val="none"/>
                      <w:lang w:eastAsia="zh-CN"/>
                    </w:rPr>
                    <w:t>储能电箱制造</w:t>
                  </w:r>
                  <w:r>
                    <w:rPr>
                      <w:rFonts w:hint="default" w:ascii="Times New Roman" w:hAnsi="Times New Roman" w:cs="Times New Roman"/>
                      <w:color w:val="auto"/>
                      <w:sz w:val="21"/>
                      <w:szCs w:val="21"/>
                      <w:highlight w:val="none"/>
                    </w:rPr>
                    <w:t>，不属于电力、建材、冶炼等重点耗能行业，不涉及水电、风电</w:t>
                  </w:r>
                  <w:r>
                    <w:rPr>
                      <w:rFonts w:hint="default" w:ascii="Times New Roman" w:hAnsi="Times New Roman" w:cs="Times New Roman"/>
                      <w:color w:val="auto"/>
                      <w:sz w:val="21"/>
                      <w:szCs w:val="21"/>
                      <w:highlight w:val="none"/>
                      <w:lang w:eastAsia="zh-CN"/>
                    </w:rPr>
                    <w:t>。</w:t>
                  </w:r>
                </w:p>
              </w:tc>
              <w:tc>
                <w:tcPr>
                  <w:tcW w:w="311" w:type="pct"/>
                  <w:tcBorders>
                    <w:tl2br w:val="nil"/>
                    <w:tr2bl w:val="nil"/>
                  </w:tcBorders>
                  <w:vAlign w:val="center"/>
                </w:tcPr>
                <w:p w14:paraId="19214BF2">
                  <w:pPr>
                    <w:pageBreakBefore w:val="0"/>
                    <w:wordWrap w:val="0"/>
                    <w:overflowPunct/>
                    <w:bidi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符合</w:t>
                  </w:r>
                </w:p>
              </w:tc>
            </w:tr>
            <w:tr w14:paraId="38D93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27" w:type="pct"/>
                  <w:vMerge w:val="continue"/>
                  <w:tcBorders>
                    <w:tl2br w:val="nil"/>
                    <w:tr2bl w:val="nil"/>
                  </w:tcBorders>
                  <w:vAlign w:val="center"/>
                </w:tcPr>
                <w:p w14:paraId="68674320">
                  <w:pPr>
                    <w:pageBreakBefore w:val="0"/>
                    <w:wordWrap w:val="0"/>
                    <w:overflowPunct/>
                    <w:bidi w:val="0"/>
                    <w:spacing w:line="240" w:lineRule="auto"/>
                    <w:jc w:val="center"/>
                    <w:rPr>
                      <w:rFonts w:hint="default" w:ascii="Times New Roman" w:hAnsi="Times New Roman" w:cs="Times New Roman"/>
                      <w:b/>
                      <w:bCs/>
                      <w:color w:val="auto"/>
                      <w:sz w:val="21"/>
                      <w:szCs w:val="21"/>
                      <w:highlight w:val="none"/>
                    </w:rPr>
                  </w:pPr>
                </w:p>
              </w:tc>
              <w:tc>
                <w:tcPr>
                  <w:tcW w:w="372" w:type="pct"/>
                  <w:tcBorders>
                    <w:tl2br w:val="nil"/>
                    <w:tr2bl w:val="nil"/>
                  </w:tcBorders>
                  <w:vAlign w:val="center"/>
                </w:tcPr>
                <w:p w14:paraId="69130A02">
                  <w:pPr>
                    <w:pageBreakBefore w:val="0"/>
                    <w:wordWrap w:val="0"/>
                    <w:overflowPunct/>
                    <w:bidi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污染物排放管控</w:t>
                  </w:r>
                </w:p>
              </w:tc>
              <w:tc>
                <w:tcPr>
                  <w:tcW w:w="2845" w:type="pct"/>
                  <w:tcBorders>
                    <w:tl2br w:val="nil"/>
                    <w:tr2bl w:val="nil"/>
                  </w:tcBorders>
                  <w:vAlign w:val="center"/>
                </w:tcPr>
                <w:p w14:paraId="7303FEBA">
                  <w:pPr>
                    <w:pageBreakBefore w:val="0"/>
                    <w:wordWrap w:val="0"/>
                    <w:overflowPunct/>
                    <w:bidi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深入实施重点污染物总量控制。“十四五”期间重点污染物排放总量在现有基础上持续减少。优化总量分配和调控机制，重点污染物排放总量指标优先向重点建设项目、重点工业园区、战略性产业集群倾斜。新建“两高”项目应配套区域主要污染物削减方案，采取有效的主要污染物区域削减措施，腾出足够的环境容量。新建项目原则上实施氮氧化物（NOx）和挥发性有机物（VOCs）等量替代，推动钢铁行业执行大气污染物超低排放标准。新建、改建、扩建造纸、焦化、有色金属、印染、农副食品加工、原料药制造、制革、农药、电镀等行业建设项目实行主要水体污染物排放等量替代。实施低挥发性有机物（VOCs）含量产品源头替代工程。全面加强无组织排放控制，深入实施精细化治理。推进溶剂使用及挥发性有机液体储运销环节的减排，全过程实施反应活性物质、有毒有害物质、恶臭物质的协同控制。对VOCs重点企业实施分级和清单化管控，将全面使用低VOCs含量原辅材料的企业纳入正面清单和政府绿色采购清单。</w:t>
                  </w:r>
                </w:p>
                <w:p w14:paraId="4391A540">
                  <w:pPr>
                    <w:pageBreakBefore w:val="0"/>
                    <w:wordWrap w:val="0"/>
                    <w:overflowPunct/>
                    <w:bidi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北江流域实行重金属污染物排放总量控制。新建、改建、扩建的项目严格实行重金属等特征污染物排放减量替代。加强“三矿两厂”等日常监督，在重点防控区域内新建、改建、扩建增加重金属污染物排放总量的建设项目应通过实施区域削减，实现增产减污。凡口铅锌矿及其周边区域（仁化县董塘镇）、大宝山矿及其周边区域（曲江区沙溪镇、翁源县铁龙镇）严格执行部分重金属水污染物特别排放限值的相关规定。</w:t>
                  </w:r>
                </w:p>
                <w:p w14:paraId="47A465C6">
                  <w:pPr>
                    <w:pageBreakBefore w:val="0"/>
                    <w:wordWrap w:val="0"/>
                    <w:overflowPunct/>
                    <w:bidi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饮用水水源保护区全面加强水源涵养，强化源头控制，禁止新建排污口，严格防范水源污染风险，切实保障饮用水安全，一级保护区内禁止新建、改建、扩建与供水设施和保护水源无关的建设项目：二级保护区内禁止新建、改建、扩建排放污染物的建设项目。饮用水水源准保护区内禁止新建、扩建对水体污染严重的建设项目。</w:t>
                  </w:r>
                </w:p>
                <w:p w14:paraId="2F498ABD">
                  <w:pPr>
                    <w:pageBreakBefore w:val="0"/>
                    <w:wordWrap w:val="0"/>
                    <w:overflowPunct/>
                    <w:bidi w:val="0"/>
                    <w:spacing w:line="240" w:lineRule="auto"/>
                    <w:jc w:val="both"/>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完善污水处理厂配套管网建设，切实提高运行负荷。强化城中村、老旧城区和城乡结合部污水截流、收集。现有合流制排水系统应加快实施雨污分流改造，加快镇级生活污水处理设施及配套管网建设，因地制宜建设农村生活污水处理设施。加强农业面源污染治理，实施种植业“肥药双控”；严格禁养区管理，加强养殖污染防治，加强畜禽养殖废弃物资源化利用。</w:t>
                  </w:r>
                </w:p>
              </w:tc>
              <w:tc>
                <w:tcPr>
                  <w:tcW w:w="1243" w:type="pct"/>
                  <w:tcBorders>
                    <w:tl2br w:val="nil"/>
                    <w:tr2bl w:val="nil"/>
                  </w:tcBorders>
                  <w:vAlign w:val="center"/>
                </w:tcPr>
                <w:p w14:paraId="5C7F5736">
                  <w:pPr>
                    <w:pageBreakBefore w:val="0"/>
                    <w:wordWrap w:val="0"/>
                    <w:overflowPunct/>
                    <w:bidi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本项目主要从事</w:t>
                  </w:r>
                  <w:r>
                    <w:rPr>
                      <w:rFonts w:hint="eastAsia" w:cs="Times New Roman"/>
                      <w:color w:val="auto"/>
                      <w:sz w:val="21"/>
                      <w:szCs w:val="21"/>
                      <w:highlight w:val="none"/>
                      <w:lang w:eastAsia="zh-CN"/>
                    </w:rPr>
                    <w:t>储能电箱制造</w:t>
                  </w:r>
                  <w:r>
                    <w:rPr>
                      <w:rFonts w:hint="default" w:ascii="Times New Roman" w:hAnsi="Times New Roman" w:cs="Times New Roman"/>
                      <w:color w:val="auto"/>
                      <w:sz w:val="21"/>
                      <w:szCs w:val="21"/>
                      <w:highlight w:val="none"/>
                    </w:rPr>
                    <w:t>，不属于造纸、焦化、有色金属、印染、农副食品加工、原料药制造、制革、农药、电镀等行业，不属于“两高”项目。项目所在地不涉及饮用水水源保护区，生活污水</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生产废水经</w:t>
                  </w:r>
                  <w:r>
                    <w:rPr>
                      <w:rFonts w:hint="default" w:ascii="Times New Roman" w:hAnsi="Times New Roman" w:cs="Times New Roman"/>
                      <w:color w:val="auto"/>
                      <w:sz w:val="21"/>
                      <w:szCs w:val="21"/>
                      <w:highlight w:val="none"/>
                    </w:rPr>
                    <w:t>处理后排入园区污水处理厂，园区污水处理厂执行《城镇污水处理厂污染物排放标准》(GB18918-2002)中一级B标准和广东省《水污染物排放限值</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（DB44/26-2001）中的第二时段一级排放标准中严者。</w:t>
                  </w:r>
                </w:p>
                <w:p w14:paraId="0BC1FFDC">
                  <w:pPr>
                    <w:pageBreakBefore w:val="0"/>
                    <w:wordWrap w:val="0"/>
                    <w:overflowPunct/>
                    <w:bidi w:val="0"/>
                    <w:spacing w:line="240" w:lineRule="auto"/>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项目</w:t>
                  </w:r>
                  <w:r>
                    <w:rPr>
                      <w:rFonts w:hint="eastAsia" w:cs="Times New Roman"/>
                      <w:color w:val="auto"/>
                      <w:sz w:val="21"/>
                      <w:szCs w:val="21"/>
                      <w:highlight w:val="none"/>
                      <w:lang w:val="en-US" w:eastAsia="zh-CN"/>
                    </w:rPr>
                    <w:t>排放VOCs和NOx需申请污染物排放总量控制指标</w:t>
                  </w:r>
                </w:p>
              </w:tc>
              <w:tc>
                <w:tcPr>
                  <w:tcW w:w="311" w:type="pct"/>
                  <w:tcBorders>
                    <w:tl2br w:val="nil"/>
                    <w:tr2bl w:val="nil"/>
                  </w:tcBorders>
                  <w:vAlign w:val="center"/>
                </w:tcPr>
                <w:p w14:paraId="0C649D85">
                  <w:pPr>
                    <w:pageBreakBefore w:val="0"/>
                    <w:wordWrap w:val="0"/>
                    <w:overflowPunct/>
                    <w:bidi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符合</w:t>
                  </w:r>
                </w:p>
              </w:tc>
            </w:tr>
            <w:tr w14:paraId="0D32E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27" w:type="pct"/>
                  <w:vMerge w:val="continue"/>
                  <w:tcBorders>
                    <w:tl2br w:val="nil"/>
                    <w:tr2bl w:val="nil"/>
                  </w:tcBorders>
                  <w:vAlign w:val="center"/>
                </w:tcPr>
                <w:p w14:paraId="63B8D640">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372" w:type="pct"/>
                  <w:tcBorders>
                    <w:tl2br w:val="nil"/>
                    <w:tr2bl w:val="nil"/>
                  </w:tcBorders>
                  <w:vAlign w:val="center"/>
                </w:tcPr>
                <w:p w14:paraId="3A637E4A">
                  <w:pPr>
                    <w:pageBreakBefore w:val="0"/>
                    <w:wordWrap w:val="0"/>
                    <w:overflowPunct/>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环境风险管控</w:t>
                  </w:r>
                </w:p>
              </w:tc>
              <w:tc>
                <w:tcPr>
                  <w:tcW w:w="2845" w:type="pct"/>
                  <w:tcBorders>
                    <w:tl2br w:val="nil"/>
                    <w:tr2bl w:val="nil"/>
                  </w:tcBorders>
                  <w:vAlign w:val="center"/>
                </w:tcPr>
                <w:p w14:paraId="41E38207">
                  <w:pPr>
                    <w:pageBreakBefore w:val="0"/>
                    <w:wordWrap w:val="0"/>
                    <w:overflowPunct/>
                    <w:bidi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加强北江、东江干流沿岸以及饮用水水源地环境风险防控。严格控制沿岸石油加工、化学原料和化学制品制造、有色金属冶炼、纺织印染等项目环境风险。强化地表水、地下水和土壤污染风险协同防控，建立完善突发环境事件应急管理体系，全面排查“千吨万人”饮用水水源地周边环境问题并及时开展专项整治，保障饮用水水源地安全。重点加强环境风险分级分类管控，建立全市环境风险源在线监控预警系统，强化化工企业、涉重金属行业、工业园区和尾矿库等重点环境风险源的环境风险防控。构建企业、园区和区域三级环境风险防控联动体系，增强园区风险防控能力。园区管理机构应定期开展环境风险评估，编制完善综合环境应急预案并备案，整合应急资源，储备环境应急物资及装备，定期组织开展应急演练，全面提升园区突发环境事件应急处理能力。持续推进土壤环境风险管控工作。实行农用地分类分级安全利用，有效提升农用地土地资源开发利用率，依法划定特定农作物禁止种植区域，严格按照耕地土壤环境质量类别划分成果对耕地实施安全利用，防范农产品重金属含量超标风险。加强建设用地准入管理，规范受污染建设用地地块再开发。加强尾矿库的环境风险排查与防范。加强金属矿采选、金属冶炼企业的重金属污染风险防控。强化选矿废水治理设施的升级改造，选矿废水原则上回用不外排。全力避免因各类安全事故（事件）引发的次生环境风险事故（事件）。</w:t>
                  </w:r>
                </w:p>
              </w:tc>
              <w:tc>
                <w:tcPr>
                  <w:tcW w:w="1243" w:type="pct"/>
                  <w:tcBorders>
                    <w:tl2br w:val="nil"/>
                    <w:tr2bl w:val="nil"/>
                  </w:tcBorders>
                  <w:vAlign w:val="center"/>
                </w:tcPr>
                <w:p w14:paraId="36AC55F1">
                  <w:pPr>
                    <w:pageBreakBefore w:val="0"/>
                    <w:wordWrap w:val="0"/>
                    <w:overflowPunct/>
                    <w:bidi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石油加工、化学原料和化学制品制造、有色金属冶炼、纺织印染行业，不涉及饮用水水源地，本项目制定有效的事故风险防范和应急措施，为防范污染事故发生，并避免发生事故对周围环境造成污染，确保环境安全。项目符合环境风险防控要求。</w:t>
                  </w:r>
                </w:p>
              </w:tc>
              <w:tc>
                <w:tcPr>
                  <w:tcW w:w="311" w:type="pct"/>
                  <w:tcBorders>
                    <w:tl2br w:val="nil"/>
                    <w:tr2bl w:val="nil"/>
                  </w:tcBorders>
                  <w:vAlign w:val="center"/>
                </w:tcPr>
                <w:p w14:paraId="1B661AC5">
                  <w:pPr>
                    <w:pageBreakBefore w:val="0"/>
                    <w:wordWrap w:val="0"/>
                    <w:overflowPunct/>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13F61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27" w:type="pct"/>
                  <w:vMerge w:val="restart"/>
                  <w:tcBorders>
                    <w:tl2br w:val="nil"/>
                    <w:tr2bl w:val="nil"/>
                  </w:tcBorders>
                  <w:vAlign w:val="center"/>
                </w:tcPr>
                <w:p w14:paraId="284A6B1A">
                  <w:pPr>
                    <w:pageBreakBefore w:val="0"/>
                    <w:wordWrap w:val="0"/>
                    <w:overflowPunct/>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生态环境准入清单</w:t>
                  </w:r>
                </w:p>
              </w:tc>
              <w:tc>
                <w:tcPr>
                  <w:tcW w:w="372" w:type="pct"/>
                  <w:tcBorders>
                    <w:tl2br w:val="nil"/>
                    <w:tr2bl w:val="nil"/>
                  </w:tcBorders>
                  <w:vAlign w:val="center"/>
                </w:tcPr>
                <w:p w14:paraId="63F5B9FD">
                  <w:pPr>
                    <w:pageBreakBefore w:val="0"/>
                    <w:wordWrap w:val="0"/>
                    <w:overflowPunct/>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区域布局管控</w:t>
                  </w:r>
                </w:p>
              </w:tc>
              <w:tc>
                <w:tcPr>
                  <w:tcW w:w="2845" w:type="pct"/>
                  <w:tcBorders>
                    <w:tl2br w:val="nil"/>
                    <w:tr2bl w:val="nil"/>
                  </w:tcBorders>
                  <w:vAlign w:val="center"/>
                </w:tcPr>
                <w:p w14:paraId="2E9FDF96">
                  <w:pPr>
                    <w:pageBreakBefore w:val="0"/>
                    <w:wordWrap w:val="0"/>
                    <w:overflowPunct/>
                    <w:bidi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1-1.【产业/鼓励引导类】重点发展现代轻工产业（消费电子等）、先进装备制造业等产业，优先引进无污染物或轻污染项目。</w:t>
                  </w:r>
                </w:p>
                <w:p w14:paraId="3F03FEB2">
                  <w:pPr>
                    <w:pageBreakBefore w:val="0"/>
                    <w:wordWrap w:val="0"/>
                    <w:overflowPunct/>
                    <w:bidi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1-2.【产业/禁止类】园区禁止引入专业电镀、化学制浆、鞣革等水污染物排放量大或排放一类污染物、持久性有机污染物的项目。</w:t>
                  </w:r>
                </w:p>
                <w:p w14:paraId="1107990B">
                  <w:pPr>
                    <w:pageBreakBefore w:val="0"/>
                    <w:wordWrap w:val="0"/>
                    <w:overflowPunct/>
                    <w:bidi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1-3.【产业/限制类】严格限制不符合园区发展定位的项目入驻。</w:t>
                  </w:r>
                </w:p>
                <w:p w14:paraId="584EBC8B">
                  <w:pPr>
                    <w:pageBreakBefore w:val="0"/>
                    <w:wordWrap w:val="0"/>
                    <w:overflowPunct/>
                    <w:bidi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1-4.【产业/综合类】居民区、学校等环境敏感点邻近地块优先布局废气排放量小、工业噪声影响小的产业。</w:t>
                  </w:r>
                </w:p>
              </w:tc>
              <w:tc>
                <w:tcPr>
                  <w:tcW w:w="1243" w:type="pct"/>
                  <w:tcBorders>
                    <w:tl2br w:val="nil"/>
                    <w:tr2bl w:val="nil"/>
                  </w:tcBorders>
                  <w:vAlign w:val="center"/>
                </w:tcPr>
                <w:p w14:paraId="7FB79F83">
                  <w:pPr>
                    <w:pageBreakBefore w:val="0"/>
                    <w:wordWrap w:val="0"/>
                    <w:overflowPunct/>
                    <w:bidi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w:t>
                  </w:r>
                  <w:r>
                    <w:rPr>
                      <w:rFonts w:hint="eastAsia" w:cs="Times New Roman"/>
                      <w:color w:val="auto"/>
                      <w:sz w:val="21"/>
                      <w:szCs w:val="21"/>
                      <w:highlight w:val="none"/>
                      <w:lang w:val="en-US" w:eastAsia="zh-CN"/>
                    </w:rPr>
                    <w:t>主要从事</w:t>
                  </w:r>
                  <w:r>
                    <w:rPr>
                      <w:rFonts w:hint="eastAsia" w:cs="Times New Roman"/>
                      <w:color w:val="auto"/>
                      <w:sz w:val="21"/>
                      <w:szCs w:val="21"/>
                      <w:highlight w:val="none"/>
                      <w:lang w:eastAsia="zh-CN"/>
                    </w:rPr>
                    <w:t>储能电箱制造</w:t>
                  </w:r>
                  <w:r>
                    <w:rPr>
                      <w:rFonts w:hint="default" w:ascii="Times New Roman" w:hAnsi="Times New Roman" w:cs="Times New Roman"/>
                      <w:color w:val="auto"/>
                      <w:sz w:val="21"/>
                      <w:szCs w:val="21"/>
                      <w:highlight w:val="none"/>
                    </w:rPr>
                    <w:t>，不属于专业电镀、化学制浆、鞣革等水污染物排放量大或排放一类污染物、持久性有机污染物的项目；项目符合园区发展定位；周边无学校等敏感点。</w:t>
                  </w:r>
                </w:p>
              </w:tc>
              <w:tc>
                <w:tcPr>
                  <w:tcW w:w="311" w:type="pct"/>
                  <w:tcBorders>
                    <w:tl2br w:val="nil"/>
                    <w:tr2bl w:val="nil"/>
                  </w:tcBorders>
                  <w:vAlign w:val="center"/>
                </w:tcPr>
                <w:p w14:paraId="76C7B7D0">
                  <w:pPr>
                    <w:pageBreakBefore w:val="0"/>
                    <w:wordWrap w:val="0"/>
                    <w:overflowPunct/>
                    <w:bidi w:val="0"/>
                    <w:spacing w:line="240" w:lineRule="auto"/>
                    <w:ind w:right="86" w:rightChars="36"/>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379A0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27" w:type="pct"/>
                  <w:vMerge w:val="continue"/>
                  <w:tcBorders>
                    <w:tl2br w:val="nil"/>
                    <w:tr2bl w:val="nil"/>
                  </w:tcBorders>
                  <w:vAlign w:val="center"/>
                </w:tcPr>
                <w:p w14:paraId="49293BFD">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372" w:type="pct"/>
                  <w:tcBorders>
                    <w:tl2br w:val="nil"/>
                    <w:tr2bl w:val="nil"/>
                  </w:tcBorders>
                  <w:vAlign w:val="center"/>
                </w:tcPr>
                <w:p w14:paraId="0B7386E1">
                  <w:pPr>
                    <w:pageBreakBefore w:val="0"/>
                    <w:wordWrap w:val="0"/>
                    <w:overflowPunct/>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能源资源利用</w:t>
                  </w:r>
                </w:p>
              </w:tc>
              <w:tc>
                <w:tcPr>
                  <w:tcW w:w="2845" w:type="pct"/>
                  <w:tcBorders>
                    <w:tl2br w:val="nil"/>
                    <w:tr2bl w:val="nil"/>
                  </w:tcBorders>
                  <w:vAlign w:val="center"/>
                </w:tcPr>
                <w:p w14:paraId="7D6BD52A">
                  <w:pPr>
                    <w:pageBreakBefore w:val="0"/>
                    <w:wordWrap w:val="0"/>
                    <w:overflowPunct/>
                    <w:bidi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2-1.【能源/鼓励引导类】园区内能源结构应以电能、燃气等清洁能源为主。</w:t>
                  </w:r>
                </w:p>
                <w:p w14:paraId="3377B410">
                  <w:pPr>
                    <w:pageBreakBefore w:val="0"/>
                    <w:wordWrap w:val="0"/>
                    <w:overflowPunct/>
                    <w:bidi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2-2.【水资源/综合类】提高园区水资源利用效率，加快中水回用系统建设。</w:t>
                  </w:r>
                </w:p>
                <w:p w14:paraId="02D4C440">
                  <w:pPr>
                    <w:pageBreakBefore w:val="0"/>
                    <w:wordWrap w:val="0"/>
                    <w:overflowPunct/>
                    <w:bidi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2-3.【其他/综合类】有行业清洁生产标准的新引进项目清洁生产水平须达到本行业国内先进水平。</w:t>
                  </w:r>
                </w:p>
              </w:tc>
              <w:tc>
                <w:tcPr>
                  <w:tcW w:w="1243" w:type="pct"/>
                  <w:tcBorders>
                    <w:tl2br w:val="nil"/>
                    <w:tr2bl w:val="nil"/>
                  </w:tcBorders>
                  <w:vAlign w:val="center"/>
                </w:tcPr>
                <w:p w14:paraId="79548FD6">
                  <w:pPr>
                    <w:pageBreakBefore w:val="0"/>
                    <w:wordWrap w:val="0"/>
                    <w:overflowPunct/>
                    <w:bidi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项目以电能</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天然气</w:t>
                  </w:r>
                  <w:r>
                    <w:rPr>
                      <w:rFonts w:hint="default" w:ascii="Times New Roman" w:hAnsi="Times New Roman" w:cs="Times New Roman"/>
                      <w:color w:val="auto"/>
                      <w:sz w:val="21"/>
                      <w:szCs w:val="21"/>
                      <w:highlight w:val="none"/>
                    </w:rPr>
                    <w:t>作为生产能源，属于清洁能源；</w:t>
                  </w:r>
                  <w:r>
                    <w:rPr>
                      <w:rFonts w:hint="eastAsia" w:cs="Times New Roman"/>
                      <w:color w:val="auto"/>
                      <w:sz w:val="21"/>
                      <w:szCs w:val="21"/>
                      <w:highlight w:val="none"/>
                      <w:lang w:val="en-US" w:eastAsia="zh-CN"/>
                    </w:rPr>
                    <w:t>生产废水经自建污水处理站处理，</w:t>
                  </w:r>
                  <w:r>
                    <w:rPr>
                      <w:rFonts w:hint="default" w:ascii="Times New Roman" w:hAnsi="Times New Roman" w:cs="Times New Roman"/>
                      <w:color w:val="auto"/>
                      <w:sz w:val="21"/>
                      <w:szCs w:val="21"/>
                      <w:highlight w:val="none"/>
                    </w:rPr>
                    <w:t>生活污水经三级化粪池处理后</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两股废水</w:t>
                  </w:r>
                  <w:r>
                    <w:rPr>
                      <w:rFonts w:hint="default" w:ascii="Times New Roman" w:hAnsi="Times New Roman" w:cs="Times New Roman"/>
                      <w:color w:val="auto"/>
                      <w:sz w:val="21"/>
                      <w:szCs w:val="21"/>
                      <w:highlight w:val="none"/>
                      <w:lang w:val="en-US" w:eastAsia="zh-CN"/>
                    </w:rPr>
                    <w:t>引入</w:t>
                  </w:r>
                  <w:r>
                    <w:rPr>
                      <w:rFonts w:hint="default" w:ascii="Times New Roman" w:hAnsi="Times New Roman" w:cs="Times New Roman"/>
                      <w:color w:val="auto"/>
                      <w:sz w:val="21"/>
                      <w:szCs w:val="21"/>
                      <w:highlight w:val="none"/>
                    </w:rPr>
                    <w:t>园区污水处理厂处理。</w:t>
                  </w:r>
                </w:p>
              </w:tc>
              <w:tc>
                <w:tcPr>
                  <w:tcW w:w="311" w:type="pct"/>
                  <w:tcBorders>
                    <w:tl2br w:val="nil"/>
                    <w:tr2bl w:val="nil"/>
                  </w:tcBorders>
                  <w:vAlign w:val="center"/>
                </w:tcPr>
                <w:p w14:paraId="57DEFB78">
                  <w:pPr>
                    <w:pageBreakBefore w:val="0"/>
                    <w:wordWrap w:val="0"/>
                    <w:overflowPunct/>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086B7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27" w:type="pct"/>
                  <w:vMerge w:val="continue"/>
                  <w:tcBorders>
                    <w:tl2br w:val="nil"/>
                    <w:tr2bl w:val="nil"/>
                  </w:tcBorders>
                  <w:vAlign w:val="center"/>
                </w:tcPr>
                <w:p w14:paraId="637A9D71">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372" w:type="pct"/>
                  <w:tcBorders>
                    <w:tl2br w:val="nil"/>
                    <w:tr2bl w:val="nil"/>
                  </w:tcBorders>
                  <w:vAlign w:val="center"/>
                </w:tcPr>
                <w:p w14:paraId="1FEB8A43">
                  <w:pPr>
                    <w:pageBreakBefore w:val="0"/>
                    <w:wordWrap w:val="0"/>
                    <w:overflowPunct/>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污染物排放管控</w:t>
                  </w:r>
                </w:p>
              </w:tc>
              <w:tc>
                <w:tcPr>
                  <w:tcW w:w="2845" w:type="pct"/>
                  <w:tcBorders>
                    <w:tl2br w:val="nil"/>
                    <w:tr2bl w:val="nil"/>
                  </w:tcBorders>
                  <w:vAlign w:val="center"/>
                </w:tcPr>
                <w:p w14:paraId="6A3EA84C">
                  <w:pPr>
                    <w:pageBreakBefore w:val="0"/>
                    <w:wordWrap w:val="0"/>
                    <w:overflowPunct/>
                    <w:bidi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3-1.【水、大气/限制类】园区各项污染物排放总量不得突破园区规划环评核定的污染物排放总量管控要求。</w:t>
                  </w:r>
                </w:p>
                <w:p w14:paraId="1B53C18D">
                  <w:pPr>
                    <w:pageBreakBefore w:val="0"/>
                    <w:wordWrap w:val="0"/>
                    <w:overflowPunct/>
                    <w:bidi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-2.【水/限制类】实行重点重金属污染物（铅、砷、汞、镉、铬）等量替代。严格控制涉重金属及有毒有害污染物排放的项目建设，新建、改建、扩建涉重金属重点行业的项目应明确重金属污染物总量来源。3-3.【大气/限制类】新建项目原则上实施氮氧化物、挥发性有机物排放量等量替代。</w:t>
                  </w:r>
                </w:p>
                <w:p w14:paraId="2AA50674">
                  <w:pPr>
                    <w:pageBreakBefore w:val="0"/>
                    <w:wordWrap w:val="0"/>
                    <w:overflowPunct/>
                    <w:bidi w:val="0"/>
                    <w:spacing w:line="240" w:lineRule="auto"/>
                    <w:jc w:val="both"/>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rPr>
                    <w:t>3-4.【其它/鼓励引导类】支持危险废物专业收集转运和利用处置单位建设区域性收集网点和贮存设施。</w:t>
                  </w:r>
                </w:p>
              </w:tc>
              <w:tc>
                <w:tcPr>
                  <w:tcW w:w="1243" w:type="pct"/>
                  <w:tcBorders>
                    <w:tl2br w:val="nil"/>
                    <w:tr2bl w:val="nil"/>
                  </w:tcBorders>
                  <w:vAlign w:val="center"/>
                </w:tcPr>
                <w:p w14:paraId="37FB3196">
                  <w:pPr>
                    <w:pageBreakBefore w:val="0"/>
                    <w:wordWrap w:val="0"/>
                    <w:overflowPunct/>
                    <w:bidi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项目生产过程</w:t>
                  </w:r>
                  <w:r>
                    <w:rPr>
                      <w:rFonts w:hint="eastAsia" w:cs="Times New Roman"/>
                      <w:color w:val="auto"/>
                      <w:sz w:val="21"/>
                      <w:szCs w:val="21"/>
                      <w:highlight w:val="none"/>
                      <w:lang w:val="en-US" w:eastAsia="zh-CN"/>
                    </w:rPr>
                    <w:t>产生</w:t>
                  </w:r>
                  <w:r>
                    <w:rPr>
                      <w:rFonts w:hint="default" w:ascii="Times New Roman" w:hAnsi="Times New Roman" w:cs="Times New Roman"/>
                      <w:color w:val="auto"/>
                      <w:sz w:val="21"/>
                      <w:szCs w:val="21"/>
                      <w:highlight w:val="none"/>
                      <w:lang w:val="en-US" w:eastAsia="zh-CN"/>
                    </w:rPr>
                    <w:t>废气VOCs</w:t>
                  </w:r>
                  <w:r>
                    <w:rPr>
                      <w:rFonts w:hint="eastAsia" w:cs="Times New Roman"/>
                      <w:color w:val="auto"/>
                      <w:sz w:val="21"/>
                      <w:szCs w:val="21"/>
                      <w:highlight w:val="none"/>
                      <w:lang w:val="en-US" w:eastAsia="zh-CN"/>
                    </w:rPr>
                    <w:t>、氮氧化物</w:t>
                  </w:r>
                  <w:r>
                    <w:rPr>
                      <w:rFonts w:hint="default" w:ascii="Times New Roman" w:hAnsi="Times New Roman" w:cs="Times New Roman"/>
                      <w:color w:val="auto"/>
                      <w:sz w:val="21"/>
                      <w:szCs w:val="21"/>
                      <w:highlight w:val="none"/>
                      <w:lang w:val="en-US" w:eastAsia="zh-CN"/>
                    </w:rPr>
                    <w:t>；以上生产废气</w:t>
                  </w:r>
                  <w:r>
                    <w:rPr>
                      <w:rFonts w:hint="default" w:ascii="Times New Roman" w:hAnsi="Times New Roman" w:cs="Times New Roman"/>
                      <w:color w:val="auto"/>
                      <w:sz w:val="21"/>
                      <w:szCs w:val="21"/>
                      <w:highlight w:val="none"/>
                    </w:rPr>
                    <w:t>没有突破园区规划环评核定的污染物排放总量，需向韶关市生态环境局乐昌分局申请分配实行等量代替，项目不涉及重金属污染物，危险废物贮存在厂区危险废物暂存间，统一收集后交有资质的单位处理。</w:t>
                  </w:r>
                </w:p>
              </w:tc>
              <w:tc>
                <w:tcPr>
                  <w:tcW w:w="311" w:type="pct"/>
                  <w:tcBorders>
                    <w:tl2br w:val="nil"/>
                    <w:tr2bl w:val="nil"/>
                  </w:tcBorders>
                  <w:vAlign w:val="center"/>
                </w:tcPr>
                <w:p w14:paraId="6EE0F424">
                  <w:pPr>
                    <w:pageBreakBefore w:val="0"/>
                    <w:wordWrap w:val="0"/>
                    <w:overflowPunct/>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5CC74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227" w:type="pct"/>
                  <w:vMerge w:val="continue"/>
                  <w:tcBorders>
                    <w:tl2br w:val="nil"/>
                    <w:tr2bl w:val="nil"/>
                  </w:tcBorders>
                  <w:vAlign w:val="center"/>
                </w:tcPr>
                <w:p w14:paraId="100C8D8E">
                  <w:pPr>
                    <w:pageBreakBefore w:val="0"/>
                    <w:wordWrap w:val="0"/>
                    <w:overflowPunct/>
                    <w:bidi w:val="0"/>
                    <w:spacing w:line="240" w:lineRule="auto"/>
                    <w:ind w:right="86" w:rightChars="36"/>
                    <w:jc w:val="center"/>
                    <w:rPr>
                      <w:rFonts w:hint="default" w:ascii="Times New Roman" w:hAnsi="Times New Roman" w:cs="Times New Roman"/>
                      <w:color w:val="auto"/>
                      <w:sz w:val="21"/>
                      <w:szCs w:val="21"/>
                      <w:highlight w:val="none"/>
                    </w:rPr>
                  </w:pPr>
                </w:p>
              </w:tc>
              <w:tc>
                <w:tcPr>
                  <w:tcW w:w="372" w:type="pct"/>
                  <w:tcBorders>
                    <w:tl2br w:val="nil"/>
                    <w:tr2bl w:val="nil"/>
                  </w:tcBorders>
                  <w:vAlign w:val="center"/>
                </w:tcPr>
                <w:p w14:paraId="2B31A316">
                  <w:pPr>
                    <w:pageBreakBefore w:val="0"/>
                    <w:wordWrap w:val="0"/>
                    <w:overflowPunct/>
                    <w:bidi w:val="0"/>
                    <w:spacing w:line="240" w:lineRule="auto"/>
                    <w:ind w:right="86" w:rightChars="36"/>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环境风险防控</w:t>
                  </w:r>
                </w:p>
              </w:tc>
              <w:tc>
                <w:tcPr>
                  <w:tcW w:w="2845" w:type="pct"/>
                  <w:tcBorders>
                    <w:tl2br w:val="nil"/>
                    <w:tr2bl w:val="nil"/>
                  </w:tcBorders>
                  <w:vAlign w:val="center"/>
                </w:tcPr>
                <w:p w14:paraId="77A24614">
                  <w:pPr>
                    <w:pageBreakBefore w:val="0"/>
                    <w:wordWrap w:val="0"/>
                    <w:overflowPunct/>
                    <w:bidi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-1.【风险/综合类】园区内生产、使用、储存危险化学品的项目应设置足够容积的事故应急池，园区应制定环境风险事故防范和应急预案，建立健全企业、园区和市政三级事故应急体系，落实有效的事故风险防范和应急措施，有效防范污染事故发生，并避免发生事故对周围环境造成污染，确保环境安全。园区污</w:t>
                  </w:r>
                  <w:r>
                    <w:rPr>
                      <w:rFonts w:hint="default" w:ascii="Times New Roman" w:hAnsi="Times New Roman" w:cs="Times New Roman"/>
                      <w:color w:val="auto"/>
                      <w:sz w:val="21"/>
                      <w:szCs w:val="21"/>
                      <w:highlight w:val="none"/>
                      <w:lang w:eastAsia="zh-CN"/>
                    </w:rPr>
                    <w:t>水</w:t>
                  </w:r>
                  <w:r>
                    <w:rPr>
                      <w:rFonts w:hint="default" w:ascii="Times New Roman" w:hAnsi="Times New Roman" w:cs="Times New Roman"/>
                      <w:color w:val="auto"/>
                      <w:sz w:val="21"/>
                      <w:szCs w:val="21"/>
                      <w:highlight w:val="none"/>
                    </w:rPr>
                    <w:t>处理厂设置足够容积的事故应急池，纳污水体设置水质监控断面，发现问题，及时采取限制废水排放等措施。</w:t>
                  </w:r>
                </w:p>
              </w:tc>
              <w:tc>
                <w:tcPr>
                  <w:tcW w:w="1243" w:type="pct"/>
                  <w:tcBorders>
                    <w:tl2br w:val="nil"/>
                    <w:tr2bl w:val="nil"/>
                  </w:tcBorders>
                  <w:vAlign w:val="center"/>
                </w:tcPr>
                <w:p w14:paraId="3D23B7F9">
                  <w:pPr>
                    <w:pageBreakBefore w:val="0"/>
                    <w:wordWrap w:val="0"/>
                    <w:overflowPunct/>
                    <w:bidi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项目位于广东乐昌经济开发区内，广东乐昌经济开发区已完善相关环保手续，并制定了事故风险防范和应急措施，能够满足项目环境风险防控的要求。</w:t>
                  </w:r>
                </w:p>
              </w:tc>
              <w:tc>
                <w:tcPr>
                  <w:tcW w:w="311" w:type="pct"/>
                  <w:tcBorders>
                    <w:tl2br w:val="nil"/>
                    <w:tr2bl w:val="nil"/>
                  </w:tcBorders>
                  <w:vAlign w:val="center"/>
                </w:tcPr>
                <w:p w14:paraId="733CD89A">
                  <w:pPr>
                    <w:pageBreakBefore w:val="0"/>
                    <w:wordWrap w:val="0"/>
                    <w:overflowPunct/>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14:paraId="3EEF4FD6">
            <w:pPr>
              <w:pStyle w:val="17"/>
              <w:pageBreakBefore w:val="0"/>
              <w:wordWrap w:val="0"/>
              <w:overflowPunct/>
              <w:bidi w:val="0"/>
              <w:ind w:firstLine="480" w:firstLineChars="200"/>
              <w:jc w:val="left"/>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sz w:val="24"/>
                <w:highlight w:val="none"/>
              </w:rPr>
              <w:t>综上，项目符合韶关市人民政府关于印发《韶关市“三线一单”生态环境分区管控方案的通知》的通知（韶府〔2021〕10号）</w:t>
            </w:r>
            <w:r>
              <w:rPr>
                <w:rFonts w:hint="eastAsia" w:cs="Times New Roman"/>
                <w:b w:val="0"/>
                <w:bCs w:val="0"/>
                <w:color w:val="auto"/>
                <w:sz w:val="24"/>
                <w:highlight w:val="none"/>
                <w:lang w:val="en-US" w:eastAsia="zh-CN"/>
              </w:rPr>
              <w:t>和</w:t>
            </w:r>
            <w:r>
              <w:rPr>
                <w:rFonts w:hint="default" w:ascii="Times New Roman" w:hAnsi="Times New Roman" w:cs="Times New Roman"/>
                <w:b w:val="0"/>
                <w:bCs w:val="0"/>
                <w:color w:val="auto"/>
                <w:sz w:val="24"/>
                <w:highlight w:val="none"/>
              </w:rPr>
              <w:t>《韶关市生态环境分区管控动态更新成果》（2024年8月5日公布）的相关要求。</w:t>
            </w:r>
          </w:p>
          <w:p w14:paraId="2DEAA5CC">
            <w:pPr>
              <w:keepNext/>
              <w:keepLines/>
              <w:pageBreakBefore w:val="0"/>
              <w:tabs>
                <w:tab w:val="left" w:pos="0"/>
              </w:tabs>
              <w:wordWrap w:val="0"/>
              <w:overflowPunct/>
              <w:bidi w:val="0"/>
              <w:ind w:left="-2" w:firstLine="480" w:firstLineChars="200"/>
              <w:outlineLvl w:val="2"/>
              <w:rPr>
                <w:rFonts w:hint="default" w:ascii="Times New Roman" w:hAnsi="Times New Roman" w:cs="Times New Roman"/>
                <w:color w:val="auto"/>
                <w:highlight w:val="none"/>
              </w:rPr>
            </w:pPr>
            <w:r>
              <w:rPr>
                <w:rFonts w:hint="default" w:ascii="Times New Roman" w:hAnsi="Times New Roman" w:cs="Times New Roman"/>
                <w:b/>
                <w:bCs/>
                <w:color w:val="auto"/>
                <w:highlight w:val="none"/>
              </w:rPr>
              <w:t>六、相关规划相符性分析</w:t>
            </w:r>
          </w:p>
          <w:p w14:paraId="7A157247">
            <w:pPr>
              <w:keepNext/>
              <w:keepLines/>
              <w:pageBreakBefore w:val="0"/>
              <w:tabs>
                <w:tab w:val="left" w:pos="0"/>
              </w:tabs>
              <w:wordWrap w:val="0"/>
              <w:overflowPunct/>
              <w:bidi w:val="0"/>
              <w:ind w:firstLine="480" w:firstLineChars="200"/>
              <w:outlineLvl w:val="3"/>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rPr>
              <w:t>1、</w:t>
            </w:r>
            <w:r>
              <w:rPr>
                <w:rFonts w:hint="default" w:ascii="Times New Roman" w:hAnsi="Times New Roman" w:cs="Times New Roman"/>
                <w:b/>
                <w:bCs/>
                <w:color w:val="auto"/>
                <w:highlight w:val="none"/>
                <w:lang w:val="en-US" w:eastAsia="zh-CN"/>
              </w:rPr>
              <w:t>与</w:t>
            </w:r>
            <w:r>
              <w:rPr>
                <w:rFonts w:hint="default" w:ascii="Times New Roman" w:hAnsi="Times New Roman" w:cs="Times New Roman"/>
                <w:b/>
                <w:bCs/>
                <w:color w:val="auto"/>
                <w:highlight w:val="none"/>
              </w:rPr>
              <w:t>《关于印发&lt;广东省生态环境保护“十四五”规划&gt;的通知》（粤环〔2021〕10号）</w:t>
            </w:r>
            <w:r>
              <w:rPr>
                <w:rFonts w:hint="default" w:ascii="Times New Roman" w:hAnsi="Times New Roman" w:cs="Times New Roman"/>
                <w:b/>
                <w:bCs/>
                <w:color w:val="auto"/>
                <w:highlight w:val="none"/>
                <w:lang w:val="en-US" w:eastAsia="zh-CN"/>
              </w:rPr>
              <w:t>的相符性分析</w:t>
            </w:r>
          </w:p>
          <w:p w14:paraId="00CBBBAC">
            <w:pPr>
              <w:pStyle w:val="21"/>
              <w:pageBreakBefore w:val="0"/>
              <w:wordWrap w:val="0"/>
              <w:overflowPunct/>
              <w:bidi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广东省生态环境保护“十四五”规划》要求：新建高能耗项目单位产品（产值）能耗达到国际国内先进水平。大力推进低VOCs含量原辅材料源头替代，严格落实国家和地方产品VOCs含量限值质量标准，禁止建设生产和使用高VOCs含量的溶剂型涂料、油墨、胶粘剂等项目。强化对企业涉VOCs生产车间/工序废气的收集管理，推动企业开展治理设施升级改造。</w:t>
            </w:r>
            <w:bookmarkStart w:id="13" w:name="_Toc16815"/>
            <w:bookmarkStart w:id="14" w:name="_Toc13033"/>
          </w:p>
          <w:p w14:paraId="18D0C113">
            <w:pPr>
              <w:pStyle w:val="19"/>
              <w:pageBreakBefore w:val="0"/>
              <w:wordWrap w:val="0"/>
              <w:overflowPunct/>
              <w:bidi w:val="0"/>
              <w:ind w:firstLine="48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rPr>
              <w:t>项目</w:t>
            </w:r>
            <w:r>
              <w:rPr>
                <w:rFonts w:hint="eastAsia" w:cs="Times New Roman"/>
                <w:color w:val="auto"/>
                <w:sz w:val="24"/>
                <w:highlight w:val="none"/>
                <w:lang w:val="en-US" w:eastAsia="zh-CN"/>
              </w:rPr>
              <w:t>水性漆</w:t>
            </w:r>
            <w:r>
              <w:rPr>
                <w:rFonts w:hint="default" w:ascii="Times New Roman" w:hAnsi="Times New Roman" w:cs="Times New Roman"/>
                <w:color w:val="auto"/>
                <w:kern w:val="2"/>
                <w:sz w:val="24"/>
                <w:szCs w:val="24"/>
                <w:highlight w:val="none"/>
                <w:lang w:val="en-US" w:eastAsia="zh-CN" w:bidi="ar-SA"/>
              </w:rPr>
              <w:t>符合</w:t>
            </w:r>
            <w:r>
              <w:rPr>
                <w:rFonts w:hint="default" w:ascii="Times New Roman" w:hAnsi="Times New Roman" w:cs="Times New Roman"/>
                <w:color w:val="auto"/>
                <w:sz w:val="24"/>
                <w:highlight w:val="none"/>
              </w:rPr>
              <w:t>《低挥发性有机化合物含量涂料产品技术要求》（GB/T38597-2020）</w:t>
            </w:r>
            <w:r>
              <w:rPr>
                <w:rFonts w:hint="default" w:ascii="Times New Roman" w:hAnsi="Times New Roman" w:cs="Times New Roman"/>
                <w:color w:val="auto"/>
                <w:sz w:val="24"/>
                <w:highlight w:val="none"/>
                <w:lang w:eastAsia="zh-CN"/>
              </w:rPr>
              <w:t>中“</w:t>
            </w:r>
            <w:r>
              <w:rPr>
                <w:rFonts w:hint="eastAsia" w:cs="Times New Roman"/>
                <w:color w:val="auto"/>
                <w:sz w:val="24"/>
                <w:highlight w:val="none"/>
                <w:lang w:val="en-US" w:eastAsia="zh-CN"/>
              </w:rPr>
              <w:t>型材涂料 其他</w:t>
            </w:r>
            <w:r>
              <w:rPr>
                <w:rFonts w:hint="default" w:ascii="Times New Roman" w:hAnsi="Times New Roman" w:cs="Times New Roman"/>
                <w:color w:val="auto"/>
                <w:sz w:val="24"/>
                <w:highlight w:val="none"/>
                <w:lang w:eastAsia="zh-CN"/>
              </w:rPr>
              <w:t>≤</w:t>
            </w:r>
            <w:r>
              <w:rPr>
                <w:rFonts w:hint="eastAsia" w:cs="Times New Roman"/>
                <w:color w:val="auto"/>
                <w:sz w:val="24"/>
                <w:highlight w:val="none"/>
                <w:lang w:val="en-US" w:eastAsia="zh-CN"/>
              </w:rPr>
              <w:t>25</w:t>
            </w:r>
            <w:r>
              <w:rPr>
                <w:rFonts w:hint="default" w:ascii="Times New Roman" w:hAnsi="Times New Roman" w:cs="Times New Roman"/>
                <w:color w:val="auto"/>
                <w:sz w:val="24"/>
                <w:highlight w:val="none"/>
                <w:lang w:eastAsia="zh-CN"/>
              </w:rPr>
              <w:t>0g/L</w:t>
            </w:r>
            <w:r>
              <w:rPr>
                <w:rFonts w:hint="eastAsia" w:cs="Times New Roman"/>
                <w:color w:val="auto"/>
                <w:sz w:val="24"/>
                <w:highlight w:val="none"/>
                <w:lang w:eastAsia="zh-CN"/>
              </w:rPr>
              <w:t>”</w:t>
            </w:r>
            <w:r>
              <w:rPr>
                <w:rFonts w:hint="eastAsia" w:cs="Times New Roman"/>
                <w:color w:val="auto"/>
                <w:sz w:val="24"/>
                <w:highlight w:val="none"/>
                <w:lang w:val="en-US" w:eastAsia="zh-CN"/>
              </w:rPr>
              <w:t>的要求，油性漆</w:t>
            </w:r>
            <w:r>
              <w:rPr>
                <w:rFonts w:hint="default" w:ascii="Times New Roman" w:hAnsi="Times New Roman" w:cs="Times New Roman"/>
                <w:color w:val="auto"/>
                <w:kern w:val="2"/>
                <w:sz w:val="24"/>
                <w:szCs w:val="24"/>
                <w:highlight w:val="none"/>
                <w:lang w:val="en-US" w:eastAsia="zh-CN" w:bidi="ar-SA"/>
              </w:rPr>
              <w:t>符合</w:t>
            </w:r>
            <w:r>
              <w:rPr>
                <w:rFonts w:hint="default" w:ascii="Times New Roman" w:hAnsi="Times New Roman" w:cs="Times New Roman"/>
                <w:color w:val="auto"/>
                <w:sz w:val="24"/>
                <w:highlight w:val="none"/>
              </w:rPr>
              <w:t>《低挥发性有机化合物含量涂料产品技术要求》（GB/T38597-2020）</w:t>
            </w:r>
            <w:r>
              <w:rPr>
                <w:rFonts w:hint="default" w:ascii="Times New Roman" w:hAnsi="Times New Roman" w:cs="Times New Roman"/>
                <w:color w:val="auto"/>
                <w:sz w:val="24"/>
                <w:highlight w:val="none"/>
                <w:lang w:eastAsia="zh-CN"/>
              </w:rPr>
              <w:t>中“</w:t>
            </w:r>
            <w:r>
              <w:rPr>
                <w:rFonts w:hint="eastAsia" w:ascii="Times New Roman" w:hAnsi="Times New Roman" w:cs="Times New Roman"/>
                <w:color w:val="auto"/>
                <w:sz w:val="24"/>
                <w:highlight w:val="none"/>
                <w:lang w:val="en-US" w:eastAsia="zh-CN"/>
              </w:rPr>
              <w:t>防火涂料</w:t>
            </w:r>
            <w:r>
              <w:rPr>
                <w:rFonts w:hint="default" w:ascii="Times New Roman" w:hAnsi="Times New Roman" w:cs="Times New Roman"/>
                <w:color w:val="auto"/>
                <w:sz w:val="24"/>
                <w:highlight w:val="none"/>
                <w:lang w:eastAsia="zh-CN"/>
              </w:rPr>
              <w:t>≤</w:t>
            </w:r>
            <w:r>
              <w:rPr>
                <w:rFonts w:hint="eastAsia" w:cs="Times New Roman"/>
                <w:color w:val="auto"/>
                <w:sz w:val="24"/>
                <w:highlight w:val="none"/>
                <w:lang w:val="en-US" w:eastAsia="zh-CN"/>
              </w:rPr>
              <w:t>42</w:t>
            </w:r>
            <w:r>
              <w:rPr>
                <w:rFonts w:hint="default" w:ascii="Times New Roman" w:hAnsi="Times New Roman" w:cs="Times New Roman"/>
                <w:color w:val="auto"/>
                <w:sz w:val="24"/>
                <w:highlight w:val="none"/>
                <w:lang w:eastAsia="zh-CN"/>
              </w:rPr>
              <w:t>0g/L</w:t>
            </w:r>
            <w:r>
              <w:rPr>
                <w:rFonts w:hint="eastAsia" w:cs="Times New Roman"/>
                <w:color w:val="auto"/>
                <w:sz w:val="24"/>
                <w:highlight w:val="none"/>
                <w:lang w:eastAsia="zh-CN"/>
              </w:rPr>
              <w:t>”</w:t>
            </w:r>
            <w:r>
              <w:rPr>
                <w:rFonts w:hint="eastAsia" w:cs="Times New Roman"/>
                <w:color w:val="auto"/>
                <w:sz w:val="24"/>
                <w:highlight w:val="none"/>
                <w:lang w:val="en-US" w:eastAsia="zh-CN"/>
              </w:rPr>
              <w:t>的要求</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本项目采用稀释剂作为喷枪清洗剂</w:t>
            </w:r>
            <w:r>
              <w:rPr>
                <w:rFonts w:hint="eastAsia" w:cs="Times New Roman"/>
                <w:color w:val="auto"/>
                <w:sz w:val="24"/>
                <w:highlight w:val="none"/>
                <w:lang w:val="en-US" w:eastAsia="zh-CN"/>
              </w:rPr>
              <w:t>、采用酒精作为工件清洁剂</w:t>
            </w:r>
            <w:r>
              <w:rPr>
                <w:rFonts w:hint="default" w:ascii="Times New Roman" w:hAnsi="Times New Roman" w:cs="Times New Roman"/>
                <w:color w:val="auto"/>
                <w:sz w:val="24"/>
                <w:highlight w:val="none"/>
                <w:lang w:val="en-US" w:eastAsia="zh-CN"/>
              </w:rPr>
              <w:t>，根据物料MSDS，</w:t>
            </w:r>
            <w:r>
              <w:rPr>
                <w:rFonts w:hint="eastAsia" w:cs="Times New Roman"/>
                <w:color w:val="auto"/>
                <w:sz w:val="24"/>
                <w:highlight w:val="none"/>
                <w:lang w:val="en-US" w:eastAsia="zh-CN"/>
              </w:rPr>
              <w:t>稀释剂</w:t>
            </w:r>
            <w:r>
              <w:rPr>
                <w:rFonts w:hint="default" w:ascii="Times New Roman" w:hAnsi="Times New Roman" w:cs="Times New Roman"/>
                <w:color w:val="auto"/>
                <w:sz w:val="24"/>
                <w:highlight w:val="none"/>
                <w:lang w:val="en-US" w:eastAsia="zh-CN"/>
              </w:rPr>
              <w:t>相对密度为0.8</w:t>
            </w:r>
            <w:r>
              <w:rPr>
                <w:rFonts w:hint="eastAsia" w:cs="Times New Roman"/>
                <w:color w:val="auto"/>
                <w:sz w:val="24"/>
                <w:highlight w:val="none"/>
                <w:lang w:val="en-US" w:eastAsia="zh-CN"/>
              </w:rPr>
              <w:t>7±5，酒精相对密度0.81，半水基清洗剂相对密度1.01±0.1</w:t>
            </w:r>
            <w:r>
              <w:rPr>
                <w:rFonts w:hint="default"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稀释剂、酒精</w:t>
            </w:r>
            <w:r>
              <w:rPr>
                <w:rFonts w:hint="default" w:ascii="Times New Roman" w:hAnsi="Times New Roman" w:cs="Times New Roman"/>
                <w:color w:val="auto"/>
                <w:sz w:val="24"/>
                <w:highlight w:val="none"/>
                <w:lang w:val="en-US" w:eastAsia="zh-CN"/>
              </w:rPr>
              <w:t xml:space="preserve">按其有机物组分 100%挥发计算， </w:t>
            </w:r>
            <w:r>
              <w:rPr>
                <w:rFonts w:hint="eastAsia" w:cs="Times New Roman"/>
                <w:color w:val="auto"/>
                <w:sz w:val="24"/>
                <w:highlight w:val="none"/>
                <w:lang w:val="en-US" w:eastAsia="zh-CN"/>
              </w:rPr>
              <w:t>稀释剂、酒精</w:t>
            </w:r>
            <w:r>
              <w:rPr>
                <w:rFonts w:hint="default" w:ascii="Times New Roman" w:hAnsi="Times New Roman" w:cs="Times New Roman"/>
                <w:color w:val="auto"/>
                <w:sz w:val="24"/>
                <w:highlight w:val="none"/>
                <w:lang w:val="en-US" w:eastAsia="zh-CN"/>
              </w:rPr>
              <w:t>VOC 含量约为8</w:t>
            </w:r>
            <w:r>
              <w:rPr>
                <w:rFonts w:hint="eastAsia" w:cs="Times New Roman"/>
                <w:color w:val="auto"/>
                <w:sz w:val="24"/>
                <w:highlight w:val="none"/>
                <w:lang w:val="en-US" w:eastAsia="zh-CN"/>
              </w:rPr>
              <w:t>65</w:t>
            </w:r>
            <w:r>
              <w:rPr>
                <w:rFonts w:hint="default" w:ascii="Times New Roman" w:hAnsi="Times New Roman" w:cs="Times New Roman"/>
                <w:color w:val="auto"/>
                <w:sz w:val="24"/>
                <w:highlight w:val="none"/>
                <w:lang w:val="en-US" w:eastAsia="zh-CN"/>
              </w:rPr>
              <w:t>g/L</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8</w:t>
            </w:r>
            <w:r>
              <w:rPr>
                <w:rFonts w:hint="eastAsia" w:ascii="Times New Roman" w:hAnsi="Times New Roman" w:cs="Times New Roman"/>
                <w:color w:val="auto"/>
                <w:sz w:val="24"/>
                <w:highlight w:val="none"/>
                <w:lang w:val="en-US" w:eastAsia="zh-CN"/>
              </w:rPr>
              <w:t>75</w:t>
            </w:r>
            <w:r>
              <w:rPr>
                <w:rFonts w:hint="default" w:ascii="Times New Roman" w:hAnsi="Times New Roman" w:cs="Times New Roman"/>
                <w:color w:val="auto"/>
                <w:sz w:val="24"/>
                <w:highlight w:val="none"/>
                <w:lang w:val="en-US" w:eastAsia="zh-CN"/>
              </w:rPr>
              <w:t>g/L</w:t>
            </w:r>
            <w:r>
              <w:rPr>
                <w:rFonts w:hint="eastAsia" w:cs="Times New Roman"/>
                <w:color w:val="auto"/>
                <w:sz w:val="24"/>
                <w:highlight w:val="none"/>
                <w:lang w:val="en-US" w:eastAsia="zh-CN"/>
              </w:rPr>
              <w:t>、810g/L，根据半水基清洗剂挥发性含量检测报告结果为85g/L,均</w:t>
            </w:r>
            <w:r>
              <w:rPr>
                <w:rFonts w:hint="default" w:ascii="Times New Roman" w:hAnsi="Times New Roman" w:cs="Times New Roman"/>
                <w:color w:val="auto"/>
                <w:sz w:val="24"/>
                <w:highlight w:val="none"/>
                <w:lang w:val="en-US" w:eastAsia="zh-CN"/>
              </w:rPr>
              <w:t>可以满足《清洗剂挥发性有机化合物含量限值》（GB38508-2020）中有机溶剂清洗剂 VOC 含量限值（≤ 900g/L）的要求。</w:t>
            </w:r>
          </w:p>
          <w:p w14:paraId="1B016410">
            <w:pPr>
              <w:pStyle w:val="19"/>
              <w:pageBreakBefore w:val="0"/>
              <w:wordWrap w:val="0"/>
              <w:overflowPunct/>
              <w:bidi w:val="0"/>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生产过程</w:t>
            </w:r>
            <w:r>
              <w:rPr>
                <w:rFonts w:hint="default" w:ascii="Times New Roman" w:hAnsi="Times New Roman" w:cs="Times New Roman"/>
                <w:color w:val="auto"/>
                <w:sz w:val="24"/>
                <w:highlight w:val="none"/>
              </w:rPr>
              <w:t>产生的污染物主要</w:t>
            </w:r>
            <w:r>
              <w:rPr>
                <w:rFonts w:hint="default" w:ascii="Times New Roman" w:hAnsi="Times New Roman" w:cs="Times New Roman"/>
                <w:color w:val="auto"/>
                <w:sz w:val="24"/>
                <w:highlight w:val="none"/>
                <w:lang w:val="en-US" w:eastAsia="zh-CN"/>
              </w:rPr>
              <w:t>为</w:t>
            </w:r>
            <w:r>
              <w:rPr>
                <w:rFonts w:hint="default" w:ascii="Times New Roman" w:hAnsi="Times New Roman" w:cs="Times New Roman"/>
                <w:color w:val="auto"/>
                <w:sz w:val="24"/>
                <w:szCs w:val="32"/>
                <w:highlight w:val="none"/>
              </w:rPr>
              <w:t>颗粒物、</w:t>
            </w:r>
            <w:r>
              <w:rPr>
                <w:rFonts w:hint="default" w:ascii="Times New Roman" w:hAnsi="Times New Roman" w:cs="Times New Roman"/>
                <w:color w:val="auto"/>
                <w:sz w:val="24"/>
                <w:szCs w:val="32"/>
                <w:highlight w:val="none"/>
                <w:lang w:val="en-US" w:eastAsia="zh-CN"/>
              </w:rPr>
              <w:t>有机废气（以VOCs表征</w:t>
            </w:r>
            <w:r>
              <w:rPr>
                <w:rFonts w:hint="eastAsia" w:cs="Times New Roman"/>
                <w:color w:val="auto"/>
                <w:sz w:val="24"/>
                <w:szCs w:val="32"/>
                <w:highlight w:val="none"/>
                <w:lang w:val="en-US" w:eastAsia="zh-CN"/>
              </w:rPr>
              <w:t>、含苯系物</w:t>
            </w:r>
            <w:r>
              <w:rPr>
                <w:rFonts w:hint="default" w:ascii="Times New Roman" w:hAnsi="Times New Roman" w:cs="Times New Roman"/>
                <w:color w:val="auto"/>
                <w:sz w:val="24"/>
                <w:szCs w:val="32"/>
                <w:highlight w:val="none"/>
                <w:lang w:val="en-US" w:eastAsia="zh-CN"/>
              </w:rPr>
              <w:t>）</w:t>
            </w:r>
            <w:r>
              <w:rPr>
                <w:rFonts w:hint="default" w:ascii="Times New Roman" w:hAnsi="Times New Roman" w:cs="Times New Roman"/>
                <w:color w:val="auto"/>
                <w:sz w:val="24"/>
                <w:szCs w:val="32"/>
                <w:highlight w:val="none"/>
              </w:rPr>
              <w:t>、臭气浓度</w:t>
            </w:r>
            <w:r>
              <w:rPr>
                <w:rFonts w:hint="eastAsia" w:cs="Times New Roman"/>
                <w:color w:val="auto"/>
                <w:sz w:val="24"/>
                <w:szCs w:val="32"/>
                <w:highlight w:val="none"/>
                <w:lang w:eastAsia="zh-CN"/>
              </w:rPr>
              <w:t>、</w:t>
            </w:r>
            <w:r>
              <w:rPr>
                <w:rFonts w:hint="eastAsia" w:cs="Times New Roman"/>
                <w:color w:val="auto"/>
                <w:sz w:val="24"/>
                <w:szCs w:val="32"/>
                <w:highlight w:val="none"/>
                <w:lang w:val="en-US" w:eastAsia="zh-CN"/>
              </w:rPr>
              <w:t>天然气燃烧废气</w:t>
            </w:r>
            <w:r>
              <w:rPr>
                <w:rFonts w:hint="default" w:ascii="Times New Roman" w:hAnsi="Times New Roman" w:cs="Times New Roman"/>
                <w:color w:val="auto"/>
                <w:sz w:val="24"/>
                <w:highlight w:val="none"/>
                <w:lang w:eastAsia="zh-CN"/>
              </w:rPr>
              <w:t>。</w:t>
            </w:r>
            <w:r>
              <w:rPr>
                <w:rFonts w:hint="eastAsia" w:cs="Times New Roman"/>
                <w:color w:val="auto"/>
                <w:sz w:val="24"/>
                <w:highlight w:val="none"/>
                <w:lang w:val="en-US" w:eastAsia="zh-CN"/>
              </w:rPr>
              <w:t>抛光打磨粉尘经布袋除尘器处理后经15m高排气筒（DA001）排放；表面处理线</w:t>
            </w:r>
            <w:r>
              <w:rPr>
                <w:rFonts w:hint="eastAsia" w:cs="Times New Roman"/>
                <w:color w:val="auto"/>
                <w:sz w:val="24"/>
                <w:szCs w:val="24"/>
                <w:highlight w:val="none"/>
                <w:lang w:val="en-US" w:eastAsia="zh-CN"/>
              </w:rPr>
              <w:t>天然气燃烧废气经低氮燃烧后</w:t>
            </w:r>
            <w:r>
              <w:rPr>
                <w:rFonts w:hint="default" w:ascii="Times New Roman" w:hAnsi="Times New Roman" w:cs="Times New Roman"/>
                <w:color w:val="auto"/>
                <w:sz w:val="24"/>
                <w:szCs w:val="24"/>
                <w:highlight w:val="none"/>
                <w:lang w:val="en-US" w:eastAsia="zh-CN"/>
              </w:rPr>
              <w:t>，由15m高</w:t>
            </w:r>
            <w:r>
              <w:rPr>
                <w:rFonts w:hint="default" w:ascii="Times New Roman" w:hAnsi="Times New Roman" w:cs="Times New Roman"/>
                <w:color w:val="auto"/>
                <w:sz w:val="24"/>
                <w:szCs w:val="24"/>
                <w:highlight w:val="none"/>
              </w:rPr>
              <w:t>排气筒</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DA00</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高空排放</w:t>
            </w:r>
            <w:r>
              <w:rPr>
                <w:rFonts w:hint="eastAsia" w:ascii="Times New Roman" w:hAnsi="Times New Roman" w:cs="Times New Roman"/>
                <w:color w:val="auto"/>
                <w:sz w:val="24"/>
                <w:szCs w:val="24"/>
                <w:highlight w:val="none"/>
                <w:lang w:eastAsia="zh-CN"/>
              </w:rPr>
              <w:t>；</w:t>
            </w:r>
            <w:r>
              <w:rPr>
                <w:rFonts w:hint="eastAsia" w:cs="Times New Roman"/>
                <w:color w:val="auto"/>
                <w:sz w:val="24"/>
                <w:highlight w:val="none"/>
                <w:lang w:val="en-US" w:eastAsia="zh-CN"/>
              </w:rPr>
              <w:t>喷粉粉尘经“密闭车间负压收集+大旋风+滤芯式二级回收系统”处理后无组织排放；喷</w:t>
            </w:r>
            <w:r>
              <w:rPr>
                <w:rFonts w:hint="eastAsia" w:cs="Times New Roman"/>
                <w:color w:val="auto"/>
                <w:sz w:val="24"/>
                <w:szCs w:val="24"/>
                <w:highlight w:val="none"/>
                <w:lang w:val="en-US" w:eastAsia="zh-CN"/>
              </w:rPr>
              <w:t>漆、丝印（含表面清洁）、固化</w:t>
            </w:r>
            <w:r>
              <w:rPr>
                <w:rFonts w:hint="default" w:ascii="Times New Roman" w:hAnsi="Times New Roman" w:cs="Times New Roman"/>
                <w:color w:val="auto"/>
                <w:sz w:val="24"/>
                <w:szCs w:val="24"/>
                <w:highlight w:val="none"/>
              </w:rPr>
              <w:t>产生的</w:t>
            </w:r>
            <w:r>
              <w:rPr>
                <w:rFonts w:hint="default" w:ascii="Times New Roman" w:hAnsi="Times New Roman" w:cs="Times New Roman"/>
                <w:color w:val="auto"/>
                <w:sz w:val="24"/>
                <w:szCs w:val="24"/>
                <w:highlight w:val="none"/>
                <w:lang w:val="en-US" w:eastAsia="zh-CN"/>
              </w:rPr>
              <w:t>有机废气</w:t>
            </w:r>
            <w:r>
              <w:rPr>
                <w:rFonts w:hint="default" w:ascii="Times New Roman" w:hAnsi="Times New Roman" w:cs="Times New Roman"/>
                <w:color w:val="auto"/>
                <w:sz w:val="24"/>
                <w:szCs w:val="24"/>
                <w:highlight w:val="none"/>
              </w:rPr>
              <w:t>经</w:t>
            </w:r>
            <w:r>
              <w:rPr>
                <w:rFonts w:hint="default" w:ascii="Times New Roman" w:hAnsi="Times New Roman" w:cs="Times New Roman"/>
                <w:color w:val="auto"/>
                <w:sz w:val="24"/>
                <w:szCs w:val="24"/>
                <w:highlight w:val="none"/>
                <w:lang w:val="en-US" w:eastAsia="zh-CN"/>
              </w:rPr>
              <w:t>收集后通过“喷淋+干式过滤器+二级活性炭吸附装置”处理达标后，由15m高</w:t>
            </w:r>
            <w:r>
              <w:rPr>
                <w:rFonts w:hint="default" w:ascii="Times New Roman" w:hAnsi="Times New Roman" w:cs="Times New Roman"/>
                <w:color w:val="auto"/>
                <w:sz w:val="24"/>
                <w:szCs w:val="24"/>
                <w:highlight w:val="none"/>
              </w:rPr>
              <w:t>排气筒</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DA00</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高空排放。</w:t>
            </w:r>
            <w:bookmarkEnd w:id="13"/>
            <w:bookmarkEnd w:id="14"/>
          </w:p>
          <w:p w14:paraId="43302478">
            <w:pPr>
              <w:pStyle w:val="21"/>
              <w:pageBreakBefore w:val="0"/>
              <w:wordWrap w:val="0"/>
              <w:overflowPunct/>
              <w:bidi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综上所述，本项目与《关于印发&lt;广东省生态环境保护“十四五”规划&gt;的通知》（粤环〔2021〕10号）相符。</w:t>
            </w:r>
          </w:p>
          <w:p w14:paraId="442A0298">
            <w:pPr>
              <w:pStyle w:val="21"/>
              <w:pageBreakBefore w:val="0"/>
              <w:wordWrap w:val="0"/>
              <w:overflowPunct/>
              <w:bidi w:val="0"/>
              <w:ind w:firstLine="482"/>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rPr>
              <w:t>2、</w:t>
            </w:r>
            <w:r>
              <w:rPr>
                <w:rFonts w:hint="default" w:ascii="Times New Roman" w:hAnsi="Times New Roman" w:cs="Times New Roman"/>
                <w:b/>
                <w:bCs/>
                <w:color w:val="auto"/>
                <w:highlight w:val="none"/>
                <w:lang w:val="en-US" w:eastAsia="zh-CN"/>
              </w:rPr>
              <w:t>与</w:t>
            </w:r>
            <w:r>
              <w:rPr>
                <w:rFonts w:hint="default" w:ascii="Times New Roman" w:hAnsi="Times New Roman" w:cs="Times New Roman"/>
                <w:b/>
                <w:bCs/>
                <w:color w:val="auto"/>
                <w:highlight w:val="none"/>
              </w:rPr>
              <w:t>《韶关市人民政府办公室关于印发&lt;韶关市生态环境保护“十四五”规划&gt;的通知》（韶府办〔2022〕1号）</w:t>
            </w:r>
            <w:r>
              <w:rPr>
                <w:rFonts w:hint="default" w:ascii="Times New Roman" w:hAnsi="Times New Roman" w:cs="Times New Roman"/>
                <w:b/>
                <w:bCs/>
                <w:color w:val="auto"/>
                <w:highlight w:val="none"/>
                <w:lang w:val="en-US" w:eastAsia="zh-CN"/>
              </w:rPr>
              <w:t>的相符性分析</w:t>
            </w:r>
          </w:p>
          <w:p w14:paraId="4601FC81">
            <w:pPr>
              <w:pageBreakBefore w:val="0"/>
              <w:widowControl/>
              <w:wordWrap w:val="0"/>
              <w:overflowPunct/>
              <w:bidi w:val="0"/>
              <w:ind w:firstLine="480" w:firstLineChars="20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文件要求：深化工业源污染治理。以挥发性有机物、工业炉窑和锅炉综合治理为重点，深化工业源污染防治，健全分级管控体系，提升重点行业企业深度治理水平。深化工业炉窑和锅炉排放治理。加大工业锅炉整治力度，禁止新建35蒸吨/小时以下燃煤锅炉；推进陶瓷等行业实施深度治理，持续开展生物质成型燃料锅炉整治，推动实施燃气锅炉低氮燃烧改造。严格实施工业炉窑分级管控，全面推动B级以下工业炉窑的清洁低碳化改造、废气治理设施升级改造、全过程无组织排放管控。</w:t>
            </w:r>
          </w:p>
          <w:p w14:paraId="0DF6B62E">
            <w:pPr>
              <w:pStyle w:val="19"/>
              <w:pageBreakBefore w:val="0"/>
              <w:wordWrap w:val="0"/>
              <w:overflowPunct/>
              <w:bidi w:val="0"/>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项目不涉及锅炉，</w:t>
            </w:r>
            <w:r>
              <w:rPr>
                <w:rFonts w:hint="default" w:ascii="Times New Roman" w:hAnsi="Times New Roman" w:cs="Times New Roman"/>
                <w:color w:val="auto"/>
                <w:sz w:val="24"/>
                <w:szCs w:val="24"/>
                <w:highlight w:val="none"/>
                <w:lang w:eastAsia="zh-CN"/>
              </w:rPr>
              <w:t>设备</w:t>
            </w:r>
            <w:r>
              <w:rPr>
                <w:rFonts w:hint="eastAsia" w:cs="Times New Roman"/>
                <w:color w:val="auto"/>
                <w:sz w:val="24"/>
                <w:szCs w:val="24"/>
                <w:highlight w:val="none"/>
                <w:lang w:val="en-US" w:eastAsia="zh-CN"/>
              </w:rPr>
              <w:t>设施</w:t>
            </w:r>
            <w:r>
              <w:rPr>
                <w:rFonts w:hint="default" w:ascii="Times New Roman" w:hAnsi="Times New Roman" w:cs="Times New Roman"/>
                <w:color w:val="auto"/>
                <w:sz w:val="24"/>
                <w:szCs w:val="24"/>
                <w:highlight w:val="none"/>
                <w:lang w:eastAsia="zh-CN"/>
              </w:rPr>
              <w:t>均采用电能</w:t>
            </w:r>
            <w:r>
              <w:rPr>
                <w:rFonts w:hint="eastAsia" w:cs="Times New Roman"/>
                <w:color w:val="auto"/>
                <w:sz w:val="24"/>
                <w:szCs w:val="24"/>
                <w:highlight w:val="none"/>
                <w:lang w:val="en-US" w:eastAsia="zh-CN"/>
              </w:rPr>
              <w:t>或天然气</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抛光打磨粉尘经布袋除尘器处理后经15m高排气筒（DA001）</w:t>
            </w:r>
            <w:r>
              <w:rPr>
                <w:rFonts w:hint="eastAsia" w:cs="Times New Roman"/>
                <w:color w:val="auto"/>
                <w:sz w:val="24"/>
                <w:highlight w:val="none"/>
                <w:lang w:val="en-US" w:eastAsia="zh-CN"/>
              </w:rPr>
              <w:t>排放；表面处理线</w:t>
            </w:r>
            <w:r>
              <w:rPr>
                <w:rFonts w:hint="eastAsia" w:cs="Times New Roman"/>
                <w:color w:val="auto"/>
                <w:sz w:val="24"/>
                <w:szCs w:val="24"/>
                <w:highlight w:val="none"/>
                <w:lang w:val="en-US" w:eastAsia="zh-CN"/>
              </w:rPr>
              <w:t>天然气燃烧废气经低氮燃烧后</w:t>
            </w:r>
            <w:r>
              <w:rPr>
                <w:rFonts w:hint="default" w:ascii="Times New Roman" w:hAnsi="Times New Roman" w:cs="Times New Roman"/>
                <w:color w:val="auto"/>
                <w:sz w:val="24"/>
                <w:szCs w:val="24"/>
                <w:highlight w:val="none"/>
                <w:lang w:val="en-US" w:eastAsia="zh-CN"/>
              </w:rPr>
              <w:t>，由15m高</w:t>
            </w:r>
            <w:r>
              <w:rPr>
                <w:rFonts w:hint="default" w:ascii="Times New Roman" w:hAnsi="Times New Roman" w:cs="Times New Roman"/>
                <w:color w:val="auto"/>
                <w:sz w:val="24"/>
                <w:szCs w:val="24"/>
                <w:highlight w:val="none"/>
              </w:rPr>
              <w:t>排气筒</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DA00</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高空排放</w:t>
            </w:r>
            <w:r>
              <w:rPr>
                <w:rFonts w:hint="eastAsia" w:ascii="Times New Roman" w:hAnsi="Times New Roman" w:cs="Times New Roman"/>
                <w:color w:val="auto"/>
                <w:sz w:val="24"/>
                <w:szCs w:val="24"/>
                <w:highlight w:val="none"/>
                <w:lang w:eastAsia="zh-CN"/>
              </w:rPr>
              <w:t>；</w:t>
            </w:r>
            <w:r>
              <w:rPr>
                <w:rFonts w:hint="eastAsia" w:cs="Times New Roman"/>
                <w:color w:val="auto"/>
                <w:sz w:val="24"/>
                <w:highlight w:val="none"/>
                <w:lang w:val="en-US" w:eastAsia="zh-CN"/>
              </w:rPr>
              <w:t>喷粉粉尘经“密闭车间负压收集+大旋风+滤芯式二级回收系统”处理后无组织排放；喷</w:t>
            </w:r>
            <w:r>
              <w:rPr>
                <w:rFonts w:hint="eastAsia" w:cs="Times New Roman"/>
                <w:color w:val="auto"/>
                <w:sz w:val="24"/>
                <w:szCs w:val="24"/>
                <w:highlight w:val="none"/>
                <w:lang w:val="en-US" w:eastAsia="zh-CN"/>
              </w:rPr>
              <w:t>漆、丝印、固化</w:t>
            </w:r>
            <w:r>
              <w:rPr>
                <w:rFonts w:hint="default" w:ascii="Times New Roman" w:hAnsi="Times New Roman" w:cs="Times New Roman"/>
                <w:color w:val="auto"/>
                <w:sz w:val="24"/>
                <w:szCs w:val="24"/>
                <w:highlight w:val="none"/>
              </w:rPr>
              <w:t>产生的</w:t>
            </w:r>
            <w:r>
              <w:rPr>
                <w:rFonts w:hint="default" w:ascii="Times New Roman" w:hAnsi="Times New Roman" w:cs="Times New Roman"/>
                <w:color w:val="auto"/>
                <w:sz w:val="24"/>
                <w:szCs w:val="24"/>
                <w:highlight w:val="none"/>
                <w:lang w:val="en-US" w:eastAsia="zh-CN"/>
              </w:rPr>
              <w:t>有机废气</w:t>
            </w:r>
            <w:r>
              <w:rPr>
                <w:rFonts w:hint="default" w:ascii="Times New Roman" w:hAnsi="Times New Roman" w:cs="Times New Roman"/>
                <w:color w:val="auto"/>
                <w:sz w:val="24"/>
                <w:szCs w:val="24"/>
                <w:highlight w:val="none"/>
              </w:rPr>
              <w:t>经</w:t>
            </w:r>
            <w:r>
              <w:rPr>
                <w:rFonts w:hint="default" w:ascii="Times New Roman" w:hAnsi="Times New Roman" w:cs="Times New Roman"/>
                <w:color w:val="auto"/>
                <w:sz w:val="24"/>
                <w:szCs w:val="24"/>
                <w:highlight w:val="none"/>
                <w:lang w:val="en-US" w:eastAsia="zh-CN"/>
              </w:rPr>
              <w:t>收集后通过“喷淋+干式过滤器+二级活性炭吸附装置”处理达标后，由15m高</w:t>
            </w:r>
            <w:r>
              <w:rPr>
                <w:rFonts w:hint="default" w:ascii="Times New Roman" w:hAnsi="Times New Roman" w:cs="Times New Roman"/>
                <w:color w:val="auto"/>
                <w:sz w:val="24"/>
                <w:szCs w:val="24"/>
                <w:highlight w:val="none"/>
              </w:rPr>
              <w:t>排气筒</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DA00</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高空排放。本项目产生的工业固体废物均得到妥善处置。故本项目与韶关市人民政府办公室《关于印发&lt;韶关市生态环境保护“十四五”规划&gt;的通知》（韶府办〔2022〕1号）相符。</w:t>
            </w:r>
          </w:p>
          <w:p w14:paraId="11FAD9CD">
            <w:pPr>
              <w:pStyle w:val="19"/>
              <w:pageBreakBefore w:val="0"/>
              <w:wordWrap w:val="0"/>
              <w:overflowPunct/>
              <w:bidi w:val="0"/>
              <w:ind w:firstLine="482"/>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rPr>
              <w:t>3、</w:t>
            </w:r>
            <w:r>
              <w:rPr>
                <w:rFonts w:hint="default" w:ascii="Times New Roman" w:hAnsi="Times New Roman" w:cs="Times New Roman"/>
                <w:b/>
                <w:bCs/>
                <w:color w:val="auto"/>
                <w:sz w:val="24"/>
                <w:highlight w:val="none"/>
                <w:lang w:val="en-US" w:eastAsia="zh-CN"/>
              </w:rPr>
              <w:t>与</w:t>
            </w:r>
            <w:r>
              <w:rPr>
                <w:rFonts w:hint="default" w:ascii="Times New Roman" w:hAnsi="Times New Roman" w:cs="Times New Roman"/>
                <w:b/>
                <w:bCs/>
                <w:color w:val="auto"/>
                <w:sz w:val="24"/>
                <w:highlight w:val="none"/>
              </w:rPr>
              <w:t>《乐昌市人民政府办公室关于印发&lt;乐昌市生态环境保护“十四五”规划</w:t>
            </w:r>
            <w:r>
              <w:rPr>
                <w:rFonts w:hint="eastAsia" w:cs="Times New Roman"/>
                <w:b/>
                <w:bCs/>
                <w:color w:val="auto"/>
                <w:sz w:val="24"/>
                <w:highlight w:val="none"/>
                <w:lang w:eastAsia="zh-CN"/>
              </w:rPr>
              <w:t>&gt;的</w:t>
            </w:r>
            <w:r>
              <w:rPr>
                <w:rFonts w:hint="default" w:ascii="Times New Roman" w:hAnsi="Times New Roman" w:cs="Times New Roman"/>
                <w:b/>
                <w:bCs/>
                <w:color w:val="auto"/>
                <w:sz w:val="24"/>
                <w:highlight w:val="none"/>
              </w:rPr>
              <w:t>通知》（乐府办〔2022〕16号）</w:t>
            </w:r>
            <w:r>
              <w:rPr>
                <w:rFonts w:hint="default" w:ascii="Times New Roman" w:hAnsi="Times New Roman" w:cs="Times New Roman"/>
                <w:b/>
                <w:bCs/>
                <w:color w:val="auto"/>
                <w:sz w:val="24"/>
                <w:highlight w:val="none"/>
                <w:lang w:val="en-US" w:eastAsia="zh-CN"/>
              </w:rPr>
              <w:t>的相符性分析</w:t>
            </w:r>
          </w:p>
          <w:p w14:paraId="2042CB15">
            <w:pPr>
              <w:pStyle w:val="58"/>
              <w:pageBreakBefore w:val="0"/>
              <w:wordWrap w:val="0"/>
              <w:overflowPunct/>
              <w:bidi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深化重点污染源治理，推进污染物减排。在水泥、化工、火电等行业全面执行大气污染物特别排放限值。逐步推进水泥行业实施超低排放改造，力争到2025年全市水泥</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熟料</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制造企业的水泥窑及窑尾余热利用系统烟气NOx 排放浓度不高于100mg/m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。持续开展生物质成型燃料锅炉整治，推动实施燃气锅炉低氮燃烧改造。严格实施工业炉窑分级管控，全面推动B级以下企业工业炉窑的燃料清洁低碳化替代、废气治理设施升级改造、全过程无组织排放管控。</w:t>
            </w:r>
          </w:p>
          <w:p w14:paraId="701DB42F">
            <w:pPr>
              <w:pStyle w:val="19"/>
              <w:pageBreakBefore w:val="0"/>
              <w:wordWrap w:val="0"/>
              <w:overflowPunct/>
              <w:bidi w:val="0"/>
              <w:ind w:firstLine="48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4"/>
                <w:highlight w:val="none"/>
              </w:rPr>
              <w:t>项目不涉及锅炉，</w:t>
            </w:r>
            <w:r>
              <w:rPr>
                <w:rFonts w:hint="default" w:ascii="Times New Roman" w:hAnsi="Times New Roman" w:cs="Times New Roman"/>
                <w:color w:val="auto"/>
                <w:sz w:val="24"/>
                <w:szCs w:val="24"/>
                <w:highlight w:val="none"/>
                <w:lang w:eastAsia="zh-CN"/>
              </w:rPr>
              <w:t>设备</w:t>
            </w:r>
            <w:r>
              <w:rPr>
                <w:rFonts w:hint="eastAsia" w:cs="Times New Roman"/>
                <w:color w:val="auto"/>
                <w:sz w:val="24"/>
                <w:szCs w:val="24"/>
                <w:highlight w:val="none"/>
                <w:lang w:val="en-US" w:eastAsia="zh-CN"/>
              </w:rPr>
              <w:t>设施</w:t>
            </w:r>
            <w:r>
              <w:rPr>
                <w:rFonts w:hint="default" w:ascii="Times New Roman" w:hAnsi="Times New Roman" w:cs="Times New Roman"/>
                <w:color w:val="auto"/>
                <w:sz w:val="24"/>
                <w:szCs w:val="24"/>
                <w:highlight w:val="none"/>
                <w:lang w:eastAsia="zh-CN"/>
              </w:rPr>
              <w:t>均采用电能</w:t>
            </w:r>
            <w:r>
              <w:rPr>
                <w:rFonts w:hint="eastAsia" w:cs="Times New Roman"/>
                <w:color w:val="auto"/>
                <w:sz w:val="24"/>
                <w:szCs w:val="24"/>
                <w:highlight w:val="none"/>
                <w:lang w:val="en-US" w:eastAsia="zh-CN"/>
              </w:rPr>
              <w:t>或天然气</w:t>
            </w:r>
            <w:r>
              <w:rPr>
                <w:rFonts w:hint="default" w:ascii="Times New Roman" w:hAnsi="Times New Roman" w:cs="Times New Roman"/>
                <w:color w:val="auto"/>
                <w:sz w:val="24"/>
                <w:szCs w:val="24"/>
                <w:highlight w:val="none"/>
                <w:lang w:eastAsia="zh-CN"/>
              </w:rPr>
              <w:t>，</w:t>
            </w:r>
            <w:r>
              <w:rPr>
                <w:rFonts w:hint="eastAsia" w:cs="Times New Roman"/>
                <w:color w:val="auto"/>
                <w:sz w:val="24"/>
                <w:highlight w:val="none"/>
                <w:lang w:val="en-US" w:eastAsia="zh-CN"/>
              </w:rPr>
              <w:t>抛光打磨粉尘经布袋除尘器处理后经15m高排气筒（DA001）排放；表面处理线</w:t>
            </w:r>
            <w:r>
              <w:rPr>
                <w:rFonts w:hint="eastAsia" w:cs="Times New Roman"/>
                <w:color w:val="auto"/>
                <w:sz w:val="24"/>
                <w:szCs w:val="24"/>
                <w:highlight w:val="none"/>
                <w:lang w:val="en-US" w:eastAsia="zh-CN"/>
              </w:rPr>
              <w:t>天然气燃烧废气经低氮燃烧后</w:t>
            </w:r>
            <w:r>
              <w:rPr>
                <w:rFonts w:hint="default" w:ascii="Times New Roman" w:hAnsi="Times New Roman" w:cs="Times New Roman"/>
                <w:color w:val="auto"/>
                <w:sz w:val="24"/>
                <w:szCs w:val="24"/>
                <w:highlight w:val="none"/>
                <w:lang w:val="en-US" w:eastAsia="zh-CN"/>
              </w:rPr>
              <w:t>，由15m高</w:t>
            </w:r>
            <w:r>
              <w:rPr>
                <w:rFonts w:hint="default" w:ascii="Times New Roman" w:hAnsi="Times New Roman" w:cs="Times New Roman"/>
                <w:color w:val="auto"/>
                <w:sz w:val="24"/>
                <w:szCs w:val="24"/>
                <w:highlight w:val="none"/>
              </w:rPr>
              <w:t>排气筒</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DA00</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高空排放</w:t>
            </w:r>
            <w:r>
              <w:rPr>
                <w:rFonts w:hint="eastAsia" w:ascii="Times New Roman" w:hAnsi="Times New Roman" w:cs="Times New Roman"/>
                <w:color w:val="auto"/>
                <w:sz w:val="24"/>
                <w:szCs w:val="24"/>
                <w:highlight w:val="none"/>
                <w:lang w:eastAsia="zh-CN"/>
              </w:rPr>
              <w:t>；</w:t>
            </w:r>
            <w:r>
              <w:rPr>
                <w:rFonts w:hint="eastAsia" w:cs="Times New Roman"/>
                <w:color w:val="auto"/>
                <w:sz w:val="24"/>
                <w:highlight w:val="none"/>
                <w:lang w:val="en-US" w:eastAsia="zh-CN"/>
              </w:rPr>
              <w:t>喷粉粉尘经“密闭车间负压收集+大旋风+滤芯式二级回收系统”处理后无组织排放；喷</w:t>
            </w:r>
            <w:r>
              <w:rPr>
                <w:rFonts w:hint="eastAsia" w:cs="Times New Roman"/>
                <w:color w:val="auto"/>
                <w:sz w:val="24"/>
                <w:szCs w:val="24"/>
                <w:highlight w:val="none"/>
                <w:lang w:val="en-US" w:eastAsia="zh-CN"/>
              </w:rPr>
              <w:t>漆、丝印（含表面清洁）、固化</w:t>
            </w:r>
            <w:r>
              <w:rPr>
                <w:rFonts w:hint="default" w:ascii="Times New Roman" w:hAnsi="Times New Roman" w:cs="Times New Roman"/>
                <w:color w:val="auto"/>
                <w:sz w:val="24"/>
                <w:szCs w:val="24"/>
                <w:highlight w:val="none"/>
              </w:rPr>
              <w:t>产生的</w:t>
            </w:r>
            <w:r>
              <w:rPr>
                <w:rFonts w:hint="default" w:ascii="Times New Roman" w:hAnsi="Times New Roman" w:cs="Times New Roman"/>
                <w:color w:val="auto"/>
                <w:sz w:val="24"/>
                <w:szCs w:val="24"/>
                <w:highlight w:val="none"/>
                <w:lang w:val="en-US" w:eastAsia="zh-CN"/>
              </w:rPr>
              <w:t>有机废气</w:t>
            </w:r>
            <w:r>
              <w:rPr>
                <w:rFonts w:hint="default" w:ascii="Times New Roman" w:hAnsi="Times New Roman" w:cs="Times New Roman"/>
                <w:color w:val="auto"/>
                <w:sz w:val="24"/>
                <w:szCs w:val="24"/>
                <w:highlight w:val="none"/>
              </w:rPr>
              <w:t>经</w:t>
            </w:r>
            <w:r>
              <w:rPr>
                <w:rFonts w:hint="default" w:ascii="Times New Roman" w:hAnsi="Times New Roman" w:cs="Times New Roman"/>
                <w:color w:val="auto"/>
                <w:sz w:val="24"/>
                <w:szCs w:val="24"/>
                <w:highlight w:val="none"/>
                <w:lang w:val="en-US" w:eastAsia="zh-CN"/>
              </w:rPr>
              <w:t>收集后通过“喷淋+干式过滤器+二级活性炭吸附装置”处理达标后，由15m高</w:t>
            </w:r>
            <w:r>
              <w:rPr>
                <w:rFonts w:hint="default" w:ascii="Times New Roman" w:hAnsi="Times New Roman" w:cs="Times New Roman"/>
                <w:color w:val="auto"/>
                <w:sz w:val="24"/>
                <w:szCs w:val="24"/>
                <w:highlight w:val="none"/>
              </w:rPr>
              <w:t>排气筒</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DA00</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高空排放</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8"/>
                <w:highlight w:val="none"/>
              </w:rPr>
              <w:t>故本项目与乐昌市人民政府办公室《关于印发&lt;乐昌市生态环境保护“十四五”规划的通知》（乐府办〔2022〕16号）相符。</w:t>
            </w:r>
          </w:p>
          <w:p w14:paraId="4422261E">
            <w:pPr>
              <w:pStyle w:val="10"/>
              <w:pageBreakBefore w:val="0"/>
              <w:numPr>
                <w:ilvl w:val="3"/>
                <w:numId w:val="0"/>
              </w:numPr>
              <w:wordWrap w:val="0"/>
              <w:overflowPunct/>
              <w:bidi w:val="0"/>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七、</w:t>
            </w:r>
            <w:r>
              <w:rPr>
                <w:rFonts w:hint="default" w:ascii="Times New Roman" w:hAnsi="Times New Roman" w:cs="Times New Roman"/>
                <w:color w:val="auto"/>
                <w:highlight w:val="none"/>
                <w:lang w:val="en-US" w:eastAsia="zh-CN"/>
              </w:rPr>
              <w:t>与</w:t>
            </w:r>
            <w:r>
              <w:rPr>
                <w:rFonts w:hint="default" w:ascii="Times New Roman" w:hAnsi="Times New Roman" w:cs="Times New Roman"/>
                <w:color w:val="auto"/>
                <w:highlight w:val="none"/>
              </w:rPr>
              <w:t>《环境保护部关于印发&lt;重点行业挥发性有机物综合治理方案&gt;的通知》（环大气〔2019〕53号）</w:t>
            </w:r>
            <w:r>
              <w:rPr>
                <w:rFonts w:hint="default" w:ascii="Times New Roman" w:hAnsi="Times New Roman" w:cs="Times New Roman"/>
                <w:color w:val="auto"/>
                <w:highlight w:val="none"/>
                <w:lang w:val="en-US" w:eastAsia="zh-CN"/>
              </w:rPr>
              <w:t>的相符性分析</w:t>
            </w:r>
          </w:p>
          <w:p w14:paraId="1A3ACB4B">
            <w:pPr>
              <w:pStyle w:val="21"/>
              <w:pageBreakBefore w:val="0"/>
              <w:wordWrap w:val="0"/>
              <w:overflowPunct/>
              <w:bidi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文件中提出：“大力推进源头替代。化工行业要推广使用低（无）VOCs含量、低反应活性的原辅材料。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推进建设适宜高效的治污设施。”</w:t>
            </w:r>
          </w:p>
          <w:p w14:paraId="7FCC4F6C">
            <w:pPr>
              <w:pStyle w:val="21"/>
              <w:pageBreakBefore w:val="0"/>
              <w:wordWrap w:val="0"/>
              <w:overflowPunct/>
              <w:bidi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eastAsia" w:cs="Times New Roman"/>
                <w:color w:val="auto"/>
                <w:highlight w:val="none"/>
                <w:lang w:val="en-US" w:eastAsia="zh-CN"/>
              </w:rPr>
              <w:t>涉及工业涂装</w:t>
            </w:r>
            <w:r>
              <w:rPr>
                <w:rFonts w:hint="default" w:ascii="Times New Roman" w:hAnsi="Times New Roman" w:cs="Times New Roman"/>
                <w:color w:val="auto"/>
                <w:highlight w:val="none"/>
                <w:lang w:val="en-US" w:eastAsia="zh-CN"/>
              </w:rPr>
              <w:t>重点行业，</w:t>
            </w:r>
            <w:r>
              <w:rPr>
                <w:rFonts w:hint="eastAsia" w:cs="Times New Roman"/>
                <w:color w:val="auto"/>
                <w:highlight w:val="none"/>
                <w:lang w:val="en-US" w:eastAsia="zh-CN"/>
              </w:rPr>
              <w:t>均采用低VOCs含量物料，</w:t>
            </w:r>
            <w:r>
              <w:rPr>
                <w:rFonts w:hint="default" w:ascii="Times New Roman" w:hAnsi="Times New Roman" w:cs="Times New Roman"/>
                <w:color w:val="auto"/>
                <w:highlight w:val="none"/>
                <w:lang w:val="en-US" w:eastAsia="zh-CN"/>
              </w:rPr>
              <w:t>涉及</w:t>
            </w:r>
            <w:r>
              <w:rPr>
                <w:rFonts w:hint="default" w:ascii="Times New Roman" w:hAnsi="Times New Roman" w:cs="Times New Roman"/>
                <w:color w:val="auto"/>
                <w:highlight w:val="none"/>
              </w:rPr>
              <w:t>VOCs原料</w:t>
            </w:r>
            <w:r>
              <w:rPr>
                <w:rFonts w:hint="default" w:ascii="Times New Roman" w:hAnsi="Times New Roman" w:cs="Times New Roman"/>
                <w:color w:val="auto"/>
                <w:highlight w:val="none"/>
                <w:lang w:val="en-US" w:eastAsia="zh-CN"/>
              </w:rPr>
              <w:t>采用密闭容器储存</w:t>
            </w:r>
            <w:r>
              <w:rPr>
                <w:rFonts w:hint="default" w:ascii="Times New Roman" w:hAnsi="Times New Roman" w:cs="Times New Roman"/>
                <w:color w:val="auto"/>
                <w:highlight w:val="none"/>
              </w:rPr>
              <w:t>，可从源头有效控制VOCs排</w:t>
            </w:r>
            <w:r>
              <w:rPr>
                <w:rFonts w:hint="default" w:ascii="Times New Roman" w:hAnsi="Times New Roman" w:cs="Times New Roman"/>
                <w:color w:val="auto"/>
                <w:highlight w:val="none"/>
                <w:lang w:val="en-US" w:eastAsia="zh-CN"/>
              </w:rPr>
              <w:t>放。</w:t>
            </w:r>
            <w:r>
              <w:rPr>
                <w:rFonts w:hint="default" w:ascii="Times New Roman" w:hAnsi="Times New Roman" w:cs="Times New Roman"/>
                <w:color w:val="auto"/>
                <w:highlight w:val="none"/>
              </w:rPr>
              <w:t>综上，本项目与环境保护部《关于印发&lt;重点行业挥发性有机物综合治理方案&gt;的通知》（环大气〔2019〕53号）相符。</w:t>
            </w:r>
          </w:p>
        </w:tc>
      </w:tr>
    </w:tbl>
    <w:p w14:paraId="7DC04A25">
      <w:pPr>
        <w:pStyle w:val="7"/>
        <w:pageBreakBefore w:val="0"/>
        <w:numPr>
          <w:ilvl w:val="0"/>
          <w:numId w:val="0"/>
        </w:numPr>
        <w:wordWrap w:val="0"/>
        <w:overflowPunct/>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bookmarkStart w:id="15" w:name="_Toc30913"/>
      <w:bookmarkStart w:id="16" w:name="_Toc25936"/>
      <w:bookmarkStart w:id="17" w:name="_Toc7455"/>
      <w:r>
        <w:rPr>
          <w:rFonts w:hint="default" w:ascii="Times New Roman" w:hAnsi="Times New Roman" w:cs="Times New Roman"/>
          <w:color w:val="auto"/>
          <w:highlight w:val="none"/>
        </w:rPr>
        <w:t>二、建设项目工程分析</w:t>
      </w:r>
      <w:bookmarkEnd w:id="15"/>
      <w:bookmarkEnd w:id="16"/>
      <w:bookmarkEnd w:id="17"/>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8074"/>
      </w:tblGrid>
      <w:tr w14:paraId="5EDC7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6" w:type="pct"/>
            <w:vAlign w:val="center"/>
          </w:tcPr>
          <w:p w14:paraId="41E87100">
            <w:pPr>
              <w:keepNext/>
              <w:keepLines w:val="0"/>
              <w:pageBreakBefore w:val="0"/>
              <w:widowControl/>
              <w:numPr>
                <w:ilvl w:val="1"/>
                <w:numId w:val="0"/>
              </w:numPr>
              <w:tabs>
                <w:tab w:val="left" w:pos="420"/>
              </w:tabs>
              <w:kinsoku/>
              <w:wordWrap w:val="0"/>
              <w:overflowPunct/>
              <w:topLinePunct w:val="0"/>
              <w:autoSpaceDE/>
              <w:autoSpaceDN/>
              <w:bidi w:val="0"/>
              <w:adjustRightInd/>
              <w:snapToGrid/>
              <w:textAlignment w:val="auto"/>
              <w:outlineLvl w:val="9"/>
              <w:rPr>
                <w:rFonts w:hint="default" w:ascii="Times New Roman" w:hAnsi="Times New Roman" w:cs="Times New Roman"/>
                <w:color w:val="auto"/>
                <w:highlight w:val="none"/>
              </w:rPr>
            </w:pPr>
            <w:bookmarkStart w:id="18" w:name="_Toc28930"/>
            <w:bookmarkStart w:id="19" w:name="_Toc1786"/>
            <w:bookmarkStart w:id="20" w:name="_Toc12660"/>
            <w:bookmarkStart w:id="21" w:name="_Toc23802"/>
            <w:bookmarkStart w:id="22" w:name="_Toc28166"/>
            <w:r>
              <w:rPr>
                <w:rFonts w:hint="default" w:ascii="Times New Roman" w:hAnsi="Times New Roman" w:cs="Times New Roman"/>
                <w:color w:val="auto"/>
                <w:highlight w:val="none"/>
              </w:rPr>
              <w:t>建设内容</w:t>
            </w:r>
            <w:bookmarkEnd w:id="18"/>
            <w:bookmarkEnd w:id="19"/>
            <w:bookmarkEnd w:id="20"/>
            <w:bookmarkEnd w:id="21"/>
            <w:bookmarkEnd w:id="22"/>
          </w:p>
        </w:tc>
        <w:tc>
          <w:tcPr>
            <w:tcW w:w="4733" w:type="pct"/>
          </w:tcPr>
          <w:p w14:paraId="45B68FC7">
            <w:pPr>
              <w:keepNext/>
              <w:keepLines/>
              <w:pageBreakBefore w:val="0"/>
              <w:tabs>
                <w:tab w:val="left" w:pos="0"/>
              </w:tabs>
              <w:wordWrap w:val="0"/>
              <w:overflowPunct/>
              <w:bidi w:val="0"/>
              <w:ind w:left="-2" w:firstLine="480" w:firstLineChars="200"/>
              <w:jc w:val="left"/>
              <w:outlineLvl w:val="2"/>
              <w:rPr>
                <w:rFonts w:hint="default" w:ascii="Times New Roman" w:hAnsi="Times New Roman" w:cs="Times New Roman"/>
                <w:b/>
                <w:color w:val="auto"/>
                <w:highlight w:val="none"/>
              </w:rPr>
            </w:pPr>
            <w:r>
              <w:rPr>
                <w:rFonts w:hint="default" w:ascii="Times New Roman" w:hAnsi="Times New Roman" w:cs="Times New Roman"/>
                <w:b/>
                <w:color w:val="auto"/>
                <w:highlight w:val="none"/>
              </w:rPr>
              <w:t>一、项目由来</w:t>
            </w:r>
          </w:p>
          <w:p w14:paraId="6AEDB875">
            <w:pPr>
              <w:pageBreakBefore w:val="0"/>
              <w:widowControl/>
              <w:wordWrap w:val="0"/>
              <w:overflowPunct/>
              <w:bidi w:val="0"/>
              <w:ind w:firstLine="480" w:firstLineChars="200"/>
              <w:rPr>
                <w:rFonts w:hint="default" w:ascii="Times New Roman" w:hAnsi="Times New Roman" w:cs="Times New Roman"/>
                <w:color w:val="auto"/>
                <w:highlight w:val="none"/>
              </w:rPr>
            </w:pPr>
            <w:r>
              <w:rPr>
                <w:rFonts w:hint="eastAsia" w:cs="Times New Roman"/>
                <w:color w:val="auto"/>
                <w:kern w:val="0"/>
                <w:sz w:val="24"/>
                <w:szCs w:val="24"/>
                <w:highlight w:val="none"/>
                <w:lang w:val="en-US" w:eastAsia="zh-CN"/>
              </w:rPr>
              <w:t>广东拓芯安精密五金有限公司</w:t>
            </w:r>
            <w:r>
              <w:rPr>
                <w:rFonts w:hint="default" w:ascii="Times New Roman" w:hAnsi="Times New Roman" w:cs="Times New Roman"/>
                <w:color w:val="auto"/>
                <w:highlight w:val="none"/>
              </w:rPr>
              <w:t>（以下简称“建设单位”）拟于韶关市乐昌市乐昌产业转移工业园乐园大道33号(1号厂房)</w:t>
            </w:r>
            <w:r>
              <w:rPr>
                <w:rFonts w:hint="default" w:ascii="Times New Roman" w:hAnsi="Times New Roman" w:cs="Times New Roman"/>
                <w:color w:val="auto"/>
                <w:kern w:val="0"/>
                <w:highlight w:val="none"/>
              </w:rPr>
              <w:t>，投资</w:t>
            </w:r>
            <w:r>
              <w:rPr>
                <w:rFonts w:hint="default" w:ascii="Times New Roman" w:hAnsi="Times New Roman" w:cs="Times New Roman"/>
                <w:color w:val="auto"/>
                <w:highlight w:val="none"/>
              </w:rPr>
              <w:t>建设“</w:t>
            </w:r>
            <w:r>
              <w:rPr>
                <w:rFonts w:hint="eastAsia" w:cs="Times New Roman"/>
                <w:color w:val="auto"/>
                <w:kern w:val="0"/>
                <w:sz w:val="24"/>
                <w:szCs w:val="24"/>
                <w:highlight w:val="none"/>
                <w:lang w:val="en-US" w:eastAsia="zh-CN"/>
              </w:rPr>
              <w:t>乐昌市拓芯安五金精密项目</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以下简称“本项目”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p>
          <w:p w14:paraId="59CC953D">
            <w:pPr>
              <w:pageBreakBefore w:val="0"/>
              <w:widowControl/>
              <w:wordWrap w:val="0"/>
              <w:overflowPunct/>
              <w:bidi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本项目总占地面积约</w:t>
            </w:r>
            <w:r>
              <w:rPr>
                <w:rFonts w:hint="eastAsia" w:cs="Times New Roman"/>
                <w:color w:val="auto"/>
                <w:kern w:val="24"/>
                <w:highlight w:val="none"/>
                <w:lang w:val="en-US" w:eastAsia="zh-CN"/>
              </w:rPr>
              <w:t>5400</w:t>
            </w:r>
            <w:r>
              <w:rPr>
                <w:rFonts w:hint="default" w:ascii="Times New Roman" w:hAnsi="Times New Roman" w:cs="Times New Roman"/>
                <w:color w:val="auto"/>
                <w:kern w:val="24"/>
                <w:highlight w:val="none"/>
              </w:rPr>
              <w:t>m</w:t>
            </w:r>
            <w:r>
              <w:rPr>
                <w:rFonts w:hint="default" w:ascii="Times New Roman" w:hAnsi="Times New Roman" w:cs="Times New Roman"/>
                <w:color w:val="auto"/>
                <w:kern w:val="24"/>
                <w:highlight w:val="none"/>
                <w:vertAlign w:val="superscript"/>
                <w:lang w:val="en-US" w:eastAsia="zh-CN"/>
              </w:rPr>
              <w:t>2</w:t>
            </w:r>
            <w:r>
              <w:rPr>
                <w:rFonts w:hint="default" w:ascii="Times New Roman" w:hAnsi="Times New Roman" w:cs="Times New Roman"/>
                <w:color w:val="auto"/>
                <w:highlight w:val="none"/>
              </w:rPr>
              <w:t>，总建筑面积</w:t>
            </w:r>
            <w:r>
              <w:rPr>
                <w:rFonts w:hint="eastAsia" w:cs="Times New Roman"/>
                <w:color w:val="auto"/>
                <w:kern w:val="24"/>
                <w:highlight w:val="none"/>
                <w:lang w:val="en-US" w:eastAsia="zh-CN"/>
              </w:rPr>
              <w:t>5400</w:t>
            </w:r>
            <w:r>
              <w:rPr>
                <w:rFonts w:hint="default" w:ascii="Times New Roman" w:hAnsi="Times New Roman" w:cs="Times New Roman"/>
                <w:color w:val="auto"/>
                <w:kern w:val="24"/>
                <w:highlight w:val="none"/>
              </w:rPr>
              <w:t>m</w:t>
            </w:r>
            <w:r>
              <w:rPr>
                <w:rFonts w:hint="default" w:ascii="Times New Roman" w:hAnsi="Times New Roman" w:cs="Times New Roman"/>
                <w:color w:val="auto"/>
                <w:kern w:val="24"/>
                <w:highlight w:val="none"/>
                <w:vertAlign w:val="superscript"/>
                <w:lang w:val="en-US" w:eastAsia="zh-CN"/>
              </w:rPr>
              <w:t>2</w:t>
            </w:r>
            <w:r>
              <w:rPr>
                <w:rFonts w:hint="default" w:ascii="Times New Roman" w:hAnsi="Times New Roman" w:cs="Times New Roman"/>
                <w:color w:val="auto"/>
                <w:highlight w:val="none"/>
              </w:rPr>
              <w:t>。项目总投资</w:t>
            </w:r>
            <w:r>
              <w:rPr>
                <w:rFonts w:hint="eastAsia" w:cs="Times New Roman"/>
                <w:color w:val="auto"/>
                <w:highlight w:val="none"/>
                <w:lang w:val="en-US" w:eastAsia="zh-CN"/>
              </w:rPr>
              <w:t>65</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rPr>
              <w:t>万元，其中环保投资</w:t>
            </w:r>
            <w:r>
              <w:rPr>
                <w:rFonts w:hint="eastAsia" w:cs="Times New Roman"/>
                <w:color w:val="auto"/>
                <w:highlight w:val="none"/>
                <w:lang w:val="en-US" w:eastAsia="zh-CN"/>
              </w:rPr>
              <w:t>100</w:t>
            </w:r>
            <w:r>
              <w:rPr>
                <w:rFonts w:hint="default" w:ascii="Times New Roman" w:hAnsi="Times New Roman" w:cs="Times New Roman"/>
                <w:color w:val="auto"/>
                <w:highlight w:val="none"/>
              </w:rPr>
              <w:t>万元。项目</w:t>
            </w:r>
            <w:r>
              <w:rPr>
                <w:rFonts w:hint="eastAsia" w:cs="Times New Roman"/>
                <w:color w:val="auto"/>
                <w:highlight w:val="none"/>
                <w:lang w:val="en-US" w:eastAsia="zh-CN"/>
              </w:rPr>
              <w:t>租赁现有厂房进行生产</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外购钢材、油漆、粉末涂料等原辅材料，计划年产储能电箱10万套</w:t>
            </w:r>
            <w:r>
              <w:rPr>
                <w:rFonts w:hint="default" w:ascii="Times New Roman" w:hAnsi="Times New Roman" w:cs="Times New Roman"/>
                <w:color w:val="auto"/>
                <w:highlight w:val="none"/>
              </w:rPr>
              <w:t>。</w:t>
            </w:r>
          </w:p>
          <w:p w14:paraId="36BAC023">
            <w:pPr>
              <w:pStyle w:val="20"/>
              <w:pageBreakBefore w:val="0"/>
              <w:wordWrap w:val="0"/>
              <w:overflowPunct/>
              <w:bidi w:val="0"/>
              <w:ind w:firstLine="480" w:firstLineChars="20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根据《中华人民共和国环境保护法》、《中华人民共和国环境影响评价法》、《建设项目环境保护管理条例》等有关规定，建设过程中或者建成投产后可能对环境产生影响的新建、扩建、改建、迁建、技术改造项目及区域开发建设项目，必须执行环境影响评价制度。对照</w:t>
            </w:r>
            <w:r>
              <w:rPr>
                <w:rFonts w:hint="default" w:ascii="Times New Roman" w:hAnsi="Times New Roman" w:cs="Times New Roman"/>
                <w:color w:val="auto"/>
                <w:highlight w:val="none"/>
              </w:rPr>
              <w:t>《国民经济行业分类》（GB/T 4754-2017，按第1号修改单修订）</w:t>
            </w:r>
            <w:r>
              <w:rPr>
                <w:rFonts w:hint="default" w:ascii="Times New Roman" w:hAnsi="Times New Roman" w:cs="Times New Roman"/>
                <w:color w:val="auto"/>
                <w:szCs w:val="24"/>
                <w:highlight w:val="none"/>
              </w:rPr>
              <w:t>，本项目属于</w:t>
            </w:r>
            <w:r>
              <w:rPr>
                <w:rFonts w:hint="eastAsia" w:cs="Times New Roman"/>
                <w:color w:val="auto"/>
                <w:sz w:val="24"/>
                <w:szCs w:val="24"/>
                <w:highlight w:val="none"/>
                <w:lang w:eastAsia="zh-CN"/>
              </w:rPr>
              <w:t>C3311 金属结构制造</w:t>
            </w:r>
            <w:r>
              <w:rPr>
                <w:rFonts w:hint="default" w:ascii="Times New Roman" w:hAnsi="Times New Roman" w:cs="Times New Roman"/>
                <w:color w:val="auto"/>
                <w:szCs w:val="24"/>
                <w:highlight w:val="none"/>
              </w:rPr>
              <w:t>；对照</w:t>
            </w:r>
            <w:r>
              <w:rPr>
                <w:rFonts w:hint="eastAsia" w:cs="Times New Roman"/>
                <w:color w:val="auto"/>
                <w:szCs w:val="24"/>
                <w:highlight w:val="none"/>
                <w:lang w:eastAsia="zh-CN"/>
              </w:rPr>
              <w:t>生态环境部</w:t>
            </w:r>
            <w:r>
              <w:rPr>
                <w:rFonts w:hint="default" w:ascii="Times New Roman" w:hAnsi="Times New Roman" w:cs="Times New Roman"/>
                <w:color w:val="auto"/>
                <w:szCs w:val="24"/>
                <w:highlight w:val="none"/>
              </w:rPr>
              <w:t>《建设项目环境影响评价分类管理名录》（2021年版），该项目属于“三十、金属制品业 33</w:t>
            </w:r>
            <w:r>
              <w:rPr>
                <w:rFonts w:hint="eastAsia" w:cs="Times New Roman"/>
                <w:color w:val="auto"/>
                <w:szCs w:val="24"/>
                <w:highlight w:val="none"/>
                <w:lang w:val="en-US" w:eastAsia="zh-CN"/>
              </w:rPr>
              <w:t>-60.结构性金属制品制造331</w:t>
            </w:r>
            <w:r>
              <w:rPr>
                <w:rFonts w:hint="default" w:ascii="Times New Roman" w:hAnsi="Times New Roman" w:cs="Times New Roman"/>
                <w:color w:val="auto"/>
                <w:szCs w:val="24"/>
                <w:highlight w:val="none"/>
              </w:rPr>
              <w:t>；其他（仅分割、焊接、组装的除外；年用非溶剂型低 VOCs含量涂料 10 吨以下的除外）”，按要求需要编制环境影响报告表。</w:t>
            </w:r>
          </w:p>
          <w:p w14:paraId="6290CF2F">
            <w:pPr>
              <w:pStyle w:val="20"/>
              <w:pageBreakBefore w:val="0"/>
              <w:wordWrap w:val="0"/>
              <w:overflowPunct/>
              <w:bidi w:val="0"/>
              <w:ind w:firstLine="480" w:firstLineChars="200"/>
              <w:jc w:val="both"/>
              <w:rPr>
                <w:rFonts w:hint="eastAsia" w:cs="Times New Roman"/>
                <w:bCs/>
                <w:color w:val="auto"/>
                <w:sz w:val="24"/>
                <w:highlight w:val="none"/>
                <w:lang w:val="en-US" w:eastAsia="zh-CN"/>
              </w:rPr>
            </w:pPr>
            <w:r>
              <w:rPr>
                <w:rFonts w:hint="default" w:ascii="Times New Roman" w:hAnsi="Times New Roman" w:cs="Times New Roman"/>
                <w:bCs/>
                <w:color w:val="auto"/>
                <w:sz w:val="24"/>
                <w:highlight w:val="none"/>
              </w:rPr>
              <w:t>为此，评价单位在建设单位大力支持下，立即开展了详细的现场调查、资料收集工作，在对本项目的环境现状和可能造成的环境影响进行分析后，依照《建设项目环境影响报告表编制技术指南（污染影响类）（试行）》的要求编制了环境影响报告表</w:t>
            </w:r>
            <w:r>
              <w:rPr>
                <w:rFonts w:hint="eastAsia" w:cs="Times New Roman"/>
                <w:bCs/>
                <w:color w:val="auto"/>
                <w:sz w:val="24"/>
                <w:highlight w:val="none"/>
                <w:lang w:val="en-US" w:eastAsia="zh-CN"/>
              </w:rPr>
              <w:t>。</w:t>
            </w:r>
          </w:p>
          <w:p w14:paraId="27F9CB14">
            <w:pPr>
              <w:pStyle w:val="9"/>
              <w:pageBreakBefore w:val="0"/>
              <w:numPr>
                <w:ilvl w:val="0"/>
                <w:numId w:val="0"/>
              </w:numPr>
              <w:wordWrap w:val="0"/>
              <w:overflowPunct/>
              <w:bidi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二、项目内容及规模</w:t>
            </w:r>
          </w:p>
          <w:p w14:paraId="6A8936FB">
            <w:pPr>
              <w:pStyle w:val="10"/>
              <w:pageBreakBefore w:val="0"/>
              <w:numPr>
                <w:ilvl w:val="3"/>
                <w:numId w:val="0"/>
              </w:numPr>
              <w:wordWrap w:val="0"/>
              <w:overflowPunct/>
              <w:bidi w:val="0"/>
              <w:ind w:left="-960" w:firstLine="1440"/>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t>1、</w:t>
            </w:r>
            <w:r>
              <w:rPr>
                <w:rFonts w:hint="default" w:ascii="Times New Roman" w:hAnsi="Times New Roman" w:cs="Times New Roman"/>
                <w:color w:val="auto"/>
                <w:highlight w:val="none"/>
              </w:rPr>
              <w:t>工程规模</w:t>
            </w:r>
          </w:p>
          <w:p w14:paraId="13867C9D">
            <w:pPr>
              <w:pageBreakBefore w:val="0"/>
              <w:wordWrap w:val="0"/>
              <w:overflowPunct/>
              <w:bidi w:val="0"/>
              <w:ind w:firstLine="480" w:firstLineChars="200"/>
              <w:rPr>
                <w:rFonts w:hint="default" w:ascii="Times New Roman" w:hAnsi="Times New Roman" w:cs="Times New Roman"/>
                <w:color w:val="auto"/>
                <w:highlight w:val="none"/>
              </w:rPr>
            </w:pPr>
            <w:r>
              <w:rPr>
                <w:rFonts w:hint="eastAsia" w:cs="Times New Roman"/>
                <w:color w:val="auto"/>
                <w:kern w:val="0"/>
                <w:sz w:val="24"/>
                <w:szCs w:val="24"/>
                <w:highlight w:val="none"/>
                <w:lang w:val="en-US" w:eastAsia="zh-CN"/>
              </w:rPr>
              <w:t>本项目拟于</w:t>
            </w:r>
            <w:r>
              <w:rPr>
                <w:rFonts w:hint="default" w:ascii="Times New Roman" w:hAnsi="Times New Roman" w:eastAsia="宋体" w:cs="Times New Roman"/>
                <w:color w:val="auto"/>
                <w:kern w:val="0"/>
                <w:sz w:val="24"/>
                <w:szCs w:val="24"/>
                <w:highlight w:val="none"/>
                <w:lang w:val="en-US" w:eastAsia="zh-CN"/>
              </w:rPr>
              <w:t>韶关市乐昌市乐昌产业转移工业园乐园大道33号(1号厂房)</w:t>
            </w:r>
            <w:r>
              <w:rPr>
                <w:rFonts w:hint="eastAsia" w:cs="Times New Roman"/>
                <w:color w:val="auto"/>
                <w:highlight w:val="none"/>
                <w:lang w:val="en-US" w:eastAsia="zh-CN"/>
              </w:rPr>
              <w:t>租赁现有厂房进行生产</w:t>
            </w:r>
            <w:r>
              <w:rPr>
                <w:rFonts w:hint="eastAsia" w:cs="Times New Roman"/>
                <w:color w:val="auto"/>
                <w:highlight w:val="none"/>
                <w:lang w:eastAsia="zh-CN"/>
              </w:rPr>
              <w:t>。</w:t>
            </w:r>
            <w:r>
              <w:rPr>
                <w:rFonts w:hint="default" w:ascii="Times New Roman" w:hAnsi="Times New Roman" w:cs="Times New Roman"/>
                <w:color w:val="auto"/>
                <w:highlight w:val="none"/>
              </w:rPr>
              <w:t>本项目总占地面积</w:t>
            </w:r>
            <w:r>
              <w:rPr>
                <w:rFonts w:hint="eastAsia" w:cs="Times New Roman"/>
                <w:color w:val="auto"/>
                <w:kern w:val="24"/>
                <w:highlight w:val="none"/>
                <w:lang w:val="en-US" w:eastAsia="zh-CN"/>
              </w:rPr>
              <w:t>5400</w:t>
            </w:r>
            <w:r>
              <w:rPr>
                <w:rFonts w:hint="default" w:ascii="Times New Roman" w:hAnsi="Times New Roman" w:cs="Times New Roman"/>
                <w:color w:val="auto"/>
                <w:kern w:val="24"/>
                <w:highlight w:val="none"/>
              </w:rPr>
              <w:t>m</w:t>
            </w:r>
            <w:r>
              <w:rPr>
                <w:rFonts w:hint="default" w:ascii="Times New Roman" w:hAnsi="Times New Roman" w:cs="Times New Roman"/>
                <w:color w:val="auto"/>
                <w:kern w:val="24"/>
                <w:highlight w:val="none"/>
                <w:vertAlign w:val="superscript"/>
                <w:lang w:val="en-US" w:eastAsia="zh-CN"/>
              </w:rPr>
              <w:t>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总</w:t>
            </w:r>
            <w:r>
              <w:rPr>
                <w:rFonts w:hint="default" w:ascii="Times New Roman" w:hAnsi="Times New Roman" w:cs="Times New Roman"/>
                <w:color w:val="auto"/>
                <w:highlight w:val="none"/>
              </w:rPr>
              <w:t>建筑物占地面积为</w:t>
            </w:r>
            <w:r>
              <w:rPr>
                <w:rFonts w:hint="eastAsia" w:cs="Times New Roman"/>
                <w:color w:val="auto"/>
                <w:highlight w:val="none"/>
                <w:lang w:val="en-US" w:eastAsia="zh-CN"/>
              </w:rPr>
              <w:t>5400</w:t>
            </w:r>
            <w:r>
              <w:rPr>
                <w:rFonts w:hint="default" w:ascii="Times New Roman" w:hAnsi="Times New Roman" w:cs="Times New Roman"/>
                <w:color w:val="auto"/>
                <w:kern w:val="24"/>
                <w:highlight w:val="none"/>
              </w:rPr>
              <w:t>m</w:t>
            </w:r>
            <w:r>
              <w:rPr>
                <w:rFonts w:hint="default" w:ascii="Times New Roman" w:hAnsi="Times New Roman" w:cs="Times New Roman"/>
                <w:color w:val="auto"/>
                <w:kern w:val="24"/>
                <w:highlight w:val="none"/>
                <w:vertAlign w:val="superscript"/>
                <w:lang w:val="en-US" w:eastAsia="zh-CN"/>
              </w:rPr>
              <w:t>2</w:t>
            </w:r>
            <w:r>
              <w:rPr>
                <w:rFonts w:hint="default" w:ascii="Times New Roman" w:hAnsi="Times New Roman" w:cs="Times New Roman"/>
                <w:color w:val="auto"/>
                <w:highlight w:val="none"/>
              </w:rPr>
              <w:t>。</w:t>
            </w:r>
            <w:r>
              <w:rPr>
                <w:rFonts w:hint="eastAsia" w:cs="Times New Roman"/>
                <w:color w:val="auto"/>
                <w:highlight w:val="none"/>
                <w:lang w:val="en-US" w:eastAsia="zh-CN"/>
              </w:rPr>
              <w:t>厂区内</w:t>
            </w:r>
            <w:r>
              <w:rPr>
                <w:rFonts w:hint="default" w:ascii="Times New Roman" w:hAnsi="Times New Roman" w:cs="Times New Roman"/>
                <w:color w:val="auto"/>
                <w:highlight w:val="none"/>
                <w:lang w:val="en-US" w:eastAsia="zh-CN"/>
              </w:rPr>
              <w:t>主要</w:t>
            </w:r>
            <w:r>
              <w:rPr>
                <w:rFonts w:hint="default" w:ascii="Times New Roman" w:hAnsi="Times New Roman" w:cs="Times New Roman"/>
                <w:bCs/>
                <w:color w:val="auto"/>
                <w:kern w:val="0"/>
                <w:szCs w:val="28"/>
                <w:highlight w:val="none"/>
              </w:rPr>
              <w:t>建筑物情况</w:t>
            </w:r>
            <w:r>
              <w:rPr>
                <w:rFonts w:hint="default" w:ascii="Times New Roman" w:hAnsi="Times New Roman" w:cs="Times New Roman"/>
                <w:color w:val="auto"/>
                <w:highlight w:val="none"/>
              </w:rPr>
              <w:t>见表2-1，</w:t>
            </w:r>
            <w:r>
              <w:rPr>
                <w:rFonts w:hint="default" w:ascii="Times New Roman" w:hAnsi="Times New Roman" w:cs="Times New Roman"/>
                <w:color w:val="auto"/>
                <w:highlight w:val="none"/>
                <w:lang w:val="en-US" w:eastAsia="zh-CN"/>
              </w:rPr>
              <w:t>厂区</w:t>
            </w:r>
            <w:r>
              <w:rPr>
                <w:rFonts w:hint="eastAsia" w:cs="Times New Roman"/>
                <w:color w:val="auto"/>
                <w:highlight w:val="none"/>
                <w:lang w:val="en-US" w:eastAsia="zh-CN"/>
              </w:rPr>
              <w:t>平面布置图</w:t>
            </w:r>
            <w:r>
              <w:rPr>
                <w:rFonts w:hint="default" w:ascii="Times New Roman" w:hAnsi="Times New Roman" w:cs="Times New Roman"/>
                <w:color w:val="auto"/>
                <w:highlight w:val="none"/>
              </w:rPr>
              <w:t>见附图</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zh-CN"/>
              </w:rPr>
              <w:t>工程组成见表</w:t>
            </w:r>
            <w:r>
              <w:rPr>
                <w:rFonts w:hint="default" w:ascii="Times New Roman" w:hAnsi="Times New Roman" w:cs="Times New Roman"/>
                <w:color w:val="auto"/>
                <w:highlight w:val="none"/>
              </w:rPr>
              <w:t>2-2</w:t>
            </w:r>
            <w:r>
              <w:rPr>
                <w:rFonts w:hint="default" w:ascii="Times New Roman" w:hAnsi="Times New Roman" w:cs="Times New Roman"/>
                <w:color w:val="auto"/>
                <w:highlight w:val="none"/>
                <w:lang w:val="zh-CN"/>
              </w:rPr>
              <w:t>。</w:t>
            </w:r>
          </w:p>
          <w:p w14:paraId="0D9F8D06">
            <w:pPr>
              <w:pStyle w:val="17"/>
              <w:pageBreakBefore w:val="0"/>
              <w:numPr>
                <w:ilvl w:val="0"/>
                <w:numId w:val="8"/>
              </w:numPr>
              <w:wordWrap w:val="0"/>
              <w:overflowPunct/>
              <w:bidi w:val="0"/>
              <w:spacing w:line="240" w:lineRule="auto"/>
              <w:ind w:left="0" w:leftChars="0" w:firstLine="40" w:firstLineChars="0"/>
              <w:rPr>
                <w:rFonts w:hint="default" w:ascii="Times New Roman" w:hAnsi="Times New Roman" w:cs="Times New Roman"/>
                <w:color w:val="auto"/>
                <w:highlight w:val="none"/>
              </w:rPr>
            </w:pPr>
            <w:r>
              <w:rPr>
                <w:rFonts w:hint="eastAsia" w:cs="Times New Roman"/>
                <w:color w:val="auto"/>
                <w:highlight w:val="none"/>
                <w:lang w:val="en-US" w:eastAsia="zh-CN"/>
              </w:rPr>
              <w:t>厂区内</w:t>
            </w:r>
            <w:r>
              <w:rPr>
                <w:rFonts w:hint="default" w:ascii="Times New Roman" w:hAnsi="Times New Roman" w:cs="Times New Roman"/>
                <w:color w:val="auto"/>
                <w:highlight w:val="none"/>
              </w:rPr>
              <w:t>主要建筑物一览表</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671"/>
              <w:gridCol w:w="1149"/>
              <w:gridCol w:w="1109"/>
              <w:gridCol w:w="1423"/>
              <w:gridCol w:w="1423"/>
              <w:gridCol w:w="1159"/>
            </w:tblGrid>
            <w:tr w14:paraId="28206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4" w:type="dxa"/>
                  <w:vAlign w:val="center"/>
                </w:tcPr>
                <w:p w14:paraId="5E37633C">
                  <w:pPr>
                    <w:pageBreakBefore w:val="0"/>
                    <w:wordWrap w:val="0"/>
                    <w:overflowPunct/>
                    <w:bidi w:val="0"/>
                    <w:spacing w:line="240" w:lineRule="auto"/>
                    <w:jc w:val="center"/>
                    <w:rPr>
                      <w:b/>
                      <w:color w:val="auto"/>
                      <w:sz w:val="21"/>
                      <w:szCs w:val="21"/>
                      <w:highlight w:val="none"/>
                    </w:rPr>
                  </w:pPr>
                  <w:r>
                    <w:rPr>
                      <w:b/>
                      <w:color w:val="auto"/>
                      <w:sz w:val="21"/>
                      <w:szCs w:val="21"/>
                      <w:highlight w:val="none"/>
                    </w:rPr>
                    <w:t>建筑</w:t>
                  </w:r>
                  <w:r>
                    <w:rPr>
                      <w:rFonts w:hint="eastAsia"/>
                      <w:b/>
                      <w:color w:val="auto"/>
                      <w:sz w:val="21"/>
                      <w:szCs w:val="21"/>
                      <w:highlight w:val="none"/>
                    </w:rPr>
                    <w:t>名称</w:t>
                  </w:r>
                </w:p>
              </w:tc>
              <w:tc>
                <w:tcPr>
                  <w:tcW w:w="671" w:type="dxa"/>
                  <w:vAlign w:val="center"/>
                </w:tcPr>
                <w:p w14:paraId="5DCC7FA6">
                  <w:pPr>
                    <w:pageBreakBefore w:val="0"/>
                    <w:wordWrap w:val="0"/>
                    <w:overflowPunct/>
                    <w:bidi w:val="0"/>
                    <w:spacing w:line="240" w:lineRule="auto"/>
                    <w:jc w:val="center"/>
                    <w:rPr>
                      <w:b/>
                      <w:color w:val="auto"/>
                      <w:sz w:val="21"/>
                      <w:szCs w:val="21"/>
                      <w:highlight w:val="none"/>
                    </w:rPr>
                  </w:pPr>
                  <w:r>
                    <w:rPr>
                      <w:b/>
                      <w:color w:val="auto"/>
                      <w:sz w:val="21"/>
                      <w:szCs w:val="21"/>
                      <w:highlight w:val="none"/>
                    </w:rPr>
                    <w:t>层数</w:t>
                  </w:r>
                </w:p>
              </w:tc>
              <w:tc>
                <w:tcPr>
                  <w:tcW w:w="1149" w:type="dxa"/>
                  <w:vAlign w:val="center"/>
                </w:tcPr>
                <w:p w14:paraId="239CC341">
                  <w:pPr>
                    <w:pageBreakBefore w:val="0"/>
                    <w:wordWrap w:val="0"/>
                    <w:overflowPunct/>
                    <w:bidi w:val="0"/>
                    <w:spacing w:line="240" w:lineRule="auto"/>
                    <w:jc w:val="center"/>
                    <w:rPr>
                      <w:rFonts w:hint="eastAsia" w:eastAsia="宋体"/>
                      <w:b/>
                      <w:color w:val="auto"/>
                      <w:sz w:val="21"/>
                      <w:szCs w:val="21"/>
                      <w:highlight w:val="none"/>
                      <w:lang w:val="en-US" w:eastAsia="zh-CN"/>
                    </w:rPr>
                  </w:pPr>
                  <w:r>
                    <w:rPr>
                      <w:rFonts w:hint="eastAsia"/>
                      <w:b/>
                      <w:color w:val="auto"/>
                      <w:sz w:val="21"/>
                      <w:szCs w:val="21"/>
                      <w:highlight w:val="none"/>
                    </w:rPr>
                    <w:t>高度（每层）</w:t>
                  </w:r>
                  <w:r>
                    <w:rPr>
                      <w:rFonts w:hint="eastAsia"/>
                      <w:b/>
                      <w:color w:val="auto"/>
                      <w:sz w:val="21"/>
                      <w:szCs w:val="21"/>
                      <w:highlight w:val="none"/>
                      <w:lang w:val="en-US" w:eastAsia="zh-CN"/>
                    </w:rPr>
                    <w:t>m</w:t>
                  </w:r>
                </w:p>
              </w:tc>
              <w:tc>
                <w:tcPr>
                  <w:tcW w:w="1109" w:type="dxa"/>
                  <w:vAlign w:val="center"/>
                </w:tcPr>
                <w:p w14:paraId="05133202">
                  <w:pPr>
                    <w:pageBreakBefore w:val="0"/>
                    <w:wordWrap w:val="0"/>
                    <w:overflowPunct/>
                    <w:bidi w:val="0"/>
                    <w:spacing w:line="240" w:lineRule="auto"/>
                    <w:jc w:val="center"/>
                    <w:rPr>
                      <w:b/>
                      <w:color w:val="auto"/>
                      <w:sz w:val="21"/>
                      <w:szCs w:val="21"/>
                      <w:highlight w:val="none"/>
                    </w:rPr>
                  </w:pPr>
                  <w:r>
                    <w:rPr>
                      <w:rFonts w:hint="eastAsia"/>
                      <w:b/>
                      <w:color w:val="auto"/>
                      <w:sz w:val="21"/>
                      <w:szCs w:val="21"/>
                      <w:highlight w:val="none"/>
                    </w:rPr>
                    <w:t>尺寸</w:t>
                  </w:r>
                </w:p>
              </w:tc>
              <w:tc>
                <w:tcPr>
                  <w:tcW w:w="1423" w:type="dxa"/>
                  <w:vAlign w:val="center"/>
                </w:tcPr>
                <w:p w14:paraId="79D7C9F4">
                  <w:pPr>
                    <w:pageBreakBefore w:val="0"/>
                    <w:wordWrap w:val="0"/>
                    <w:overflowPunct/>
                    <w:bidi w:val="0"/>
                    <w:spacing w:line="240" w:lineRule="auto"/>
                    <w:jc w:val="center"/>
                    <w:rPr>
                      <w:b/>
                      <w:color w:val="auto"/>
                      <w:sz w:val="21"/>
                      <w:szCs w:val="21"/>
                      <w:highlight w:val="none"/>
                    </w:rPr>
                  </w:pPr>
                  <w:r>
                    <w:rPr>
                      <w:rFonts w:hint="eastAsia"/>
                      <w:b/>
                      <w:color w:val="auto"/>
                      <w:sz w:val="21"/>
                      <w:szCs w:val="21"/>
                      <w:highlight w:val="none"/>
                    </w:rPr>
                    <w:t>占地</w:t>
                  </w:r>
                  <w:r>
                    <w:rPr>
                      <w:b/>
                      <w:color w:val="auto"/>
                      <w:sz w:val="21"/>
                      <w:szCs w:val="21"/>
                      <w:highlight w:val="none"/>
                    </w:rPr>
                    <w:t>面积（</w:t>
                  </w:r>
                  <w:r>
                    <w:rPr>
                      <w:rFonts w:hint="eastAsia"/>
                      <w:b/>
                      <w:color w:val="auto"/>
                      <w:sz w:val="21"/>
                      <w:szCs w:val="21"/>
                      <w:highlight w:val="none"/>
                    </w:rPr>
                    <w:t>m</w:t>
                  </w:r>
                  <w:r>
                    <w:rPr>
                      <w:rFonts w:hint="eastAsia"/>
                      <w:b/>
                      <w:color w:val="auto"/>
                      <w:sz w:val="21"/>
                      <w:szCs w:val="21"/>
                      <w:highlight w:val="none"/>
                      <w:vertAlign w:val="superscript"/>
                    </w:rPr>
                    <w:t>2</w:t>
                  </w:r>
                  <w:r>
                    <w:rPr>
                      <w:rFonts w:hint="eastAsia"/>
                      <w:b/>
                      <w:color w:val="auto"/>
                      <w:sz w:val="21"/>
                      <w:szCs w:val="21"/>
                      <w:highlight w:val="none"/>
                    </w:rPr>
                    <w:t>）</w:t>
                  </w:r>
                </w:p>
              </w:tc>
              <w:tc>
                <w:tcPr>
                  <w:tcW w:w="1423" w:type="dxa"/>
                  <w:vAlign w:val="center"/>
                </w:tcPr>
                <w:p w14:paraId="05667334">
                  <w:pPr>
                    <w:pageBreakBefore w:val="0"/>
                    <w:wordWrap w:val="0"/>
                    <w:overflowPunct/>
                    <w:bidi w:val="0"/>
                    <w:spacing w:line="240" w:lineRule="auto"/>
                    <w:jc w:val="center"/>
                    <w:rPr>
                      <w:b/>
                      <w:color w:val="auto"/>
                      <w:sz w:val="21"/>
                      <w:szCs w:val="21"/>
                      <w:highlight w:val="none"/>
                    </w:rPr>
                  </w:pPr>
                  <w:r>
                    <w:rPr>
                      <w:b/>
                      <w:color w:val="auto"/>
                      <w:sz w:val="21"/>
                      <w:szCs w:val="21"/>
                      <w:highlight w:val="none"/>
                    </w:rPr>
                    <w:t>建筑面积（</w:t>
                  </w:r>
                  <w:r>
                    <w:rPr>
                      <w:rFonts w:hint="eastAsia"/>
                      <w:b/>
                      <w:color w:val="auto"/>
                      <w:sz w:val="21"/>
                      <w:szCs w:val="21"/>
                      <w:highlight w:val="none"/>
                    </w:rPr>
                    <w:t>m</w:t>
                  </w:r>
                  <w:r>
                    <w:rPr>
                      <w:rFonts w:hint="eastAsia"/>
                      <w:b/>
                      <w:color w:val="auto"/>
                      <w:sz w:val="21"/>
                      <w:szCs w:val="21"/>
                      <w:highlight w:val="none"/>
                      <w:vertAlign w:val="superscript"/>
                    </w:rPr>
                    <w:t>2</w:t>
                  </w:r>
                  <w:r>
                    <w:rPr>
                      <w:rFonts w:hint="eastAsia"/>
                      <w:b/>
                      <w:color w:val="auto"/>
                      <w:sz w:val="21"/>
                      <w:szCs w:val="21"/>
                      <w:highlight w:val="none"/>
                    </w:rPr>
                    <w:t>）</w:t>
                  </w:r>
                </w:p>
              </w:tc>
              <w:tc>
                <w:tcPr>
                  <w:tcW w:w="1159" w:type="dxa"/>
                  <w:vAlign w:val="center"/>
                </w:tcPr>
                <w:p w14:paraId="7CED6C3C">
                  <w:pPr>
                    <w:pageBreakBefore w:val="0"/>
                    <w:wordWrap w:val="0"/>
                    <w:overflowPunct/>
                    <w:bidi w:val="0"/>
                    <w:spacing w:line="240" w:lineRule="auto"/>
                    <w:jc w:val="center"/>
                    <w:rPr>
                      <w:b/>
                      <w:color w:val="auto"/>
                      <w:sz w:val="21"/>
                      <w:szCs w:val="21"/>
                      <w:highlight w:val="none"/>
                    </w:rPr>
                  </w:pPr>
                  <w:r>
                    <w:rPr>
                      <w:rFonts w:hint="eastAsia"/>
                      <w:b/>
                      <w:color w:val="auto"/>
                      <w:sz w:val="21"/>
                      <w:szCs w:val="21"/>
                      <w:highlight w:val="none"/>
                    </w:rPr>
                    <w:t>建筑功能</w:t>
                  </w:r>
                </w:p>
              </w:tc>
            </w:tr>
            <w:tr w14:paraId="3B5AF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4" w:type="dxa"/>
                  <w:vAlign w:val="center"/>
                </w:tcPr>
                <w:p w14:paraId="00DC521B">
                  <w:pPr>
                    <w:pageBreakBefore w:val="0"/>
                    <w:wordWrap w:val="0"/>
                    <w:overflowPunct/>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1号厂房</w:t>
                  </w:r>
                </w:p>
              </w:tc>
              <w:tc>
                <w:tcPr>
                  <w:tcW w:w="671" w:type="dxa"/>
                  <w:vAlign w:val="center"/>
                </w:tcPr>
                <w:p w14:paraId="4AF6EF08">
                  <w:pPr>
                    <w:pageBreakBefore w:val="0"/>
                    <w:wordWrap w:val="0"/>
                    <w:overflowPunct/>
                    <w:bidi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1层</w:t>
                  </w:r>
                </w:p>
              </w:tc>
              <w:tc>
                <w:tcPr>
                  <w:tcW w:w="1149" w:type="dxa"/>
                  <w:vAlign w:val="center"/>
                </w:tcPr>
                <w:p w14:paraId="37E3D853">
                  <w:pPr>
                    <w:pageBreakBefore w:val="0"/>
                    <w:wordWrap w:val="0"/>
                    <w:overflowPunct/>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12</w:t>
                  </w:r>
                </w:p>
              </w:tc>
              <w:tc>
                <w:tcPr>
                  <w:tcW w:w="1109" w:type="dxa"/>
                  <w:vAlign w:val="center"/>
                </w:tcPr>
                <w:p w14:paraId="6EBEEA73">
                  <w:pPr>
                    <w:pageBreakBefore w:val="0"/>
                    <w:wordWrap w:val="0"/>
                    <w:overflowPunct/>
                    <w:bidi w:val="0"/>
                    <w:spacing w:line="240" w:lineRule="auto"/>
                    <w:jc w:val="both"/>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16*42.875</w:t>
                  </w:r>
                </w:p>
              </w:tc>
              <w:tc>
                <w:tcPr>
                  <w:tcW w:w="1423" w:type="dxa"/>
                  <w:vAlign w:val="center"/>
                </w:tcPr>
                <w:p w14:paraId="4FB10F96">
                  <w:pPr>
                    <w:pageBreakBefore w:val="0"/>
                    <w:wordWrap w:val="0"/>
                    <w:overflowPunct/>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5400</w:t>
                  </w:r>
                </w:p>
              </w:tc>
              <w:tc>
                <w:tcPr>
                  <w:tcW w:w="1423" w:type="dxa"/>
                  <w:vAlign w:val="center"/>
                </w:tcPr>
                <w:p w14:paraId="7BE232E1">
                  <w:pPr>
                    <w:pageBreakBefore w:val="0"/>
                    <w:wordWrap w:val="0"/>
                    <w:overflowPunct/>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5400</w:t>
                  </w:r>
                </w:p>
              </w:tc>
              <w:tc>
                <w:tcPr>
                  <w:tcW w:w="1159" w:type="dxa"/>
                  <w:vAlign w:val="center"/>
                </w:tcPr>
                <w:p w14:paraId="086627FD">
                  <w:pPr>
                    <w:pageBreakBefore w:val="0"/>
                    <w:wordWrap w:val="0"/>
                    <w:overflowPunct/>
                    <w:bidi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生产办公</w:t>
                  </w:r>
                </w:p>
              </w:tc>
            </w:tr>
            <w:tr w14:paraId="3D3C4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4" w:type="dxa"/>
                  <w:vAlign w:val="center"/>
                </w:tcPr>
                <w:p w14:paraId="37543EC1">
                  <w:pPr>
                    <w:pageBreakBefore w:val="0"/>
                    <w:wordWrap w:val="0"/>
                    <w:overflowPunct/>
                    <w:bidi w:val="0"/>
                    <w:spacing w:line="240" w:lineRule="auto"/>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合计</w:t>
                  </w:r>
                </w:p>
              </w:tc>
              <w:tc>
                <w:tcPr>
                  <w:tcW w:w="671" w:type="dxa"/>
                  <w:vAlign w:val="center"/>
                </w:tcPr>
                <w:p w14:paraId="45B6F554">
                  <w:pPr>
                    <w:pageBreakBefore w:val="0"/>
                    <w:wordWrap w:val="0"/>
                    <w:overflowPunct/>
                    <w:bidi w:val="0"/>
                    <w:spacing w:line="240" w:lineRule="auto"/>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1149" w:type="dxa"/>
                  <w:vAlign w:val="center"/>
                </w:tcPr>
                <w:p w14:paraId="12A99DE7">
                  <w:pPr>
                    <w:pageBreakBefore w:val="0"/>
                    <w:wordWrap w:val="0"/>
                    <w:overflowPunct/>
                    <w:bidi w:val="0"/>
                    <w:spacing w:line="240" w:lineRule="auto"/>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1109" w:type="dxa"/>
                  <w:vAlign w:val="center"/>
                </w:tcPr>
                <w:p w14:paraId="7572FB02">
                  <w:pPr>
                    <w:pageBreakBefore w:val="0"/>
                    <w:wordWrap w:val="0"/>
                    <w:overflowPunct/>
                    <w:bidi w:val="0"/>
                    <w:spacing w:line="240" w:lineRule="auto"/>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1423" w:type="dxa"/>
                  <w:vAlign w:val="center"/>
                </w:tcPr>
                <w:p w14:paraId="2676E5EB">
                  <w:pPr>
                    <w:pageBreakBefore w:val="0"/>
                    <w:wordWrap w:val="0"/>
                    <w:overflowPunct/>
                    <w:bidi w:val="0"/>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5400</w:t>
                  </w:r>
                </w:p>
              </w:tc>
              <w:tc>
                <w:tcPr>
                  <w:tcW w:w="1423" w:type="dxa"/>
                  <w:vAlign w:val="center"/>
                </w:tcPr>
                <w:p w14:paraId="345DAD25">
                  <w:pPr>
                    <w:pageBreakBefore w:val="0"/>
                    <w:wordWrap w:val="0"/>
                    <w:overflowPunct/>
                    <w:bidi w:val="0"/>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5400</w:t>
                  </w:r>
                </w:p>
              </w:tc>
              <w:tc>
                <w:tcPr>
                  <w:tcW w:w="1159" w:type="dxa"/>
                  <w:vAlign w:val="center"/>
                </w:tcPr>
                <w:p w14:paraId="634F89CB">
                  <w:pPr>
                    <w:pageBreakBefore w:val="0"/>
                    <w:wordWrap w:val="0"/>
                    <w:overflowPunct/>
                    <w:bidi w:val="0"/>
                    <w:spacing w:line="240" w:lineRule="auto"/>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r>
            <w:tr w14:paraId="43172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48" w:type="dxa"/>
                  <w:gridSpan w:val="7"/>
                  <w:vAlign w:val="center"/>
                </w:tcPr>
                <w:p w14:paraId="03033A89">
                  <w:pPr>
                    <w:pageBreakBefore w:val="0"/>
                    <w:wordWrap w:val="0"/>
                    <w:overflowPunct/>
                    <w:bidi w:val="0"/>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注：本项目租赁现有厂房进行生产</w:t>
                  </w:r>
                </w:p>
              </w:tc>
            </w:tr>
          </w:tbl>
          <w:p w14:paraId="36E0D21B">
            <w:pPr>
              <w:pStyle w:val="17"/>
              <w:pageBreakBefore w:val="0"/>
              <w:numPr>
                <w:ilvl w:val="0"/>
                <w:numId w:val="8"/>
              </w:numPr>
              <w:wordWrap w:val="0"/>
              <w:overflowPunct/>
              <w:bidi w:val="0"/>
              <w:spacing w:line="240" w:lineRule="auto"/>
              <w:ind w:left="0" w:leftChars="0" w:firstLine="4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 xml:space="preserve"> 工程组成一览表</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1508"/>
              <w:gridCol w:w="5215"/>
            </w:tblGrid>
            <w:tr w14:paraId="6F819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pct"/>
                  <w:vAlign w:val="center"/>
                </w:tcPr>
                <w:p w14:paraId="5AD495F1">
                  <w:pPr>
                    <w:pageBreakBefore w:val="0"/>
                    <w:wordWrap w:val="0"/>
                    <w:overflowPunct/>
                    <w:bidi w:val="0"/>
                    <w:adjustRightInd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项目类别</w:t>
                  </w:r>
                </w:p>
              </w:tc>
              <w:tc>
                <w:tcPr>
                  <w:tcW w:w="961" w:type="pct"/>
                  <w:vAlign w:val="center"/>
                </w:tcPr>
                <w:p w14:paraId="532A41F5">
                  <w:pPr>
                    <w:pageBreakBefore w:val="0"/>
                    <w:wordWrap w:val="0"/>
                    <w:overflowPunct/>
                    <w:bidi w:val="0"/>
                    <w:adjustRightInd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建设内容</w:t>
                  </w:r>
                </w:p>
              </w:tc>
              <w:tc>
                <w:tcPr>
                  <w:tcW w:w="3323" w:type="pct"/>
                  <w:vAlign w:val="center"/>
                </w:tcPr>
                <w:p w14:paraId="28CEA315">
                  <w:pPr>
                    <w:pageBreakBefore w:val="0"/>
                    <w:wordWrap w:val="0"/>
                    <w:overflowPunct/>
                    <w:bidi w:val="0"/>
                    <w:adjustRightInd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位置、用途、占地面积</w:t>
                  </w:r>
                </w:p>
              </w:tc>
            </w:tr>
            <w:tr w14:paraId="689AD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pct"/>
                  <w:vAlign w:val="center"/>
                </w:tcPr>
                <w:p w14:paraId="59BD3BB0">
                  <w:pPr>
                    <w:pageBreakBefore w:val="0"/>
                    <w:wordWrap w:val="0"/>
                    <w:overflowPunct/>
                    <w:bidi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主体工程</w:t>
                  </w:r>
                </w:p>
              </w:tc>
              <w:tc>
                <w:tcPr>
                  <w:tcW w:w="961" w:type="pct"/>
                  <w:vAlign w:val="center"/>
                </w:tcPr>
                <w:p w14:paraId="094AA99A">
                  <w:pPr>
                    <w:pStyle w:val="61"/>
                    <w:pageBreakBefore w:val="0"/>
                    <w:wordWrap w:val="0"/>
                    <w:overflowPunct/>
                    <w:bidi w:val="0"/>
                    <w:rPr>
                      <w:rFonts w:hint="eastAsia" w:ascii="Times New Roman" w:hAnsi="Times New Roman" w:eastAsia="宋体" w:cs="Times New Roman"/>
                      <w:color w:val="auto"/>
                      <w:position w:val="-10"/>
                      <w:sz w:val="21"/>
                      <w:szCs w:val="21"/>
                      <w:highlight w:val="none"/>
                      <w:lang w:val="en-US" w:eastAsia="zh-CN" w:bidi="ar-SA"/>
                    </w:rPr>
                  </w:pPr>
                  <w:r>
                    <w:rPr>
                      <w:rFonts w:hint="eastAsia" w:cs="Times New Roman"/>
                      <w:color w:val="auto"/>
                      <w:sz w:val="21"/>
                      <w:szCs w:val="21"/>
                      <w:highlight w:val="none"/>
                      <w:lang w:val="en-US" w:eastAsia="zh-CN"/>
                    </w:rPr>
                    <w:t>车间</w:t>
                  </w:r>
                </w:p>
              </w:tc>
              <w:tc>
                <w:tcPr>
                  <w:tcW w:w="3323" w:type="pct"/>
                  <w:vAlign w:val="center"/>
                </w:tcPr>
                <w:p w14:paraId="13D466D6">
                  <w:pPr>
                    <w:pageBreakBefore w:val="0"/>
                    <w:wordWrap w:val="0"/>
                    <w:overflowPunct/>
                    <w:bidi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厂房南侧设置开料、折弯和铆钉工序，东侧设置焊接、打磨，北侧设置前处理工序，西北侧设置喷粉末涂料工序，西侧设置喷漆工序</w:t>
                  </w:r>
                </w:p>
              </w:tc>
            </w:tr>
            <w:tr w14:paraId="555D0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15" w:type="pct"/>
                  <w:vAlign w:val="center"/>
                </w:tcPr>
                <w:p w14:paraId="635607A5">
                  <w:pPr>
                    <w:pageBreakBefore w:val="0"/>
                    <w:wordWrap w:val="0"/>
                    <w:overflowPunct/>
                    <w:bidi w:val="0"/>
                    <w:adjustRightIn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辅助工程</w:t>
                  </w:r>
                </w:p>
              </w:tc>
              <w:tc>
                <w:tcPr>
                  <w:tcW w:w="961" w:type="pct"/>
                  <w:vAlign w:val="center"/>
                </w:tcPr>
                <w:p w14:paraId="23CAC9CC">
                  <w:pPr>
                    <w:pageBreakBefore w:val="0"/>
                    <w:wordWrap w:val="0"/>
                    <w:overflowPunct/>
                    <w:bidi w:val="0"/>
                    <w:adjustRightIn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办公室</w:t>
                  </w:r>
                </w:p>
              </w:tc>
              <w:tc>
                <w:tcPr>
                  <w:tcW w:w="3323" w:type="pct"/>
                  <w:vAlign w:val="center"/>
                </w:tcPr>
                <w:p w14:paraId="0608E1A6">
                  <w:pPr>
                    <w:pageBreakBefore w:val="0"/>
                    <w:wordWrap w:val="0"/>
                    <w:overflowPunct/>
                    <w:bidi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行政办公、产品研发，位于车间西南区</w:t>
                  </w:r>
                </w:p>
              </w:tc>
            </w:tr>
            <w:tr w14:paraId="05CC2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pct"/>
                  <w:vAlign w:val="center"/>
                </w:tcPr>
                <w:p w14:paraId="54FD82C6">
                  <w:pPr>
                    <w:pageBreakBefore w:val="0"/>
                    <w:wordWrap w:val="0"/>
                    <w:overflowPunct/>
                    <w:bidi w:val="0"/>
                    <w:adjustRightIn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储运工程</w:t>
                  </w:r>
                </w:p>
              </w:tc>
              <w:tc>
                <w:tcPr>
                  <w:tcW w:w="961" w:type="pct"/>
                  <w:vAlign w:val="center"/>
                </w:tcPr>
                <w:p w14:paraId="3EDDB2BE">
                  <w:pPr>
                    <w:pageBreakBefore w:val="0"/>
                    <w:wordWrap w:val="0"/>
                    <w:overflowPunct/>
                    <w:bidi w:val="0"/>
                    <w:adjustRightInd w:val="0"/>
                    <w:spacing w:line="240" w:lineRule="auto"/>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仓库</w:t>
                  </w:r>
                </w:p>
              </w:tc>
              <w:tc>
                <w:tcPr>
                  <w:tcW w:w="3323" w:type="pct"/>
                  <w:vAlign w:val="center"/>
                </w:tcPr>
                <w:p w14:paraId="780F77AF">
                  <w:pPr>
                    <w:pageBreakBefore w:val="0"/>
                    <w:wordWrap w:val="0"/>
                    <w:overflowPunct/>
                    <w:bidi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用于储存加工物料、</w:t>
                  </w:r>
                  <w:r>
                    <w:rPr>
                      <w:rFonts w:hint="eastAsia" w:cs="Times New Roman"/>
                      <w:color w:val="auto"/>
                      <w:sz w:val="21"/>
                      <w:szCs w:val="21"/>
                      <w:highlight w:val="none"/>
                      <w:lang w:val="en-US" w:eastAsia="zh-CN"/>
                    </w:rPr>
                    <w:t>成</w:t>
                  </w:r>
                  <w:r>
                    <w:rPr>
                      <w:rFonts w:hint="default" w:ascii="Times New Roman" w:hAnsi="Times New Roman" w:cs="Times New Roman"/>
                      <w:color w:val="auto"/>
                      <w:sz w:val="21"/>
                      <w:szCs w:val="21"/>
                      <w:highlight w:val="none"/>
                    </w:rPr>
                    <w:t>品</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位于车间南区</w:t>
                  </w:r>
                </w:p>
              </w:tc>
            </w:tr>
            <w:tr w14:paraId="3387E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pct"/>
                  <w:vMerge w:val="restart"/>
                  <w:vAlign w:val="center"/>
                </w:tcPr>
                <w:p w14:paraId="2183608E">
                  <w:pPr>
                    <w:pageBreakBefore w:val="0"/>
                    <w:wordWrap w:val="0"/>
                    <w:overflowPunct/>
                    <w:bidi w:val="0"/>
                    <w:adjustRightIn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公用工程</w:t>
                  </w:r>
                </w:p>
              </w:tc>
              <w:tc>
                <w:tcPr>
                  <w:tcW w:w="961" w:type="pct"/>
                  <w:vAlign w:val="center"/>
                </w:tcPr>
                <w:p w14:paraId="4BADEAAF">
                  <w:pPr>
                    <w:pageBreakBefore w:val="0"/>
                    <w:wordWrap w:val="0"/>
                    <w:overflowPunct/>
                    <w:bidi w:val="0"/>
                    <w:adjustRightIn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供水系统</w:t>
                  </w:r>
                </w:p>
              </w:tc>
              <w:tc>
                <w:tcPr>
                  <w:tcW w:w="3323" w:type="pct"/>
                  <w:vAlign w:val="center"/>
                </w:tcPr>
                <w:p w14:paraId="08EC9220">
                  <w:pPr>
                    <w:pageBreakBefore w:val="0"/>
                    <w:wordWrap w:val="0"/>
                    <w:overflowPunct/>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由当地自来水管网供给</w:t>
                  </w:r>
                </w:p>
              </w:tc>
            </w:tr>
            <w:tr w14:paraId="2933C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pct"/>
                  <w:vMerge w:val="continue"/>
                  <w:vAlign w:val="center"/>
                </w:tcPr>
                <w:p w14:paraId="5BD82E67">
                  <w:pPr>
                    <w:pageBreakBefore w:val="0"/>
                    <w:wordWrap w:val="0"/>
                    <w:overflowPunct/>
                    <w:bidi w:val="0"/>
                    <w:adjustRightInd w:val="0"/>
                    <w:spacing w:line="240" w:lineRule="auto"/>
                    <w:jc w:val="center"/>
                    <w:rPr>
                      <w:rFonts w:hint="default" w:ascii="Times New Roman" w:hAnsi="Times New Roman" w:cs="Times New Roman"/>
                      <w:color w:val="auto"/>
                      <w:sz w:val="21"/>
                      <w:szCs w:val="21"/>
                      <w:highlight w:val="none"/>
                    </w:rPr>
                  </w:pPr>
                </w:p>
              </w:tc>
              <w:tc>
                <w:tcPr>
                  <w:tcW w:w="961" w:type="pct"/>
                  <w:vAlign w:val="center"/>
                </w:tcPr>
                <w:p w14:paraId="4D4B24D4">
                  <w:pPr>
                    <w:pageBreakBefore w:val="0"/>
                    <w:wordWrap w:val="0"/>
                    <w:overflowPunct/>
                    <w:bidi w:val="0"/>
                    <w:adjustRightInd w:val="0"/>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排水系统</w:t>
                  </w:r>
                </w:p>
              </w:tc>
              <w:tc>
                <w:tcPr>
                  <w:tcW w:w="3323" w:type="pct"/>
                  <w:vAlign w:val="center"/>
                </w:tcPr>
                <w:p w14:paraId="29ED2343">
                  <w:pPr>
                    <w:pageBreakBefore w:val="0"/>
                    <w:wordWrap w:val="0"/>
                    <w:overflowPunct/>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雨水：雨水经厂区雨水管网收集后，排入</w:t>
                  </w:r>
                  <w:r>
                    <w:rPr>
                      <w:rFonts w:hint="eastAsia" w:cs="Times New Roman"/>
                      <w:color w:val="auto"/>
                      <w:sz w:val="21"/>
                      <w:szCs w:val="21"/>
                      <w:highlight w:val="none"/>
                      <w:lang w:val="en-US" w:eastAsia="zh-CN"/>
                    </w:rPr>
                    <w:t>园区</w:t>
                  </w:r>
                  <w:r>
                    <w:rPr>
                      <w:rFonts w:hint="default" w:ascii="Times New Roman" w:hAnsi="Times New Roman" w:cs="Times New Roman"/>
                      <w:color w:val="auto"/>
                      <w:sz w:val="21"/>
                      <w:szCs w:val="21"/>
                      <w:highlight w:val="none"/>
                    </w:rPr>
                    <w:t>雨水管网；</w:t>
                  </w:r>
                </w:p>
                <w:p w14:paraId="02428B70">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生活污水：本项目生活污水，经三级化粪池预处理后，</w:t>
                  </w:r>
                  <w:r>
                    <w:rPr>
                      <w:rFonts w:hint="eastAsia" w:cs="Times New Roman"/>
                      <w:color w:val="auto"/>
                      <w:sz w:val="21"/>
                      <w:szCs w:val="21"/>
                      <w:highlight w:val="none"/>
                      <w:lang w:val="en-US" w:eastAsia="zh-CN"/>
                    </w:rPr>
                    <w:t>生产废水经自建污水处理厂处理后，两股废水</w:t>
                  </w:r>
                  <w:r>
                    <w:rPr>
                      <w:rFonts w:hint="default" w:ascii="Times New Roman" w:hAnsi="Times New Roman" w:cs="Times New Roman"/>
                      <w:color w:val="auto"/>
                      <w:sz w:val="21"/>
                      <w:szCs w:val="21"/>
                      <w:highlight w:val="none"/>
                      <w:lang w:eastAsia="zh-CN"/>
                    </w:rPr>
                    <w:t>一同</w:t>
                  </w:r>
                  <w:r>
                    <w:rPr>
                      <w:rFonts w:hint="default" w:ascii="Times New Roman" w:hAnsi="Times New Roman" w:cs="Times New Roman"/>
                      <w:color w:val="auto"/>
                      <w:sz w:val="21"/>
                      <w:szCs w:val="21"/>
                      <w:highlight w:val="none"/>
                    </w:rPr>
                    <w:t>排入园区污水处理厂进一步处理，达标后排放至武江</w:t>
                  </w:r>
                </w:p>
              </w:tc>
            </w:tr>
            <w:tr w14:paraId="10124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pct"/>
                  <w:vMerge w:val="continue"/>
                  <w:vAlign w:val="center"/>
                </w:tcPr>
                <w:p w14:paraId="010CA00C">
                  <w:pPr>
                    <w:pageBreakBefore w:val="0"/>
                    <w:wordWrap w:val="0"/>
                    <w:overflowPunct/>
                    <w:bidi w:val="0"/>
                    <w:adjustRightInd w:val="0"/>
                    <w:spacing w:line="240" w:lineRule="auto"/>
                    <w:jc w:val="center"/>
                    <w:rPr>
                      <w:rFonts w:hint="default" w:ascii="Times New Roman" w:hAnsi="Times New Roman" w:cs="Times New Roman"/>
                      <w:color w:val="auto"/>
                      <w:sz w:val="21"/>
                      <w:szCs w:val="21"/>
                      <w:highlight w:val="none"/>
                    </w:rPr>
                  </w:pPr>
                </w:p>
              </w:tc>
              <w:tc>
                <w:tcPr>
                  <w:tcW w:w="961" w:type="pct"/>
                  <w:vAlign w:val="center"/>
                </w:tcPr>
                <w:p w14:paraId="4433DE16">
                  <w:pPr>
                    <w:pageBreakBefore w:val="0"/>
                    <w:wordWrap w:val="0"/>
                    <w:overflowPunct/>
                    <w:bidi w:val="0"/>
                    <w:adjustRightIn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供电系统</w:t>
                  </w:r>
                </w:p>
              </w:tc>
              <w:tc>
                <w:tcPr>
                  <w:tcW w:w="3323" w:type="pct"/>
                  <w:vAlign w:val="center"/>
                </w:tcPr>
                <w:p w14:paraId="7E2446A0">
                  <w:pPr>
                    <w:pageBreakBefore w:val="0"/>
                    <w:wordWrap w:val="0"/>
                    <w:overflowPunct/>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由市政电网供给，不设备用发电机</w:t>
                  </w:r>
                </w:p>
              </w:tc>
            </w:tr>
            <w:tr w14:paraId="7AA60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15" w:type="pct"/>
                  <w:vMerge w:val="restart"/>
                  <w:vAlign w:val="center"/>
                </w:tcPr>
                <w:p w14:paraId="48E9C93F">
                  <w:pPr>
                    <w:pageBreakBefore w:val="0"/>
                    <w:wordWrap w:val="0"/>
                    <w:overflowPunct/>
                    <w:bidi w:val="0"/>
                    <w:adjustRightIn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环保工程</w:t>
                  </w:r>
                </w:p>
              </w:tc>
              <w:tc>
                <w:tcPr>
                  <w:tcW w:w="961" w:type="pct"/>
                  <w:vMerge w:val="restart"/>
                  <w:vAlign w:val="center"/>
                </w:tcPr>
                <w:p w14:paraId="1A911657">
                  <w:pPr>
                    <w:pageBreakBefore w:val="0"/>
                    <w:wordWrap w:val="0"/>
                    <w:overflowPunct/>
                    <w:bidi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废气</w:t>
                  </w:r>
                  <w:r>
                    <w:rPr>
                      <w:rFonts w:hint="default" w:ascii="Times New Roman" w:hAnsi="Times New Roman" w:cs="Times New Roman"/>
                      <w:color w:val="auto"/>
                      <w:sz w:val="21"/>
                      <w:szCs w:val="21"/>
                      <w:highlight w:val="none"/>
                      <w:lang w:eastAsia="zh-CN"/>
                    </w:rPr>
                    <w:t>处理设施</w:t>
                  </w:r>
                </w:p>
              </w:tc>
              <w:tc>
                <w:tcPr>
                  <w:tcW w:w="3323" w:type="pct"/>
                  <w:vAlign w:val="center"/>
                </w:tcPr>
                <w:p w14:paraId="5EEA47AE">
                  <w:pPr>
                    <w:pageBreakBefore w:val="0"/>
                    <w:wordWrap w:val="0"/>
                    <w:overflowPunct/>
                    <w:bidi w:val="0"/>
                    <w:adjustRightInd w:val="0"/>
                    <w:spacing w:line="240" w:lineRule="auto"/>
                    <w:jc w:val="left"/>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抛光</w:t>
                  </w:r>
                  <w:r>
                    <w:rPr>
                      <w:rFonts w:hint="eastAsia" w:ascii="Times New Roman" w:hAnsi="Times New Roman" w:eastAsia="宋体" w:cs="Times New Roman"/>
                      <w:color w:val="auto"/>
                      <w:kern w:val="2"/>
                      <w:sz w:val="21"/>
                      <w:szCs w:val="21"/>
                      <w:highlight w:val="none"/>
                      <w:lang w:val="en-US" w:eastAsia="zh-CN" w:bidi="ar-SA"/>
                    </w:rPr>
                    <w:t>打磨工序产生的粉尘</w:t>
                  </w:r>
                  <w:r>
                    <w:rPr>
                      <w:rFonts w:hint="eastAsia" w:cs="Times New Roman"/>
                      <w:color w:val="auto"/>
                      <w:kern w:val="2"/>
                      <w:sz w:val="21"/>
                      <w:szCs w:val="21"/>
                      <w:highlight w:val="none"/>
                      <w:lang w:val="en-US" w:eastAsia="zh-CN" w:bidi="ar-SA"/>
                    </w:rPr>
                    <w:t>经</w:t>
                  </w:r>
                  <w:r>
                    <w:rPr>
                      <w:rFonts w:hint="eastAsia" w:ascii="Times New Roman" w:hAnsi="Times New Roman" w:eastAsia="宋体" w:cs="Times New Roman"/>
                      <w:color w:val="auto"/>
                      <w:kern w:val="2"/>
                      <w:sz w:val="21"/>
                      <w:szCs w:val="21"/>
                      <w:highlight w:val="none"/>
                      <w:lang w:val="en-US" w:eastAsia="zh-CN" w:bidi="ar-SA"/>
                    </w:rPr>
                    <w:t>“布袋除尘器”</w:t>
                  </w:r>
                  <w:r>
                    <w:rPr>
                      <w:rFonts w:hint="eastAsia" w:cs="Times New Roman"/>
                      <w:color w:val="auto"/>
                      <w:kern w:val="2"/>
                      <w:sz w:val="21"/>
                      <w:szCs w:val="21"/>
                      <w:highlight w:val="none"/>
                      <w:lang w:val="en-US" w:eastAsia="zh-CN" w:bidi="ar-SA"/>
                    </w:rPr>
                    <w:t>处理达标后</w:t>
                  </w:r>
                  <w:r>
                    <w:rPr>
                      <w:rFonts w:hint="eastAsia" w:ascii="Times New Roman" w:hAnsi="Times New Roman" w:eastAsia="宋体" w:cs="Times New Roman"/>
                      <w:color w:val="auto"/>
                      <w:kern w:val="2"/>
                      <w:sz w:val="21"/>
                      <w:szCs w:val="21"/>
                      <w:highlight w:val="none"/>
                      <w:lang w:val="en-US" w:eastAsia="zh-CN" w:bidi="ar-SA"/>
                    </w:rPr>
                    <w:t>，</w:t>
                  </w:r>
                  <w:r>
                    <w:rPr>
                      <w:rFonts w:hint="eastAsia" w:cs="Times New Roman"/>
                      <w:color w:val="auto"/>
                      <w:kern w:val="2"/>
                      <w:sz w:val="21"/>
                      <w:szCs w:val="21"/>
                      <w:highlight w:val="none"/>
                      <w:lang w:val="en-US" w:eastAsia="zh-CN" w:bidi="ar-SA"/>
                    </w:rPr>
                    <w:t>由</w:t>
                  </w:r>
                  <w:r>
                    <w:rPr>
                      <w:rFonts w:hint="eastAsia" w:ascii="Times New Roman" w:hAnsi="Times New Roman" w:eastAsia="宋体" w:cs="Times New Roman"/>
                      <w:color w:val="auto"/>
                      <w:kern w:val="2"/>
                      <w:sz w:val="21"/>
                      <w:szCs w:val="21"/>
                      <w:highlight w:val="none"/>
                      <w:lang w:val="en-US" w:eastAsia="zh-CN" w:bidi="ar-SA"/>
                    </w:rPr>
                    <w:t>15m高排气筒DA00</w:t>
                  </w:r>
                  <w:r>
                    <w:rPr>
                      <w:rFonts w:hint="eastAsia" w:cs="Times New Roman"/>
                      <w:color w:val="auto"/>
                      <w:kern w:val="2"/>
                      <w:sz w:val="21"/>
                      <w:szCs w:val="21"/>
                      <w:highlight w:val="none"/>
                      <w:lang w:val="en-US" w:eastAsia="zh-CN" w:bidi="ar-SA"/>
                    </w:rPr>
                    <w:t>1高空排放</w:t>
                  </w:r>
                </w:p>
              </w:tc>
            </w:tr>
            <w:tr w14:paraId="4F4CA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15" w:type="pct"/>
                  <w:vMerge w:val="continue"/>
                  <w:vAlign w:val="center"/>
                </w:tcPr>
                <w:p w14:paraId="4C3AD952">
                  <w:pPr>
                    <w:pageBreakBefore w:val="0"/>
                    <w:wordWrap w:val="0"/>
                    <w:overflowPunct/>
                    <w:bidi w:val="0"/>
                    <w:adjustRightInd w:val="0"/>
                    <w:spacing w:line="240" w:lineRule="auto"/>
                    <w:jc w:val="center"/>
                    <w:rPr>
                      <w:rFonts w:hint="default" w:ascii="Times New Roman" w:hAnsi="Times New Roman" w:cs="Times New Roman"/>
                      <w:color w:val="auto"/>
                      <w:sz w:val="21"/>
                      <w:szCs w:val="21"/>
                      <w:highlight w:val="none"/>
                    </w:rPr>
                  </w:pPr>
                </w:p>
              </w:tc>
              <w:tc>
                <w:tcPr>
                  <w:tcW w:w="961" w:type="pct"/>
                  <w:vMerge w:val="continue"/>
                  <w:vAlign w:val="center"/>
                </w:tcPr>
                <w:p w14:paraId="06D76F60">
                  <w:pPr>
                    <w:pageBreakBefore w:val="0"/>
                    <w:wordWrap w:val="0"/>
                    <w:overflowPunct/>
                    <w:bidi w:val="0"/>
                    <w:adjustRightInd w:val="0"/>
                    <w:spacing w:line="240" w:lineRule="auto"/>
                    <w:jc w:val="center"/>
                    <w:rPr>
                      <w:rFonts w:hint="default" w:ascii="Times New Roman" w:hAnsi="Times New Roman" w:cs="Times New Roman"/>
                      <w:color w:val="auto"/>
                      <w:sz w:val="21"/>
                      <w:szCs w:val="21"/>
                      <w:highlight w:val="none"/>
                    </w:rPr>
                  </w:pPr>
                </w:p>
              </w:tc>
              <w:tc>
                <w:tcPr>
                  <w:tcW w:w="3323" w:type="pct"/>
                  <w:vAlign w:val="center"/>
                </w:tcPr>
                <w:p w14:paraId="2071356A">
                  <w:pPr>
                    <w:pageBreakBefore w:val="0"/>
                    <w:wordWrap w:val="0"/>
                    <w:overflowPunct/>
                    <w:bidi w:val="0"/>
                    <w:adjustRightInd w:val="0"/>
                    <w:spacing w:line="240" w:lineRule="auto"/>
                    <w:jc w:val="left"/>
                    <w:rPr>
                      <w:rFonts w:hint="eastAsia"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rPr>
                    <w:t>钢材</w:t>
                  </w:r>
                  <w:r>
                    <w:rPr>
                      <w:rFonts w:hint="default" w:ascii="Times New Roman" w:hAnsi="Times New Roman" w:eastAsia="宋体" w:cs="Times New Roman"/>
                      <w:i w:val="0"/>
                      <w:iCs w:val="0"/>
                      <w:color w:val="auto"/>
                      <w:kern w:val="0"/>
                      <w:sz w:val="21"/>
                      <w:szCs w:val="21"/>
                      <w:highlight w:val="none"/>
                      <w:u w:val="none"/>
                      <w:lang w:val="en-US" w:eastAsia="zh-CN"/>
                    </w:rPr>
                    <w:t>表面预处理生产线配备有烘水炉，采用天然气加热，产生的污染物主要有颗粒物、二氧化硫、氮氧化物，</w:t>
                  </w:r>
                  <w:r>
                    <w:rPr>
                      <w:rFonts w:hint="eastAsia" w:ascii="Times New Roman" w:hAnsi="Times New Roman" w:eastAsia="宋体" w:cs="Times New Roman"/>
                      <w:bCs/>
                      <w:color w:val="auto"/>
                      <w:sz w:val="21"/>
                      <w:szCs w:val="21"/>
                      <w:highlight w:val="none"/>
                      <w:lang w:val="en-US" w:eastAsia="zh-CN"/>
                    </w:rPr>
                    <w:t>经由风机引至DA002排气筒直排，</w:t>
                  </w:r>
                  <w:r>
                    <w:rPr>
                      <w:rFonts w:hint="default" w:ascii="Times New Roman" w:hAnsi="Times New Roman" w:eastAsia="宋体" w:cs="Times New Roman"/>
                      <w:i w:val="0"/>
                      <w:iCs w:val="0"/>
                      <w:color w:val="auto"/>
                      <w:kern w:val="0"/>
                      <w:sz w:val="21"/>
                      <w:szCs w:val="21"/>
                      <w:highlight w:val="none"/>
                      <w:u w:val="none"/>
                      <w:lang w:val="en-US" w:eastAsia="zh-CN"/>
                    </w:rPr>
                    <w:t>排放高度为15m</w:t>
                  </w:r>
                </w:p>
              </w:tc>
            </w:tr>
            <w:tr w14:paraId="5FEAD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15" w:type="pct"/>
                  <w:vMerge w:val="continue"/>
                  <w:vAlign w:val="center"/>
                </w:tcPr>
                <w:p w14:paraId="6F18D998">
                  <w:pPr>
                    <w:pageBreakBefore w:val="0"/>
                    <w:wordWrap w:val="0"/>
                    <w:overflowPunct/>
                    <w:bidi w:val="0"/>
                    <w:adjustRightInd w:val="0"/>
                    <w:spacing w:line="240" w:lineRule="auto"/>
                    <w:jc w:val="center"/>
                    <w:rPr>
                      <w:rFonts w:hint="default" w:ascii="Times New Roman" w:hAnsi="Times New Roman" w:cs="Times New Roman"/>
                      <w:color w:val="auto"/>
                      <w:sz w:val="21"/>
                      <w:szCs w:val="21"/>
                      <w:highlight w:val="none"/>
                    </w:rPr>
                  </w:pPr>
                </w:p>
              </w:tc>
              <w:tc>
                <w:tcPr>
                  <w:tcW w:w="961" w:type="pct"/>
                  <w:vMerge w:val="continue"/>
                  <w:vAlign w:val="center"/>
                </w:tcPr>
                <w:p w14:paraId="221150C1">
                  <w:pPr>
                    <w:pageBreakBefore w:val="0"/>
                    <w:wordWrap w:val="0"/>
                    <w:overflowPunct/>
                    <w:bidi w:val="0"/>
                    <w:adjustRightInd w:val="0"/>
                    <w:spacing w:line="240" w:lineRule="auto"/>
                    <w:jc w:val="center"/>
                    <w:rPr>
                      <w:rFonts w:hint="default" w:ascii="Times New Roman" w:hAnsi="Times New Roman" w:cs="Times New Roman"/>
                      <w:color w:val="auto"/>
                      <w:sz w:val="21"/>
                      <w:szCs w:val="21"/>
                      <w:highlight w:val="none"/>
                    </w:rPr>
                  </w:pPr>
                </w:p>
              </w:tc>
              <w:tc>
                <w:tcPr>
                  <w:tcW w:w="3323" w:type="pct"/>
                  <w:vAlign w:val="center"/>
                </w:tcPr>
                <w:p w14:paraId="66083ADD">
                  <w:pPr>
                    <w:pageBreakBefore w:val="0"/>
                    <w:wordWrap w:val="0"/>
                    <w:overflowPunct/>
                    <w:bidi w:val="0"/>
                    <w:adjustRightInd w:val="0"/>
                    <w:spacing w:line="240" w:lineRule="auto"/>
                    <w:jc w:val="left"/>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cs="Times New Roman"/>
                      <w:color w:val="auto"/>
                      <w:kern w:val="2"/>
                      <w:sz w:val="21"/>
                      <w:szCs w:val="21"/>
                      <w:highlight w:val="none"/>
                      <w:lang w:val="en-US" w:eastAsia="zh-CN" w:bidi="ar-SA"/>
                    </w:rPr>
                    <w:t>喷漆、丝印（含表面清洁）、固化废气经</w:t>
                  </w:r>
                  <w:r>
                    <w:rPr>
                      <w:rFonts w:hint="eastAsia" w:ascii="Times New Roman" w:hAnsi="Times New Roman" w:eastAsia="宋体" w:cs="Times New Roman"/>
                      <w:color w:val="auto"/>
                      <w:kern w:val="2"/>
                      <w:sz w:val="21"/>
                      <w:szCs w:val="21"/>
                      <w:highlight w:val="none"/>
                      <w:lang w:val="en-US" w:eastAsia="zh-CN" w:bidi="ar-SA"/>
                    </w:rPr>
                    <w:t>“喷淋+干式过滤器+二级活性炭吸附装置”</w:t>
                  </w:r>
                  <w:r>
                    <w:rPr>
                      <w:rFonts w:hint="eastAsia" w:cs="Times New Roman"/>
                      <w:color w:val="auto"/>
                      <w:kern w:val="2"/>
                      <w:sz w:val="21"/>
                      <w:szCs w:val="21"/>
                      <w:highlight w:val="none"/>
                      <w:lang w:val="en-US" w:eastAsia="zh-CN" w:bidi="ar-SA"/>
                    </w:rPr>
                    <w:t>处理达标后，由</w:t>
                  </w:r>
                  <w:r>
                    <w:rPr>
                      <w:rFonts w:hint="eastAsia" w:ascii="Times New Roman" w:hAnsi="Times New Roman" w:eastAsia="宋体" w:cs="Times New Roman"/>
                      <w:color w:val="auto"/>
                      <w:kern w:val="2"/>
                      <w:sz w:val="21"/>
                      <w:szCs w:val="21"/>
                      <w:highlight w:val="none"/>
                      <w:lang w:val="en-US" w:eastAsia="zh-CN" w:bidi="ar-SA"/>
                    </w:rPr>
                    <w:t>15m高排气筒DA00</w:t>
                  </w:r>
                  <w:r>
                    <w:rPr>
                      <w:rFonts w:hint="eastAsia" w:cs="Times New Roman"/>
                      <w:color w:val="auto"/>
                      <w:kern w:val="2"/>
                      <w:sz w:val="21"/>
                      <w:szCs w:val="21"/>
                      <w:highlight w:val="none"/>
                      <w:lang w:val="en-US" w:eastAsia="zh-CN" w:bidi="ar-SA"/>
                    </w:rPr>
                    <w:t>3排放</w:t>
                  </w:r>
                </w:p>
              </w:tc>
            </w:tr>
            <w:tr w14:paraId="6190D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15" w:type="pct"/>
                  <w:vMerge w:val="continue"/>
                  <w:vAlign w:val="center"/>
                </w:tcPr>
                <w:p w14:paraId="01F71E3A">
                  <w:pPr>
                    <w:pageBreakBefore w:val="0"/>
                    <w:wordWrap w:val="0"/>
                    <w:overflowPunct/>
                    <w:bidi w:val="0"/>
                    <w:adjustRightInd w:val="0"/>
                    <w:spacing w:line="240" w:lineRule="auto"/>
                    <w:jc w:val="center"/>
                    <w:rPr>
                      <w:rFonts w:hint="default" w:ascii="Times New Roman" w:hAnsi="Times New Roman" w:cs="Times New Roman"/>
                      <w:color w:val="auto"/>
                      <w:sz w:val="21"/>
                      <w:szCs w:val="21"/>
                      <w:highlight w:val="none"/>
                    </w:rPr>
                  </w:pPr>
                </w:p>
              </w:tc>
              <w:tc>
                <w:tcPr>
                  <w:tcW w:w="961" w:type="pct"/>
                  <w:vMerge w:val="continue"/>
                  <w:vAlign w:val="center"/>
                </w:tcPr>
                <w:p w14:paraId="10783F12">
                  <w:pPr>
                    <w:pageBreakBefore w:val="0"/>
                    <w:wordWrap w:val="0"/>
                    <w:overflowPunct/>
                    <w:bidi w:val="0"/>
                    <w:adjustRightInd w:val="0"/>
                    <w:spacing w:line="240" w:lineRule="auto"/>
                    <w:jc w:val="center"/>
                    <w:rPr>
                      <w:rFonts w:hint="default" w:ascii="Times New Roman" w:hAnsi="Times New Roman" w:cs="Times New Roman"/>
                      <w:color w:val="auto"/>
                      <w:sz w:val="21"/>
                      <w:szCs w:val="21"/>
                      <w:highlight w:val="none"/>
                    </w:rPr>
                  </w:pPr>
                </w:p>
              </w:tc>
              <w:tc>
                <w:tcPr>
                  <w:tcW w:w="3323" w:type="pct"/>
                  <w:vAlign w:val="center"/>
                </w:tcPr>
                <w:p w14:paraId="591AF8D6">
                  <w:pPr>
                    <w:pageBreakBefore w:val="0"/>
                    <w:wordWrap w:val="0"/>
                    <w:overflowPunct/>
                    <w:bidi w:val="0"/>
                    <w:adjustRightInd w:val="0"/>
                    <w:spacing w:line="240" w:lineRule="auto"/>
                    <w:jc w:val="left"/>
                    <w:rPr>
                      <w:rFonts w:hint="default"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切割粉尘、</w:t>
                  </w:r>
                  <w:r>
                    <w:rPr>
                      <w:rFonts w:hint="default" w:ascii="Times New Roman" w:hAnsi="Times New Roman" w:eastAsia="宋体" w:cs="Times New Roman"/>
                      <w:i w:val="0"/>
                      <w:iCs w:val="0"/>
                      <w:color w:val="auto"/>
                      <w:kern w:val="0"/>
                      <w:sz w:val="21"/>
                      <w:szCs w:val="21"/>
                      <w:highlight w:val="none"/>
                      <w:u w:val="none"/>
                      <w:lang w:val="en-US" w:eastAsia="zh-CN"/>
                    </w:rPr>
                    <w:t>焊接烟尘</w:t>
                  </w:r>
                  <w:r>
                    <w:rPr>
                      <w:rFonts w:hint="eastAsia" w:ascii="Times New Roman" w:hAnsi="Times New Roman" w:cs="Times New Roman"/>
                      <w:color w:val="auto"/>
                      <w:sz w:val="21"/>
                      <w:szCs w:val="21"/>
                      <w:highlight w:val="none"/>
                      <w:lang w:val="en-US" w:eastAsia="zh-CN"/>
                    </w:rPr>
                    <w:t>在车间无组织排放，经加强车间通风处理</w:t>
                  </w:r>
                  <w:r>
                    <w:rPr>
                      <w:rFonts w:hint="eastAsia" w:cs="Times New Roman"/>
                      <w:color w:val="auto"/>
                      <w:sz w:val="21"/>
                      <w:szCs w:val="21"/>
                      <w:highlight w:val="none"/>
                      <w:lang w:val="en-US" w:eastAsia="zh-CN"/>
                    </w:rPr>
                    <w:t>，喷粉粉尘经“密闭车间负压收集+大旋风+滤芯式二级回收系统”除尘后无组织排放</w:t>
                  </w:r>
                </w:p>
              </w:tc>
            </w:tr>
            <w:tr w14:paraId="403A7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pct"/>
                  <w:vMerge w:val="continue"/>
                  <w:vAlign w:val="center"/>
                </w:tcPr>
                <w:p w14:paraId="0CD299EA">
                  <w:pPr>
                    <w:pageBreakBefore w:val="0"/>
                    <w:wordWrap w:val="0"/>
                    <w:overflowPunct/>
                    <w:bidi w:val="0"/>
                    <w:adjustRightInd w:val="0"/>
                    <w:spacing w:line="240" w:lineRule="auto"/>
                    <w:jc w:val="center"/>
                    <w:rPr>
                      <w:rFonts w:hint="default" w:ascii="Times New Roman" w:hAnsi="Times New Roman" w:cs="Times New Roman"/>
                      <w:color w:val="auto"/>
                      <w:sz w:val="21"/>
                      <w:szCs w:val="21"/>
                      <w:highlight w:val="none"/>
                    </w:rPr>
                  </w:pPr>
                </w:p>
              </w:tc>
              <w:tc>
                <w:tcPr>
                  <w:tcW w:w="961" w:type="pct"/>
                  <w:vAlign w:val="center"/>
                </w:tcPr>
                <w:p w14:paraId="03443948">
                  <w:pPr>
                    <w:pageBreakBefore w:val="0"/>
                    <w:wordWrap w:val="0"/>
                    <w:overflowPunct/>
                    <w:bidi w:val="0"/>
                    <w:adjustRightIn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废水处理设施</w:t>
                  </w:r>
                </w:p>
              </w:tc>
              <w:tc>
                <w:tcPr>
                  <w:tcW w:w="3323" w:type="pct"/>
                  <w:vAlign w:val="center"/>
                </w:tcPr>
                <w:p w14:paraId="56803CFF">
                  <w:pPr>
                    <w:pageBreakBefore w:val="0"/>
                    <w:wordWrap w:val="0"/>
                    <w:overflowPunct/>
                    <w:bidi w:val="0"/>
                    <w:adjustRightInd w:val="0"/>
                    <w:spacing w:line="240" w:lineRule="auto"/>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rPr>
                    <w:t>生产废水</w:t>
                  </w:r>
                  <w:r>
                    <w:rPr>
                      <w:rFonts w:hint="eastAsia" w:cs="Times New Roman"/>
                      <w:i w:val="0"/>
                      <w:iCs w:val="0"/>
                      <w:color w:val="auto"/>
                      <w:kern w:val="0"/>
                      <w:sz w:val="21"/>
                      <w:szCs w:val="21"/>
                      <w:highlight w:val="none"/>
                      <w:u w:val="none"/>
                      <w:lang w:val="en-US" w:eastAsia="zh-CN"/>
                    </w:rPr>
                    <w:t>经</w:t>
                  </w:r>
                  <w:r>
                    <w:rPr>
                      <w:rFonts w:hint="default" w:ascii="Times New Roman" w:hAnsi="Times New Roman" w:eastAsia="宋体" w:cs="Times New Roman"/>
                      <w:i w:val="0"/>
                      <w:iCs w:val="0"/>
                      <w:color w:val="auto"/>
                      <w:kern w:val="0"/>
                      <w:sz w:val="21"/>
                      <w:szCs w:val="21"/>
                      <w:highlight w:val="none"/>
                      <w:u w:val="none"/>
                      <w:lang w:val="en-US" w:eastAsia="zh-CN"/>
                    </w:rPr>
                    <w:t>自建污水处理站</w:t>
                  </w:r>
                  <w:r>
                    <w:rPr>
                      <w:rFonts w:hint="eastAsia" w:cs="Times New Roman"/>
                      <w:i w:val="0"/>
                      <w:iCs w:val="0"/>
                      <w:color w:val="auto"/>
                      <w:kern w:val="0"/>
                      <w:sz w:val="21"/>
                      <w:szCs w:val="21"/>
                      <w:highlight w:val="none"/>
                      <w:u w:val="none"/>
                      <w:lang w:val="en-US" w:eastAsia="zh-CN"/>
                    </w:rPr>
                    <w:t>（处理工艺：中和调节+混凝沉淀+二级除磷+水解酸化+接触氧化+MBR膜池）</w:t>
                  </w:r>
                  <w:r>
                    <w:rPr>
                      <w:rFonts w:hint="default" w:ascii="Times New Roman" w:hAnsi="Times New Roman" w:eastAsia="宋体" w:cs="Times New Roman"/>
                      <w:i w:val="0"/>
                      <w:iCs w:val="0"/>
                      <w:color w:val="auto"/>
                      <w:kern w:val="0"/>
                      <w:sz w:val="21"/>
                      <w:szCs w:val="21"/>
                      <w:highlight w:val="none"/>
                      <w:u w:val="none"/>
                      <w:lang w:val="en-US" w:eastAsia="zh-CN"/>
                    </w:rPr>
                    <w:t>处理</w:t>
                  </w:r>
                  <w:r>
                    <w:rPr>
                      <w:rFonts w:hint="eastAsia" w:cs="Times New Roman"/>
                      <w:i w:val="0"/>
                      <w:iCs w:val="0"/>
                      <w:color w:val="auto"/>
                      <w:kern w:val="0"/>
                      <w:sz w:val="21"/>
                      <w:szCs w:val="21"/>
                      <w:highlight w:val="none"/>
                      <w:u w:val="none"/>
                      <w:lang w:val="en-US" w:eastAsia="zh-CN"/>
                    </w:rPr>
                    <w:t>后、</w:t>
                  </w:r>
                  <w:r>
                    <w:rPr>
                      <w:rFonts w:hint="default" w:ascii="Times New Roman" w:hAnsi="Times New Roman" w:eastAsia="宋体" w:cs="Times New Roman"/>
                      <w:i w:val="0"/>
                      <w:iCs w:val="0"/>
                      <w:color w:val="auto"/>
                      <w:kern w:val="0"/>
                      <w:sz w:val="21"/>
                      <w:szCs w:val="21"/>
                      <w:highlight w:val="none"/>
                      <w:u w:val="none"/>
                      <w:lang w:val="en-US" w:eastAsia="zh-CN"/>
                    </w:rPr>
                    <w:t>生活污水</w:t>
                  </w:r>
                  <w:r>
                    <w:rPr>
                      <w:rFonts w:hint="eastAsia" w:cs="Times New Roman"/>
                      <w:i w:val="0"/>
                      <w:iCs w:val="0"/>
                      <w:color w:val="auto"/>
                      <w:kern w:val="0"/>
                      <w:sz w:val="21"/>
                      <w:szCs w:val="21"/>
                      <w:highlight w:val="none"/>
                      <w:u w:val="none"/>
                      <w:lang w:val="en-US" w:eastAsia="zh-CN"/>
                    </w:rPr>
                    <w:t>经</w:t>
                  </w:r>
                  <w:r>
                    <w:rPr>
                      <w:rFonts w:hint="default" w:ascii="Times New Roman" w:hAnsi="Times New Roman" w:eastAsia="宋体" w:cs="Times New Roman"/>
                      <w:i w:val="0"/>
                      <w:iCs w:val="0"/>
                      <w:color w:val="auto"/>
                      <w:kern w:val="0"/>
                      <w:sz w:val="21"/>
                      <w:szCs w:val="21"/>
                      <w:highlight w:val="none"/>
                      <w:u w:val="none"/>
                      <w:lang w:val="en-US" w:eastAsia="zh-CN"/>
                    </w:rPr>
                    <w:t>“三级化粪池”预处理后排入园区污水处理厂进一步处理，处理达标后通过出水管道输送尾水，经废水排放口（WS-LC005001）排放至榴村霜降坑河，最终流入武江</w:t>
                  </w:r>
                </w:p>
              </w:tc>
            </w:tr>
            <w:tr w14:paraId="2A393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pct"/>
                  <w:vMerge w:val="continue"/>
                  <w:vAlign w:val="center"/>
                </w:tcPr>
                <w:p w14:paraId="2EF88DBF">
                  <w:pPr>
                    <w:pageBreakBefore w:val="0"/>
                    <w:wordWrap w:val="0"/>
                    <w:overflowPunct/>
                    <w:bidi w:val="0"/>
                    <w:adjustRightInd w:val="0"/>
                    <w:spacing w:line="240" w:lineRule="auto"/>
                    <w:jc w:val="center"/>
                    <w:rPr>
                      <w:rFonts w:hint="default" w:ascii="Times New Roman" w:hAnsi="Times New Roman" w:cs="Times New Roman"/>
                      <w:color w:val="auto"/>
                      <w:sz w:val="21"/>
                      <w:szCs w:val="21"/>
                      <w:highlight w:val="none"/>
                    </w:rPr>
                  </w:pPr>
                </w:p>
              </w:tc>
              <w:tc>
                <w:tcPr>
                  <w:tcW w:w="961" w:type="pct"/>
                  <w:vAlign w:val="center"/>
                </w:tcPr>
                <w:p w14:paraId="7FA0B50D">
                  <w:pPr>
                    <w:pageBreakBefore w:val="0"/>
                    <w:wordWrap w:val="0"/>
                    <w:overflowPunct/>
                    <w:bidi w:val="0"/>
                    <w:adjustRightInd w:val="0"/>
                    <w:spacing w:line="240" w:lineRule="auto"/>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噪声防治措施</w:t>
                  </w:r>
                </w:p>
              </w:tc>
              <w:tc>
                <w:tcPr>
                  <w:tcW w:w="3323" w:type="pct"/>
                  <w:vAlign w:val="center"/>
                </w:tcPr>
                <w:p w14:paraId="1CFC64CB">
                  <w:pPr>
                    <w:pageBreakBefore w:val="0"/>
                    <w:wordWrap w:val="0"/>
                    <w:overflowPunct/>
                    <w:bidi w:val="0"/>
                    <w:adjustRightIn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减振、隔声</w:t>
                  </w:r>
                </w:p>
              </w:tc>
            </w:tr>
            <w:tr w14:paraId="4A4D6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pct"/>
                  <w:vMerge w:val="continue"/>
                  <w:vAlign w:val="center"/>
                </w:tcPr>
                <w:p w14:paraId="2BA714EA">
                  <w:pPr>
                    <w:pageBreakBefore w:val="0"/>
                    <w:wordWrap w:val="0"/>
                    <w:overflowPunct/>
                    <w:bidi w:val="0"/>
                    <w:adjustRightInd w:val="0"/>
                    <w:spacing w:line="240" w:lineRule="auto"/>
                    <w:jc w:val="center"/>
                    <w:rPr>
                      <w:rFonts w:hint="default" w:ascii="Times New Roman" w:hAnsi="Times New Roman" w:cs="Times New Roman"/>
                      <w:color w:val="auto"/>
                      <w:sz w:val="21"/>
                      <w:szCs w:val="21"/>
                      <w:highlight w:val="none"/>
                    </w:rPr>
                  </w:pPr>
                </w:p>
              </w:tc>
              <w:tc>
                <w:tcPr>
                  <w:tcW w:w="961" w:type="pct"/>
                  <w:shd w:val="clear" w:color="auto" w:fill="auto"/>
                  <w:vAlign w:val="center"/>
                </w:tcPr>
                <w:p w14:paraId="73CA1275">
                  <w:pPr>
                    <w:pageBreakBefore w:val="0"/>
                    <w:wordWrap w:val="0"/>
                    <w:overflowPunct/>
                    <w:bidi w:val="0"/>
                    <w:adjustRightIn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固废</w:t>
                  </w:r>
                  <w:r>
                    <w:rPr>
                      <w:rFonts w:hint="default" w:ascii="Times New Roman" w:hAnsi="Times New Roman" w:cs="Times New Roman"/>
                      <w:color w:val="auto"/>
                      <w:sz w:val="21"/>
                      <w:szCs w:val="21"/>
                      <w:highlight w:val="none"/>
                      <w:lang w:eastAsia="zh-CN"/>
                    </w:rPr>
                    <w:t>污染防治措施</w:t>
                  </w:r>
                </w:p>
              </w:tc>
              <w:tc>
                <w:tcPr>
                  <w:tcW w:w="3323" w:type="pct"/>
                  <w:shd w:val="clear" w:color="auto" w:fill="auto"/>
                  <w:vAlign w:val="center"/>
                </w:tcPr>
                <w:p w14:paraId="1CE2B7A0">
                  <w:pPr>
                    <w:pageBreakBefore w:val="0"/>
                    <w:wordWrap w:val="0"/>
                    <w:overflowPunct/>
                    <w:bidi w:val="0"/>
                    <w:adjustRightInd w:val="0"/>
                    <w:spacing w:line="240" w:lineRule="auto"/>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危险废物暂存间建筑面积</w:t>
                  </w:r>
                  <w:r>
                    <w:rPr>
                      <w:rFonts w:hint="eastAsia" w:cs="Times New Roman"/>
                      <w:color w:val="auto"/>
                      <w:sz w:val="21"/>
                      <w:szCs w:val="21"/>
                      <w:highlight w:val="none"/>
                      <w:lang w:val="en-US" w:eastAsia="zh-CN"/>
                    </w:rPr>
                    <w:t>30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，设置于</w:t>
                  </w:r>
                  <w:r>
                    <w:rPr>
                      <w:rFonts w:hint="eastAsia" w:cs="Times New Roman"/>
                      <w:color w:val="auto"/>
                      <w:sz w:val="21"/>
                      <w:szCs w:val="21"/>
                      <w:highlight w:val="none"/>
                      <w:lang w:val="en-US" w:eastAsia="zh-CN"/>
                    </w:rPr>
                    <w:t>厂房东北部</w:t>
                  </w:r>
                  <w:r>
                    <w:rPr>
                      <w:rFonts w:hint="default" w:ascii="Times New Roman" w:hAnsi="Times New Roman" w:cs="Times New Roman"/>
                      <w:color w:val="auto"/>
                      <w:sz w:val="21"/>
                      <w:szCs w:val="21"/>
                      <w:highlight w:val="none"/>
                    </w:rPr>
                    <w:t>，用于危险废物存放；</w:t>
                  </w:r>
                </w:p>
                <w:p w14:paraId="153C4D74">
                  <w:pPr>
                    <w:pageBreakBefore w:val="0"/>
                    <w:wordWrap w:val="0"/>
                    <w:overflowPunct/>
                    <w:bidi w:val="0"/>
                    <w:adjustRightInd w:val="0"/>
                    <w:spacing w:line="240" w:lineRule="auto"/>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一般固体废物暂存间占地面积</w:t>
                  </w:r>
                  <w:r>
                    <w:rPr>
                      <w:rFonts w:hint="eastAsia" w:cs="Times New Roman"/>
                      <w:color w:val="auto"/>
                      <w:sz w:val="21"/>
                      <w:szCs w:val="21"/>
                      <w:highlight w:val="none"/>
                      <w:lang w:val="en-US" w:eastAsia="zh-CN"/>
                    </w:rPr>
                    <w:t>30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，设置于</w:t>
                  </w:r>
                  <w:r>
                    <w:rPr>
                      <w:rFonts w:hint="eastAsia" w:cs="Times New Roman"/>
                      <w:color w:val="auto"/>
                      <w:sz w:val="21"/>
                      <w:szCs w:val="21"/>
                      <w:highlight w:val="none"/>
                      <w:lang w:val="en-US" w:eastAsia="zh-CN"/>
                    </w:rPr>
                    <w:t>厂房西侧</w:t>
                  </w:r>
                  <w:r>
                    <w:rPr>
                      <w:rFonts w:hint="default" w:ascii="Times New Roman" w:hAnsi="Times New Roman" w:cs="Times New Roman"/>
                      <w:color w:val="auto"/>
                      <w:sz w:val="21"/>
                      <w:szCs w:val="21"/>
                      <w:highlight w:val="none"/>
                    </w:rPr>
                    <w:t>，用于一般固废暂存</w:t>
                  </w:r>
                  <w:r>
                    <w:rPr>
                      <w:rFonts w:hint="eastAsia"/>
                      <w:color w:val="auto"/>
                      <w:highlight w:val="none"/>
                      <w:lang w:eastAsia="zh-CN"/>
                    </w:rPr>
                    <w:t>。</w:t>
                  </w:r>
                </w:p>
              </w:tc>
            </w:tr>
            <w:tr w14:paraId="4F0B7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5" w:type="pct"/>
                  <w:vMerge w:val="continue"/>
                  <w:vAlign w:val="center"/>
                </w:tcPr>
                <w:p w14:paraId="199EC5C9">
                  <w:pPr>
                    <w:pageBreakBefore w:val="0"/>
                    <w:wordWrap w:val="0"/>
                    <w:overflowPunct/>
                    <w:bidi w:val="0"/>
                    <w:adjustRightInd w:val="0"/>
                    <w:spacing w:line="240" w:lineRule="auto"/>
                    <w:jc w:val="center"/>
                    <w:rPr>
                      <w:rFonts w:hint="default" w:ascii="Times New Roman" w:hAnsi="Times New Roman" w:cs="Times New Roman"/>
                      <w:color w:val="auto"/>
                      <w:sz w:val="21"/>
                      <w:szCs w:val="21"/>
                      <w:highlight w:val="none"/>
                    </w:rPr>
                  </w:pPr>
                </w:p>
              </w:tc>
              <w:tc>
                <w:tcPr>
                  <w:tcW w:w="961" w:type="pct"/>
                  <w:vAlign w:val="center"/>
                </w:tcPr>
                <w:p w14:paraId="13A53A96">
                  <w:pPr>
                    <w:pageBreakBefore w:val="0"/>
                    <w:wordWrap w:val="0"/>
                    <w:overflowPunct/>
                    <w:bidi w:val="0"/>
                    <w:adjustRightIn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风险防范措施</w:t>
                  </w:r>
                </w:p>
              </w:tc>
              <w:tc>
                <w:tcPr>
                  <w:tcW w:w="3323" w:type="pct"/>
                  <w:vAlign w:val="center"/>
                </w:tcPr>
                <w:p w14:paraId="46A212C8">
                  <w:pPr>
                    <w:pageBreakBefore w:val="0"/>
                    <w:wordWrap w:val="0"/>
                    <w:overflowPunct/>
                    <w:bidi w:val="0"/>
                    <w:adjustRightInd w:val="0"/>
                    <w:spacing w:line="240" w:lineRule="auto"/>
                    <w:jc w:val="left"/>
                    <w:rPr>
                      <w:rFonts w:hint="eastAsia"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rPr>
                    <w:t>本项目设置</w:t>
                  </w:r>
                  <w:r>
                    <w:rPr>
                      <w:rFonts w:hint="default" w:ascii="Times New Roman" w:hAnsi="Times New Roman" w:cs="Times New Roman"/>
                      <w:b w:val="0"/>
                      <w:bCs w:val="0"/>
                      <w:color w:val="auto"/>
                      <w:sz w:val="21"/>
                      <w:szCs w:val="21"/>
                      <w:highlight w:val="none"/>
                    </w:rPr>
                    <w:t>1个有效容积为</w:t>
                  </w:r>
                  <w:r>
                    <w:rPr>
                      <w:rFonts w:hint="eastAsia" w:cs="Times New Roman"/>
                      <w:b w:val="0"/>
                      <w:bCs w:val="0"/>
                      <w:color w:val="auto"/>
                      <w:sz w:val="21"/>
                      <w:szCs w:val="21"/>
                      <w:highlight w:val="none"/>
                      <w:lang w:val="en-US" w:eastAsia="zh-CN"/>
                    </w:rPr>
                    <w:t>10</w:t>
                  </w:r>
                  <w:r>
                    <w:rPr>
                      <w:rFonts w:hint="default" w:ascii="Times New Roman" w:hAnsi="Times New Roman" w:cs="Times New Roman"/>
                      <w:b w:val="0"/>
                      <w:bCs w:val="0"/>
                      <w:color w:val="auto"/>
                      <w:sz w:val="21"/>
                      <w:szCs w:val="21"/>
                      <w:highlight w:val="none"/>
                      <w:lang w:val="en-US" w:eastAsia="zh-CN"/>
                    </w:rPr>
                    <w:t>0</w:t>
                  </w:r>
                  <w:r>
                    <w:rPr>
                      <w:rFonts w:hint="default" w:ascii="Times New Roman" w:hAnsi="Times New Roman" w:cs="Times New Roman"/>
                      <w:b w:val="0"/>
                      <w:bCs w:val="0"/>
                      <w:color w:val="auto"/>
                      <w:sz w:val="21"/>
                      <w:szCs w:val="21"/>
                      <w:highlight w:val="none"/>
                    </w:rPr>
                    <w:t>m</w:t>
                  </w:r>
                  <w:r>
                    <w:rPr>
                      <w:rFonts w:hint="default" w:ascii="Times New Roman" w:hAnsi="Times New Roman" w:cs="Times New Roman"/>
                      <w:b w:val="0"/>
                      <w:bCs w:val="0"/>
                      <w:color w:val="auto"/>
                      <w:sz w:val="21"/>
                      <w:szCs w:val="21"/>
                      <w:highlight w:val="none"/>
                      <w:vertAlign w:val="superscript"/>
                    </w:rPr>
                    <w:t>3</w:t>
                  </w:r>
                  <w:r>
                    <w:rPr>
                      <w:rFonts w:hint="default" w:ascii="Times New Roman" w:hAnsi="Times New Roman" w:cs="Times New Roman"/>
                      <w:b w:val="0"/>
                      <w:bCs w:val="0"/>
                      <w:color w:val="auto"/>
                      <w:sz w:val="21"/>
                      <w:szCs w:val="21"/>
                      <w:highlight w:val="none"/>
                    </w:rPr>
                    <w:t>的事故应急池</w:t>
                  </w:r>
                  <w:r>
                    <w:rPr>
                      <w:rFonts w:hint="eastAsia" w:ascii="Times New Roman" w:hAnsi="Times New Roman" w:cs="Times New Roman"/>
                      <w:b w:val="0"/>
                      <w:bCs w:val="0"/>
                      <w:color w:val="auto"/>
                      <w:sz w:val="21"/>
                      <w:szCs w:val="21"/>
                      <w:highlight w:val="none"/>
                      <w:lang w:eastAsia="zh-CN"/>
                    </w:rPr>
                    <w:t>，</w:t>
                  </w:r>
                  <w:r>
                    <w:rPr>
                      <w:rFonts w:hint="eastAsia" w:ascii="Times New Roman" w:hAnsi="Times New Roman" w:cs="Times New Roman"/>
                      <w:b w:val="0"/>
                      <w:bCs w:val="0"/>
                      <w:color w:val="auto"/>
                      <w:sz w:val="21"/>
                      <w:szCs w:val="21"/>
                      <w:highlight w:val="none"/>
                      <w:lang w:val="en-US" w:eastAsia="zh-CN"/>
                    </w:rPr>
                    <w:t>用于满足消防或其他事故时废水收集需要</w:t>
                  </w:r>
                </w:p>
              </w:tc>
            </w:tr>
          </w:tbl>
          <w:p w14:paraId="58D82245">
            <w:pPr>
              <w:pStyle w:val="10"/>
              <w:pageBreakBefore w:val="0"/>
              <w:numPr>
                <w:ilvl w:val="3"/>
                <w:numId w:val="0"/>
              </w:numPr>
              <w:wordWrap w:val="0"/>
              <w:overflowPunct/>
              <w:bidi w:val="0"/>
              <w:ind w:left="-960" w:firstLine="1440"/>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t>2、</w:t>
            </w:r>
            <w:r>
              <w:rPr>
                <w:rFonts w:hint="default" w:ascii="Times New Roman" w:hAnsi="Times New Roman" w:cs="Times New Roman"/>
                <w:color w:val="auto"/>
                <w:highlight w:val="none"/>
              </w:rPr>
              <w:t>产品方案</w:t>
            </w:r>
          </w:p>
          <w:p w14:paraId="38D0903B">
            <w:pPr>
              <w:pageBreakBefore w:val="0"/>
              <w:tabs>
                <w:tab w:val="left" w:pos="6960"/>
              </w:tabs>
              <w:wordWrap w:val="0"/>
              <w:overflowPunct/>
              <w:bidi w:val="0"/>
              <w:ind w:firstLine="480" w:firstLineChars="200"/>
              <w:rPr>
                <w:rFonts w:hint="eastAsia" w:cs="Times New Roman"/>
                <w:b/>
                <w:bCs/>
                <w:color w:val="auto"/>
                <w:highlight w:val="none"/>
                <w:lang w:val="en-US" w:eastAsia="zh-CN"/>
              </w:rPr>
            </w:pPr>
            <w:r>
              <w:rPr>
                <w:rFonts w:hint="eastAsia" w:cs="Times New Roman"/>
                <w:b/>
                <w:bCs/>
                <w:color w:val="auto"/>
                <w:highlight w:val="none"/>
                <w:lang w:eastAsia="zh-CN"/>
              </w:rPr>
              <w:t>（</w:t>
            </w:r>
            <w:r>
              <w:rPr>
                <w:rFonts w:hint="eastAsia" w:cs="Times New Roman"/>
                <w:b/>
                <w:bCs/>
                <w:color w:val="auto"/>
                <w:highlight w:val="none"/>
                <w:lang w:val="en-US" w:eastAsia="zh-CN"/>
              </w:rPr>
              <w:t>1</w:t>
            </w:r>
            <w:r>
              <w:rPr>
                <w:rFonts w:hint="eastAsia" w:cs="Times New Roman"/>
                <w:b/>
                <w:bCs/>
                <w:color w:val="auto"/>
                <w:highlight w:val="none"/>
                <w:lang w:eastAsia="zh-CN"/>
              </w:rPr>
              <w:t>）</w:t>
            </w:r>
            <w:r>
              <w:rPr>
                <w:rFonts w:hint="eastAsia" w:cs="Times New Roman"/>
                <w:b/>
                <w:bCs/>
                <w:color w:val="auto"/>
                <w:highlight w:val="none"/>
                <w:lang w:val="en-US" w:eastAsia="zh-CN"/>
              </w:rPr>
              <w:t>产品方案</w:t>
            </w:r>
          </w:p>
          <w:p w14:paraId="4A1CFCF7">
            <w:pPr>
              <w:pageBreakBefore w:val="0"/>
              <w:tabs>
                <w:tab w:val="left" w:pos="6960"/>
              </w:tabs>
              <w:wordWrap w:val="0"/>
              <w:overflowPunct/>
              <w:bidi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本项目生产产品见下表。</w:t>
            </w:r>
          </w:p>
          <w:p w14:paraId="78F2C453">
            <w:pPr>
              <w:pStyle w:val="17"/>
              <w:pageBreakBefore w:val="0"/>
              <w:numPr>
                <w:ilvl w:val="0"/>
                <w:numId w:val="8"/>
              </w:numPr>
              <w:wordWrap w:val="0"/>
              <w:overflowPunct/>
              <w:bidi w:val="0"/>
              <w:spacing w:line="240" w:lineRule="auto"/>
              <w:ind w:left="0" w:leftChars="0" w:firstLine="40" w:firstLineChars="0"/>
              <w:rPr>
                <w:rFonts w:hint="default" w:ascii="Times New Roman" w:hAnsi="Times New Roman" w:cs="Times New Roman"/>
                <w:b/>
                <w:color w:val="auto"/>
                <w:sz w:val="21"/>
                <w:szCs w:val="21"/>
                <w:highlight w:val="none"/>
              </w:rPr>
            </w:pPr>
            <w:r>
              <w:rPr>
                <w:rFonts w:hint="eastAsia" w:cs="Times New Roman"/>
                <w:b/>
                <w:color w:val="auto"/>
                <w:sz w:val="21"/>
                <w:szCs w:val="21"/>
                <w:highlight w:val="none"/>
                <w:lang w:val="en-US" w:eastAsia="zh-CN"/>
              </w:rPr>
              <w:t xml:space="preserve"> </w:t>
            </w:r>
            <w:r>
              <w:rPr>
                <w:rFonts w:hint="default" w:ascii="Times New Roman" w:hAnsi="Times New Roman" w:cs="Times New Roman"/>
                <w:b/>
                <w:color w:val="auto"/>
                <w:sz w:val="21"/>
                <w:szCs w:val="21"/>
                <w:highlight w:val="none"/>
              </w:rPr>
              <w:t>产品产量一览表</w:t>
            </w:r>
          </w:p>
          <w:tbl>
            <w:tblPr>
              <w:tblStyle w:val="43"/>
              <w:tblW w:w="5010" w:type="pct"/>
              <w:jc w:val="center"/>
              <w:tblLayout w:type="fixed"/>
              <w:tblCellMar>
                <w:top w:w="0" w:type="dxa"/>
                <w:left w:w="57" w:type="dxa"/>
                <w:bottom w:w="0" w:type="dxa"/>
                <w:right w:w="57" w:type="dxa"/>
              </w:tblCellMar>
            </w:tblPr>
            <w:tblGrid>
              <w:gridCol w:w="545"/>
              <w:gridCol w:w="1810"/>
              <w:gridCol w:w="1334"/>
              <w:gridCol w:w="4185"/>
            </w:tblGrid>
            <w:tr w14:paraId="539E6C70">
              <w:tblPrEx>
                <w:tblCellMar>
                  <w:top w:w="0" w:type="dxa"/>
                  <w:left w:w="57" w:type="dxa"/>
                  <w:bottom w:w="0" w:type="dxa"/>
                  <w:right w:w="57" w:type="dxa"/>
                </w:tblCellMar>
              </w:tblPrEx>
              <w:trPr>
                <w:cantSplit/>
                <w:trHeight w:val="397" w:hRule="atLeast"/>
                <w:jc w:val="center"/>
              </w:trPr>
              <w:tc>
                <w:tcPr>
                  <w:tcW w:w="346" w:type="pct"/>
                  <w:tcBorders>
                    <w:top w:val="single" w:color="auto" w:sz="6" w:space="0"/>
                    <w:left w:val="single" w:color="auto" w:sz="6" w:space="0"/>
                    <w:bottom w:val="single" w:color="auto" w:sz="6" w:space="0"/>
                    <w:right w:val="single" w:color="auto" w:sz="6" w:space="0"/>
                  </w:tcBorders>
                  <w:vAlign w:val="center"/>
                </w:tcPr>
                <w:p w14:paraId="5505DBC0">
                  <w:pPr>
                    <w:pageBreakBefore w:val="0"/>
                    <w:wordWrap w:val="0"/>
                    <w:overflowPunct/>
                    <w:bidi w:val="0"/>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序号</w:t>
                  </w:r>
                </w:p>
              </w:tc>
              <w:tc>
                <w:tcPr>
                  <w:tcW w:w="1149" w:type="pct"/>
                  <w:tcBorders>
                    <w:top w:val="single" w:color="auto" w:sz="6" w:space="0"/>
                    <w:left w:val="nil"/>
                    <w:bottom w:val="single" w:color="auto" w:sz="6" w:space="0"/>
                    <w:right w:val="single" w:color="auto" w:sz="6" w:space="0"/>
                  </w:tcBorders>
                  <w:vAlign w:val="center"/>
                </w:tcPr>
                <w:p w14:paraId="686DEC49">
                  <w:pPr>
                    <w:pageBreakBefore w:val="0"/>
                    <w:wordWrap w:val="0"/>
                    <w:overflowPunct/>
                    <w:bidi w:val="0"/>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产品名称</w:t>
                  </w:r>
                </w:p>
              </w:tc>
              <w:tc>
                <w:tcPr>
                  <w:tcW w:w="847" w:type="pct"/>
                  <w:tcBorders>
                    <w:top w:val="single" w:color="auto" w:sz="6" w:space="0"/>
                    <w:left w:val="nil"/>
                    <w:bottom w:val="single" w:color="auto" w:sz="6" w:space="0"/>
                    <w:right w:val="single" w:color="auto" w:sz="4" w:space="0"/>
                  </w:tcBorders>
                  <w:vAlign w:val="center"/>
                </w:tcPr>
                <w:p w14:paraId="14D43299">
                  <w:pPr>
                    <w:pageBreakBefore w:val="0"/>
                    <w:wordWrap w:val="0"/>
                    <w:overflowPunct/>
                    <w:bidi w:val="0"/>
                    <w:spacing w:line="240" w:lineRule="auto"/>
                    <w:jc w:val="center"/>
                    <w:rPr>
                      <w:rFonts w:hint="eastAsia" w:ascii="Times New Roman" w:hAnsi="Times New Roman" w:eastAsia="宋体" w:cs="Times New Roman"/>
                      <w:b/>
                      <w:color w:val="auto"/>
                      <w:sz w:val="21"/>
                      <w:szCs w:val="21"/>
                      <w:highlight w:val="none"/>
                      <w:lang w:eastAsia="zh-CN"/>
                    </w:rPr>
                  </w:pPr>
                  <w:r>
                    <w:rPr>
                      <w:rFonts w:hint="eastAsia" w:cs="Times New Roman"/>
                      <w:b/>
                      <w:color w:val="auto"/>
                      <w:sz w:val="21"/>
                      <w:szCs w:val="21"/>
                      <w:highlight w:val="none"/>
                      <w:lang w:val="en-US" w:eastAsia="zh-CN"/>
                    </w:rPr>
                    <w:t>设计</w:t>
                  </w:r>
                  <w:r>
                    <w:rPr>
                      <w:rFonts w:hint="default" w:ascii="Times New Roman" w:hAnsi="Times New Roman" w:cs="Times New Roman"/>
                      <w:b/>
                      <w:color w:val="auto"/>
                      <w:sz w:val="21"/>
                      <w:szCs w:val="21"/>
                      <w:highlight w:val="none"/>
                    </w:rPr>
                    <w:t>年</w:t>
                  </w:r>
                  <w:r>
                    <w:rPr>
                      <w:rFonts w:hint="default" w:ascii="Times New Roman" w:hAnsi="Times New Roman" w:cs="Times New Roman"/>
                      <w:b/>
                      <w:color w:val="auto"/>
                      <w:sz w:val="21"/>
                      <w:szCs w:val="21"/>
                      <w:highlight w:val="none"/>
                      <w:lang w:val="en-US" w:eastAsia="zh-CN"/>
                    </w:rPr>
                    <w:t>产</w:t>
                  </w:r>
                  <w:r>
                    <w:rPr>
                      <w:rFonts w:hint="default" w:ascii="Times New Roman" w:hAnsi="Times New Roman" w:cs="Times New Roman"/>
                      <w:b/>
                      <w:color w:val="auto"/>
                      <w:sz w:val="21"/>
                      <w:szCs w:val="21"/>
                      <w:highlight w:val="none"/>
                    </w:rPr>
                    <w:t>量</w:t>
                  </w:r>
                </w:p>
              </w:tc>
              <w:tc>
                <w:tcPr>
                  <w:tcW w:w="2657" w:type="pct"/>
                  <w:tcBorders>
                    <w:top w:val="single" w:color="auto" w:sz="6" w:space="0"/>
                    <w:left w:val="nil"/>
                    <w:bottom w:val="single" w:color="auto" w:sz="6" w:space="0"/>
                    <w:right w:val="single" w:color="auto" w:sz="4" w:space="0"/>
                  </w:tcBorders>
                  <w:vAlign w:val="center"/>
                </w:tcPr>
                <w:p w14:paraId="378ABA89">
                  <w:pPr>
                    <w:pageBreakBefore w:val="0"/>
                    <w:wordWrap w:val="0"/>
                    <w:overflowPunct/>
                    <w:bidi w:val="0"/>
                    <w:spacing w:line="240" w:lineRule="auto"/>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备注</w:t>
                  </w:r>
                </w:p>
              </w:tc>
            </w:tr>
            <w:tr w14:paraId="6744320E">
              <w:tblPrEx>
                <w:tblCellMar>
                  <w:top w:w="0" w:type="dxa"/>
                  <w:left w:w="57" w:type="dxa"/>
                  <w:bottom w:w="0" w:type="dxa"/>
                  <w:right w:w="57" w:type="dxa"/>
                </w:tblCellMar>
              </w:tblPrEx>
              <w:trPr>
                <w:cantSplit/>
                <w:trHeight w:val="397" w:hRule="atLeast"/>
                <w:jc w:val="center"/>
              </w:trPr>
              <w:tc>
                <w:tcPr>
                  <w:tcW w:w="346" w:type="pct"/>
                  <w:tcBorders>
                    <w:top w:val="single" w:color="auto" w:sz="6" w:space="0"/>
                    <w:left w:val="single" w:color="auto" w:sz="6" w:space="0"/>
                    <w:bottom w:val="single" w:color="auto" w:sz="6" w:space="0"/>
                    <w:right w:val="single" w:color="auto" w:sz="6" w:space="0"/>
                  </w:tcBorders>
                  <w:vAlign w:val="center"/>
                </w:tcPr>
                <w:p w14:paraId="62A84280">
                  <w:pPr>
                    <w:pageBreakBefore w:val="0"/>
                    <w:wordWrap w:val="0"/>
                    <w:overflowPunct/>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149" w:type="pct"/>
                  <w:tcBorders>
                    <w:top w:val="single" w:color="auto" w:sz="6" w:space="0"/>
                    <w:left w:val="nil"/>
                    <w:bottom w:val="single" w:color="auto" w:sz="6" w:space="0"/>
                    <w:right w:val="single" w:color="auto" w:sz="6" w:space="0"/>
                  </w:tcBorders>
                  <w:vAlign w:val="center"/>
                </w:tcPr>
                <w:p w14:paraId="0F369198">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val="en-US" w:eastAsia="zh-CN"/>
                    </w:rPr>
                    <w:t>储能电箱</w:t>
                  </w:r>
                </w:p>
              </w:tc>
              <w:tc>
                <w:tcPr>
                  <w:tcW w:w="847" w:type="pct"/>
                  <w:tcBorders>
                    <w:top w:val="single" w:color="auto" w:sz="6" w:space="0"/>
                    <w:left w:val="nil"/>
                    <w:bottom w:val="single" w:color="auto" w:sz="6" w:space="0"/>
                    <w:right w:val="single" w:color="auto" w:sz="4" w:space="0"/>
                  </w:tcBorders>
                  <w:vAlign w:val="center"/>
                </w:tcPr>
                <w:p w14:paraId="41DB68DC">
                  <w:pPr>
                    <w:pageBreakBefore w:val="0"/>
                    <w:tabs>
                      <w:tab w:val="left" w:pos="1305"/>
                    </w:tabs>
                    <w:wordWrap w:val="0"/>
                    <w:overflowPunct/>
                    <w:bidi w:val="0"/>
                    <w:spacing w:line="240" w:lineRule="auto"/>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10万套</w:t>
                  </w:r>
                </w:p>
              </w:tc>
              <w:tc>
                <w:tcPr>
                  <w:tcW w:w="2657" w:type="pct"/>
                  <w:tcBorders>
                    <w:top w:val="single" w:color="auto" w:sz="6" w:space="0"/>
                    <w:left w:val="nil"/>
                    <w:bottom w:val="single" w:color="auto" w:sz="6" w:space="0"/>
                    <w:right w:val="single" w:color="auto" w:sz="4" w:space="0"/>
                  </w:tcBorders>
                  <w:vAlign w:val="center"/>
                </w:tcPr>
                <w:p w14:paraId="4C32D375">
                  <w:pPr>
                    <w:pageBreakBefore w:val="0"/>
                    <w:tabs>
                      <w:tab w:val="left" w:pos="1305"/>
                    </w:tabs>
                    <w:wordWrap w:val="0"/>
                    <w:overflowPunct/>
                    <w:bidi w:val="0"/>
                    <w:spacing w:line="240" w:lineRule="auto"/>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尺寸为</w:t>
                  </w:r>
                  <w:r>
                    <w:rPr>
                      <w:rFonts w:hint="default" w:ascii="Times New Roman" w:hAnsi="Times New Roman" w:cs="Times New Roman"/>
                      <w:color w:val="auto"/>
                      <w:kern w:val="0"/>
                      <w:sz w:val="21"/>
                      <w:szCs w:val="21"/>
                      <w:highlight w:val="none"/>
                      <w:lang w:val="en-US" w:eastAsia="zh-CN"/>
                    </w:rPr>
                    <w:t>800</w:t>
                  </w:r>
                  <w:r>
                    <w:rPr>
                      <w:rFonts w:hint="eastAsia" w:cs="Times New Roman"/>
                      <w:color w:val="auto"/>
                      <w:kern w:val="0"/>
                      <w:sz w:val="21"/>
                      <w:szCs w:val="21"/>
                      <w:highlight w:val="none"/>
                      <w:lang w:val="en-US" w:eastAsia="zh-CN"/>
                    </w:rPr>
                    <w:t>mm</w:t>
                  </w:r>
                  <w:r>
                    <w:rPr>
                      <w:rFonts w:hint="default" w:ascii="Times New Roman" w:hAnsi="Times New Roman" w:cs="Times New Roman"/>
                      <w:color w:val="auto"/>
                      <w:kern w:val="0"/>
                      <w:sz w:val="21"/>
                      <w:szCs w:val="21"/>
                      <w:highlight w:val="none"/>
                      <w:lang w:val="en-US" w:eastAsia="zh-CN"/>
                    </w:rPr>
                    <w:t>*600</w:t>
                  </w:r>
                  <w:r>
                    <w:rPr>
                      <w:rFonts w:hint="eastAsia" w:cs="Times New Roman"/>
                      <w:color w:val="auto"/>
                      <w:kern w:val="0"/>
                      <w:sz w:val="21"/>
                      <w:szCs w:val="21"/>
                      <w:highlight w:val="none"/>
                      <w:lang w:val="en-US" w:eastAsia="zh-CN"/>
                    </w:rPr>
                    <w:t>mm</w:t>
                  </w:r>
                  <w:r>
                    <w:rPr>
                      <w:rFonts w:hint="default" w:ascii="Times New Roman" w:hAnsi="Times New Roman" w:cs="Times New Roman"/>
                      <w:color w:val="auto"/>
                      <w:kern w:val="0"/>
                      <w:sz w:val="21"/>
                      <w:szCs w:val="21"/>
                      <w:highlight w:val="none"/>
                      <w:lang w:val="en-US" w:eastAsia="zh-CN"/>
                    </w:rPr>
                    <w:t>*200</w:t>
                  </w:r>
                  <w:r>
                    <w:rPr>
                      <w:rFonts w:hint="eastAsia" w:cs="Times New Roman"/>
                      <w:color w:val="auto"/>
                      <w:kern w:val="0"/>
                      <w:sz w:val="21"/>
                      <w:szCs w:val="21"/>
                      <w:highlight w:val="none"/>
                      <w:lang w:val="en-US" w:eastAsia="zh-CN"/>
                    </w:rPr>
                    <w:t>mm，单箱展开面积1.52m</w:t>
                  </w:r>
                  <w:r>
                    <w:rPr>
                      <w:rFonts w:hint="eastAsia" w:cs="Times New Roman"/>
                      <w:color w:val="auto"/>
                      <w:kern w:val="0"/>
                      <w:sz w:val="21"/>
                      <w:szCs w:val="21"/>
                      <w:highlight w:val="none"/>
                      <w:vertAlign w:val="superscript"/>
                      <w:lang w:val="en-US" w:eastAsia="zh-CN"/>
                    </w:rPr>
                    <w:t>2</w:t>
                  </w:r>
                  <w:r>
                    <w:rPr>
                      <w:rFonts w:hint="eastAsia" w:cs="Times New Roman"/>
                      <w:color w:val="auto"/>
                      <w:kern w:val="0"/>
                      <w:sz w:val="21"/>
                      <w:szCs w:val="21"/>
                      <w:highlight w:val="none"/>
                      <w:lang w:val="en-US" w:eastAsia="zh-CN"/>
                    </w:rPr>
                    <w:t>，年加工卷材15.2万m</w:t>
                  </w:r>
                  <w:r>
                    <w:rPr>
                      <w:rFonts w:hint="eastAsia" w:cs="Times New Roman"/>
                      <w:color w:val="auto"/>
                      <w:kern w:val="0"/>
                      <w:sz w:val="21"/>
                      <w:szCs w:val="21"/>
                      <w:highlight w:val="none"/>
                      <w:vertAlign w:val="superscript"/>
                      <w:lang w:val="en-US" w:eastAsia="zh-CN"/>
                    </w:rPr>
                    <w:t>2</w:t>
                  </w:r>
                  <w:r>
                    <w:rPr>
                      <w:rFonts w:hint="eastAsia" w:cs="Times New Roman"/>
                      <w:color w:val="auto"/>
                      <w:kern w:val="0"/>
                      <w:sz w:val="21"/>
                      <w:szCs w:val="21"/>
                      <w:highlight w:val="none"/>
                      <w:lang w:val="en-US" w:eastAsia="zh-CN"/>
                    </w:rPr>
                    <w:t>，</w:t>
                  </w:r>
                  <w:r>
                    <w:rPr>
                      <w:rFonts w:hint="default" w:ascii="Times New Roman" w:hAnsi="Times New Roman" w:cs="Times New Roman"/>
                      <w:color w:val="auto"/>
                      <w:kern w:val="0"/>
                      <w:sz w:val="21"/>
                      <w:szCs w:val="21"/>
                      <w:highlight w:val="none"/>
                    </w:rPr>
                    <w:t>外购</w:t>
                  </w:r>
                  <w:r>
                    <w:rPr>
                      <w:rFonts w:hint="eastAsia" w:cs="Times New Roman"/>
                      <w:color w:val="auto"/>
                      <w:kern w:val="0"/>
                      <w:sz w:val="21"/>
                      <w:szCs w:val="21"/>
                      <w:highlight w:val="none"/>
                      <w:lang w:val="en-US" w:eastAsia="zh-CN"/>
                    </w:rPr>
                    <w:t>钢材</w:t>
                  </w:r>
                  <w:r>
                    <w:rPr>
                      <w:rFonts w:hint="default" w:ascii="Times New Roman" w:hAnsi="Times New Roman" w:cs="Times New Roman"/>
                      <w:color w:val="auto"/>
                      <w:kern w:val="0"/>
                      <w:sz w:val="21"/>
                      <w:szCs w:val="21"/>
                      <w:highlight w:val="none"/>
                    </w:rPr>
                    <w:t>卷经机加工、</w:t>
                  </w:r>
                  <w:r>
                    <w:rPr>
                      <w:rFonts w:hint="default" w:ascii="Times New Roman" w:hAnsi="Times New Roman" w:cs="Times New Roman"/>
                      <w:color w:val="auto"/>
                      <w:kern w:val="0"/>
                      <w:sz w:val="21"/>
                      <w:szCs w:val="21"/>
                      <w:highlight w:val="none"/>
                      <w:lang w:eastAsia="zh-CN"/>
                    </w:rPr>
                    <w:t>表面处理</w:t>
                  </w:r>
                  <w:r>
                    <w:rPr>
                      <w:rFonts w:hint="default" w:ascii="Times New Roman" w:hAnsi="Times New Roman" w:cs="Times New Roman"/>
                      <w:color w:val="auto"/>
                      <w:kern w:val="0"/>
                      <w:sz w:val="21"/>
                      <w:szCs w:val="21"/>
                      <w:highlight w:val="none"/>
                    </w:rPr>
                    <w:t>后为</w:t>
                  </w:r>
                  <w:r>
                    <w:rPr>
                      <w:rFonts w:hint="eastAsia" w:cs="Times New Roman"/>
                      <w:color w:val="auto"/>
                      <w:kern w:val="0"/>
                      <w:sz w:val="21"/>
                      <w:szCs w:val="21"/>
                      <w:highlight w:val="none"/>
                      <w:lang w:val="en-US" w:eastAsia="zh-CN"/>
                    </w:rPr>
                    <w:t>成品</w:t>
                  </w:r>
                  <w:r>
                    <w:rPr>
                      <w:rFonts w:hint="default" w:ascii="Times New Roman" w:hAnsi="Times New Roman" w:cs="Times New Roman"/>
                      <w:color w:val="auto"/>
                      <w:kern w:val="0"/>
                      <w:sz w:val="21"/>
                      <w:szCs w:val="21"/>
                      <w:highlight w:val="none"/>
                    </w:rPr>
                    <w:t>钣金</w:t>
                  </w:r>
                  <w:r>
                    <w:rPr>
                      <w:rFonts w:hint="eastAsia" w:cs="Times New Roman"/>
                      <w:color w:val="auto"/>
                      <w:kern w:val="0"/>
                      <w:sz w:val="21"/>
                      <w:szCs w:val="21"/>
                      <w:highlight w:val="none"/>
                      <w:lang w:val="en-US" w:eastAsia="zh-CN"/>
                    </w:rPr>
                    <w:t>件，</w:t>
                  </w:r>
                  <w:r>
                    <w:rPr>
                      <w:rFonts w:hint="default" w:ascii="Times New Roman" w:hAnsi="Times New Roman" w:cs="Times New Roman"/>
                      <w:color w:val="auto"/>
                      <w:kern w:val="0"/>
                      <w:sz w:val="21"/>
                      <w:szCs w:val="21"/>
                      <w:highlight w:val="none"/>
                    </w:rPr>
                    <w:t>厚度控制在</w:t>
                  </w:r>
                  <w:r>
                    <w:rPr>
                      <w:rFonts w:hint="eastAsia" w:cs="Times New Roman"/>
                      <w:color w:val="auto"/>
                      <w:kern w:val="0"/>
                      <w:sz w:val="21"/>
                      <w:szCs w:val="21"/>
                      <w:highlight w:val="none"/>
                      <w:lang w:val="en-US" w:eastAsia="zh-CN"/>
                    </w:rPr>
                    <w:t>2.5</w:t>
                  </w:r>
                  <w:r>
                    <w:rPr>
                      <w:rFonts w:hint="default" w:ascii="Times New Roman" w:hAnsi="Times New Roman" w:cs="Times New Roman"/>
                      <w:color w:val="auto"/>
                      <w:kern w:val="0"/>
                      <w:sz w:val="21"/>
                      <w:szCs w:val="21"/>
                      <w:highlight w:val="none"/>
                    </w:rPr>
                    <w:t>mm左右，</w:t>
                  </w:r>
                  <w:r>
                    <w:rPr>
                      <w:rFonts w:hint="eastAsia" w:cs="Times New Roman"/>
                      <w:color w:val="auto"/>
                      <w:kern w:val="0"/>
                      <w:sz w:val="21"/>
                      <w:szCs w:val="21"/>
                      <w:highlight w:val="none"/>
                      <w:lang w:val="en-US" w:eastAsia="zh-CN"/>
                    </w:rPr>
                    <w:t>钢</w:t>
                  </w:r>
                  <w:r>
                    <w:rPr>
                      <w:rFonts w:hint="default" w:ascii="Times New Roman" w:hAnsi="Times New Roman" w:eastAsia="宋体" w:cs="Times New Roman"/>
                      <w:i w:val="0"/>
                      <w:iCs w:val="0"/>
                      <w:color w:val="auto"/>
                      <w:kern w:val="0"/>
                      <w:sz w:val="21"/>
                      <w:szCs w:val="21"/>
                      <w:highlight w:val="none"/>
                      <w:u w:val="none"/>
                      <w:lang w:val="en-US" w:eastAsia="zh-CN"/>
                    </w:rPr>
                    <w:t>的密度按</w:t>
                  </w:r>
                  <w:r>
                    <w:rPr>
                      <w:rFonts w:hint="eastAsia" w:cs="Times New Roman"/>
                      <w:i w:val="0"/>
                      <w:iCs w:val="0"/>
                      <w:color w:val="auto"/>
                      <w:kern w:val="0"/>
                      <w:sz w:val="21"/>
                      <w:szCs w:val="21"/>
                      <w:highlight w:val="none"/>
                      <w:u w:val="none"/>
                      <w:lang w:val="en-US" w:eastAsia="zh-CN"/>
                    </w:rPr>
                    <w:t>7.85</w:t>
                  </w:r>
                  <w:r>
                    <w:rPr>
                      <w:rFonts w:hint="default" w:ascii="Times New Roman" w:hAnsi="Times New Roman" w:eastAsia="宋体" w:cs="Times New Roman"/>
                      <w:i w:val="0"/>
                      <w:iCs w:val="0"/>
                      <w:color w:val="auto"/>
                      <w:kern w:val="0"/>
                      <w:sz w:val="21"/>
                      <w:szCs w:val="21"/>
                      <w:highlight w:val="none"/>
                      <w:u w:val="none"/>
                      <w:lang w:val="en-US" w:eastAsia="zh-CN"/>
                    </w:rPr>
                    <w:t>×10</w:t>
                  </w:r>
                  <w:r>
                    <w:rPr>
                      <w:rFonts w:hint="default" w:ascii="Times New Roman" w:hAnsi="Times New Roman" w:cs="Times New Roman"/>
                      <w:i w:val="0"/>
                      <w:iCs w:val="0"/>
                      <w:color w:val="auto"/>
                      <w:kern w:val="0"/>
                      <w:sz w:val="21"/>
                      <w:szCs w:val="21"/>
                      <w:highlight w:val="none"/>
                      <w:u w:val="none"/>
                      <w:vertAlign w:val="superscript"/>
                      <w:lang w:val="en-US" w:eastAsia="zh-CN"/>
                    </w:rPr>
                    <w:t>3</w:t>
                  </w:r>
                  <w:r>
                    <w:rPr>
                      <w:rFonts w:hint="default" w:ascii="Times New Roman" w:hAnsi="Times New Roman" w:eastAsia="宋体" w:cs="Times New Roman"/>
                      <w:i w:val="0"/>
                      <w:iCs w:val="0"/>
                      <w:color w:val="auto"/>
                      <w:kern w:val="0"/>
                      <w:sz w:val="21"/>
                      <w:szCs w:val="21"/>
                      <w:highlight w:val="none"/>
                      <w:u w:val="none"/>
                      <w:lang w:val="en-US" w:eastAsia="zh-CN"/>
                    </w:rPr>
                    <w:t>千克/m</w:t>
                  </w:r>
                  <w:r>
                    <w:rPr>
                      <w:rFonts w:hint="default" w:ascii="Times New Roman" w:hAnsi="Times New Roman" w:cs="Times New Roman"/>
                      <w:i w:val="0"/>
                      <w:iCs w:val="0"/>
                      <w:color w:val="auto"/>
                      <w:kern w:val="0"/>
                      <w:sz w:val="21"/>
                      <w:szCs w:val="21"/>
                      <w:highlight w:val="none"/>
                      <w:u w:val="none"/>
                      <w:vertAlign w:val="superscript"/>
                      <w:lang w:val="en-US" w:eastAsia="zh-CN"/>
                    </w:rPr>
                    <w:t>3</w:t>
                  </w:r>
                  <w:r>
                    <w:rPr>
                      <w:rFonts w:hint="default" w:ascii="Times New Roman" w:hAnsi="Times New Roman" w:eastAsia="宋体" w:cs="Times New Roman"/>
                      <w:i w:val="0"/>
                      <w:iCs w:val="0"/>
                      <w:color w:val="auto"/>
                      <w:kern w:val="0"/>
                      <w:sz w:val="21"/>
                      <w:szCs w:val="21"/>
                      <w:highlight w:val="none"/>
                      <w:u w:val="none"/>
                      <w:lang w:val="en-US" w:eastAsia="zh-CN"/>
                    </w:rPr>
                    <w:t>计算</w:t>
                  </w:r>
                  <w:r>
                    <w:rPr>
                      <w:rFonts w:hint="eastAsia" w:cs="Times New Roman"/>
                      <w:color w:val="auto"/>
                      <w:kern w:val="0"/>
                      <w:sz w:val="21"/>
                      <w:szCs w:val="21"/>
                      <w:highlight w:val="none"/>
                      <w:lang w:val="en-US" w:eastAsia="zh-CN"/>
                    </w:rPr>
                    <w:t>。后进行喷粉喷漆固化丝印处理</w:t>
                  </w:r>
                </w:p>
              </w:tc>
            </w:tr>
          </w:tbl>
          <w:p w14:paraId="657B3404">
            <w:pPr>
              <w:pStyle w:val="10"/>
              <w:numPr>
                <w:ilvl w:val="3"/>
                <w:numId w:val="0"/>
              </w:numPr>
              <w:suppressLineNumbers w:val="0"/>
              <w:tabs>
                <w:tab w:val="left" w:pos="0"/>
              </w:tabs>
              <w:spacing w:before="0" w:beforeAutospacing="0" w:after="0" w:afterAutospacing="0" w:line="360" w:lineRule="auto"/>
              <w:ind w:right="0" w:firstLine="480" w:firstLineChars="200"/>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lang w:val="en-US" w:eastAsia="zh-CN"/>
              </w:rPr>
              <w:t>2</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lang w:val="en-US" w:eastAsia="zh-CN"/>
              </w:rPr>
              <w:t>项目产品产能匹配性分析</w:t>
            </w:r>
          </w:p>
          <w:p w14:paraId="3B3B9310">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bidi="ar-SA"/>
              </w:rPr>
              <w:t>本项目的</w:t>
            </w:r>
            <w:r>
              <w:rPr>
                <w:rFonts w:hint="default" w:ascii="Times New Roman" w:hAnsi="Times New Roman" w:eastAsia="宋体" w:cs="Times New Roman"/>
                <w:color w:val="auto"/>
                <w:kern w:val="2"/>
                <w:sz w:val="24"/>
                <w:szCs w:val="24"/>
                <w:highlight w:val="none"/>
                <w:lang w:val="en-US" w:eastAsia="zh-CN" w:bidi="ar-SA"/>
              </w:rPr>
              <w:t>产品</w:t>
            </w:r>
            <w:r>
              <w:rPr>
                <w:rFonts w:hint="default" w:ascii="Times New Roman" w:hAnsi="Times New Roman" w:eastAsia="宋体" w:cs="Times New Roman"/>
                <w:color w:val="auto"/>
                <w:kern w:val="2"/>
                <w:sz w:val="24"/>
                <w:szCs w:val="24"/>
                <w:highlight w:val="none"/>
                <w:lang w:bidi="ar-SA"/>
              </w:rPr>
              <w:t>生产主要受制于</w:t>
            </w:r>
            <w:r>
              <w:rPr>
                <w:rFonts w:hint="eastAsia" w:cs="Times New Roman"/>
                <w:color w:val="auto"/>
                <w:kern w:val="2"/>
                <w:sz w:val="24"/>
                <w:szCs w:val="24"/>
                <w:highlight w:val="none"/>
                <w:lang w:val="en-US" w:eastAsia="zh-CN" w:bidi="ar-SA"/>
              </w:rPr>
              <w:t>钢材</w:t>
            </w:r>
            <w:r>
              <w:rPr>
                <w:rFonts w:hint="default" w:ascii="Times New Roman" w:hAnsi="Times New Roman" w:eastAsia="宋体" w:cs="Times New Roman"/>
                <w:color w:val="auto"/>
                <w:kern w:val="2"/>
                <w:sz w:val="24"/>
                <w:szCs w:val="24"/>
                <w:highlight w:val="none"/>
                <w:lang w:bidi="ar-SA"/>
              </w:rPr>
              <w:t>表面预处理生产线（以下简称“预处理线”）的产能。预处理线采用隧道式挂具输送系统，并</w:t>
            </w:r>
            <w:r>
              <w:rPr>
                <w:rFonts w:hint="default" w:ascii="Times New Roman" w:hAnsi="Times New Roman" w:eastAsia="宋体" w:cs="Times New Roman"/>
                <w:color w:val="auto"/>
                <w:kern w:val="2"/>
                <w:sz w:val="24"/>
                <w:szCs w:val="24"/>
                <w:highlight w:val="none"/>
                <w:lang w:val="en-US" w:eastAsia="zh-CN" w:bidi="ar-SA"/>
              </w:rPr>
              <w:t>全程</w:t>
            </w:r>
            <w:r>
              <w:rPr>
                <w:rFonts w:hint="default" w:ascii="Times New Roman" w:hAnsi="Times New Roman" w:eastAsia="宋体" w:cs="Times New Roman"/>
                <w:color w:val="auto"/>
                <w:kern w:val="2"/>
                <w:sz w:val="24"/>
                <w:szCs w:val="24"/>
                <w:highlight w:val="none"/>
                <w:lang w:bidi="ar-SA"/>
              </w:rPr>
              <w:t>通过喷淋方式进行预处理作业。预处理线的长度为</w:t>
            </w:r>
            <w:r>
              <w:rPr>
                <w:rFonts w:hint="eastAsia" w:cs="Times New Roman"/>
                <w:color w:val="auto"/>
                <w:kern w:val="2"/>
                <w:sz w:val="24"/>
                <w:szCs w:val="24"/>
                <w:highlight w:val="none"/>
                <w:lang w:val="en-US" w:eastAsia="zh-CN" w:bidi="ar-SA"/>
              </w:rPr>
              <w:t>30</w:t>
            </w:r>
            <w:r>
              <w:rPr>
                <w:rFonts w:hint="default" w:ascii="Times New Roman" w:hAnsi="Times New Roman" w:eastAsia="宋体" w:cs="Times New Roman"/>
                <w:color w:val="auto"/>
                <w:kern w:val="2"/>
                <w:sz w:val="24"/>
                <w:szCs w:val="24"/>
                <w:highlight w:val="none"/>
                <w:lang w:bidi="ar-SA"/>
              </w:rPr>
              <w:t>米。</w:t>
            </w:r>
            <w:r>
              <w:rPr>
                <w:rFonts w:hint="default" w:ascii="Times New Roman" w:hAnsi="Times New Roman" w:eastAsia="宋体" w:cs="Times New Roman"/>
                <w:color w:val="auto"/>
                <w:kern w:val="2"/>
                <w:sz w:val="24"/>
                <w:szCs w:val="24"/>
                <w:highlight w:val="none"/>
                <w:lang w:val="en-US" w:eastAsia="zh-CN" w:bidi="ar-SA"/>
              </w:rPr>
              <w:t>本项目预处理线设计参数如下表所示。</w:t>
            </w:r>
          </w:p>
          <w:p w14:paraId="579A1E13">
            <w:pPr>
              <w:pStyle w:val="17"/>
              <w:pageBreakBefore w:val="0"/>
              <w:numPr>
                <w:ilvl w:val="0"/>
                <w:numId w:val="8"/>
              </w:numPr>
              <w:wordWrap w:val="0"/>
              <w:overflowPunct/>
              <w:bidi w:val="0"/>
              <w:spacing w:line="240" w:lineRule="auto"/>
              <w:ind w:left="0" w:leftChars="0" w:firstLine="40" w:firstLineChars="0"/>
              <w:rPr>
                <w:rFonts w:hint="default" w:ascii="Times New Roman" w:hAnsi="Times New Roman" w:cs="Times New Roman"/>
                <w:b/>
                <w:bCs/>
                <w:color w:val="auto"/>
                <w:sz w:val="21"/>
                <w:szCs w:val="21"/>
                <w:highlight w:val="none"/>
                <w:lang w:val="en-US" w:eastAsia="zh-CN"/>
              </w:rPr>
            </w:pPr>
            <w:r>
              <w:rPr>
                <w:rFonts w:hint="eastAsia" w:cs="Times New Roman"/>
                <w:b/>
                <w:bCs/>
                <w:snapToGrid w:val="0"/>
                <w:color w:val="auto"/>
                <w:kern w:val="2"/>
                <w:sz w:val="21"/>
                <w:szCs w:val="21"/>
                <w:highlight w:val="none"/>
                <w:lang w:val="en-US" w:eastAsia="zh-CN" w:bidi="ar-SA"/>
              </w:rPr>
              <w:t xml:space="preserve"> </w:t>
            </w:r>
            <w:r>
              <w:rPr>
                <w:rFonts w:hint="default" w:ascii="Times New Roman" w:hAnsi="Times New Roman" w:eastAsia="宋体" w:cs="Times New Roman"/>
                <w:b/>
                <w:bCs/>
                <w:color w:val="auto"/>
                <w:kern w:val="2"/>
                <w:sz w:val="21"/>
                <w:szCs w:val="21"/>
                <w:highlight w:val="none"/>
                <w:lang w:val="en-US" w:eastAsia="zh-CN" w:bidi="ar-SA"/>
              </w:rPr>
              <w:t>预处理线设计参数</w:t>
            </w:r>
          </w:p>
          <w:tbl>
            <w:tblPr>
              <w:tblStyle w:val="43"/>
              <w:tblW w:w="75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35"/>
              <w:gridCol w:w="1060"/>
              <w:gridCol w:w="1054"/>
              <w:gridCol w:w="1117"/>
              <w:gridCol w:w="953"/>
              <w:gridCol w:w="1117"/>
              <w:gridCol w:w="1079"/>
            </w:tblGrid>
            <w:tr w14:paraId="784B7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 w:hRule="atLeast"/>
              </w:trPr>
              <w:tc>
                <w:tcPr>
                  <w:tcW w:w="756" w:type="pct"/>
                  <w:tcBorders>
                    <w:top w:val="single" w:color="000000" w:sz="4" w:space="0"/>
                    <w:left w:val="single" w:color="000000" w:sz="4" w:space="0"/>
                    <w:bottom w:val="single" w:color="000000" w:sz="4" w:space="0"/>
                    <w:right w:val="single" w:color="000000" w:sz="4" w:space="0"/>
                  </w:tcBorders>
                  <w:vAlign w:val="center"/>
                </w:tcPr>
                <w:p w14:paraId="6410386A">
                  <w:pPr>
                    <w:adjustRightInd w:val="0"/>
                    <w:snapToGrid w:val="0"/>
                    <w:spacing w:line="240" w:lineRule="auto"/>
                    <w:jc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color w:val="auto"/>
                      <w:sz w:val="21"/>
                      <w:szCs w:val="21"/>
                      <w:highlight w:val="none"/>
                      <w:lang w:val="en-US" w:eastAsia="zh-CN"/>
                    </w:rPr>
                    <w:t>处理</w:t>
                  </w:r>
                  <w:r>
                    <w:rPr>
                      <w:rFonts w:hint="default" w:ascii="Times New Roman" w:hAnsi="Times New Roman" w:eastAsia="宋体" w:cs="Times New Roman"/>
                      <w:b/>
                      <w:bCs/>
                      <w:i w:val="0"/>
                      <w:iCs w:val="0"/>
                      <w:color w:val="auto"/>
                      <w:kern w:val="0"/>
                      <w:sz w:val="21"/>
                      <w:szCs w:val="21"/>
                      <w:highlight w:val="none"/>
                      <w:u w:val="none"/>
                      <w:lang w:val="en-US" w:eastAsia="zh-CN"/>
                    </w:rPr>
                    <w:t>线长度（m）</w:t>
                  </w:r>
                </w:p>
              </w:tc>
              <w:tc>
                <w:tcPr>
                  <w:tcW w:w="705" w:type="pct"/>
                  <w:tcBorders>
                    <w:top w:val="single" w:color="000000" w:sz="4" w:space="0"/>
                    <w:left w:val="single" w:color="000000" w:sz="4" w:space="0"/>
                    <w:bottom w:val="single" w:color="000000" w:sz="4" w:space="0"/>
                    <w:right w:val="single" w:color="000000" w:sz="4" w:space="0"/>
                  </w:tcBorders>
                  <w:vAlign w:val="center"/>
                </w:tcPr>
                <w:p w14:paraId="7F953C56">
                  <w:pPr>
                    <w:adjustRightInd w:val="0"/>
                    <w:snapToGrid w:val="0"/>
                    <w:spacing w:line="240" w:lineRule="auto"/>
                    <w:jc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单个工件长度（m）</w:t>
                  </w:r>
                </w:p>
              </w:tc>
              <w:tc>
                <w:tcPr>
                  <w:tcW w:w="701" w:type="pct"/>
                  <w:tcBorders>
                    <w:top w:val="single" w:color="000000" w:sz="4" w:space="0"/>
                    <w:left w:val="single" w:color="000000" w:sz="4" w:space="0"/>
                    <w:bottom w:val="single" w:color="000000" w:sz="4" w:space="0"/>
                    <w:right w:val="single" w:color="000000" w:sz="4" w:space="0"/>
                  </w:tcBorders>
                  <w:vAlign w:val="center"/>
                </w:tcPr>
                <w:p w14:paraId="729173FB">
                  <w:pPr>
                    <w:adjustRightInd w:val="0"/>
                    <w:snapToGrid w:val="0"/>
                    <w:spacing w:line="240" w:lineRule="auto"/>
                    <w:jc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移动速度（m/min）</w:t>
                  </w:r>
                </w:p>
              </w:tc>
              <w:tc>
                <w:tcPr>
                  <w:tcW w:w="743" w:type="pct"/>
                  <w:tcBorders>
                    <w:top w:val="single" w:color="000000" w:sz="4" w:space="0"/>
                    <w:left w:val="single" w:color="000000" w:sz="4" w:space="0"/>
                    <w:bottom w:val="single" w:color="000000" w:sz="4" w:space="0"/>
                    <w:right w:val="single" w:color="000000" w:sz="4" w:space="0"/>
                  </w:tcBorders>
                  <w:vAlign w:val="center"/>
                </w:tcPr>
                <w:p w14:paraId="06C2A8D4">
                  <w:pPr>
                    <w:adjustRightInd w:val="0"/>
                    <w:snapToGrid w:val="0"/>
                    <w:spacing w:line="240" w:lineRule="auto"/>
                    <w:jc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每个工件间隔（mm）</w:t>
                  </w:r>
                </w:p>
              </w:tc>
              <w:tc>
                <w:tcPr>
                  <w:tcW w:w="634" w:type="pct"/>
                  <w:tcBorders>
                    <w:top w:val="single" w:color="000000" w:sz="4" w:space="0"/>
                    <w:left w:val="single" w:color="000000" w:sz="4" w:space="0"/>
                    <w:bottom w:val="single" w:color="000000" w:sz="4" w:space="0"/>
                    <w:right w:val="single" w:color="000000" w:sz="4" w:space="0"/>
                  </w:tcBorders>
                  <w:vAlign w:val="center"/>
                </w:tcPr>
                <w:p w14:paraId="323842DB">
                  <w:pPr>
                    <w:adjustRightInd w:val="0"/>
                    <w:snapToGrid w:val="0"/>
                    <w:spacing w:line="240" w:lineRule="auto"/>
                    <w:jc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每批次处理时间（min）</w:t>
                  </w:r>
                </w:p>
              </w:tc>
              <w:tc>
                <w:tcPr>
                  <w:tcW w:w="743" w:type="pct"/>
                  <w:tcBorders>
                    <w:top w:val="single" w:color="000000" w:sz="4" w:space="0"/>
                    <w:left w:val="single" w:color="000000" w:sz="4" w:space="0"/>
                    <w:bottom w:val="single" w:color="000000" w:sz="4" w:space="0"/>
                    <w:right w:val="single" w:color="000000" w:sz="4" w:space="0"/>
                  </w:tcBorders>
                  <w:vAlign w:val="center"/>
                </w:tcPr>
                <w:p w14:paraId="0C1DFF75">
                  <w:pPr>
                    <w:adjustRightInd w:val="0"/>
                    <w:snapToGrid w:val="0"/>
                    <w:spacing w:line="240" w:lineRule="auto"/>
                    <w:jc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每批次可容纳挂具数（个）</w:t>
                  </w:r>
                </w:p>
              </w:tc>
              <w:tc>
                <w:tcPr>
                  <w:tcW w:w="715" w:type="pct"/>
                  <w:tcBorders>
                    <w:top w:val="single" w:color="000000" w:sz="4" w:space="0"/>
                    <w:left w:val="single" w:color="000000" w:sz="4" w:space="0"/>
                    <w:bottom w:val="single" w:color="000000" w:sz="4" w:space="0"/>
                    <w:right w:val="single" w:color="000000" w:sz="4" w:space="0"/>
                  </w:tcBorders>
                  <w:vAlign w:val="center"/>
                </w:tcPr>
                <w:p w14:paraId="06C23E29">
                  <w:pPr>
                    <w:adjustRightInd w:val="0"/>
                    <w:snapToGrid w:val="0"/>
                    <w:spacing w:line="240" w:lineRule="auto"/>
                    <w:jc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每个挂具挂件数（件）</w:t>
                  </w:r>
                </w:p>
              </w:tc>
            </w:tr>
            <w:tr w14:paraId="42D19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756" w:type="pct"/>
                  <w:tcBorders>
                    <w:top w:val="single" w:color="000000" w:sz="4" w:space="0"/>
                    <w:left w:val="single" w:color="000000" w:sz="4" w:space="0"/>
                    <w:bottom w:val="single" w:color="000000" w:sz="4" w:space="0"/>
                    <w:right w:val="single" w:color="000000" w:sz="4" w:space="0"/>
                  </w:tcBorders>
                  <w:noWrap/>
                  <w:vAlign w:val="center"/>
                </w:tcPr>
                <w:p w14:paraId="29C73AC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30</w:t>
                  </w:r>
                </w:p>
              </w:tc>
              <w:tc>
                <w:tcPr>
                  <w:tcW w:w="705" w:type="pct"/>
                  <w:tcBorders>
                    <w:top w:val="single" w:color="000000" w:sz="4" w:space="0"/>
                    <w:left w:val="single" w:color="000000" w:sz="4" w:space="0"/>
                    <w:bottom w:val="single" w:color="000000" w:sz="4" w:space="0"/>
                    <w:right w:val="single" w:color="000000" w:sz="4" w:space="0"/>
                  </w:tcBorders>
                  <w:noWrap/>
                  <w:vAlign w:val="center"/>
                </w:tcPr>
                <w:p w14:paraId="7B40B4A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0.8</w:t>
                  </w:r>
                </w:p>
              </w:tc>
              <w:tc>
                <w:tcPr>
                  <w:tcW w:w="701" w:type="pct"/>
                  <w:tcBorders>
                    <w:top w:val="single" w:color="000000" w:sz="4" w:space="0"/>
                    <w:left w:val="single" w:color="000000" w:sz="4" w:space="0"/>
                    <w:bottom w:val="single" w:color="000000" w:sz="4" w:space="0"/>
                    <w:right w:val="single" w:color="000000" w:sz="4" w:space="0"/>
                  </w:tcBorders>
                  <w:noWrap/>
                  <w:vAlign w:val="center"/>
                </w:tcPr>
                <w:p w14:paraId="7279A6B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w:t>
                  </w:r>
                </w:p>
              </w:tc>
              <w:tc>
                <w:tcPr>
                  <w:tcW w:w="743" w:type="pct"/>
                  <w:tcBorders>
                    <w:top w:val="single" w:color="000000" w:sz="4" w:space="0"/>
                    <w:left w:val="single" w:color="000000" w:sz="4" w:space="0"/>
                    <w:bottom w:val="single" w:color="000000" w:sz="4" w:space="0"/>
                    <w:right w:val="single" w:color="000000" w:sz="4" w:space="0"/>
                  </w:tcBorders>
                  <w:noWrap/>
                  <w:vAlign w:val="center"/>
                </w:tcPr>
                <w:p w14:paraId="25C9DE6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200</w:t>
                  </w:r>
                </w:p>
              </w:tc>
              <w:tc>
                <w:tcPr>
                  <w:tcW w:w="634" w:type="pct"/>
                  <w:tcBorders>
                    <w:top w:val="single" w:color="000000" w:sz="4" w:space="0"/>
                    <w:left w:val="single" w:color="000000" w:sz="4" w:space="0"/>
                    <w:bottom w:val="single" w:color="000000" w:sz="4" w:space="0"/>
                    <w:right w:val="single" w:color="000000" w:sz="4" w:space="0"/>
                  </w:tcBorders>
                  <w:noWrap/>
                  <w:vAlign w:val="center"/>
                </w:tcPr>
                <w:p w14:paraId="3CBE396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30</w:t>
                  </w:r>
                </w:p>
              </w:tc>
              <w:tc>
                <w:tcPr>
                  <w:tcW w:w="743" w:type="pct"/>
                  <w:tcBorders>
                    <w:top w:val="single" w:color="000000" w:sz="4" w:space="0"/>
                    <w:left w:val="single" w:color="000000" w:sz="4" w:space="0"/>
                    <w:bottom w:val="single" w:color="000000" w:sz="4" w:space="0"/>
                    <w:right w:val="single" w:color="000000" w:sz="4" w:space="0"/>
                  </w:tcBorders>
                  <w:noWrap/>
                  <w:vAlign w:val="center"/>
                </w:tcPr>
                <w:p w14:paraId="686EF80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 xml:space="preserve">30 </w:t>
                  </w:r>
                </w:p>
              </w:tc>
              <w:tc>
                <w:tcPr>
                  <w:tcW w:w="715" w:type="pct"/>
                  <w:tcBorders>
                    <w:top w:val="single" w:color="000000" w:sz="4" w:space="0"/>
                    <w:left w:val="single" w:color="000000" w:sz="4" w:space="0"/>
                    <w:bottom w:val="single" w:color="000000" w:sz="4" w:space="0"/>
                    <w:right w:val="single" w:color="000000" w:sz="4" w:space="0"/>
                  </w:tcBorders>
                  <w:noWrap/>
                  <w:vAlign w:val="center"/>
                </w:tcPr>
                <w:p w14:paraId="2B760B5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w:t>
                  </w:r>
                </w:p>
              </w:tc>
            </w:tr>
            <w:tr w14:paraId="47414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8" w:hRule="atLeast"/>
              </w:trPr>
              <w:tc>
                <w:tcPr>
                  <w:tcW w:w="5000" w:type="pct"/>
                  <w:gridSpan w:val="7"/>
                  <w:tcBorders>
                    <w:top w:val="single" w:color="000000" w:sz="4" w:space="0"/>
                    <w:left w:val="single" w:color="000000" w:sz="4" w:space="0"/>
                    <w:bottom w:val="single" w:color="000000" w:sz="4" w:space="0"/>
                    <w:right w:val="single" w:color="000000" w:sz="4" w:space="0"/>
                  </w:tcBorders>
                  <w:noWrap/>
                  <w:vAlign w:val="center"/>
                </w:tcPr>
                <w:p w14:paraId="0C9C6891">
                  <w:pPr>
                    <w:adjustRightInd w:val="0"/>
                    <w:snapToGrid w:val="0"/>
                    <w:spacing w:line="240" w:lineRule="auto"/>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备注：</w:t>
                  </w:r>
                </w:p>
                <w:p w14:paraId="0D7EFD46">
                  <w:pPr>
                    <w:adjustRightInd w:val="0"/>
                    <w:snapToGrid w:val="0"/>
                    <w:spacing w:line="240" w:lineRule="auto"/>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①本环评取项目产量最大、最为常见的产品尺寸作为本项目产量核算，单个</w:t>
                  </w:r>
                  <w:r>
                    <w:rPr>
                      <w:rFonts w:hint="eastAsia" w:cs="Times New Roman"/>
                      <w:color w:val="auto"/>
                      <w:sz w:val="21"/>
                      <w:szCs w:val="21"/>
                      <w:highlight w:val="none"/>
                      <w:lang w:val="en-US" w:eastAsia="zh-CN"/>
                    </w:rPr>
                    <w:t>钢材</w:t>
                  </w:r>
                  <w:r>
                    <w:rPr>
                      <w:rFonts w:hint="default" w:ascii="Times New Roman" w:hAnsi="Times New Roman" w:eastAsia="宋体" w:cs="Times New Roman"/>
                      <w:color w:val="auto"/>
                      <w:sz w:val="21"/>
                      <w:szCs w:val="21"/>
                      <w:highlight w:val="none"/>
                      <w:lang w:val="en-US" w:eastAsia="zh-CN"/>
                    </w:rPr>
                    <w:t>尺寸为</w:t>
                  </w:r>
                  <w:r>
                    <w:rPr>
                      <w:rFonts w:hint="eastAsia"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00mm×</w:t>
                  </w: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00mm，厚度为</w:t>
                  </w:r>
                  <w:r>
                    <w:rPr>
                      <w:rFonts w:hint="eastAsia"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lang w:val="en-US" w:eastAsia="zh-CN"/>
                    </w:rPr>
                    <w:t>mm；</w:t>
                  </w:r>
                </w:p>
                <w:p w14:paraId="408BCA17">
                  <w:pPr>
                    <w:adjustRightInd w:val="0"/>
                    <w:snapToGrid w:val="0"/>
                    <w:spacing w:line="240" w:lineRule="auto"/>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②每批次处理时间=处理线长度÷移动速度；</w:t>
                  </w:r>
                </w:p>
                <w:p w14:paraId="0B72E9EF">
                  <w:pPr>
                    <w:adjustRightInd w:val="0"/>
                    <w:snapToGrid w:val="0"/>
                    <w:spacing w:line="240" w:lineRule="auto"/>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③每批次可容纳挂具数=处理线长度÷（单个工件长度+每个工件间隔）</w:t>
                  </w:r>
                </w:p>
              </w:tc>
            </w:tr>
          </w:tbl>
          <w:p w14:paraId="70B7AF6B">
            <w:pPr>
              <w:keepNext w:val="0"/>
              <w:keepLines w:val="0"/>
              <w:pageBreakBefore w:val="0"/>
              <w:widowControl/>
              <w:kinsoku/>
              <w:wordWrap/>
              <w:overflowPunct/>
              <w:topLinePunct w:val="0"/>
              <w:autoSpaceDE/>
              <w:autoSpaceDN/>
              <w:bidi w:val="0"/>
              <w:adjustRightInd/>
              <w:snapToGrid/>
              <w:spacing w:line="100" w:lineRule="exact"/>
              <w:ind w:firstLine="476" w:firstLineChars="200"/>
              <w:jc w:val="left"/>
              <w:textAlignment w:val="auto"/>
              <w:rPr>
                <w:rFonts w:hint="default" w:ascii="Times New Roman" w:hAnsi="Times New Roman" w:eastAsia="宋体" w:cs="Times New Roman"/>
                <w:b/>
                <w:bCs/>
                <w:color w:val="auto"/>
                <w:spacing w:val="-1"/>
                <w:sz w:val="24"/>
                <w:szCs w:val="24"/>
                <w:highlight w:val="none"/>
              </w:rPr>
            </w:pPr>
          </w:p>
          <w:p w14:paraId="4E7D31B3">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本项目设置</w:t>
            </w:r>
            <w:r>
              <w:rPr>
                <w:rFonts w:hint="eastAsia" w:ascii="Times New Roman" w:hAnsi="Times New Roman" w:cs="Times New Roman"/>
                <w:color w:val="auto"/>
                <w:kern w:val="2"/>
                <w:sz w:val="24"/>
                <w:szCs w:val="24"/>
                <w:highlight w:val="none"/>
                <w:lang w:val="en-US" w:eastAsia="zh-CN" w:bidi="ar-SA"/>
              </w:rPr>
              <w:t>1</w:t>
            </w:r>
            <w:r>
              <w:rPr>
                <w:rFonts w:hint="default" w:ascii="Times New Roman" w:hAnsi="Times New Roman" w:cs="Times New Roman"/>
                <w:color w:val="auto"/>
                <w:kern w:val="2"/>
                <w:sz w:val="24"/>
                <w:szCs w:val="24"/>
                <w:highlight w:val="none"/>
                <w:lang w:val="en-US" w:eastAsia="zh-CN" w:bidi="ar-SA"/>
              </w:rPr>
              <w:t>条预处理线，年工作</w:t>
            </w:r>
            <w:r>
              <w:rPr>
                <w:rFonts w:hint="eastAsia" w:cs="Times New Roman"/>
                <w:color w:val="auto"/>
                <w:kern w:val="2"/>
                <w:sz w:val="24"/>
                <w:szCs w:val="24"/>
                <w:highlight w:val="none"/>
                <w:lang w:val="en-US" w:eastAsia="zh-CN" w:bidi="ar-SA"/>
              </w:rPr>
              <w:t>3000</w:t>
            </w:r>
            <w:r>
              <w:rPr>
                <w:rFonts w:hint="default" w:ascii="Times New Roman" w:hAnsi="Times New Roman" w:cs="Times New Roman"/>
                <w:color w:val="auto"/>
                <w:kern w:val="2"/>
                <w:sz w:val="24"/>
                <w:szCs w:val="24"/>
                <w:highlight w:val="none"/>
                <w:lang w:val="en-US" w:eastAsia="zh-CN" w:bidi="ar-SA"/>
              </w:rPr>
              <w:t>小时。本项目年</w:t>
            </w:r>
            <w:r>
              <w:rPr>
                <w:rFonts w:hint="eastAsia" w:cs="Times New Roman"/>
                <w:color w:val="auto"/>
                <w:kern w:val="2"/>
                <w:sz w:val="24"/>
                <w:szCs w:val="24"/>
                <w:highlight w:val="none"/>
                <w:lang w:val="en-US" w:eastAsia="zh-CN" w:bidi="ar-SA"/>
              </w:rPr>
              <w:t>钢材</w:t>
            </w:r>
            <w:r>
              <w:rPr>
                <w:rFonts w:hint="default" w:ascii="Times New Roman" w:hAnsi="Times New Roman" w:cs="Times New Roman"/>
                <w:color w:val="auto"/>
                <w:kern w:val="2"/>
                <w:sz w:val="24"/>
                <w:szCs w:val="24"/>
                <w:highlight w:val="none"/>
                <w:lang w:val="en-US" w:eastAsia="zh-CN" w:bidi="ar-SA"/>
              </w:rPr>
              <w:t>最大可处理面积计算如下表所示。</w:t>
            </w:r>
          </w:p>
          <w:p w14:paraId="4E271D78">
            <w:pPr>
              <w:pStyle w:val="17"/>
              <w:pageBreakBefore w:val="0"/>
              <w:numPr>
                <w:ilvl w:val="0"/>
                <w:numId w:val="8"/>
              </w:numPr>
              <w:wordWrap w:val="0"/>
              <w:overflowPunct/>
              <w:bidi w:val="0"/>
              <w:spacing w:line="240" w:lineRule="auto"/>
              <w:ind w:left="0" w:leftChars="0" w:firstLine="40" w:firstLineChars="0"/>
              <w:rPr>
                <w:rFonts w:hint="default" w:ascii="Times New Roman" w:hAnsi="Times New Roman" w:cs="Times New Roman"/>
                <w:b/>
                <w:bCs/>
                <w:color w:val="auto"/>
                <w:sz w:val="21"/>
                <w:szCs w:val="21"/>
                <w:highlight w:val="none"/>
                <w:lang w:val="en-US" w:eastAsia="zh-CN"/>
              </w:rPr>
            </w:pPr>
            <w:r>
              <w:rPr>
                <w:rFonts w:hint="eastAsia" w:cs="Times New Roman"/>
                <w:b/>
                <w:bCs/>
                <w:snapToGrid w:val="0"/>
                <w:color w:val="auto"/>
                <w:kern w:val="2"/>
                <w:sz w:val="21"/>
                <w:szCs w:val="21"/>
                <w:highlight w:val="none"/>
                <w:lang w:val="en-US" w:eastAsia="zh-CN" w:bidi="ar-SA"/>
              </w:rPr>
              <w:t xml:space="preserve"> </w:t>
            </w:r>
            <w:r>
              <w:rPr>
                <w:rFonts w:hint="default" w:ascii="Times New Roman" w:hAnsi="Times New Roman" w:cs="Times New Roman"/>
                <w:b/>
                <w:bCs/>
                <w:color w:val="auto"/>
                <w:sz w:val="21"/>
                <w:szCs w:val="21"/>
                <w:highlight w:val="none"/>
                <w:lang w:val="en-US" w:eastAsia="zh-CN"/>
              </w:rPr>
              <w:t>本项目预处理线产能核算表</w:t>
            </w:r>
          </w:p>
          <w:tbl>
            <w:tblPr>
              <w:tblStyle w:val="43"/>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65"/>
              <w:gridCol w:w="1111"/>
              <w:gridCol w:w="1413"/>
              <w:gridCol w:w="1071"/>
              <w:gridCol w:w="1506"/>
              <w:gridCol w:w="1689"/>
            </w:tblGrid>
            <w:tr w14:paraId="44790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701" w:type="pct"/>
                  <w:tcBorders>
                    <w:top w:val="single" w:color="000000" w:sz="4" w:space="0"/>
                    <w:left w:val="single" w:color="000000" w:sz="4" w:space="0"/>
                    <w:bottom w:val="single" w:color="000000" w:sz="4" w:space="0"/>
                    <w:right w:val="single" w:color="000000" w:sz="4" w:space="0"/>
                  </w:tcBorders>
                  <w:vAlign w:val="center"/>
                </w:tcPr>
                <w:p w14:paraId="12D899BA">
                  <w:pPr>
                    <w:adjustRightInd w:val="0"/>
                    <w:snapToGrid w:val="0"/>
                    <w:spacing w:line="240" w:lineRule="auto"/>
                    <w:jc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年工作时间（h）</w:t>
                  </w:r>
                </w:p>
              </w:tc>
              <w:tc>
                <w:tcPr>
                  <w:tcW w:w="730" w:type="pct"/>
                  <w:tcBorders>
                    <w:top w:val="single" w:color="000000" w:sz="4" w:space="0"/>
                    <w:left w:val="single" w:color="000000" w:sz="4" w:space="0"/>
                    <w:bottom w:val="single" w:color="000000" w:sz="4" w:space="0"/>
                    <w:right w:val="single" w:color="000000" w:sz="4" w:space="0"/>
                  </w:tcBorders>
                  <w:vAlign w:val="center"/>
                </w:tcPr>
                <w:p w14:paraId="32372ABA">
                  <w:pPr>
                    <w:adjustRightInd w:val="0"/>
                    <w:snapToGrid w:val="0"/>
                    <w:spacing w:line="240" w:lineRule="auto"/>
                    <w:jc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年处理批次（次）</w:t>
                  </w:r>
                </w:p>
              </w:tc>
              <w:tc>
                <w:tcPr>
                  <w:tcW w:w="888" w:type="pct"/>
                  <w:tcBorders>
                    <w:top w:val="single" w:color="000000" w:sz="4" w:space="0"/>
                    <w:left w:val="single" w:color="000000" w:sz="4" w:space="0"/>
                    <w:bottom w:val="single" w:color="000000" w:sz="4" w:space="0"/>
                    <w:right w:val="single" w:color="000000" w:sz="4" w:space="0"/>
                  </w:tcBorders>
                  <w:vAlign w:val="center"/>
                </w:tcPr>
                <w:p w14:paraId="426AAB93">
                  <w:pPr>
                    <w:adjustRightInd w:val="0"/>
                    <w:snapToGrid w:val="0"/>
                    <w:spacing w:line="240" w:lineRule="auto"/>
                    <w:jc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年处理工件数（件）</w:t>
                  </w:r>
                </w:p>
              </w:tc>
              <w:tc>
                <w:tcPr>
                  <w:tcW w:w="673" w:type="pct"/>
                  <w:tcBorders>
                    <w:top w:val="single" w:color="000000" w:sz="4" w:space="0"/>
                    <w:left w:val="single" w:color="000000" w:sz="4" w:space="0"/>
                    <w:bottom w:val="single" w:color="000000" w:sz="4" w:space="0"/>
                    <w:right w:val="single" w:color="000000" w:sz="4" w:space="0"/>
                  </w:tcBorders>
                  <w:vAlign w:val="center"/>
                </w:tcPr>
                <w:p w14:paraId="7A77C5CC">
                  <w:pPr>
                    <w:adjustRightInd w:val="0"/>
                    <w:snapToGrid w:val="0"/>
                    <w:spacing w:line="240" w:lineRule="auto"/>
                    <w:jc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color w:val="auto"/>
                      <w:sz w:val="21"/>
                      <w:szCs w:val="21"/>
                      <w:highlight w:val="none"/>
                      <w:lang w:val="en-US" w:eastAsia="zh-CN"/>
                    </w:rPr>
                    <w:t>单件</w:t>
                  </w:r>
                  <w:r>
                    <w:rPr>
                      <w:rFonts w:hint="default" w:ascii="Times New Roman" w:hAnsi="Times New Roman" w:eastAsia="宋体" w:cs="Times New Roman"/>
                      <w:b/>
                      <w:bCs/>
                      <w:i w:val="0"/>
                      <w:iCs w:val="0"/>
                      <w:color w:val="auto"/>
                      <w:kern w:val="0"/>
                      <w:sz w:val="21"/>
                      <w:szCs w:val="21"/>
                      <w:highlight w:val="none"/>
                      <w:u w:val="none"/>
                      <w:lang w:val="en-US" w:eastAsia="zh-CN"/>
                    </w:rPr>
                    <w:t>工件面积（m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rPr>
                    <w:t>2</w:t>
                  </w:r>
                  <w:r>
                    <w:rPr>
                      <w:rFonts w:hint="default" w:ascii="Times New Roman" w:hAnsi="Times New Roman" w:eastAsia="宋体" w:cs="Times New Roman"/>
                      <w:b/>
                      <w:bCs/>
                      <w:i w:val="0"/>
                      <w:iCs w:val="0"/>
                      <w:color w:val="auto"/>
                      <w:kern w:val="0"/>
                      <w:sz w:val="21"/>
                      <w:szCs w:val="21"/>
                      <w:highlight w:val="none"/>
                      <w:u w:val="none"/>
                      <w:lang w:val="en-US" w:eastAsia="zh-CN"/>
                    </w:rPr>
                    <w:t>）</w:t>
                  </w:r>
                </w:p>
              </w:tc>
              <w:tc>
                <w:tcPr>
                  <w:tcW w:w="947" w:type="pct"/>
                  <w:tcBorders>
                    <w:top w:val="single" w:color="000000" w:sz="4" w:space="0"/>
                    <w:left w:val="single" w:color="auto" w:sz="4" w:space="0"/>
                    <w:bottom w:val="single" w:color="000000" w:sz="4" w:space="0"/>
                    <w:right w:val="single" w:color="000000" w:sz="4" w:space="0"/>
                  </w:tcBorders>
                  <w:vAlign w:val="center"/>
                </w:tcPr>
                <w:p w14:paraId="7E72F91D">
                  <w:pPr>
                    <w:adjustRightInd w:val="0"/>
                    <w:snapToGrid w:val="0"/>
                    <w:spacing w:line="240" w:lineRule="auto"/>
                    <w:jc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年最大处理</w:t>
                  </w:r>
                  <w:r>
                    <w:rPr>
                      <w:rFonts w:hint="eastAsia" w:cs="Times New Roman"/>
                      <w:b/>
                      <w:bCs/>
                      <w:i w:val="0"/>
                      <w:iCs w:val="0"/>
                      <w:color w:val="auto"/>
                      <w:kern w:val="0"/>
                      <w:sz w:val="21"/>
                      <w:szCs w:val="21"/>
                      <w:highlight w:val="none"/>
                      <w:u w:val="none"/>
                      <w:lang w:val="en-US" w:eastAsia="zh-CN"/>
                    </w:rPr>
                    <w:t>钢材</w:t>
                  </w:r>
                  <w:r>
                    <w:rPr>
                      <w:rFonts w:hint="eastAsia" w:ascii="Times New Roman" w:hAnsi="Times New Roman" w:cs="Times New Roman"/>
                      <w:b/>
                      <w:bCs/>
                      <w:i w:val="0"/>
                      <w:iCs w:val="0"/>
                      <w:color w:val="auto"/>
                      <w:kern w:val="0"/>
                      <w:sz w:val="21"/>
                      <w:szCs w:val="21"/>
                      <w:highlight w:val="none"/>
                      <w:u w:val="none"/>
                      <w:lang w:val="en-US" w:eastAsia="zh-CN"/>
                    </w:rPr>
                    <w:t>面积</w:t>
                  </w:r>
                  <w:r>
                    <w:rPr>
                      <w:rFonts w:hint="default" w:ascii="Times New Roman" w:hAnsi="Times New Roman" w:eastAsia="宋体" w:cs="Times New Roman"/>
                      <w:b/>
                      <w:bCs/>
                      <w:i w:val="0"/>
                      <w:iCs w:val="0"/>
                      <w:color w:val="auto"/>
                      <w:kern w:val="0"/>
                      <w:sz w:val="21"/>
                      <w:szCs w:val="21"/>
                      <w:highlight w:val="none"/>
                      <w:u w:val="none"/>
                      <w:lang w:val="en-US" w:eastAsia="zh-CN"/>
                    </w:rPr>
                    <w:t>（万m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rPr>
                    <w:t>2</w:t>
                  </w:r>
                  <w:r>
                    <w:rPr>
                      <w:rFonts w:hint="default" w:ascii="Times New Roman" w:hAnsi="Times New Roman" w:eastAsia="宋体" w:cs="Times New Roman"/>
                      <w:b/>
                      <w:bCs/>
                      <w:i w:val="0"/>
                      <w:iCs w:val="0"/>
                      <w:color w:val="auto"/>
                      <w:kern w:val="0"/>
                      <w:sz w:val="21"/>
                      <w:szCs w:val="21"/>
                      <w:highlight w:val="none"/>
                      <w:u w:val="none"/>
                      <w:lang w:val="en-US" w:eastAsia="zh-CN"/>
                    </w:rPr>
                    <w:t>）</w:t>
                  </w:r>
                </w:p>
              </w:tc>
              <w:tc>
                <w:tcPr>
                  <w:tcW w:w="1059" w:type="pct"/>
                  <w:tcBorders>
                    <w:top w:val="single" w:color="000000" w:sz="4" w:space="0"/>
                    <w:left w:val="single" w:color="000000" w:sz="4" w:space="0"/>
                    <w:bottom w:val="single" w:color="000000" w:sz="4" w:space="0"/>
                    <w:right w:val="single" w:color="000000" w:sz="4" w:space="0"/>
                  </w:tcBorders>
                  <w:vAlign w:val="center"/>
                </w:tcPr>
                <w:p w14:paraId="3B201173">
                  <w:pPr>
                    <w:adjustRightInd w:val="0"/>
                    <w:snapToGrid w:val="0"/>
                    <w:spacing w:line="240" w:lineRule="auto"/>
                    <w:jc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本项目设计处理</w:t>
                  </w:r>
                  <w:r>
                    <w:rPr>
                      <w:rFonts w:hint="eastAsia" w:cs="Times New Roman"/>
                      <w:b/>
                      <w:bCs/>
                      <w:i w:val="0"/>
                      <w:iCs w:val="0"/>
                      <w:color w:val="auto"/>
                      <w:kern w:val="0"/>
                      <w:sz w:val="21"/>
                      <w:szCs w:val="21"/>
                      <w:highlight w:val="none"/>
                      <w:u w:val="none"/>
                      <w:lang w:val="en-US" w:eastAsia="zh-CN"/>
                    </w:rPr>
                    <w:t>钢材</w:t>
                  </w:r>
                  <w:r>
                    <w:rPr>
                      <w:rFonts w:hint="eastAsia" w:ascii="Times New Roman" w:hAnsi="Times New Roman" w:cs="Times New Roman"/>
                      <w:b/>
                      <w:bCs/>
                      <w:i w:val="0"/>
                      <w:iCs w:val="0"/>
                      <w:color w:val="auto"/>
                      <w:kern w:val="0"/>
                      <w:sz w:val="21"/>
                      <w:szCs w:val="21"/>
                      <w:highlight w:val="none"/>
                      <w:u w:val="none"/>
                      <w:lang w:val="en-US" w:eastAsia="zh-CN"/>
                    </w:rPr>
                    <w:t>面积</w:t>
                  </w:r>
                  <w:r>
                    <w:rPr>
                      <w:rFonts w:hint="default" w:ascii="Times New Roman" w:hAnsi="Times New Roman" w:eastAsia="宋体" w:cs="Times New Roman"/>
                      <w:b/>
                      <w:bCs/>
                      <w:i w:val="0"/>
                      <w:iCs w:val="0"/>
                      <w:color w:val="auto"/>
                      <w:kern w:val="0"/>
                      <w:sz w:val="21"/>
                      <w:szCs w:val="21"/>
                      <w:highlight w:val="none"/>
                      <w:u w:val="none"/>
                      <w:lang w:val="en-US" w:eastAsia="zh-CN"/>
                    </w:rPr>
                    <w:t>（万m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rPr>
                    <w:t>2</w:t>
                  </w:r>
                  <w:r>
                    <w:rPr>
                      <w:rFonts w:hint="default" w:ascii="Times New Roman" w:hAnsi="Times New Roman" w:eastAsia="宋体" w:cs="Times New Roman"/>
                      <w:b/>
                      <w:bCs/>
                      <w:i w:val="0"/>
                      <w:iCs w:val="0"/>
                      <w:color w:val="auto"/>
                      <w:kern w:val="0"/>
                      <w:sz w:val="21"/>
                      <w:szCs w:val="21"/>
                      <w:highlight w:val="none"/>
                      <w:u w:val="none"/>
                      <w:lang w:val="en-US" w:eastAsia="zh-CN"/>
                    </w:rPr>
                    <w:t>）</w:t>
                  </w:r>
                </w:p>
              </w:tc>
            </w:tr>
            <w:tr w14:paraId="4A6CC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1115" w:type="dxa"/>
                  <w:tcBorders>
                    <w:top w:val="single" w:color="000000" w:sz="4" w:space="0"/>
                    <w:left w:val="single" w:color="000000" w:sz="4" w:space="0"/>
                    <w:bottom w:val="single" w:color="000000" w:sz="4" w:space="0"/>
                    <w:right w:val="single" w:color="000000" w:sz="4" w:space="0"/>
                  </w:tcBorders>
                  <w:vAlign w:val="center"/>
                </w:tcPr>
                <w:p w14:paraId="3F3D52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3000</w:t>
                  </w:r>
                </w:p>
              </w:tc>
              <w:tc>
                <w:tcPr>
                  <w:tcW w:w="1161" w:type="dxa"/>
                  <w:tcBorders>
                    <w:top w:val="single" w:color="000000" w:sz="4" w:space="0"/>
                    <w:left w:val="single" w:color="000000" w:sz="4" w:space="0"/>
                    <w:bottom w:val="single" w:color="000000" w:sz="4" w:space="0"/>
                    <w:right w:val="single" w:color="000000" w:sz="4" w:space="0"/>
                  </w:tcBorders>
                  <w:vAlign w:val="center"/>
                </w:tcPr>
                <w:p w14:paraId="6FB32C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rPr>
                    <w:t>6000</w:t>
                  </w:r>
                </w:p>
              </w:tc>
              <w:tc>
                <w:tcPr>
                  <w:tcW w:w="1413" w:type="dxa"/>
                  <w:tcBorders>
                    <w:top w:val="single" w:color="000000" w:sz="4" w:space="0"/>
                    <w:left w:val="single" w:color="000000" w:sz="4" w:space="0"/>
                    <w:bottom w:val="single" w:color="000000" w:sz="4" w:space="0"/>
                    <w:right w:val="single" w:color="000000" w:sz="4" w:space="0"/>
                  </w:tcBorders>
                  <w:noWrap/>
                  <w:vAlign w:val="center"/>
                </w:tcPr>
                <w:p w14:paraId="04DFDA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rPr>
                    <w:t>360000</w:t>
                  </w:r>
                </w:p>
              </w:tc>
              <w:tc>
                <w:tcPr>
                  <w:tcW w:w="1071" w:type="dxa"/>
                  <w:tcBorders>
                    <w:top w:val="single" w:color="000000" w:sz="4" w:space="0"/>
                    <w:left w:val="single" w:color="000000" w:sz="4" w:space="0"/>
                    <w:bottom w:val="single" w:color="000000" w:sz="4" w:space="0"/>
                    <w:right w:val="single" w:color="auto" w:sz="4" w:space="0"/>
                  </w:tcBorders>
                  <w:noWrap/>
                  <w:vAlign w:val="center"/>
                </w:tcPr>
                <w:p w14:paraId="41B14A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1.52</w:t>
                  </w:r>
                </w:p>
              </w:tc>
              <w:tc>
                <w:tcPr>
                  <w:tcW w:w="1506" w:type="dxa"/>
                  <w:tcBorders>
                    <w:top w:val="single" w:color="000000" w:sz="4" w:space="0"/>
                    <w:left w:val="single" w:color="auto" w:sz="4" w:space="0"/>
                    <w:bottom w:val="single" w:color="000000" w:sz="4" w:space="0"/>
                    <w:right w:val="single" w:color="000000" w:sz="4" w:space="0"/>
                  </w:tcBorders>
                  <w:noWrap/>
                  <w:vAlign w:val="center"/>
                </w:tcPr>
                <w:p w14:paraId="6373AA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54.72</w:t>
                  </w:r>
                </w:p>
              </w:tc>
              <w:tc>
                <w:tcPr>
                  <w:tcW w:w="1688" w:type="dxa"/>
                  <w:tcBorders>
                    <w:top w:val="single" w:color="000000" w:sz="4" w:space="0"/>
                    <w:left w:val="single" w:color="000000" w:sz="4" w:space="0"/>
                    <w:bottom w:val="single" w:color="000000" w:sz="4" w:space="0"/>
                    <w:right w:val="single" w:color="000000" w:sz="4" w:space="0"/>
                  </w:tcBorders>
                  <w:noWrap/>
                  <w:vAlign w:val="center"/>
                </w:tcPr>
                <w:p w14:paraId="00E52C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rPr>
                    <w:t>30.4</w:t>
                  </w:r>
                </w:p>
              </w:tc>
            </w:tr>
            <w:tr w14:paraId="5A417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vAlign w:val="center"/>
                </w:tcPr>
                <w:p w14:paraId="0A95B2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both"/>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备注：</w:t>
                  </w:r>
                </w:p>
                <w:p w14:paraId="736A3A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both"/>
                    <w:textAlignment w:val="center"/>
                    <w:rPr>
                      <w:rFonts w:hint="default" w:ascii="Times New Roman" w:hAnsi="Times New Roman" w:cs="Times New Roman"/>
                      <w:i w:val="0"/>
                      <w:iCs w:val="0"/>
                      <w:color w:val="auto"/>
                      <w:kern w:val="0"/>
                      <w:sz w:val="21"/>
                      <w:szCs w:val="21"/>
                      <w:highlight w:val="none"/>
                      <w:u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①</w:t>
                  </w:r>
                  <w:bookmarkStart w:id="23" w:name="OLE_LINK38"/>
                  <w:r>
                    <w:rPr>
                      <w:rFonts w:hint="default" w:ascii="Times New Roman" w:hAnsi="Times New Roman" w:eastAsia="宋体" w:cs="Times New Roman"/>
                      <w:i w:val="0"/>
                      <w:iCs w:val="0"/>
                      <w:color w:val="auto"/>
                      <w:kern w:val="0"/>
                      <w:sz w:val="21"/>
                      <w:szCs w:val="21"/>
                      <w:highlight w:val="none"/>
                      <w:u w:val="none"/>
                      <w:lang w:val="en-US" w:eastAsia="zh-CN"/>
                    </w:rPr>
                    <w:t>单个工件尺寸为</w:t>
                  </w:r>
                  <w:r>
                    <w:rPr>
                      <w:rFonts w:hint="eastAsia" w:cs="Times New Roman"/>
                      <w:i w:val="0"/>
                      <w:iCs w:val="0"/>
                      <w:color w:val="auto"/>
                      <w:kern w:val="0"/>
                      <w:sz w:val="21"/>
                      <w:szCs w:val="21"/>
                      <w:highlight w:val="none"/>
                      <w:u w:val="none"/>
                      <w:lang w:val="en-US" w:eastAsia="zh-CN"/>
                    </w:rPr>
                    <w:t>8</w:t>
                  </w:r>
                  <w:r>
                    <w:rPr>
                      <w:rFonts w:hint="default" w:ascii="Times New Roman" w:hAnsi="Times New Roman" w:eastAsia="宋体" w:cs="Times New Roman"/>
                      <w:i w:val="0"/>
                      <w:iCs w:val="0"/>
                      <w:color w:val="auto"/>
                      <w:kern w:val="0"/>
                      <w:sz w:val="21"/>
                      <w:szCs w:val="21"/>
                      <w:highlight w:val="none"/>
                      <w:u w:val="none"/>
                      <w:lang w:val="en-US" w:eastAsia="zh-CN"/>
                    </w:rPr>
                    <w:t>00mm×</w:t>
                  </w:r>
                  <w:r>
                    <w:rPr>
                      <w:rFonts w:hint="eastAsia" w:cs="Times New Roman"/>
                      <w:i w:val="0"/>
                      <w:iCs w:val="0"/>
                      <w:color w:val="auto"/>
                      <w:kern w:val="0"/>
                      <w:sz w:val="21"/>
                      <w:szCs w:val="21"/>
                      <w:highlight w:val="none"/>
                      <w:u w:val="none"/>
                      <w:lang w:val="en-US" w:eastAsia="zh-CN"/>
                    </w:rPr>
                    <w:t>6</w:t>
                  </w:r>
                  <w:r>
                    <w:rPr>
                      <w:rFonts w:hint="default" w:ascii="Times New Roman" w:hAnsi="Times New Roman" w:eastAsia="宋体" w:cs="Times New Roman"/>
                      <w:i w:val="0"/>
                      <w:iCs w:val="0"/>
                      <w:color w:val="auto"/>
                      <w:kern w:val="0"/>
                      <w:sz w:val="21"/>
                      <w:szCs w:val="21"/>
                      <w:highlight w:val="none"/>
                      <w:u w:val="none"/>
                      <w:lang w:val="en-US" w:eastAsia="zh-CN"/>
                    </w:rPr>
                    <w:t>00mm</w:t>
                  </w:r>
                  <w:bookmarkEnd w:id="23"/>
                  <w:r>
                    <w:rPr>
                      <w:rFonts w:hint="default" w:ascii="Times New Roman" w:hAnsi="Times New Roman" w:eastAsia="宋体" w:cs="Times New Roman"/>
                      <w:i w:val="0"/>
                      <w:iCs w:val="0"/>
                      <w:color w:val="auto"/>
                      <w:kern w:val="0"/>
                      <w:sz w:val="21"/>
                      <w:szCs w:val="21"/>
                      <w:highlight w:val="none"/>
                      <w:u w:val="none"/>
                      <w:lang w:val="en-US" w:eastAsia="zh-CN"/>
                    </w:rPr>
                    <w:t>×</w:t>
                  </w:r>
                  <w:r>
                    <w:rPr>
                      <w:rFonts w:hint="eastAsia" w:cs="Times New Roman"/>
                      <w:i w:val="0"/>
                      <w:iCs w:val="0"/>
                      <w:color w:val="auto"/>
                      <w:kern w:val="0"/>
                      <w:sz w:val="21"/>
                      <w:szCs w:val="21"/>
                      <w:highlight w:val="none"/>
                      <w:u w:val="none"/>
                      <w:lang w:val="en-US" w:eastAsia="zh-CN"/>
                    </w:rPr>
                    <w:t>2</w:t>
                  </w:r>
                  <w:r>
                    <w:rPr>
                      <w:rFonts w:hint="default" w:ascii="Times New Roman" w:hAnsi="Times New Roman" w:eastAsia="宋体" w:cs="Times New Roman"/>
                      <w:i w:val="0"/>
                      <w:iCs w:val="0"/>
                      <w:color w:val="auto"/>
                      <w:kern w:val="0"/>
                      <w:sz w:val="21"/>
                      <w:szCs w:val="21"/>
                      <w:highlight w:val="none"/>
                      <w:u w:val="none"/>
                      <w:lang w:val="en-US" w:eastAsia="zh-CN"/>
                    </w:rPr>
                    <w:t>00mm</w:t>
                  </w:r>
                  <w:r>
                    <w:rPr>
                      <w:rFonts w:hint="default" w:ascii="Times New Roman" w:hAnsi="Times New Roman" w:cs="Times New Roman"/>
                      <w:i w:val="0"/>
                      <w:iCs w:val="0"/>
                      <w:color w:val="auto"/>
                      <w:kern w:val="0"/>
                      <w:sz w:val="21"/>
                      <w:szCs w:val="21"/>
                      <w:highlight w:val="none"/>
                      <w:u w:val="none"/>
                      <w:lang w:val="en-US" w:eastAsia="zh-CN"/>
                    </w:rPr>
                    <w:t>，计得面积为</w:t>
                  </w:r>
                  <w:r>
                    <w:rPr>
                      <w:rFonts w:hint="eastAsia" w:cs="Times New Roman"/>
                      <w:i w:val="0"/>
                      <w:iCs w:val="0"/>
                      <w:color w:val="auto"/>
                      <w:kern w:val="0"/>
                      <w:sz w:val="21"/>
                      <w:szCs w:val="21"/>
                      <w:highlight w:val="none"/>
                      <w:u w:val="none"/>
                      <w:lang w:val="en-US" w:eastAsia="zh-CN"/>
                    </w:rPr>
                    <w:t>1.52</w:t>
                  </w:r>
                  <w:r>
                    <w:rPr>
                      <w:rFonts w:hint="default" w:ascii="Times New Roman" w:hAnsi="Times New Roman" w:cs="Times New Roman"/>
                      <w:i w:val="0"/>
                      <w:iCs w:val="0"/>
                      <w:color w:val="auto"/>
                      <w:kern w:val="0"/>
                      <w:sz w:val="21"/>
                      <w:szCs w:val="21"/>
                      <w:highlight w:val="none"/>
                      <w:u w:val="none"/>
                      <w:lang w:val="en-US" w:eastAsia="zh-CN"/>
                    </w:rPr>
                    <w:t>m</w:t>
                  </w:r>
                  <w:r>
                    <w:rPr>
                      <w:rFonts w:hint="default" w:ascii="Times New Roman" w:hAnsi="Times New Roman" w:cs="Times New Roman"/>
                      <w:i w:val="0"/>
                      <w:iCs w:val="0"/>
                      <w:color w:val="auto"/>
                      <w:kern w:val="0"/>
                      <w:sz w:val="21"/>
                      <w:szCs w:val="21"/>
                      <w:highlight w:val="none"/>
                      <w:u w:val="none"/>
                      <w:vertAlign w:val="superscript"/>
                      <w:lang w:val="en-US" w:eastAsia="zh-CN"/>
                    </w:rPr>
                    <w:t>2</w:t>
                  </w:r>
                  <w:r>
                    <w:rPr>
                      <w:rFonts w:hint="default" w:ascii="Times New Roman" w:hAnsi="Times New Roman" w:cs="Times New Roman"/>
                      <w:i w:val="0"/>
                      <w:iCs w:val="0"/>
                      <w:color w:val="auto"/>
                      <w:kern w:val="0"/>
                      <w:sz w:val="21"/>
                      <w:szCs w:val="21"/>
                      <w:highlight w:val="none"/>
                      <w:u w:val="none"/>
                      <w:vertAlign w:val="baseline"/>
                      <w:lang w:val="en-US" w:eastAsia="zh-CN"/>
                    </w:rPr>
                    <w:t>；</w:t>
                  </w:r>
                </w:p>
                <w:p w14:paraId="257E30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both"/>
                    <w:textAlignment w:val="center"/>
                    <w:rPr>
                      <w:rFonts w:hint="default" w:ascii="Times New Roman" w:hAnsi="Times New Roman" w:eastAsia="宋体" w:cs="Times New Roman"/>
                      <w:i w:val="0"/>
                      <w:iCs w:val="0"/>
                      <w:color w:val="auto"/>
                      <w:kern w:val="0"/>
                      <w:sz w:val="21"/>
                      <w:szCs w:val="21"/>
                      <w:highlight w:val="none"/>
                      <w:u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vertAlign w:val="baseline"/>
                      <w:lang w:val="en-US" w:eastAsia="zh-CN"/>
                    </w:rPr>
                    <w:t>②年处理批次=年工作时间÷每批次处理时间；</w:t>
                  </w:r>
                </w:p>
                <w:p w14:paraId="4A9866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both"/>
                    <w:textAlignment w:val="center"/>
                    <w:rPr>
                      <w:rFonts w:hint="default" w:ascii="Times New Roman" w:hAnsi="Times New Roman" w:eastAsia="宋体" w:cs="Times New Roman"/>
                      <w:i w:val="0"/>
                      <w:iCs w:val="0"/>
                      <w:color w:val="auto"/>
                      <w:kern w:val="0"/>
                      <w:sz w:val="21"/>
                      <w:szCs w:val="21"/>
                      <w:highlight w:val="none"/>
                      <w:u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vertAlign w:val="baseline"/>
                      <w:lang w:val="en-US" w:eastAsia="zh-CN"/>
                    </w:rPr>
                    <w:t>③年处理工件数=年处理批次×每批次可容纳挂具数×每个挂具挂件数；</w:t>
                  </w:r>
                </w:p>
                <w:p w14:paraId="2F185B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both"/>
                    <w:textAlignment w:val="center"/>
                    <w:rPr>
                      <w:rFonts w:hint="default" w:ascii="Times New Roman" w:hAnsi="Times New Roman" w:cs="Times New Roman"/>
                      <w:i w:val="0"/>
                      <w:iCs w:val="0"/>
                      <w:color w:val="auto"/>
                      <w:kern w:val="0"/>
                      <w:sz w:val="21"/>
                      <w:szCs w:val="21"/>
                      <w:highlight w:val="none"/>
                      <w:u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vertAlign w:val="baseline"/>
                      <w:lang w:val="en-US" w:eastAsia="zh-CN"/>
                    </w:rPr>
                    <w:t>④年最大处理</w:t>
                  </w:r>
                  <w:r>
                    <w:rPr>
                      <w:rFonts w:hint="eastAsia" w:cs="Times New Roman"/>
                      <w:i w:val="0"/>
                      <w:iCs w:val="0"/>
                      <w:color w:val="auto"/>
                      <w:kern w:val="0"/>
                      <w:sz w:val="21"/>
                      <w:szCs w:val="21"/>
                      <w:highlight w:val="none"/>
                      <w:u w:val="none"/>
                      <w:vertAlign w:val="baseline"/>
                      <w:lang w:val="en-US" w:eastAsia="zh-CN"/>
                    </w:rPr>
                    <w:t>钢材</w:t>
                  </w:r>
                  <w:r>
                    <w:rPr>
                      <w:rFonts w:hint="default" w:ascii="Times New Roman" w:hAnsi="Times New Roman" w:cs="Times New Roman"/>
                      <w:i w:val="0"/>
                      <w:iCs w:val="0"/>
                      <w:color w:val="auto"/>
                      <w:kern w:val="0"/>
                      <w:sz w:val="21"/>
                      <w:szCs w:val="21"/>
                      <w:highlight w:val="none"/>
                      <w:u w:val="none"/>
                      <w:vertAlign w:val="baseline"/>
                      <w:lang w:val="en-US" w:eastAsia="zh-CN"/>
                    </w:rPr>
                    <w:t>面积</w:t>
                  </w:r>
                  <w:r>
                    <w:rPr>
                      <w:rFonts w:hint="default" w:ascii="Times New Roman" w:hAnsi="Times New Roman" w:eastAsia="宋体" w:cs="Times New Roman"/>
                      <w:i w:val="0"/>
                      <w:iCs w:val="0"/>
                      <w:color w:val="auto"/>
                      <w:kern w:val="0"/>
                      <w:sz w:val="21"/>
                      <w:szCs w:val="21"/>
                      <w:highlight w:val="none"/>
                      <w:u w:val="none"/>
                      <w:vertAlign w:val="baseline"/>
                      <w:lang w:val="en-US" w:eastAsia="zh-CN"/>
                    </w:rPr>
                    <w:t>=单件工件面积×年处理工件数</w:t>
                  </w:r>
                  <w:r>
                    <w:rPr>
                      <w:rFonts w:hint="eastAsia" w:ascii="Times New Roman" w:hAnsi="Times New Roman" w:cs="Times New Roman"/>
                      <w:i w:val="0"/>
                      <w:iCs w:val="0"/>
                      <w:color w:val="auto"/>
                      <w:kern w:val="0"/>
                      <w:sz w:val="21"/>
                      <w:szCs w:val="21"/>
                      <w:highlight w:val="none"/>
                      <w:u w:val="none"/>
                      <w:vertAlign w:val="baseline"/>
                      <w:lang w:val="en-US" w:eastAsia="zh-CN"/>
                    </w:rPr>
                    <w:t>；</w:t>
                  </w:r>
                </w:p>
                <w:p w14:paraId="6F9617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both"/>
                    <w:textAlignment w:val="center"/>
                    <w:rPr>
                      <w:rFonts w:hint="default" w:ascii="Times New Roman" w:hAnsi="Times New Roman" w:cs="Times New Roman"/>
                      <w:i w:val="0"/>
                      <w:iCs w:val="0"/>
                      <w:color w:val="auto"/>
                      <w:kern w:val="0"/>
                      <w:sz w:val="21"/>
                      <w:szCs w:val="21"/>
                      <w:highlight w:val="none"/>
                      <w:u w:val="none"/>
                      <w:vertAlign w:val="baseline"/>
                      <w:lang w:val="en-US" w:eastAsia="zh-CN"/>
                    </w:rPr>
                  </w:pPr>
                  <w:r>
                    <w:rPr>
                      <w:rFonts w:hint="default" w:ascii="Times New Roman" w:hAnsi="Times New Roman" w:cs="Times New Roman"/>
                      <w:i w:val="0"/>
                      <w:iCs w:val="0"/>
                      <w:color w:val="auto"/>
                      <w:kern w:val="0"/>
                      <w:sz w:val="21"/>
                      <w:szCs w:val="21"/>
                      <w:highlight w:val="none"/>
                      <w:u w:val="none"/>
                      <w:vertAlign w:val="baseline"/>
                      <w:lang w:val="en-US" w:eastAsia="zh-CN"/>
                    </w:rPr>
                    <w:t>⑤</w:t>
                  </w:r>
                  <w:r>
                    <w:rPr>
                      <w:rFonts w:hint="eastAsia" w:cs="Times New Roman"/>
                      <w:i w:val="0"/>
                      <w:iCs w:val="0"/>
                      <w:color w:val="auto"/>
                      <w:kern w:val="0"/>
                      <w:sz w:val="21"/>
                      <w:szCs w:val="21"/>
                      <w:highlight w:val="none"/>
                      <w:u w:val="none"/>
                      <w:vertAlign w:val="baseline"/>
                      <w:lang w:val="en-US" w:eastAsia="zh-CN"/>
                    </w:rPr>
                    <w:t>钢材</w:t>
                  </w:r>
                  <w:r>
                    <w:rPr>
                      <w:rFonts w:hint="default" w:ascii="Times New Roman" w:hAnsi="Times New Roman" w:cs="Times New Roman"/>
                      <w:i w:val="0"/>
                      <w:iCs w:val="0"/>
                      <w:color w:val="auto"/>
                      <w:kern w:val="0"/>
                      <w:sz w:val="21"/>
                      <w:szCs w:val="21"/>
                      <w:highlight w:val="none"/>
                      <w:u w:val="none"/>
                      <w:vertAlign w:val="baseline"/>
                      <w:lang w:val="en-US" w:eastAsia="zh-CN"/>
                    </w:rPr>
                    <w:t>进入预处理线喷淋处理正反两面均可进行表面处理，表面处理面积按</w:t>
                  </w:r>
                  <w:r>
                    <w:rPr>
                      <w:rFonts w:hint="eastAsia" w:cs="Times New Roman"/>
                      <w:i w:val="0"/>
                      <w:iCs w:val="0"/>
                      <w:color w:val="auto"/>
                      <w:kern w:val="0"/>
                      <w:sz w:val="21"/>
                      <w:szCs w:val="21"/>
                      <w:highlight w:val="none"/>
                      <w:u w:val="none"/>
                      <w:vertAlign w:val="baseline"/>
                      <w:lang w:val="en-US" w:eastAsia="zh-CN"/>
                    </w:rPr>
                    <w:t>钢材</w:t>
                  </w:r>
                  <w:r>
                    <w:rPr>
                      <w:rFonts w:hint="default" w:ascii="Times New Roman" w:hAnsi="Times New Roman" w:cs="Times New Roman"/>
                      <w:i w:val="0"/>
                      <w:iCs w:val="0"/>
                      <w:color w:val="auto"/>
                      <w:kern w:val="0"/>
                      <w:sz w:val="21"/>
                      <w:szCs w:val="21"/>
                      <w:highlight w:val="none"/>
                      <w:u w:val="none"/>
                      <w:vertAlign w:val="baseline"/>
                      <w:lang w:val="en-US" w:eastAsia="zh-CN"/>
                    </w:rPr>
                    <w:t>正反两面面积计算（忽略厚度面积），计算得项目表面处理面积为</w:t>
                  </w:r>
                  <w:r>
                    <w:rPr>
                      <w:rFonts w:hint="eastAsia" w:cs="Times New Roman"/>
                      <w:i w:val="0"/>
                      <w:iCs w:val="0"/>
                      <w:color w:val="auto"/>
                      <w:kern w:val="0"/>
                      <w:sz w:val="21"/>
                      <w:szCs w:val="21"/>
                      <w:highlight w:val="none"/>
                      <w:u w:val="none"/>
                      <w:vertAlign w:val="baseline"/>
                      <w:lang w:val="en-US" w:eastAsia="zh-CN"/>
                    </w:rPr>
                    <w:t>15.2</w:t>
                  </w:r>
                  <w:r>
                    <w:rPr>
                      <w:rFonts w:hint="default" w:ascii="Times New Roman" w:hAnsi="Times New Roman" w:cs="Times New Roman"/>
                      <w:i w:val="0"/>
                      <w:iCs w:val="0"/>
                      <w:color w:val="auto"/>
                      <w:kern w:val="0"/>
                      <w:sz w:val="21"/>
                      <w:szCs w:val="21"/>
                      <w:highlight w:val="none"/>
                      <w:u w:val="none"/>
                      <w:vertAlign w:val="baseline"/>
                      <w:lang w:val="en-US" w:eastAsia="zh-CN"/>
                    </w:rPr>
                    <w:t>万m</w:t>
                  </w:r>
                  <w:r>
                    <w:rPr>
                      <w:rFonts w:hint="default" w:ascii="Times New Roman" w:hAnsi="Times New Roman" w:cs="Times New Roman"/>
                      <w:i w:val="0"/>
                      <w:iCs w:val="0"/>
                      <w:color w:val="auto"/>
                      <w:kern w:val="0"/>
                      <w:sz w:val="21"/>
                      <w:szCs w:val="21"/>
                      <w:highlight w:val="none"/>
                      <w:u w:val="none"/>
                      <w:vertAlign w:val="superscript"/>
                      <w:lang w:val="en-US" w:eastAsia="zh-CN"/>
                    </w:rPr>
                    <w:t>2</w:t>
                  </w:r>
                  <w:r>
                    <w:rPr>
                      <w:rFonts w:hint="default" w:ascii="Times New Roman" w:hAnsi="Times New Roman" w:cs="Times New Roman"/>
                      <w:i w:val="0"/>
                      <w:iCs w:val="0"/>
                      <w:color w:val="auto"/>
                      <w:kern w:val="0"/>
                      <w:sz w:val="21"/>
                      <w:szCs w:val="21"/>
                      <w:highlight w:val="none"/>
                      <w:u w:val="none"/>
                      <w:vertAlign w:val="baseline"/>
                      <w:lang w:val="en-US" w:eastAsia="zh-CN"/>
                    </w:rPr>
                    <w:t>×2=</w:t>
                  </w:r>
                  <w:r>
                    <w:rPr>
                      <w:rFonts w:hint="eastAsia" w:cs="Times New Roman"/>
                      <w:i w:val="0"/>
                      <w:iCs w:val="0"/>
                      <w:color w:val="auto"/>
                      <w:kern w:val="0"/>
                      <w:sz w:val="21"/>
                      <w:szCs w:val="21"/>
                      <w:highlight w:val="none"/>
                      <w:u w:val="none"/>
                      <w:vertAlign w:val="baseline"/>
                      <w:lang w:val="en-US" w:eastAsia="zh-CN"/>
                    </w:rPr>
                    <w:t>30.4</w:t>
                  </w:r>
                  <w:r>
                    <w:rPr>
                      <w:rFonts w:hint="default" w:ascii="Times New Roman" w:hAnsi="Times New Roman" w:cs="Times New Roman"/>
                      <w:i w:val="0"/>
                      <w:iCs w:val="0"/>
                      <w:color w:val="auto"/>
                      <w:kern w:val="0"/>
                      <w:sz w:val="21"/>
                      <w:szCs w:val="21"/>
                      <w:highlight w:val="none"/>
                      <w:u w:val="none"/>
                      <w:vertAlign w:val="baseline"/>
                      <w:lang w:val="en-US" w:eastAsia="zh-CN"/>
                    </w:rPr>
                    <w:t>万m</w:t>
                  </w:r>
                  <w:r>
                    <w:rPr>
                      <w:rFonts w:hint="default" w:ascii="Times New Roman" w:hAnsi="Times New Roman" w:cs="Times New Roman"/>
                      <w:i w:val="0"/>
                      <w:iCs w:val="0"/>
                      <w:color w:val="auto"/>
                      <w:kern w:val="0"/>
                      <w:sz w:val="21"/>
                      <w:szCs w:val="21"/>
                      <w:highlight w:val="none"/>
                      <w:u w:val="none"/>
                      <w:vertAlign w:val="superscript"/>
                      <w:lang w:val="en-US" w:eastAsia="zh-CN"/>
                    </w:rPr>
                    <w:t>2</w:t>
                  </w:r>
                </w:p>
              </w:tc>
            </w:tr>
          </w:tbl>
          <w:p w14:paraId="72C68E15">
            <w:pPr>
              <w:keepNext w:val="0"/>
              <w:keepLines w:val="0"/>
              <w:pageBreakBefore w:val="0"/>
              <w:widowControl/>
              <w:kinsoku/>
              <w:wordWrap/>
              <w:overflowPunct/>
              <w:topLinePunct w:val="0"/>
              <w:autoSpaceDE/>
              <w:autoSpaceDN/>
              <w:bidi w:val="0"/>
              <w:adjustRightInd/>
              <w:snapToGrid/>
              <w:spacing w:line="100" w:lineRule="exact"/>
              <w:ind w:firstLine="476" w:firstLineChars="200"/>
              <w:jc w:val="left"/>
              <w:textAlignment w:val="auto"/>
              <w:rPr>
                <w:rFonts w:hint="default" w:ascii="Times New Roman" w:hAnsi="Times New Roman" w:eastAsia="宋体" w:cs="Times New Roman"/>
                <w:b/>
                <w:bCs/>
                <w:color w:val="auto"/>
                <w:spacing w:val="-1"/>
                <w:sz w:val="24"/>
                <w:szCs w:val="24"/>
                <w:highlight w:val="none"/>
              </w:rPr>
            </w:pPr>
          </w:p>
          <w:p w14:paraId="1CC33BE5">
            <w:pPr>
              <w:pStyle w:val="10"/>
              <w:keepNext/>
              <w:keepLines/>
              <w:pageBreakBefore w:val="0"/>
              <w:widowControl w:val="0"/>
              <w:numPr>
                <w:ilvl w:val="3"/>
                <w:numId w:val="0"/>
              </w:numPr>
              <w:kinsoku/>
              <w:wordWrap w:val="0"/>
              <w:overflowPunct/>
              <w:topLinePunct w:val="0"/>
              <w:autoSpaceDE/>
              <w:autoSpaceDN/>
              <w:bidi w:val="0"/>
              <w:adjustRightInd/>
              <w:snapToGrid/>
              <w:ind w:left="0" w:firstLine="480" w:firstLineChars="2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kern w:val="2"/>
                <w:sz w:val="24"/>
                <w:szCs w:val="24"/>
                <w:highlight w:val="none"/>
                <w:lang w:val="en-US" w:eastAsia="zh-CN" w:bidi="ar-SA"/>
              </w:rPr>
              <w:t>根据上表计算，本项目</w:t>
            </w:r>
            <w:r>
              <w:rPr>
                <w:rFonts w:hint="eastAsia" w:ascii="Times New Roman" w:hAnsi="Times New Roman" w:cs="Times New Roman"/>
                <w:color w:val="auto"/>
                <w:kern w:val="2"/>
                <w:sz w:val="24"/>
                <w:szCs w:val="24"/>
                <w:highlight w:val="none"/>
                <w:lang w:val="en-US" w:eastAsia="zh-CN" w:bidi="ar-SA"/>
              </w:rPr>
              <w:t>预</w:t>
            </w:r>
            <w:r>
              <w:rPr>
                <w:rFonts w:hint="default" w:ascii="Times New Roman" w:hAnsi="Times New Roman" w:cs="Times New Roman"/>
                <w:color w:val="auto"/>
                <w:kern w:val="2"/>
                <w:sz w:val="24"/>
                <w:szCs w:val="24"/>
                <w:highlight w:val="none"/>
                <w:lang w:val="en-US" w:eastAsia="zh-CN" w:bidi="ar-SA"/>
              </w:rPr>
              <w:t>处理线年最大可处理</w:t>
            </w:r>
            <w:r>
              <w:rPr>
                <w:rFonts w:hint="eastAsia" w:cs="Times New Roman"/>
                <w:color w:val="auto"/>
                <w:kern w:val="2"/>
                <w:sz w:val="24"/>
                <w:szCs w:val="24"/>
                <w:highlight w:val="none"/>
                <w:lang w:val="en-US" w:eastAsia="zh-CN" w:bidi="ar-SA"/>
              </w:rPr>
              <w:t>钢材</w:t>
            </w:r>
            <w:r>
              <w:rPr>
                <w:rFonts w:hint="default" w:ascii="Times New Roman" w:hAnsi="Times New Roman" w:cs="Times New Roman"/>
                <w:color w:val="auto"/>
                <w:kern w:val="2"/>
                <w:sz w:val="24"/>
                <w:szCs w:val="24"/>
                <w:highlight w:val="none"/>
                <w:lang w:val="en-US" w:eastAsia="zh-CN" w:bidi="ar-SA"/>
              </w:rPr>
              <w:t>为</w:t>
            </w:r>
            <w:r>
              <w:rPr>
                <w:rFonts w:hint="eastAsia" w:cs="Times New Roman"/>
                <w:color w:val="auto"/>
                <w:kern w:val="2"/>
                <w:sz w:val="24"/>
                <w:szCs w:val="24"/>
                <w:highlight w:val="none"/>
                <w:lang w:val="en-US" w:eastAsia="zh-CN" w:bidi="ar-SA"/>
              </w:rPr>
              <w:t>54.72</w:t>
            </w:r>
            <w:r>
              <w:rPr>
                <w:rFonts w:hint="default" w:ascii="Times New Roman" w:hAnsi="Times New Roman" w:cs="Times New Roman"/>
                <w:color w:val="auto"/>
                <w:kern w:val="2"/>
                <w:sz w:val="24"/>
                <w:szCs w:val="24"/>
                <w:highlight w:val="none"/>
                <w:vertAlign w:val="baseline"/>
                <w:lang w:val="en-US" w:eastAsia="zh-CN" w:bidi="ar-SA"/>
              </w:rPr>
              <w:t>万</w:t>
            </w:r>
            <w:r>
              <w:rPr>
                <w:rFonts w:hint="default" w:ascii="Times New Roman" w:hAnsi="Times New Roman" w:cs="Times New Roman"/>
                <w:color w:val="auto"/>
                <w:kern w:val="2"/>
                <w:sz w:val="24"/>
                <w:szCs w:val="24"/>
                <w:highlight w:val="none"/>
                <w:lang w:val="en-US" w:eastAsia="zh-CN" w:bidi="ar-SA"/>
              </w:rPr>
              <w:t>m</w:t>
            </w:r>
            <w:r>
              <w:rPr>
                <w:rFonts w:hint="default" w:ascii="Times New Roman" w:hAnsi="Times New Roman" w:cs="Times New Roman"/>
                <w:color w:val="auto"/>
                <w:kern w:val="2"/>
                <w:sz w:val="24"/>
                <w:szCs w:val="24"/>
                <w:highlight w:val="none"/>
                <w:vertAlign w:val="superscript"/>
                <w:lang w:val="en-US" w:eastAsia="zh-CN" w:bidi="ar-SA"/>
              </w:rPr>
              <w:t>2</w:t>
            </w:r>
            <w:r>
              <w:rPr>
                <w:rFonts w:hint="default" w:ascii="Times New Roman" w:hAnsi="Times New Roman" w:cs="Times New Roman"/>
                <w:color w:val="auto"/>
                <w:kern w:val="2"/>
                <w:sz w:val="24"/>
                <w:szCs w:val="24"/>
                <w:highlight w:val="none"/>
                <w:vertAlign w:val="baseline"/>
                <w:lang w:val="en-US" w:eastAsia="zh-CN" w:bidi="ar-SA"/>
              </w:rPr>
              <w:t>，可满足本项目设计</w:t>
            </w:r>
            <w:r>
              <w:rPr>
                <w:rFonts w:hint="eastAsia" w:cs="Times New Roman"/>
                <w:color w:val="auto"/>
                <w:kern w:val="2"/>
                <w:sz w:val="24"/>
                <w:szCs w:val="24"/>
                <w:highlight w:val="none"/>
                <w:vertAlign w:val="baseline"/>
                <w:lang w:val="en-US" w:eastAsia="zh-CN" w:bidi="ar-SA"/>
              </w:rPr>
              <w:t>钢材30.4</w:t>
            </w:r>
            <w:r>
              <w:rPr>
                <w:rFonts w:hint="default" w:ascii="Times New Roman" w:hAnsi="Times New Roman" w:cs="Times New Roman"/>
                <w:color w:val="auto"/>
                <w:kern w:val="2"/>
                <w:sz w:val="24"/>
                <w:szCs w:val="24"/>
                <w:highlight w:val="none"/>
                <w:vertAlign w:val="baseline"/>
                <w:lang w:val="en-US" w:eastAsia="zh-CN" w:bidi="ar-SA"/>
              </w:rPr>
              <w:t>万m</w:t>
            </w:r>
            <w:r>
              <w:rPr>
                <w:rFonts w:hint="default" w:ascii="Times New Roman" w:hAnsi="Times New Roman" w:cs="Times New Roman"/>
                <w:color w:val="auto"/>
                <w:kern w:val="2"/>
                <w:sz w:val="24"/>
                <w:szCs w:val="24"/>
                <w:highlight w:val="none"/>
                <w:vertAlign w:val="superscript"/>
                <w:lang w:val="en-US" w:eastAsia="zh-CN" w:bidi="ar-SA"/>
              </w:rPr>
              <w:t>2</w:t>
            </w:r>
            <w:r>
              <w:rPr>
                <w:rFonts w:hint="default" w:ascii="Times New Roman" w:hAnsi="Times New Roman" w:cs="Times New Roman"/>
                <w:color w:val="auto"/>
                <w:kern w:val="2"/>
                <w:sz w:val="24"/>
                <w:szCs w:val="24"/>
                <w:highlight w:val="none"/>
                <w:vertAlign w:val="baseline"/>
                <w:lang w:val="en-US" w:eastAsia="zh-CN" w:bidi="ar-SA"/>
              </w:rPr>
              <w:t>的产能需求，设备产能与设计产能匹配。</w:t>
            </w:r>
          </w:p>
          <w:p w14:paraId="64DDD53D">
            <w:pPr>
              <w:pStyle w:val="10"/>
              <w:pageBreakBefore w:val="0"/>
              <w:numPr>
                <w:ilvl w:val="3"/>
                <w:numId w:val="0"/>
              </w:numPr>
              <w:wordWrap w:val="0"/>
              <w:overflowPunct/>
              <w:bidi w:val="0"/>
              <w:ind w:left="-960" w:firstLine="1440"/>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t>3、</w:t>
            </w:r>
            <w:r>
              <w:rPr>
                <w:rFonts w:hint="default" w:ascii="Times New Roman" w:hAnsi="Times New Roman" w:cs="Times New Roman"/>
                <w:color w:val="auto"/>
                <w:highlight w:val="none"/>
              </w:rPr>
              <w:t>原辅材料及用量</w:t>
            </w:r>
          </w:p>
          <w:p w14:paraId="23484CA1">
            <w:pPr>
              <w:pStyle w:val="11"/>
              <w:pageBreakBefore w:val="0"/>
              <w:numPr>
                <w:ilvl w:val="4"/>
                <w:numId w:val="0"/>
              </w:numPr>
              <w:wordWrap w:val="0"/>
              <w:overflowPunct/>
              <w:bidi w:val="0"/>
              <w:ind w:left="-960" w:firstLine="1440"/>
              <w:rPr>
                <w:rFonts w:hint="default" w:ascii="Times New Roman" w:hAnsi="Times New Roman" w:cs="Times New Roman"/>
                <w:color w:val="auto"/>
                <w:highlight w:val="none"/>
              </w:rPr>
            </w:pPr>
            <w:r>
              <w:rPr>
                <w:rFonts w:hint="default" w:ascii="Times New Roman" w:hAnsi="Times New Roman" w:cs="Times New Roman"/>
                <w:color w:val="auto"/>
                <w:highlight w:val="none"/>
              </w:rPr>
              <w:t>（1）原辅材料用量</w:t>
            </w:r>
          </w:p>
          <w:p w14:paraId="6FE2A363">
            <w:pPr>
              <w:pStyle w:val="21"/>
              <w:pageBreakBefore w:val="0"/>
              <w:tabs>
                <w:tab w:val="left" w:pos="6556"/>
              </w:tabs>
              <w:wordWrap w:val="0"/>
              <w:overflowPunct/>
              <w:bidi w:val="0"/>
              <w:ind w:firstLine="48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本项目</w:t>
            </w:r>
            <w:r>
              <w:rPr>
                <w:rFonts w:hint="eastAsia" w:cs="Times New Roman"/>
                <w:color w:val="auto"/>
                <w:highlight w:val="none"/>
                <w:lang w:val="en-US" w:eastAsia="zh-CN"/>
              </w:rPr>
              <w:t>主要</w:t>
            </w:r>
            <w:r>
              <w:rPr>
                <w:rFonts w:hint="default" w:ascii="Times New Roman" w:hAnsi="Times New Roman" w:cs="Times New Roman"/>
                <w:color w:val="auto"/>
                <w:highlight w:val="none"/>
              </w:rPr>
              <w:t>原辅材料种类及年用量见下表。</w:t>
            </w:r>
            <w:r>
              <w:rPr>
                <w:rFonts w:hint="eastAsia" w:ascii="Times New Roman" w:hAnsi="Times New Roman" w:cs="Times New Roman"/>
                <w:color w:val="auto"/>
                <w:highlight w:val="none"/>
                <w:lang w:eastAsia="zh-CN"/>
              </w:rPr>
              <w:tab/>
            </w:r>
          </w:p>
          <w:p w14:paraId="63A7CD01">
            <w:pPr>
              <w:pStyle w:val="17"/>
              <w:pageBreakBefore w:val="0"/>
              <w:numPr>
                <w:ilvl w:val="0"/>
                <w:numId w:val="8"/>
              </w:numPr>
              <w:wordWrap w:val="0"/>
              <w:overflowPunct/>
              <w:bidi w:val="0"/>
              <w:spacing w:line="240" w:lineRule="auto"/>
              <w:ind w:left="0" w:leftChars="0" w:firstLine="40" w:firstLineChars="0"/>
              <w:rPr>
                <w:rFonts w:hint="default" w:ascii="Times New Roman" w:hAnsi="Times New Roman" w:cs="Times New Roman"/>
                <w:b/>
                <w:bCs/>
                <w:color w:val="auto"/>
                <w:sz w:val="21"/>
                <w:szCs w:val="21"/>
                <w:highlight w:val="none"/>
              </w:rPr>
            </w:pPr>
            <w:r>
              <w:rPr>
                <w:rFonts w:hint="eastAsia" w:cs="Times New Roman"/>
                <w:b/>
                <w:bCs/>
                <w:color w:val="auto"/>
                <w:sz w:val="21"/>
                <w:szCs w:val="21"/>
                <w:highlight w:val="none"/>
                <w:lang w:val="en-US" w:eastAsia="zh-CN"/>
              </w:rPr>
              <w:t xml:space="preserve">  主要</w:t>
            </w:r>
            <w:r>
              <w:rPr>
                <w:rFonts w:hint="default" w:ascii="Times New Roman" w:hAnsi="Times New Roman" w:cs="Times New Roman"/>
                <w:b/>
                <w:bCs/>
                <w:color w:val="auto"/>
                <w:sz w:val="21"/>
                <w:szCs w:val="21"/>
                <w:highlight w:val="none"/>
              </w:rPr>
              <w:t>原辅材料一览表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84"/>
              <w:gridCol w:w="1690"/>
              <w:gridCol w:w="1124"/>
              <w:gridCol w:w="1291"/>
              <w:gridCol w:w="526"/>
              <w:gridCol w:w="882"/>
              <w:gridCol w:w="1034"/>
              <w:gridCol w:w="917"/>
            </w:tblGrid>
            <w:tr w14:paraId="4099B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4" w:type="dxa"/>
                  <w:tcBorders>
                    <w:top w:val="single" w:color="000000" w:sz="2" w:space="0"/>
                  </w:tcBorders>
                  <w:vAlign w:val="center"/>
                </w:tcPr>
                <w:p w14:paraId="276675C4">
                  <w:pPr>
                    <w:pageBreakBefore w:val="0"/>
                    <w:wordWrap w:val="0"/>
                    <w:overflowPunct/>
                    <w:bidi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1690" w:type="dxa"/>
                  <w:tcBorders>
                    <w:top w:val="single" w:color="000000" w:sz="2" w:space="0"/>
                  </w:tcBorders>
                  <w:vAlign w:val="center"/>
                </w:tcPr>
                <w:p w14:paraId="5A586907">
                  <w:pPr>
                    <w:pageBreakBefore w:val="0"/>
                    <w:wordWrap w:val="0"/>
                    <w:overflowPunct/>
                    <w:bidi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1124" w:type="dxa"/>
                  <w:tcBorders>
                    <w:top w:val="single" w:color="000000" w:sz="2" w:space="0"/>
                  </w:tcBorders>
                  <w:vAlign w:val="center"/>
                </w:tcPr>
                <w:p w14:paraId="6054780B">
                  <w:pPr>
                    <w:pageBreakBefore w:val="0"/>
                    <w:wordWrap w:val="0"/>
                    <w:overflowPunct/>
                    <w:bidi w:val="0"/>
                    <w:spacing w:line="240" w:lineRule="auto"/>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年用量</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val="0"/>
                      <w:color w:val="auto"/>
                      <w:sz w:val="21"/>
                      <w:szCs w:val="21"/>
                      <w:highlight w:val="none"/>
                    </w:rPr>
                    <w:t>t/a</w:t>
                  </w:r>
                  <w:r>
                    <w:rPr>
                      <w:rFonts w:hint="default" w:ascii="Times New Roman" w:hAnsi="Times New Roman" w:cs="Times New Roman"/>
                      <w:b/>
                      <w:bCs w:val="0"/>
                      <w:color w:val="auto"/>
                      <w:sz w:val="21"/>
                      <w:szCs w:val="21"/>
                      <w:highlight w:val="none"/>
                      <w:lang w:eastAsia="zh-CN"/>
                    </w:rPr>
                    <w:t>）</w:t>
                  </w:r>
                </w:p>
              </w:tc>
              <w:tc>
                <w:tcPr>
                  <w:tcW w:w="1291" w:type="dxa"/>
                  <w:tcBorders>
                    <w:top w:val="single" w:color="000000" w:sz="2" w:space="0"/>
                  </w:tcBorders>
                  <w:vAlign w:val="center"/>
                </w:tcPr>
                <w:p w14:paraId="520BF2C3">
                  <w:pPr>
                    <w:pageBreakBefore w:val="0"/>
                    <w:wordWrap w:val="0"/>
                    <w:overflowPunct/>
                    <w:bidi w:val="0"/>
                    <w:spacing w:line="240" w:lineRule="auto"/>
                    <w:jc w:val="center"/>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最大贮存量</w:t>
                  </w:r>
                  <w:r>
                    <w:rPr>
                      <w:rFonts w:hint="eastAsia" w:cs="Times New Roman"/>
                      <w:b/>
                      <w:bCs/>
                      <w:color w:val="auto"/>
                      <w:sz w:val="21"/>
                      <w:szCs w:val="21"/>
                      <w:highlight w:val="none"/>
                      <w:lang w:eastAsia="zh-CN"/>
                    </w:rPr>
                    <w:t>（t）</w:t>
                  </w:r>
                </w:p>
              </w:tc>
              <w:tc>
                <w:tcPr>
                  <w:tcW w:w="526" w:type="dxa"/>
                  <w:tcBorders>
                    <w:top w:val="single" w:color="000000" w:sz="2" w:space="0"/>
                  </w:tcBorders>
                  <w:vAlign w:val="center"/>
                </w:tcPr>
                <w:p w14:paraId="179E29F2">
                  <w:pPr>
                    <w:pageBreakBefore w:val="0"/>
                    <w:wordWrap w:val="0"/>
                    <w:overflowPunct/>
                    <w:bidi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形态</w:t>
                  </w:r>
                </w:p>
              </w:tc>
              <w:tc>
                <w:tcPr>
                  <w:tcW w:w="882" w:type="dxa"/>
                  <w:tcBorders>
                    <w:top w:val="single" w:color="000000" w:sz="2" w:space="0"/>
                  </w:tcBorders>
                  <w:vAlign w:val="center"/>
                </w:tcPr>
                <w:p w14:paraId="3690522F">
                  <w:pPr>
                    <w:pageBreakBefore w:val="0"/>
                    <w:wordWrap w:val="0"/>
                    <w:overflowPunct/>
                    <w:bidi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规格</w:t>
                  </w:r>
                </w:p>
              </w:tc>
              <w:tc>
                <w:tcPr>
                  <w:tcW w:w="1034" w:type="dxa"/>
                  <w:tcBorders>
                    <w:top w:val="single" w:color="000000" w:sz="2" w:space="0"/>
                  </w:tcBorders>
                  <w:vAlign w:val="center"/>
                </w:tcPr>
                <w:p w14:paraId="743D3448">
                  <w:pPr>
                    <w:pageBreakBefore w:val="0"/>
                    <w:wordWrap w:val="0"/>
                    <w:overflowPunct/>
                    <w:bidi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使用环节</w:t>
                  </w:r>
                </w:p>
              </w:tc>
              <w:tc>
                <w:tcPr>
                  <w:tcW w:w="917" w:type="dxa"/>
                  <w:tcBorders>
                    <w:top w:val="single" w:color="000000" w:sz="2" w:space="0"/>
                  </w:tcBorders>
                  <w:vAlign w:val="center"/>
                </w:tcPr>
                <w:p w14:paraId="0B56AA2C">
                  <w:pPr>
                    <w:pageBreakBefore w:val="0"/>
                    <w:wordWrap w:val="0"/>
                    <w:overflowPunct/>
                    <w:bidi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贮存位置</w:t>
                  </w:r>
                </w:p>
              </w:tc>
            </w:tr>
            <w:tr w14:paraId="59BF9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3" w:hRule="atLeast"/>
                <w:jc w:val="center"/>
              </w:trPr>
              <w:tc>
                <w:tcPr>
                  <w:tcW w:w="384" w:type="dxa"/>
                  <w:vAlign w:val="center"/>
                </w:tcPr>
                <w:p w14:paraId="43482359">
                  <w:pPr>
                    <w:pageBreakBefore w:val="0"/>
                    <w:wordWrap w:val="0"/>
                    <w:overflowPunct/>
                    <w:bidi w:val="0"/>
                    <w:spacing w:line="240" w:lineRule="auto"/>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1690" w:type="dxa"/>
                  <w:vAlign w:val="center"/>
                </w:tcPr>
                <w:p w14:paraId="5BA1C57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钢材</w:t>
                  </w:r>
                </w:p>
              </w:tc>
              <w:tc>
                <w:tcPr>
                  <w:tcW w:w="1124" w:type="dxa"/>
                  <w:vAlign w:val="center"/>
                </w:tcPr>
                <w:p w14:paraId="415D3465">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3029.37</w:t>
                  </w:r>
                </w:p>
              </w:tc>
              <w:tc>
                <w:tcPr>
                  <w:tcW w:w="1291" w:type="dxa"/>
                  <w:vAlign w:val="center"/>
                </w:tcPr>
                <w:p w14:paraId="762DD00F">
                  <w:pPr>
                    <w:keepNext w:val="0"/>
                    <w:keepLines w:val="0"/>
                    <w:widowControl/>
                    <w:suppressLineNumbers w:val="0"/>
                    <w:jc w:val="center"/>
                    <w:textAlignment w:val="center"/>
                    <w:rPr>
                      <w:rFonts w:hint="default" w:ascii="Times New Roman" w:hAnsi="Times New Roman" w:cs="Times New Roman"/>
                      <w:bCs/>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350</w:t>
                  </w:r>
                </w:p>
              </w:tc>
              <w:tc>
                <w:tcPr>
                  <w:tcW w:w="526" w:type="dxa"/>
                  <w:vAlign w:val="center"/>
                </w:tcPr>
                <w:p w14:paraId="4EC4A03D">
                  <w:pPr>
                    <w:pageBreakBefore w:val="0"/>
                    <w:wordWrap w:val="0"/>
                    <w:overflowPunct/>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固态</w:t>
                  </w:r>
                </w:p>
              </w:tc>
              <w:tc>
                <w:tcPr>
                  <w:tcW w:w="882" w:type="dxa"/>
                  <w:vAlign w:val="center"/>
                </w:tcPr>
                <w:p w14:paraId="56326BE7">
                  <w:pPr>
                    <w:pageBreakBefore w:val="0"/>
                    <w:wordWrap w:val="0"/>
                    <w:overflowPunct/>
                    <w:bidi w:val="0"/>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捆装</w:t>
                  </w:r>
                </w:p>
              </w:tc>
              <w:tc>
                <w:tcPr>
                  <w:tcW w:w="1034" w:type="dxa"/>
                  <w:vAlign w:val="center"/>
                </w:tcPr>
                <w:p w14:paraId="77FCBA12">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机加工</w:t>
                  </w:r>
                </w:p>
              </w:tc>
              <w:tc>
                <w:tcPr>
                  <w:tcW w:w="917" w:type="dxa"/>
                  <w:vAlign w:val="center"/>
                </w:tcPr>
                <w:p w14:paraId="76863540">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仓库</w:t>
                  </w:r>
                </w:p>
              </w:tc>
            </w:tr>
            <w:tr w14:paraId="4DF71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4" w:type="dxa"/>
                  <w:vAlign w:val="center"/>
                </w:tcPr>
                <w:p w14:paraId="2ABD6606">
                  <w:pPr>
                    <w:pageBreakBefore w:val="0"/>
                    <w:wordWrap w:val="0"/>
                    <w:overflowPunct/>
                    <w:bidi w:val="0"/>
                    <w:spacing w:line="240" w:lineRule="auto"/>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w:t>
                  </w:r>
                </w:p>
              </w:tc>
              <w:tc>
                <w:tcPr>
                  <w:tcW w:w="1690" w:type="dxa"/>
                  <w:shd w:val="clear" w:color="auto" w:fill="auto"/>
                  <w:vAlign w:val="center"/>
                </w:tcPr>
                <w:p w14:paraId="4A33CD75">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水性油漆</w:t>
                  </w:r>
                </w:p>
              </w:tc>
              <w:tc>
                <w:tcPr>
                  <w:tcW w:w="1124" w:type="dxa"/>
                  <w:shd w:val="clear" w:color="auto" w:fill="auto"/>
                  <w:vAlign w:val="center"/>
                </w:tcPr>
                <w:p w14:paraId="31060D90">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1.004</w:t>
                  </w:r>
                </w:p>
              </w:tc>
              <w:tc>
                <w:tcPr>
                  <w:tcW w:w="1291" w:type="dxa"/>
                  <w:shd w:val="clear" w:color="auto" w:fill="auto"/>
                  <w:vAlign w:val="center"/>
                </w:tcPr>
                <w:p w14:paraId="0D98225E">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526" w:type="dxa"/>
                  <w:vAlign w:val="center"/>
                </w:tcPr>
                <w:p w14:paraId="66DC0F31">
                  <w:pPr>
                    <w:pageBreakBefore w:val="0"/>
                    <w:widowControl/>
                    <w:wordWrap w:val="0"/>
                    <w:overflowPunct/>
                    <w:bidi w:val="0"/>
                    <w:adjustRightInd w:val="0"/>
                    <w:snapToGrid w:val="0"/>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液态</w:t>
                  </w:r>
                </w:p>
              </w:tc>
              <w:tc>
                <w:tcPr>
                  <w:tcW w:w="882" w:type="dxa"/>
                  <w:vAlign w:val="center"/>
                </w:tcPr>
                <w:p w14:paraId="1ABA7989">
                  <w:pPr>
                    <w:pageBreakBefore w:val="0"/>
                    <w:widowControl/>
                    <w:wordWrap w:val="0"/>
                    <w:overflowPunct/>
                    <w:bidi w:val="0"/>
                    <w:adjustRightInd w:val="0"/>
                    <w:snapToGrid w:val="0"/>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25kg/桶</w:t>
                  </w:r>
                </w:p>
              </w:tc>
              <w:tc>
                <w:tcPr>
                  <w:tcW w:w="1034" w:type="dxa"/>
                  <w:vAlign w:val="center"/>
                </w:tcPr>
                <w:p w14:paraId="1D60F98D">
                  <w:pPr>
                    <w:pageBreakBefore w:val="0"/>
                    <w:widowControl/>
                    <w:wordWrap w:val="0"/>
                    <w:overflowPunct/>
                    <w:bidi w:val="0"/>
                    <w:adjustRightInd w:val="0"/>
                    <w:snapToGrid w:val="0"/>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组装成品</w:t>
                  </w:r>
                </w:p>
              </w:tc>
              <w:tc>
                <w:tcPr>
                  <w:tcW w:w="917" w:type="dxa"/>
                  <w:vAlign w:val="center"/>
                </w:tcPr>
                <w:p w14:paraId="309C7E2C">
                  <w:pPr>
                    <w:pageBreakBefore w:val="0"/>
                    <w:widowControl/>
                    <w:wordWrap w:val="0"/>
                    <w:overflowPunct/>
                    <w:bidi w:val="0"/>
                    <w:adjustRightInd w:val="0"/>
                    <w:snapToGrid w:val="0"/>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仓库</w:t>
                  </w:r>
                </w:p>
              </w:tc>
            </w:tr>
            <w:tr w14:paraId="51C85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84" w:type="dxa"/>
                  <w:vAlign w:val="center"/>
                </w:tcPr>
                <w:p w14:paraId="4FE6223D">
                  <w:pPr>
                    <w:pageBreakBefore w:val="0"/>
                    <w:wordWrap w:val="0"/>
                    <w:overflowPunct/>
                    <w:bidi w:val="0"/>
                    <w:spacing w:line="240" w:lineRule="auto"/>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3</w:t>
                  </w:r>
                </w:p>
              </w:tc>
              <w:tc>
                <w:tcPr>
                  <w:tcW w:w="1690" w:type="dxa"/>
                  <w:shd w:val="clear" w:color="auto" w:fill="auto"/>
                  <w:vAlign w:val="center"/>
                </w:tcPr>
                <w:p w14:paraId="1400FEF0">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粉末涂料</w:t>
                  </w:r>
                </w:p>
              </w:tc>
              <w:tc>
                <w:tcPr>
                  <w:tcW w:w="1124" w:type="dxa"/>
                  <w:shd w:val="clear" w:color="auto" w:fill="auto"/>
                  <w:vAlign w:val="center"/>
                </w:tcPr>
                <w:p w14:paraId="1C697037">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11.455 </w:t>
                  </w:r>
                </w:p>
              </w:tc>
              <w:tc>
                <w:tcPr>
                  <w:tcW w:w="1291" w:type="dxa"/>
                  <w:shd w:val="clear" w:color="auto" w:fill="auto"/>
                  <w:vAlign w:val="center"/>
                </w:tcPr>
                <w:p w14:paraId="5460BFC8">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526" w:type="dxa"/>
                  <w:vAlign w:val="center"/>
                </w:tcPr>
                <w:p w14:paraId="2699E759">
                  <w:pPr>
                    <w:pageBreakBefore w:val="0"/>
                    <w:widowControl/>
                    <w:wordWrap w:val="0"/>
                    <w:overflowPunct/>
                    <w:bidi w:val="0"/>
                    <w:adjustRightInd w:val="0"/>
                    <w:snapToGrid w:val="0"/>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固态</w:t>
                  </w:r>
                </w:p>
              </w:tc>
              <w:tc>
                <w:tcPr>
                  <w:tcW w:w="882" w:type="dxa"/>
                  <w:vAlign w:val="center"/>
                </w:tcPr>
                <w:p w14:paraId="5B57C3E3">
                  <w:pPr>
                    <w:pageBreakBefore w:val="0"/>
                    <w:widowControl/>
                    <w:wordWrap w:val="0"/>
                    <w:overflowPunct/>
                    <w:bidi w:val="0"/>
                    <w:adjustRightInd w:val="0"/>
                    <w:snapToGrid w:val="0"/>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25kg/箱</w:t>
                  </w:r>
                </w:p>
              </w:tc>
              <w:tc>
                <w:tcPr>
                  <w:tcW w:w="1034" w:type="dxa"/>
                  <w:vAlign w:val="center"/>
                </w:tcPr>
                <w:p w14:paraId="3AE3F08D">
                  <w:pPr>
                    <w:pageBreakBefore w:val="0"/>
                    <w:widowControl/>
                    <w:wordWrap w:val="0"/>
                    <w:overflowPunct/>
                    <w:bidi w:val="0"/>
                    <w:adjustRightInd w:val="0"/>
                    <w:snapToGrid w:val="0"/>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喷粉末涂料</w:t>
                  </w:r>
                </w:p>
              </w:tc>
              <w:tc>
                <w:tcPr>
                  <w:tcW w:w="917" w:type="dxa"/>
                  <w:vAlign w:val="center"/>
                </w:tcPr>
                <w:p w14:paraId="0B1B4D32">
                  <w:pPr>
                    <w:pageBreakBefore w:val="0"/>
                    <w:widowControl/>
                    <w:wordWrap w:val="0"/>
                    <w:overflowPunct/>
                    <w:bidi w:val="0"/>
                    <w:adjustRightInd w:val="0"/>
                    <w:snapToGrid w:val="0"/>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仓库</w:t>
                  </w:r>
                </w:p>
              </w:tc>
            </w:tr>
            <w:tr w14:paraId="44073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4" w:type="dxa"/>
                  <w:vAlign w:val="center"/>
                </w:tcPr>
                <w:p w14:paraId="16F3D507">
                  <w:pPr>
                    <w:pageBreakBefore w:val="0"/>
                    <w:wordWrap w:val="0"/>
                    <w:overflowPunct/>
                    <w:bidi w:val="0"/>
                    <w:spacing w:line="240" w:lineRule="auto"/>
                    <w:jc w:val="center"/>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val="en-US" w:eastAsia="zh-CN"/>
                    </w:rPr>
                    <w:t>4</w:t>
                  </w:r>
                </w:p>
              </w:tc>
              <w:tc>
                <w:tcPr>
                  <w:tcW w:w="1690" w:type="dxa"/>
                  <w:shd w:val="clear" w:color="auto" w:fill="auto"/>
                  <w:vAlign w:val="center"/>
                </w:tcPr>
                <w:p w14:paraId="453540D7">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丝印油墨</w:t>
                  </w:r>
                </w:p>
              </w:tc>
              <w:tc>
                <w:tcPr>
                  <w:tcW w:w="1124" w:type="dxa"/>
                  <w:shd w:val="clear" w:color="auto" w:fill="auto"/>
                  <w:vAlign w:val="center"/>
                </w:tcPr>
                <w:p w14:paraId="5B5984AD">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0.105</w:t>
                  </w:r>
                </w:p>
              </w:tc>
              <w:tc>
                <w:tcPr>
                  <w:tcW w:w="1291" w:type="dxa"/>
                  <w:shd w:val="clear" w:color="auto" w:fill="auto"/>
                  <w:vAlign w:val="center"/>
                </w:tcPr>
                <w:p w14:paraId="0B9C9D79">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c>
                <w:tcPr>
                  <w:tcW w:w="526" w:type="dxa"/>
                  <w:vAlign w:val="center"/>
                </w:tcPr>
                <w:p w14:paraId="579CDF54">
                  <w:pPr>
                    <w:pageBreakBefore w:val="0"/>
                    <w:widowControl/>
                    <w:wordWrap w:val="0"/>
                    <w:overflowPunct/>
                    <w:bidi w:val="0"/>
                    <w:adjustRightInd w:val="0"/>
                    <w:snapToGrid w:val="0"/>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液态</w:t>
                  </w:r>
                </w:p>
              </w:tc>
              <w:tc>
                <w:tcPr>
                  <w:tcW w:w="882" w:type="dxa"/>
                  <w:vAlign w:val="center"/>
                </w:tcPr>
                <w:p w14:paraId="33EBEDD2">
                  <w:pPr>
                    <w:pageBreakBefore w:val="0"/>
                    <w:widowControl/>
                    <w:wordWrap w:val="0"/>
                    <w:overflowPunct/>
                    <w:bidi w:val="0"/>
                    <w:adjustRightInd w:val="0"/>
                    <w:snapToGrid w:val="0"/>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10kg/罐</w:t>
                  </w:r>
                </w:p>
              </w:tc>
              <w:tc>
                <w:tcPr>
                  <w:tcW w:w="1034" w:type="dxa"/>
                  <w:vAlign w:val="center"/>
                </w:tcPr>
                <w:p w14:paraId="2721D91A">
                  <w:pPr>
                    <w:pageBreakBefore w:val="0"/>
                    <w:widowControl/>
                    <w:wordWrap w:val="0"/>
                    <w:overflowPunct/>
                    <w:bidi w:val="0"/>
                    <w:adjustRightInd w:val="0"/>
                    <w:snapToGrid w:val="0"/>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丝印</w:t>
                  </w:r>
                </w:p>
              </w:tc>
              <w:tc>
                <w:tcPr>
                  <w:tcW w:w="917" w:type="dxa"/>
                  <w:vAlign w:val="center"/>
                </w:tcPr>
                <w:p w14:paraId="286819B5">
                  <w:pPr>
                    <w:pageBreakBefore w:val="0"/>
                    <w:widowControl/>
                    <w:wordWrap w:val="0"/>
                    <w:overflowPunct/>
                    <w:bidi w:val="0"/>
                    <w:adjustRightInd w:val="0"/>
                    <w:snapToGrid w:val="0"/>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仓库</w:t>
                  </w:r>
                </w:p>
              </w:tc>
            </w:tr>
            <w:tr w14:paraId="0BC29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4" w:type="dxa"/>
                  <w:vAlign w:val="center"/>
                </w:tcPr>
                <w:p w14:paraId="5C9FD714">
                  <w:pPr>
                    <w:pageBreakBefore w:val="0"/>
                    <w:wordWrap w:val="0"/>
                    <w:overflowPunct/>
                    <w:bidi w:val="0"/>
                    <w:spacing w:line="240" w:lineRule="auto"/>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5</w:t>
                  </w:r>
                </w:p>
              </w:tc>
              <w:tc>
                <w:tcPr>
                  <w:tcW w:w="1690" w:type="dxa"/>
                  <w:shd w:val="clear" w:color="auto" w:fill="auto"/>
                  <w:vAlign w:val="center"/>
                </w:tcPr>
                <w:p w14:paraId="5571B9D4">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脱脂剂</w:t>
                  </w:r>
                </w:p>
              </w:tc>
              <w:tc>
                <w:tcPr>
                  <w:tcW w:w="1124" w:type="dxa"/>
                  <w:shd w:val="clear" w:color="auto" w:fill="auto"/>
                  <w:vAlign w:val="center"/>
                </w:tcPr>
                <w:p w14:paraId="477B2051">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c>
                <w:tcPr>
                  <w:tcW w:w="1291" w:type="dxa"/>
                  <w:shd w:val="clear" w:color="auto" w:fill="auto"/>
                  <w:vAlign w:val="center"/>
                </w:tcPr>
                <w:p w14:paraId="64D2E791">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526" w:type="dxa"/>
                  <w:vAlign w:val="center"/>
                </w:tcPr>
                <w:p w14:paraId="6CEAA624">
                  <w:pPr>
                    <w:pageBreakBefore w:val="0"/>
                    <w:widowControl/>
                    <w:wordWrap w:val="0"/>
                    <w:overflowPunct/>
                    <w:bidi w:val="0"/>
                    <w:adjustRightInd w:val="0"/>
                    <w:snapToGrid w:val="0"/>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液态</w:t>
                  </w:r>
                </w:p>
              </w:tc>
              <w:tc>
                <w:tcPr>
                  <w:tcW w:w="882" w:type="dxa"/>
                  <w:vAlign w:val="center"/>
                </w:tcPr>
                <w:p w14:paraId="73A17DC2">
                  <w:pPr>
                    <w:pageBreakBefore w:val="0"/>
                    <w:widowControl/>
                    <w:wordWrap w:val="0"/>
                    <w:overflowPunct/>
                    <w:bidi w:val="0"/>
                    <w:adjustRightInd w:val="0"/>
                    <w:snapToGrid w:val="0"/>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25kg/桶</w:t>
                  </w:r>
                </w:p>
              </w:tc>
              <w:tc>
                <w:tcPr>
                  <w:tcW w:w="1034" w:type="dxa"/>
                  <w:vAlign w:val="center"/>
                </w:tcPr>
                <w:p w14:paraId="66CD557B">
                  <w:pPr>
                    <w:pageBreakBefore w:val="0"/>
                    <w:widowControl/>
                    <w:wordWrap w:val="0"/>
                    <w:overflowPunct/>
                    <w:bidi w:val="0"/>
                    <w:adjustRightInd w:val="0"/>
                    <w:snapToGrid w:val="0"/>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表面处理</w:t>
                  </w:r>
                </w:p>
              </w:tc>
              <w:tc>
                <w:tcPr>
                  <w:tcW w:w="917" w:type="dxa"/>
                  <w:vAlign w:val="center"/>
                </w:tcPr>
                <w:p w14:paraId="4247543A">
                  <w:pPr>
                    <w:pageBreakBefore w:val="0"/>
                    <w:widowControl/>
                    <w:wordWrap w:val="0"/>
                    <w:overflowPunct/>
                    <w:bidi w:val="0"/>
                    <w:adjustRightInd w:val="0"/>
                    <w:snapToGrid w:val="0"/>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仓库</w:t>
                  </w:r>
                </w:p>
              </w:tc>
            </w:tr>
            <w:tr w14:paraId="26B92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4" w:type="dxa"/>
                  <w:vAlign w:val="center"/>
                </w:tcPr>
                <w:p w14:paraId="4CE3B0FA">
                  <w:pPr>
                    <w:pageBreakBefore w:val="0"/>
                    <w:wordWrap w:val="0"/>
                    <w:overflowPunct/>
                    <w:bidi w:val="0"/>
                    <w:spacing w:line="240" w:lineRule="auto"/>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6</w:t>
                  </w:r>
                </w:p>
              </w:tc>
              <w:tc>
                <w:tcPr>
                  <w:tcW w:w="1690" w:type="dxa"/>
                  <w:shd w:val="clear" w:color="auto" w:fill="auto"/>
                  <w:vAlign w:val="center"/>
                </w:tcPr>
                <w:p w14:paraId="2EA1D23F">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表调剂</w:t>
                  </w:r>
                </w:p>
              </w:tc>
              <w:tc>
                <w:tcPr>
                  <w:tcW w:w="1124" w:type="dxa"/>
                  <w:shd w:val="clear" w:color="auto" w:fill="auto"/>
                  <w:vAlign w:val="center"/>
                </w:tcPr>
                <w:p w14:paraId="45DD2BAB">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291" w:type="dxa"/>
                  <w:shd w:val="clear" w:color="auto" w:fill="auto"/>
                  <w:vAlign w:val="center"/>
                </w:tcPr>
                <w:p w14:paraId="07AAF805">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526" w:type="dxa"/>
                  <w:vAlign w:val="center"/>
                </w:tcPr>
                <w:p w14:paraId="4A41DC18">
                  <w:pPr>
                    <w:pageBreakBefore w:val="0"/>
                    <w:widowControl/>
                    <w:wordWrap w:val="0"/>
                    <w:overflowPunct/>
                    <w:bidi w:val="0"/>
                    <w:adjustRightInd w:val="0"/>
                    <w:snapToGrid w:val="0"/>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固体</w:t>
                  </w:r>
                </w:p>
              </w:tc>
              <w:tc>
                <w:tcPr>
                  <w:tcW w:w="882" w:type="dxa"/>
                  <w:vAlign w:val="center"/>
                </w:tcPr>
                <w:p w14:paraId="231D65D3">
                  <w:pPr>
                    <w:pageBreakBefore w:val="0"/>
                    <w:widowControl/>
                    <w:wordWrap w:val="0"/>
                    <w:overflowPunct/>
                    <w:bidi w:val="0"/>
                    <w:adjustRightInd w:val="0"/>
                    <w:snapToGrid w:val="0"/>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25kg/袋</w:t>
                  </w:r>
                </w:p>
              </w:tc>
              <w:tc>
                <w:tcPr>
                  <w:tcW w:w="1034" w:type="dxa"/>
                  <w:vAlign w:val="center"/>
                </w:tcPr>
                <w:p w14:paraId="22D0FD3F">
                  <w:pPr>
                    <w:pageBreakBefore w:val="0"/>
                    <w:widowControl/>
                    <w:wordWrap w:val="0"/>
                    <w:overflowPunct/>
                    <w:bidi w:val="0"/>
                    <w:adjustRightInd w:val="0"/>
                    <w:snapToGrid w:val="0"/>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表面处理</w:t>
                  </w:r>
                </w:p>
              </w:tc>
              <w:tc>
                <w:tcPr>
                  <w:tcW w:w="917" w:type="dxa"/>
                  <w:vAlign w:val="center"/>
                </w:tcPr>
                <w:p w14:paraId="02F7313C">
                  <w:pPr>
                    <w:pageBreakBefore w:val="0"/>
                    <w:widowControl/>
                    <w:wordWrap w:val="0"/>
                    <w:overflowPunct/>
                    <w:bidi w:val="0"/>
                    <w:adjustRightInd w:val="0"/>
                    <w:snapToGrid w:val="0"/>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仓库</w:t>
                  </w:r>
                </w:p>
              </w:tc>
            </w:tr>
            <w:tr w14:paraId="6C21F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4" w:type="dxa"/>
                  <w:vAlign w:val="center"/>
                </w:tcPr>
                <w:p w14:paraId="08B8BB56">
                  <w:pPr>
                    <w:pageBreakBefore w:val="0"/>
                    <w:wordWrap w:val="0"/>
                    <w:overflowPunct/>
                    <w:bidi w:val="0"/>
                    <w:spacing w:line="240" w:lineRule="auto"/>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7</w:t>
                  </w:r>
                </w:p>
              </w:tc>
              <w:tc>
                <w:tcPr>
                  <w:tcW w:w="1690" w:type="dxa"/>
                  <w:shd w:val="clear" w:color="auto" w:fill="auto"/>
                  <w:vAlign w:val="center"/>
                </w:tcPr>
                <w:p w14:paraId="19C2DB70">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磷化剂</w:t>
                  </w:r>
                </w:p>
              </w:tc>
              <w:tc>
                <w:tcPr>
                  <w:tcW w:w="1124" w:type="dxa"/>
                  <w:shd w:val="clear" w:color="auto" w:fill="auto"/>
                  <w:vAlign w:val="center"/>
                </w:tcPr>
                <w:p w14:paraId="612818E9">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1291" w:type="dxa"/>
                  <w:shd w:val="clear" w:color="auto" w:fill="auto"/>
                  <w:vAlign w:val="center"/>
                </w:tcPr>
                <w:p w14:paraId="70D5E984">
                  <w:pPr>
                    <w:keepNext w:val="0"/>
                    <w:keepLines w:val="0"/>
                    <w:widowControl/>
                    <w:suppressLineNumbers w:val="0"/>
                    <w:jc w:val="center"/>
                    <w:textAlignment w:val="center"/>
                    <w:rPr>
                      <w:rFonts w:hint="default"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526" w:type="dxa"/>
                  <w:vAlign w:val="center"/>
                </w:tcPr>
                <w:p w14:paraId="31F20158">
                  <w:pPr>
                    <w:pageBreakBefore w:val="0"/>
                    <w:widowControl/>
                    <w:wordWrap w:val="0"/>
                    <w:overflowPunct/>
                    <w:bidi w:val="0"/>
                    <w:adjustRightInd w:val="0"/>
                    <w:snapToGrid w:val="0"/>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液态</w:t>
                  </w:r>
                </w:p>
              </w:tc>
              <w:tc>
                <w:tcPr>
                  <w:tcW w:w="882" w:type="dxa"/>
                  <w:vAlign w:val="center"/>
                </w:tcPr>
                <w:p w14:paraId="264AD44A">
                  <w:pPr>
                    <w:pageBreakBefore w:val="0"/>
                    <w:widowControl/>
                    <w:wordWrap w:val="0"/>
                    <w:overflowPunct/>
                    <w:bidi w:val="0"/>
                    <w:adjustRightInd w:val="0"/>
                    <w:snapToGrid w:val="0"/>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25kg/桶</w:t>
                  </w:r>
                </w:p>
              </w:tc>
              <w:tc>
                <w:tcPr>
                  <w:tcW w:w="1034" w:type="dxa"/>
                  <w:vAlign w:val="center"/>
                </w:tcPr>
                <w:p w14:paraId="776FFDC6">
                  <w:pPr>
                    <w:pageBreakBefore w:val="0"/>
                    <w:widowControl/>
                    <w:wordWrap w:val="0"/>
                    <w:overflowPunct/>
                    <w:bidi w:val="0"/>
                    <w:adjustRightInd w:val="0"/>
                    <w:snapToGrid w:val="0"/>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表面处理</w:t>
                  </w:r>
                </w:p>
              </w:tc>
              <w:tc>
                <w:tcPr>
                  <w:tcW w:w="917" w:type="dxa"/>
                  <w:vAlign w:val="center"/>
                </w:tcPr>
                <w:p w14:paraId="631CCD53">
                  <w:pPr>
                    <w:pageBreakBefore w:val="0"/>
                    <w:widowControl/>
                    <w:wordWrap w:val="0"/>
                    <w:overflowPunct/>
                    <w:bidi w:val="0"/>
                    <w:adjustRightInd w:val="0"/>
                    <w:snapToGrid w:val="0"/>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仓库</w:t>
                  </w:r>
                </w:p>
              </w:tc>
            </w:tr>
            <w:tr w14:paraId="08526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4" w:type="dxa"/>
                  <w:vAlign w:val="center"/>
                </w:tcPr>
                <w:p w14:paraId="4F95B776">
                  <w:pPr>
                    <w:pageBreakBefore w:val="0"/>
                    <w:wordWrap w:val="0"/>
                    <w:overflowPunct/>
                    <w:bidi w:val="0"/>
                    <w:spacing w:line="240" w:lineRule="auto"/>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8</w:t>
                  </w:r>
                </w:p>
              </w:tc>
              <w:tc>
                <w:tcPr>
                  <w:tcW w:w="1690" w:type="dxa"/>
                  <w:shd w:val="clear" w:color="auto" w:fill="auto"/>
                  <w:vAlign w:val="center"/>
                </w:tcPr>
                <w:p w14:paraId="65D097BA">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包材及辅料</w:t>
                  </w:r>
                </w:p>
              </w:tc>
              <w:tc>
                <w:tcPr>
                  <w:tcW w:w="1124" w:type="dxa"/>
                  <w:shd w:val="clear" w:color="auto" w:fill="auto"/>
                  <w:vAlign w:val="center"/>
                </w:tcPr>
                <w:p w14:paraId="3DF13915">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1291" w:type="dxa"/>
                  <w:shd w:val="clear" w:color="auto" w:fill="auto"/>
                  <w:vAlign w:val="center"/>
                </w:tcPr>
                <w:p w14:paraId="3F92CFC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526" w:type="dxa"/>
                  <w:shd w:val="clear" w:color="auto" w:fill="auto"/>
                  <w:vAlign w:val="center"/>
                </w:tcPr>
                <w:p w14:paraId="7CF9AD77">
                  <w:pPr>
                    <w:pageBreakBefore w:val="0"/>
                    <w:widowControl/>
                    <w:wordWrap w:val="0"/>
                    <w:overflowPunct/>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固态</w:t>
                  </w:r>
                </w:p>
              </w:tc>
              <w:tc>
                <w:tcPr>
                  <w:tcW w:w="882" w:type="dxa"/>
                  <w:shd w:val="clear" w:color="auto" w:fill="auto"/>
                  <w:vAlign w:val="center"/>
                </w:tcPr>
                <w:p w14:paraId="75C6B660">
                  <w:pPr>
                    <w:pageBreakBefore w:val="0"/>
                    <w:widowControl/>
                    <w:wordWrap w:val="0"/>
                    <w:overflowPunct/>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25kg/箱</w:t>
                  </w:r>
                </w:p>
              </w:tc>
              <w:tc>
                <w:tcPr>
                  <w:tcW w:w="1034" w:type="dxa"/>
                  <w:shd w:val="clear" w:color="auto" w:fill="auto"/>
                  <w:vAlign w:val="center"/>
                </w:tcPr>
                <w:p w14:paraId="1CC648C8">
                  <w:pPr>
                    <w:pageBreakBefore w:val="0"/>
                    <w:widowControl/>
                    <w:wordWrap w:val="0"/>
                    <w:overflowPunct/>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成品包装入库</w:t>
                  </w:r>
                </w:p>
              </w:tc>
              <w:tc>
                <w:tcPr>
                  <w:tcW w:w="917" w:type="dxa"/>
                  <w:shd w:val="clear" w:color="auto" w:fill="auto"/>
                  <w:vAlign w:val="center"/>
                </w:tcPr>
                <w:p w14:paraId="5A605CE1">
                  <w:pPr>
                    <w:pageBreakBefore w:val="0"/>
                    <w:widowControl/>
                    <w:wordWrap w:val="0"/>
                    <w:overflowPunct/>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仓库</w:t>
                  </w:r>
                </w:p>
              </w:tc>
            </w:tr>
            <w:tr w14:paraId="6B7B2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4" w:type="dxa"/>
                  <w:vAlign w:val="center"/>
                </w:tcPr>
                <w:p w14:paraId="6603F268">
                  <w:pPr>
                    <w:pageBreakBefore w:val="0"/>
                    <w:wordWrap w:val="0"/>
                    <w:overflowPunct/>
                    <w:bidi w:val="0"/>
                    <w:spacing w:line="240" w:lineRule="auto"/>
                    <w:jc w:val="center"/>
                    <w:rPr>
                      <w:rFonts w:hint="eastAsia" w:ascii="Times New Roman" w:hAnsi="Times New Roman" w:eastAsia="宋体" w:cs="Times New Roman"/>
                      <w:bCs/>
                      <w:color w:val="auto"/>
                      <w:sz w:val="21"/>
                      <w:szCs w:val="21"/>
                      <w:highlight w:val="none"/>
                      <w:lang w:eastAsia="zh-CN"/>
                    </w:rPr>
                  </w:pPr>
                  <w:r>
                    <w:rPr>
                      <w:rFonts w:hint="eastAsia" w:cs="Times New Roman"/>
                      <w:bCs/>
                      <w:color w:val="auto"/>
                      <w:sz w:val="21"/>
                      <w:szCs w:val="21"/>
                      <w:highlight w:val="none"/>
                      <w:lang w:val="en-US" w:eastAsia="zh-CN"/>
                    </w:rPr>
                    <w:t>9</w:t>
                  </w:r>
                </w:p>
              </w:tc>
              <w:tc>
                <w:tcPr>
                  <w:tcW w:w="1690" w:type="dxa"/>
                  <w:shd w:val="clear" w:color="auto" w:fill="auto"/>
                  <w:vAlign w:val="center"/>
                </w:tcPr>
                <w:p w14:paraId="10600B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焊丝</w:t>
                  </w:r>
                </w:p>
              </w:tc>
              <w:tc>
                <w:tcPr>
                  <w:tcW w:w="1124" w:type="dxa"/>
                  <w:shd w:val="clear" w:color="auto" w:fill="auto"/>
                  <w:vAlign w:val="center"/>
                </w:tcPr>
                <w:p w14:paraId="36D6BC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16.9</w:t>
                  </w:r>
                </w:p>
              </w:tc>
              <w:tc>
                <w:tcPr>
                  <w:tcW w:w="1291" w:type="dxa"/>
                  <w:shd w:val="clear" w:color="auto" w:fill="auto"/>
                  <w:vAlign w:val="center"/>
                </w:tcPr>
                <w:p w14:paraId="0A5E9F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526" w:type="dxa"/>
                  <w:shd w:val="clear" w:color="auto" w:fill="auto"/>
                  <w:vAlign w:val="center"/>
                </w:tcPr>
                <w:p w14:paraId="0A9773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固态</w:t>
                  </w:r>
                </w:p>
              </w:tc>
              <w:tc>
                <w:tcPr>
                  <w:tcW w:w="882" w:type="dxa"/>
                  <w:shd w:val="clear" w:color="auto" w:fill="auto"/>
                  <w:vAlign w:val="center"/>
                </w:tcPr>
                <w:p w14:paraId="268469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25kg/</w:t>
                  </w:r>
                  <w:r>
                    <w:rPr>
                      <w:rFonts w:hint="eastAsia" w:ascii="Times New Roman" w:hAnsi="Times New Roman" w:eastAsia="宋体" w:cs="Times New Roman"/>
                      <w:i w:val="0"/>
                      <w:iCs w:val="0"/>
                      <w:color w:val="auto"/>
                      <w:kern w:val="0"/>
                      <w:sz w:val="21"/>
                      <w:szCs w:val="21"/>
                      <w:highlight w:val="none"/>
                      <w:u w:val="none"/>
                      <w:lang w:val="en-US" w:eastAsia="zh-CN"/>
                    </w:rPr>
                    <w:t>箱</w:t>
                  </w:r>
                </w:p>
              </w:tc>
              <w:tc>
                <w:tcPr>
                  <w:tcW w:w="1034" w:type="dxa"/>
                  <w:shd w:val="clear" w:color="auto" w:fill="auto"/>
                  <w:vAlign w:val="center"/>
                </w:tcPr>
                <w:p w14:paraId="0104E5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焊接</w:t>
                  </w:r>
                </w:p>
              </w:tc>
              <w:tc>
                <w:tcPr>
                  <w:tcW w:w="917" w:type="dxa"/>
                  <w:shd w:val="clear" w:color="auto" w:fill="auto"/>
                  <w:vAlign w:val="center"/>
                </w:tcPr>
                <w:p w14:paraId="449C4429">
                  <w:pPr>
                    <w:pageBreakBefore w:val="0"/>
                    <w:widowControl/>
                    <w:wordWrap w:val="0"/>
                    <w:overflowPunct/>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化学品仓库</w:t>
                  </w:r>
                </w:p>
              </w:tc>
            </w:tr>
            <w:tr w14:paraId="0DB70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84" w:type="dxa"/>
                  <w:vAlign w:val="center"/>
                </w:tcPr>
                <w:p w14:paraId="218725FB">
                  <w:pPr>
                    <w:pageBreakBefore w:val="0"/>
                    <w:wordWrap w:val="0"/>
                    <w:overflowPunct/>
                    <w:bidi w:val="0"/>
                    <w:spacing w:line="240" w:lineRule="auto"/>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10</w:t>
                  </w:r>
                </w:p>
              </w:tc>
              <w:tc>
                <w:tcPr>
                  <w:tcW w:w="1690" w:type="dxa"/>
                  <w:shd w:val="clear" w:color="auto" w:fill="auto"/>
                  <w:vAlign w:val="center"/>
                </w:tcPr>
                <w:p w14:paraId="70A4BB2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pH</w:t>
                  </w:r>
                  <w:r>
                    <w:rPr>
                      <w:rFonts w:hint="eastAsia" w:ascii="宋体" w:hAnsi="宋体" w:eastAsia="宋体" w:cs="宋体"/>
                      <w:i w:val="0"/>
                      <w:iCs w:val="0"/>
                      <w:color w:val="auto"/>
                      <w:kern w:val="0"/>
                      <w:sz w:val="21"/>
                      <w:szCs w:val="21"/>
                      <w:highlight w:val="none"/>
                      <w:u w:val="none"/>
                      <w:lang w:val="en-US" w:eastAsia="zh-CN" w:bidi="ar"/>
                    </w:rPr>
                    <w:t>调整剂（硫酸</w:t>
                  </w:r>
                  <w:r>
                    <w:rPr>
                      <w:rFonts w:hint="default" w:ascii="Times New Roman" w:hAnsi="Times New Roman" w:eastAsia="宋体" w:cs="Times New Roman"/>
                      <w:i w:val="0"/>
                      <w:iCs w:val="0"/>
                      <w:color w:val="auto"/>
                      <w:kern w:val="0"/>
                      <w:sz w:val="21"/>
                      <w:szCs w:val="21"/>
                      <w:highlight w:val="none"/>
                      <w:u w:val="none"/>
                      <w:lang w:val="en-US" w:eastAsia="zh-CN" w:bidi="ar"/>
                    </w:rPr>
                    <w:t>70%</w:t>
                  </w:r>
                  <w:r>
                    <w:rPr>
                      <w:rFonts w:hint="eastAsia" w:ascii="宋体" w:hAnsi="宋体" w:eastAsia="宋体" w:cs="宋体"/>
                      <w:i w:val="0"/>
                      <w:iCs w:val="0"/>
                      <w:color w:val="auto"/>
                      <w:kern w:val="0"/>
                      <w:sz w:val="21"/>
                      <w:szCs w:val="21"/>
                      <w:highlight w:val="none"/>
                      <w:u w:val="none"/>
                      <w:lang w:val="en-US" w:eastAsia="zh-CN" w:bidi="ar"/>
                    </w:rPr>
                    <w:t>）</w:t>
                  </w:r>
                </w:p>
              </w:tc>
              <w:tc>
                <w:tcPr>
                  <w:tcW w:w="1124" w:type="dxa"/>
                  <w:shd w:val="clear" w:color="auto" w:fill="auto"/>
                  <w:vAlign w:val="center"/>
                </w:tcPr>
                <w:p w14:paraId="5DE7413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1291" w:type="dxa"/>
                  <w:shd w:val="clear" w:color="auto" w:fill="auto"/>
                  <w:vAlign w:val="center"/>
                </w:tcPr>
                <w:p w14:paraId="2C1C46D5">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526" w:type="dxa"/>
                  <w:shd w:val="clear" w:color="auto" w:fill="auto"/>
                  <w:vAlign w:val="center"/>
                </w:tcPr>
                <w:p w14:paraId="0EF402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rPr>
                    <w:t>液态</w:t>
                  </w:r>
                </w:p>
              </w:tc>
              <w:tc>
                <w:tcPr>
                  <w:tcW w:w="882" w:type="dxa"/>
                  <w:shd w:val="clear" w:color="auto" w:fill="auto"/>
                  <w:vAlign w:val="center"/>
                </w:tcPr>
                <w:p w14:paraId="29104F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rPr>
                    <w:t>25kg/桶</w:t>
                  </w:r>
                </w:p>
              </w:tc>
              <w:tc>
                <w:tcPr>
                  <w:tcW w:w="1034" w:type="dxa"/>
                  <w:vMerge w:val="restart"/>
                  <w:shd w:val="clear" w:color="auto" w:fill="auto"/>
                  <w:vAlign w:val="center"/>
                </w:tcPr>
                <w:p w14:paraId="400929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rPr>
                    <w:t>自建污水处理站</w:t>
                  </w:r>
                </w:p>
              </w:tc>
              <w:tc>
                <w:tcPr>
                  <w:tcW w:w="917" w:type="dxa"/>
                  <w:vMerge w:val="restart"/>
                  <w:shd w:val="clear" w:color="auto" w:fill="auto"/>
                  <w:vAlign w:val="center"/>
                </w:tcPr>
                <w:p w14:paraId="4AE85F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rPr>
                    <w:t>自建污水处理站</w:t>
                  </w:r>
                </w:p>
              </w:tc>
            </w:tr>
            <w:tr w14:paraId="790EE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4" w:type="dxa"/>
                  <w:vAlign w:val="center"/>
                </w:tcPr>
                <w:p w14:paraId="0C5788FE">
                  <w:pPr>
                    <w:pageBreakBefore w:val="0"/>
                    <w:wordWrap w:val="0"/>
                    <w:overflowPunct/>
                    <w:bidi w:val="0"/>
                    <w:spacing w:line="240" w:lineRule="auto"/>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11</w:t>
                  </w:r>
                </w:p>
              </w:tc>
              <w:tc>
                <w:tcPr>
                  <w:tcW w:w="1690" w:type="dxa"/>
                  <w:shd w:val="clear" w:color="auto" w:fill="auto"/>
                  <w:vAlign w:val="center"/>
                </w:tcPr>
                <w:p w14:paraId="102C6DE4">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PAC</w:t>
                  </w:r>
                </w:p>
              </w:tc>
              <w:tc>
                <w:tcPr>
                  <w:tcW w:w="1124" w:type="dxa"/>
                  <w:shd w:val="clear" w:color="auto" w:fill="auto"/>
                  <w:vAlign w:val="center"/>
                </w:tcPr>
                <w:p w14:paraId="3F86E009">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291" w:type="dxa"/>
                  <w:shd w:val="clear" w:color="auto" w:fill="auto"/>
                  <w:vAlign w:val="center"/>
                </w:tcPr>
                <w:p w14:paraId="4879AF56">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526" w:type="dxa"/>
                  <w:shd w:val="clear" w:color="auto" w:fill="auto"/>
                  <w:vAlign w:val="center"/>
                </w:tcPr>
                <w:p w14:paraId="58485F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rPr>
                    <w:t>固态</w:t>
                  </w:r>
                </w:p>
              </w:tc>
              <w:tc>
                <w:tcPr>
                  <w:tcW w:w="882" w:type="dxa"/>
                  <w:shd w:val="clear" w:color="auto" w:fill="auto"/>
                  <w:vAlign w:val="center"/>
                </w:tcPr>
                <w:p w14:paraId="68E65F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rPr>
                    <w:t>25kg/袋</w:t>
                  </w:r>
                </w:p>
              </w:tc>
              <w:tc>
                <w:tcPr>
                  <w:tcW w:w="1034" w:type="dxa"/>
                  <w:vMerge w:val="continue"/>
                  <w:shd w:val="clear" w:color="auto" w:fill="auto"/>
                  <w:vAlign w:val="center"/>
                </w:tcPr>
                <w:p w14:paraId="5DAFF6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p>
              </w:tc>
              <w:tc>
                <w:tcPr>
                  <w:tcW w:w="917" w:type="dxa"/>
                  <w:vMerge w:val="continue"/>
                  <w:shd w:val="clear" w:color="auto" w:fill="auto"/>
                  <w:vAlign w:val="center"/>
                </w:tcPr>
                <w:p w14:paraId="0F367B96">
                  <w:pPr>
                    <w:pageBreakBefore w:val="0"/>
                    <w:widowControl/>
                    <w:wordWrap w:val="0"/>
                    <w:overflowPunct/>
                    <w:bidi w:val="0"/>
                    <w:adjustRightInd w:val="0"/>
                    <w:snapToGrid w:val="0"/>
                    <w:spacing w:line="240" w:lineRule="auto"/>
                    <w:jc w:val="center"/>
                    <w:rPr>
                      <w:rFonts w:hint="eastAsia" w:cs="Times New Roman"/>
                      <w:color w:val="auto"/>
                      <w:sz w:val="21"/>
                      <w:szCs w:val="21"/>
                      <w:highlight w:val="none"/>
                      <w:lang w:val="en-US" w:eastAsia="zh-CN"/>
                    </w:rPr>
                  </w:pPr>
                </w:p>
              </w:tc>
            </w:tr>
            <w:tr w14:paraId="2FE36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4" w:type="dxa"/>
                  <w:vAlign w:val="center"/>
                </w:tcPr>
                <w:p w14:paraId="7AEFCAD3">
                  <w:pPr>
                    <w:pageBreakBefore w:val="0"/>
                    <w:wordWrap w:val="0"/>
                    <w:overflowPunct/>
                    <w:bidi w:val="0"/>
                    <w:spacing w:line="240" w:lineRule="auto"/>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12</w:t>
                  </w:r>
                </w:p>
              </w:tc>
              <w:tc>
                <w:tcPr>
                  <w:tcW w:w="1690" w:type="dxa"/>
                  <w:shd w:val="clear" w:color="auto" w:fill="auto"/>
                  <w:vAlign w:val="center"/>
                </w:tcPr>
                <w:p w14:paraId="73B5673B">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PAM</w:t>
                  </w:r>
                </w:p>
              </w:tc>
              <w:tc>
                <w:tcPr>
                  <w:tcW w:w="1124" w:type="dxa"/>
                  <w:shd w:val="clear" w:color="auto" w:fill="auto"/>
                  <w:vAlign w:val="center"/>
                </w:tcPr>
                <w:p w14:paraId="2105DC22">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1291" w:type="dxa"/>
                  <w:shd w:val="clear" w:color="auto" w:fill="auto"/>
                  <w:vAlign w:val="center"/>
                </w:tcPr>
                <w:p w14:paraId="5A2C95DD">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526" w:type="dxa"/>
                  <w:shd w:val="clear" w:color="auto" w:fill="auto"/>
                  <w:vAlign w:val="center"/>
                </w:tcPr>
                <w:p w14:paraId="2F772D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rPr>
                    <w:t>固态</w:t>
                  </w:r>
                </w:p>
              </w:tc>
              <w:tc>
                <w:tcPr>
                  <w:tcW w:w="882" w:type="dxa"/>
                  <w:shd w:val="clear" w:color="auto" w:fill="auto"/>
                  <w:vAlign w:val="center"/>
                </w:tcPr>
                <w:p w14:paraId="79C5FA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rPr>
                    <w:t>25kg/袋</w:t>
                  </w:r>
                </w:p>
              </w:tc>
              <w:tc>
                <w:tcPr>
                  <w:tcW w:w="1034" w:type="dxa"/>
                  <w:vMerge w:val="continue"/>
                  <w:shd w:val="clear" w:color="auto" w:fill="auto"/>
                  <w:vAlign w:val="center"/>
                </w:tcPr>
                <w:p w14:paraId="2CA0E9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p>
              </w:tc>
              <w:tc>
                <w:tcPr>
                  <w:tcW w:w="917" w:type="dxa"/>
                  <w:vMerge w:val="continue"/>
                  <w:shd w:val="clear" w:color="auto" w:fill="auto"/>
                  <w:vAlign w:val="center"/>
                </w:tcPr>
                <w:p w14:paraId="7AB7018A">
                  <w:pPr>
                    <w:pageBreakBefore w:val="0"/>
                    <w:widowControl/>
                    <w:wordWrap w:val="0"/>
                    <w:overflowPunct/>
                    <w:bidi w:val="0"/>
                    <w:adjustRightInd w:val="0"/>
                    <w:snapToGrid w:val="0"/>
                    <w:spacing w:line="240" w:lineRule="auto"/>
                    <w:jc w:val="center"/>
                    <w:rPr>
                      <w:rFonts w:hint="eastAsia" w:cs="Times New Roman"/>
                      <w:color w:val="auto"/>
                      <w:sz w:val="21"/>
                      <w:szCs w:val="21"/>
                      <w:highlight w:val="none"/>
                      <w:lang w:val="en-US" w:eastAsia="zh-CN"/>
                    </w:rPr>
                  </w:pPr>
                </w:p>
              </w:tc>
            </w:tr>
            <w:tr w14:paraId="7B395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4" w:type="dxa"/>
                  <w:vAlign w:val="center"/>
                </w:tcPr>
                <w:p w14:paraId="04C9F1B9">
                  <w:pPr>
                    <w:pageBreakBefore w:val="0"/>
                    <w:wordWrap w:val="0"/>
                    <w:overflowPunct/>
                    <w:bidi w:val="0"/>
                    <w:spacing w:line="240" w:lineRule="auto"/>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13</w:t>
                  </w:r>
                </w:p>
              </w:tc>
              <w:tc>
                <w:tcPr>
                  <w:tcW w:w="1690" w:type="dxa"/>
                  <w:shd w:val="clear" w:color="auto" w:fill="auto"/>
                  <w:vAlign w:val="center"/>
                </w:tcPr>
                <w:p w14:paraId="6762303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氢氧化钙</w:t>
                  </w:r>
                </w:p>
              </w:tc>
              <w:tc>
                <w:tcPr>
                  <w:tcW w:w="1124" w:type="dxa"/>
                  <w:shd w:val="clear" w:color="auto" w:fill="auto"/>
                  <w:vAlign w:val="center"/>
                </w:tcPr>
                <w:p w14:paraId="492E124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w:t>
                  </w:r>
                </w:p>
              </w:tc>
              <w:tc>
                <w:tcPr>
                  <w:tcW w:w="1291" w:type="dxa"/>
                  <w:shd w:val="clear" w:color="auto" w:fill="auto"/>
                  <w:vAlign w:val="center"/>
                </w:tcPr>
                <w:p w14:paraId="203B0E6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526" w:type="dxa"/>
                  <w:shd w:val="clear" w:color="auto" w:fill="auto"/>
                  <w:vAlign w:val="center"/>
                </w:tcPr>
                <w:p w14:paraId="1A9CC3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固态</w:t>
                  </w:r>
                </w:p>
              </w:tc>
              <w:tc>
                <w:tcPr>
                  <w:tcW w:w="882" w:type="dxa"/>
                  <w:shd w:val="clear" w:color="auto" w:fill="auto"/>
                  <w:vAlign w:val="center"/>
                </w:tcPr>
                <w:p w14:paraId="18D32A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25kg/袋</w:t>
                  </w:r>
                </w:p>
              </w:tc>
              <w:tc>
                <w:tcPr>
                  <w:tcW w:w="1034" w:type="dxa"/>
                  <w:vMerge w:val="continue"/>
                  <w:shd w:val="clear" w:color="auto" w:fill="auto"/>
                  <w:vAlign w:val="center"/>
                </w:tcPr>
                <w:p w14:paraId="35D111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rPr>
                  </w:pPr>
                </w:p>
              </w:tc>
              <w:tc>
                <w:tcPr>
                  <w:tcW w:w="917" w:type="dxa"/>
                  <w:vMerge w:val="continue"/>
                  <w:shd w:val="clear" w:color="auto" w:fill="auto"/>
                  <w:vAlign w:val="center"/>
                </w:tcPr>
                <w:p w14:paraId="08B44CE3">
                  <w:pPr>
                    <w:pageBreakBefore w:val="0"/>
                    <w:widowControl/>
                    <w:wordWrap w:val="0"/>
                    <w:overflowPunct/>
                    <w:bidi w:val="0"/>
                    <w:adjustRightInd w:val="0"/>
                    <w:snapToGrid w:val="0"/>
                    <w:spacing w:line="240" w:lineRule="auto"/>
                    <w:jc w:val="center"/>
                    <w:rPr>
                      <w:rFonts w:hint="eastAsia" w:cs="Times New Roman"/>
                      <w:color w:val="auto"/>
                      <w:sz w:val="21"/>
                      <w:szCs w:val="21"/>
                      <w:highlight w:val="none"/>
                      <w:lang w:val="en-US" w:eastAsia="zh-CN"/>
                    </w:rPr>
                  </w:pPr>
                </w:p>
              </w:tc>
            </w:tr>
            <w:tr w14:paraId="06DD1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4" w:type="dxa"/>
                  <w:vAlign w:val="center"/>
                </w:tcPr>
                <w:p w14:paraId="068024EF">
                  <w:pPr>
                    <w:pageBreakBefore w:val="0"/>
                    <w:wordWrap w:val="0"/>
                    <w:overflowPunct/>
                    <w:bidi w:val="0"/>
                    <w:spacing w:line="240" w:lineRule="auto"/>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14</w:t>
                  </w:r>
                </w:p>
              </w:tc>
              <w:tc>
                <w:tcPr>
                  <w:tcW w:w="1690" w:type="dxa"/>
                  <w:shd w:val="clear" w:color="auto" w:fill="auto"/>
                  <w:vAlign w:val="center"/>
                </w:tcPr>
                <w:p w14:paraId="7EA1A2E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氯化钙</w:t>
                  </w:r>
                </w:p>
              </w:tc>
              <w:tc>
                <w:tcPr>
                  <w:tcW w:w="1124" w:type="dxa"/>
                  <w:shd w:val="clear" w:color="auto" w:fill="auto"/>
                  <w:vAlign w:val="center"/>
                </w:tcPr>
                <w:p w14:paraId="076AA34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w:t>
                  </w:r>
                </w:p>
              </w:tc>
              <w:tc>
                <w:tcPr>
                  <w:tcW w:w="1291" w:type="dxa"/>
                  <w:shd w:val="clear" w:color="auto" w:fill="auto"/>
                  <w:vAlign w:val="center"/>
                </w:tcPr>
                <w:p w14:paraId="64C1E96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526" w:type="dxa"/>
                  <w:shd w:val="clear" w:color="auto" w:fill="auto"/>
                  <w:vAlign w:val="center"/>
                </w:tcPr>
                <w:p w14:paraId="52EF0D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固态</w:t>
                  </w:r>
                </w:p>
              </w:tc>
              <w:tc>
                <w:tcPr>
                  <w:tcW w:w="882" w:type="dxa"/>
                  <w:shd w:val="clear" w:color="auto" w:fill="auto"/>
                  <w:vAlign w:val="center"/>
                </w:tcPr>
                <w:p w14:paraId="0D00DF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25kg/袋</w:t>
                  </w:r>
                </w:p>
              </w:tc>
              <w:tc>
                <w:tcPr>
                  <w:tcW w:w="1034" w:type="dxa"/>
                  <w:vMerge w:val="continue"/>
                  <w:shd w:val="clear" w:color="auto" w:fill="auto"/>
                  <w:vAlign w:val="center"/>
                </w:tcPr>
                <w:p w14:paraId="1FFB92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rPr>
                  </w:pPr>
                </w:p>
              </w:tc>
              <w:tc>
                <w:tcPr>
                  <w:tcW w:w="917" w:type="dxa"/>
                  <w:vMerge w:val="continue"/>
                  <w:shd w:val="clear" w:color="auto" w:fill="auto"/>
                  <w:vAlign w:val="center"/>
                </w:tcPr>
                <w:p w14:paraId="47331BBD">
                  <w:pPr>
                    <w:pageBreakBefore w:val="0"/>
                    <w:widowControl/>
                    <w:wordWrap w:val="0"/>
                    <w:overflowPunct/>
                    <w:bidi w:val="0"/>
                    <w:adjustRightInd w:val="0"/>
                    <w:snapToGrid w:val="0"/>
                    <w:spacing w:line="240" w:lineRule="auto"/>
                    <w:jc w:val="center"/>
                    <w:rPr>
                      <w:rFonts w:hint="eastAsia" w:cs="Times New Roman"/>
                      <w:color w:val="auto"/>
                      <w:sz w:val="21"/>
                      <w:szCs w:val="21"/>
                      <w:highlight w:val="none"/>
                      <w:lang w:val="en-US" w:eastAsia="zh-CN"/>
                    </w:rPr>
                  </w:pPr>
                </w:p>
              </w:tc>
            </w:tr>
            <w:tr w14:paraId="19613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4" w:type="dxa"/>
                  <w:vAlign w:val="center"/>
                </w:tcPr>
                <w:p w14:paraId="0E201952">
                  <w:pPr>
                    <w:pageBreakBefore w:val="0"/>
                    <w:wordWrap w:val="0"/>
                    <w:overflowPunct/>
                    <w:bidi w:val="0"/>
                    <w:spacing w:line="240" w:lineRule="auto"/>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15</w:t>
                  </w:r>
                </w:p>
              </w:tc>
              <w:tc>
                <w:tcPr>
                  <w:tcW w:w="1690" w:type="dxa"/>
                  <w:shd w:val="clear" w:color="auto" w:fill="auto"/>
                  <w:vAlign w:val="center"/>
                </w:tcPr>
                <w:p w14:paraId="36AD37E8">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机油</w:t>
                  </w:r>
                </w:p>
              </w:tc>
              <w:tc>
                <w:tcPr>
                  <w:tcW w:w="1124" w:type="dxa"/>
                  <w:shd w:val="clear" w:color="auto" w:fill="auto"/>
                  <w:vAlign w:val="center"/>
                </w:tcPr>
                <w:p w14:paraId="477F12AE">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1291" w:type="dxa"/>
                  <w:shd w:val="clear" w:color="auto" w:fill="auto"/>
                  <w:vAlign w:val="center"/>
                </w:tcPr>
                <w:p w14:paraId="4CE476B2">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526" w:type="dxa"/>
                  <w:shd w:val="clear" w:color="auto" w:fill="auto"/>
                  <w:vAlign w:val="center"/>
                </w:tcPr>
                <w:p w14:paraId="3ADB01F4">
                  <w:pPr>
                    <w:pageBreakBefore w:val="0"/>
                    <w:widowControl/>
                    <w:wordWrap w:val="0"/>
                    <w:overflowPunct/>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液态</w:t>
                  </w:r>
                </w:p>
              </w:tc>
              <w:tc>
                <w:tcPr>
                  <w:tcW w:w="882" w:type="dxa"/>
                  <w:shd w:val="clear" w:color="auto" w:fill="auto"/>
                  <w:vAlign w:val="center"/>
                </w:tcPr>
                <w:p w14:paraId="5E887CC6">
                  <w:pPr>
                    <w:pageBreakBefore w:val="0"/>
                    <w:widowControl/>
                    <w:wordWrap w:val="0"/>
                    <w:overflowPunct/>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20kg/桶</w:t>
                  </w:r>
                </w:p>
              </w:tc>
              <w:tc>
                <w:tcPr>
                  <w:tcW w:w="1034" w:type="dxa"/>
                  <w:vMerge w:val="restart"/>
                  <w:shd w:val="clear" w:color="auto" w:fill="auto"/>
                  <w:vAlign w:val="center"/>
                </w:tcPr>
                <w:p w14:paraId="45F885E1">
                  <w:pPr>
                    <w:pageBreakBefore w:val="0"/>
                    <w:widowControl/>
                    <w:wordWrap w:val="0"/>
                    <w:overflowPunct/>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设备维护</w:t>
                  </w:r>
                </w:p>
              </w:tc>
              <w:tc>
                <w:tcPr>
                  <w:tcW w:w="917" w:type="dxa"/>
                  <w:vMerge w:val="restart"/>
                  <w:shd w:val="clear" w:color="auto" w:fill="auto"/>
                  <w:vAlign w:val="center"/>
                </w:tcPr>
                <w:p w14:paraId="0E08178B">
                  <w:pPr>
                    <w:pageBreakBefore w:val="0"/>
                    <w:widowControl/>
                    <w:wordWrap w:val="0"/>
                    <w:overflowPunct/>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化学品仓库</w:t>
                  </w:r>
                </w:p>
              </w:tc>
            </w:tr>
            <w:tr w14:paraId="0F947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4" w:type="dxa"/>
                  <w:vAlign w:val="center"/>
                </w:tcPr>
                <w:p w14:paraId="2013EF39">
                  <w:pPr>
                    <w:pageBreakBefore w:val="0"/>
                    <w:wordWrap w:val="0"/>
                    <w:overflowPunct/>
                    <w:bidi w:val="0"/>
                    <w:spacing w:line="240" w:lineRule="auto"/>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16</w:t>
                  </w:r>
                </w:p>
              </w:tc>
              <w:tc>
                <w:tcPr>
                  <w:tcW w:w="1690" w:type="dxa"/>
                  <w:shd w:val="clear" w:color="auto" w:fill="auto"/>
                  <w:vAlign w:val="center"/>
                </w:tcPr>
                <w:p w14:paraId="102D75F7">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液压油</w:t>
                  </w:r>
                </w:p>
              </w:tc>
              <w:tc>
                <w:tcPr>
                  <w:tcW w:w="1124" w:type="dxa"/>
                  <w:shd w:val="clear" w:color="auto" w:fill="auto"/>
                  <w:vAlign w:val="center"/>
                </w:tcPr>
                <w:p w14:paraId="08B0A4F8">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0.6</w:t>
                  </w:r>
                </w:p>
              </w:tc>
              <w:tc>
                <w:tcPr>
                  <w:tcW w:w="1291" w:type="dxa"/>
                  <w:shd w:val="clear" w:color="auto" w:fill="auto"/>
                  <w:vAlign w:val="center"/>
                </w:tcPr>
                <w:p w14:paraId="07AF15AE">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526" w:type="dxa"/>
                  <w:shd w:val="clear" w:color="auto" w:fill="auto"/>
                  <w:vAlign w:val="center"/>
                </w:tcPr>
                <w:p w14:paraId="505CE8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rPr>
                    <w:t>液态</w:t>
                  </w:r>
                </w:p>
              </w:tc>
              <w:tc>
                <w:tcPr>
                  <w:tcW w:w="882" w:type="dxa"/>
                  <w:shd w:val="clear" w:color="auto" w:fill="auto"/>
                  <w:vAlign w:val="center"/>
                </w:tcPr>
                <w:p w14:paraId="380E94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rPr>
                    <w:t>200L/桶</w:t>
                  </w:r>
                </w:p>
              </w:tc>
              <w:tc>
                <w:tcPr>
                  <w:tcW w:w="1034" w:type="dxa"/>
                  <w:vMerge w:val="continue"/>
                  <w:shd w:val="clear" w:color="auto" w:fill="auto"/>
                  <w:vAlign w:val="center"/>
                </w:tcPr>
                <w:p w14:paraId="4AC65A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p>
              </w:tc>
              <w:tc>
                <w:tcPr>
                  <w:tcW w:w="917" w:type="dxa"/>
                  <w:vMerge w:val="continue"/>
                  <w:shd w:val="clear" w:color="auto" w:fill="auto"/>
                  <w:vAlign w:val="center"/>
                </w:tcPr>
                <w:p w14:paraId="63309611">
                  <w:pPr>
                    <w:pageBreakBefore w:val="0"/>
                    <w:widowControl/>
                    <w:wordWrap w:val="0"/>
                    <w:overflowPunct/>
                    <w:bidi w:val="0"/>
                    <w:adjustRightInd w:val="0"/>
                    <w:snapToGrid w:val="0"/>
                    <w:spacing w:line="240" w:lineRule="auto"/>
                    <w:jc w:val="center"/>
                    <w:rPr>
                      <w:rFonts w:hint="eastAsia" w:cs="Times New Roman"/>
                      <w:color w:val="auto"/>
                      <w:sz w:val="21"/>
                      <w:szCs w:val="21"/>
                      <w:highlight w:val="none"/>
                      <w:lang w:val="en-US" w:eastAsia="zh-CN"/>
                    </w:rPr>
                  </w:pPr>
                </w:p>
              </w:tc>
            </w:tr>
            <w:tr w14:paraId="4076F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4" w:type="dxa"/>
                  <w:vAlign w:val="center"/>
                </w:tcPr>
                <w:p w14:paraId="2B13634B">
                  <w:pPr>
                    <w:pageBreakBefore w:val="0"/>
                    <w:wordWrap w:val="0"/>
                    <w:overflowPunct/>
                    <w:bidi w:val="0"/>
                    <w:spacing w:line="240" w:lineRule="auto"/>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17</w:t>
                  </w:r>
                </w:p>
              </w:tc>
              <w:tc>
                <w:tcPr>
                  <w:tcW w:w="1690" w:type="dxa"/>
                  <w:shd w:val="clear" w:color="auto" w:fill="auto"/>
                  <w:vAlign w:val="center"/>
                </w:tcPr>
                <w:p w14:paraId="522D94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天然气</w:t>
                  </w:r>
                </w:p>
              </w:tc>
              <w:tc>
                <w:tcPr>
                  <w:tcW w:w="1124" w:type="dxa"/>
                  <w:shd w:val="clear" w:color="auto" w:fill="auto"/>
                  <w:vAlign w:val="center"/>
                </w:tcPr>
                <w:p w14:paraId="1B7AE6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vertAlign w:val="superscript"/>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w:t>
                  </w:r>
                  <w:r>
                    <w:rPr>
                      <w:rFonts w:hint="eastAsia" w:ascii="宋体" w:hAnsi="宋体" w:eastAsia="宋体" w:cs="宋体"/>
                      <w:i w:val="0"/>
                      <w:iCs w:val="0"/>
                      <w:color w:val="auto"/>
                      <w:kern w:val="0"/>
                      <w:sz w:val="21"/>
                      <w:szCs w:val="21"/>
                      <w:highlight w:val="none"/>
                      <w:u w:val="none"/>
                      <w:lang w:val="en-US" w:eastAsia="zh-CN" w:bidi="ar"/>
                    </w:rPr>
                    <w:t>万</w:t>
                  </w:r>
                  <w:r>
                    <w:rPr>
                      <w:rFonts w:hint="default"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1291" w:type="dxa"/>
                  <w:shd w:val="clear" w:color="auto" w:fill="auto"/>
                  <w:vAlign w:val="center"/>
                </w:tcPr>
                <w:p w14:paraId="485B50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0.00016</w:t>
                  </w:r>
                </w:p>
              </w:tc>
              <w:tc>
                <w:tcPr>
                  <w:tcW w:w="526" w:type="dxa"/>
                  <w:shd w:val="clear" w:color="auto" w:fill="auto"/>
                  <w:vAlign w:val="center"/>
                </w:tcPr>
                <w:p w14:paraId="77EF4C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气态</w:t>
                  </w:r>
                </w:p>
              </w:tc>
              <w:tc>
                <w:tcPr>
                  <w:tcW w:w="882" w:type="dxa"/>
                  <w:shd w:val="clear" w:color="auto" w:fill="auto"/>
                  <w:vAlign w:val="center"/>
                </w:tcPr>
                <w:p w14:paraId="54A955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0.7174kg/m</w:t>
                  </w:r>
                  <w:r>
                    <w:rPr>
                      <w:rFonts w:hint="default" w:ascii="Times New Roman" w:hAnsi="Times New Roman" w:eastAsia="宋体" w:cs="Times New Roman"/>
                      <w:i w:val="0"/>
                      <w:iCs w:val="0"/>
                      <w:color w:val="auto"/>
                      <w:kern w:val="0"/>
                      <w:sz w:val="21"/>
                      <w:szCs w:val="21"/>
                      <w:highlight w:val="none"/>
                      <w:u w:val="none"/>
                      <w:vertAlign w:val="superscript"/>
                      <w:lang w:val="en-US" w:eastAsia="zh-CN"/>
                    </w:rPr>
                    <w:t>3</w:t>
                  </w:r>
                </w:p>
              </w:tc>
              <w:tc>
                <w:tcPr>
                  <w:tcW w:w="1034" w:type="dxa"/>
                  <w:shd w:val="clear" w:color="auto" w:fill="auto"/>
                  <w:vAlign w:val="center"/>
                </w:tcPr>
                <w:p w14:paraId="0E02AD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表面处理</w:t>
                  </w:r>
                </w:p>
              </w:tc>
              <w:tc>
                <w:tcPr>
                  <w:tcW w:w="917" w:type="dxa"/>
                  <w:shd w:val="clear" w:color="auto" w:fill="auto"/>
                  <w:vAlign w:val="center"/>
                </w:tcPr>
                <w:p w14:paraId="24AB4977">
                  <w:pPr>
                    <w:pageBreakBefore w:val="0"/>
                    <w:widowControl/>
                    <w:wordWrap w:val="0"/>
                    <w:overflowPunct/>
                    <w:bidi w:val="0"/>
                    <w:adjustRightInd w:val="0"/>
                    <w:snapToGrid w:val="0"/>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管道</w:t>
                  </w:r>
                </w:p>
              </w:tc>
            </w:tr>
            <w:tr w14:paraId="29C9C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4" w:type="dxa"/>
                  <w:vAlign w:val="center"/>
                </w:tcPr>
                <w:p w14:paraId="136A3C56">
                  <w:pPr>
                    <w:pageBreakBefore w:val="0"/>
                    <w:wordWrap w:val="0"/>
                    <w:overflowPunct/>
                    <w:bidi w:val="0"/>
                    <w:spacing w:line="240" w:lineRule="auto"/>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18</w:t>
                  </w:r>
                </w:p>
              </w:tc>
              <w:tc>
                <w:tcPr>
                  <w:tcW w:w="1690" w:type="dxa"/>
                  <w:shd w:val="clear" w:color="auto" w:fill="auto"/>
                  <w:vAlign w:val="center"/>
                </w:tcPr>
                <w:p w14:paraId="36A7B843">
                  <w:pPr>
                    <w:keepNext w:val="0"/>
                    <w:keepLines w:val="0"/>
                    <w:widowControl/>
                    <w:suppressLineNumbers w:val="0"/>
                    <w:jc w:val="center"/>
                    <w:textAlignment w:val="center"/>
                    <w:rPr>
                      <w:rFonts w:hint="default"/>
                      <w:color w:val="auto"/>
                      <w:highlight w:val="none"/>
                      <w:lang w:val="en-US"/>
                    </w:rPr>
                  </w:pPr>
                  <w:r>
                    <w:rPr>
                      <w:rFonts w:hint="eastAsia" w:ascii="宋体" w:hAnsi="宋体" w:eastAsia="宋体" w:cs="宋体"/>
                      <w:i w:val="0"/>
                      <w:iCs w:val="0"/>
                      <w:color w:val="auto"/>
                      <w:kern w:val="0"/>
                      <w:sz w:val="21"/>
                      <w:szCs w:val="21"/>
                      <w:highlight w:val="none"/>
                      <w:u w:val="none"/>
                      <w:lang w:val="en-US" w:eastAsia="zh-CN" w:bidi="ar"/>
                    </w:rPr>
                    <w:t>面漆</w:t>
                  </w:r>
                </w:p>
              </w:tc>
              <w:tc>
                <w:tcPr>
                  <w:tcW w:w="1124" w:type="dxa"/>
                  <w:shd w:val="clear" w:color="auto" w:fill="auto"/>
                  <w:vAlign w:val="center"/>
                </w:tcPr>
                <w:p w14:paraId="19246601">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2.437 </w:t>
                  </w:r>
                </w:p>
              </w:tc>
              <w:tc>
                <w:tcPr>
                  <w:tcW w:w="1291" w:type="dxa"/>
                  <w:shd w:val="clear" w:color="auto" w:fill="auto"/>
                  <w:vAlign w:val="center"/>
                </w:tcPr>
                <w:p w14:paraId="1396E371">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526" w:type="dxa"/>
                  <w:shd w:val="clear" w:color="auto" w:fill="auto"/>
                  <w:vAlign w:val="center"/>
                </w:tcPr>
                <w:p w14:paraId="1F278F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液态</w:t>
                  </w:r>
                </w:p>
              </w:tc>
              <w:tc>
                <w:tcPr>
                  <w:tcW w:w="882" w:type="dxa"/>
                  <w:shd w:val="clear" w:color="auto" w:fill="auto"/>
                  <w:vAlign w:val="center"/>
                </w:tcPr>
                <w:p w14:paraId="751294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25kg/桶</w:t>
                  </w:r>
                </w:p>
              </w:tc>
              <w:tc>
                <w:tcPr>
                  <w:tcW w:w="1034" w:type="dxa"/>
                  <w:shd w:val="clear" w:color="auto" w:fill="auto"/>
                  <w:vAlign w:val="center"/>
                </w:tcPr>
                <w:p w14:paraId="0817E4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表面处理</w:t>
                  </w:r>
                </w:p>
              </w:tc>
              <w:tc>
                <w:tcPr>
                  <w:tcW w:w="917" w:type="dxa"/>
                  <w:shd w:val="clear" w:color="auto" w:fill="auto"/>
                  <w:vAlign w:val="center"/>
                </w:tcPr>
                <w:p w14:paraId="1463161A">
                  <w:pPr>
                    <w:pageBreakBefore w:val="0"/>
                    <w:widowControl/>
                    <w:wordWrap w:val="0"/>
                    <w:overflowPunct/>
                    <w:bidi w:val="0"/>
                    <w:adjustRightInd w:val="0"/>
                    <w:snapToGrid w:val="0"/>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化学品仓库</w:t>
                  </w:r>
                </w:p>
              </w:tc>
            </w:tr>
            <w:tr w14:paraId="63B6D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4" w:type="dxa"/>
                  <w:vAlign w:val="center"/>
                </w:tcPr>
                <w:p w14:paraId="3341A839">
                  <w:pPr>
                    <w:pageBreakBefore w:val="0"/>
                    <w:wordWrap w:val="0"/>
                    <w:overflowPunct/>
                    <w:bidi w:val="0"/>
                    <w:spacing w:line="240" w:lineRule="auto"/>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19</w:t>
                  </w:r>
                </w:p>
              </w:tc>
              <w:tc>
                <w:tcPr>
                  <w:tcW w:w="1690" w:type="dxa"/>
                  <w:shd w:val="clear" w:color="auto" w:fill="auto"/>
                  <w:vAlign w:val="center"/>
                </w:tcPr>
                <w:p w14:paraId="2BE92BD5">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固化剂</w:t>
                  </w:r>
                </w:p>
              </w:tc>
              <w:tc>
                <w:tcPr>
                  <w:tcW w:w="1124" w:type="dxa"/>
                  <w:shd w:val="clear" w:color="auto" w:fill="auto"/>
                  <w:vAlign w:val="center"/>
                </w:tcPr>
                <w:p w14:paraId="4AEE8ED6">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0.487 </w:t>
                  </w:r>
                </w:p>
              </w:tc>
              <w:tc>
                <w:tcPr>
                  <w:tcW w:w="1291" w:type="dxa"/>
                  <w:shd w:val="clear" w:color="auto" w:fill="auto"/>
                  <w:vAlign w:val="center"/>
                </w:tcPr>
                <w:p w14:paraId="47B9B8DC">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526" w:type="dxa"/>
                  <w:shd w:val="clear" w:color="auto" w:fill="auto"/>
                  <w:vAlign w:val="center"/>
                </w:tcPr>
                <w:p w14:paraId="23903B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液态</w:t>
                  </w:r>
                </w:p>
              </w:tc>
              <w:tc>
                <w:tcPr>
                  <w:tcW w:w="882" w:type="dxa"/>
                  <w:shd w:val="clear" w:color="auto" w:fill="auto"/>
                  <w:vAlign w:val="center"/>
                </w:tcPr>
                <w:p w14:paraId="272BF7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25kg/桶</w:t>
                  </w:r>
                </w:p>
              </w:tc>
              <w:tc>
                <w:tcPr>
                  <w:tcW w:w="1034" w:type="dxa"/>
                  <w:shd w:val="clear" w:color="auto" w:fill="auto"/>
                  <w:vAlign w:val="center"/>
                </w:tcPr>
                <w:p w14:paraId="4E521E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表面处理</w:t>
                  </w:r>
                </w:p>
              </w:tc>
              <w:tc>
                <w:tcPr>
                  <w:tcW w:w="917" w:type="dxa"/>
                  <w:shd w:val="clear" w:color="auto" w:fill="auto"/>
                  <w:vAlign w:val="center"/>
                </w:tcPr>
                <w:p w14:paraId="67598EF7">
                  <w:pPr>
                    <w:pageBreakBefore w:val="0"/>
                    <w:widowControl/>
                    <w:wordWrap w:val="0"/>
                    <w:overflowPunct/>
                    <w:bidi w:val="0"/>
                    <w:adjustRightInd w:val="0"/>
                    <w:snapToGrid w:val="0"/>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化学品仓库</w:t>
                  </w:r>
                </w:p>
              </w:tc>
            </w:tr>
            <w:tr w14:paraId="32EB1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4" w:type="dxa"/>
                  <w:vAlign w:val="center"/>
                </w:tcPr>
                <w:p w14:paraId="5ACC56E3">
                  <w:pPr>
                    <w:pageBreakBefore w:val="0"/>
                    <w:wordWrap w:val="0"/>
                    <w:overflowPunct/>
                    <w:bidi w:val="0"/>
                    <w:spacing w:line="240" w:lineRule="auto"/>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20</w:t>
                  </w:r>
                </w:p>
              </w:tc>
              <w:tc>
                <w:tcPr>
                  <w:tcW w:w="1690" w:type="dxa"/>
                  <w:shd w:val="clear" w:color="auto" w:fill="auto"/>
                  <w:vAlign w:val="center"/>
                </w:tcPr>
                <w:p w14:paraId="32D05C2B">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稀释剂</w:t>
                  </w:r>
                </w:p>
              </w:tc>
              <w:tc>
                <w:tcPr>
                  <w:tcW w:w="1124" w:type="dxa"/>
                  <w:shd w:val="clear" w:color="auto" w:fill="auto"/>
                  <w:vAlign w:val="center"/>
                </w:tcPr>
                <w:p w14:paraId="2374B108">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0.031 </w:t>
                  </w:r>
                </w:p>
              </w:tc>
              <w:tc>
                <w:tcPr>
                  <w:tcW w:w="1291" w:type="dxa"/>
                  <w:shd w:val="clear" w:color="auto" w:fill="auto"/>
                  <w:vAlign w:val="center"/>
                </w:tcPr>
                <w:p w14:paraId="1141D146">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526" w:type="dxa"/>
                  <w:shd w:val="clear" w:color="auto" w:fill="auto"/>
                  <w:vAlign w:val="center"/>
                </w:tcPr>
                <w:p w14:paraId="725CFD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液态</w:t>
                  </w:r>
                </w:p>
              </w:tc>
              <w:tc>
                <w:tcPr>
                  <w:tcW w:w="882" w:type="dxa"/>
                  <w:shd w:val="clear" w:color="auto" w:fill="auto"/>
                  <w:vAlign w:val="center"/>
                </w:tcPr>
                <w:p w14:paraId="5ED46A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25kg/桶</w:t>
                  </w:r>
                </w:p>
              </w:tc>
              <w:tc>
                <w:tcPr>
                  <w:tcW w:w="1034" w:type="dxa"/>
                  <w:shd w:val="clear" w:color="auto" w:fill="auto"/>
                  <w:vAlign w:val="center"/>
                </w:tcPr>
                <w:p w14:paraId="1EB917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喷枪清洗</w:t>
                  </w:r>
                </w:p>
              </w:tc>
              <w:tc>
                <w:tcPr>
                  <w:tcW w:w="917" w:type="dxa"/>
                  <w:shd w:val="clear" w:color="auto" w:fill="auto"/>
                  <w:vAlign w:val="center"/>
                </w:tcPr>
                <w:p w14:paraId="425D7739">
                  <w:pPr>
                    <w:pageBreakBefore w:val="0"/>
                    <w:widowControl/>
                    <w:wordWrap w:val="0"/>
                    <w:overflowPunct/>
                    <w:bidi w:val="0"/>
                    <w:adjustRightInd w:val="0"/>
                    <w:snapToGrid w:val="0"/>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化学品仓库</w:t>
                  </w:r>
                </w:p>
              </w:tc>
            </w:tr>
            <w:tr w14:paraId="3BE3D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4" w:type="dxa"/>
                  <w:shd w:val="clear" w:color="auto" w:fill="auto"/>
                  <w:vAlign w:val="center"/>
                </w:tcPr>
                <w:p w14:paraId="68D931CE">
                  <w:pPr>
                    <w:pageBreakBefore w:val="0"/>
                    <w:wordWrap w:val="0"/>
                    <w:overflowPunct/>
                    <w:bidi w:val="0"/>
                    <w:spacing w:line="240" w:lineRule="auto"/>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21</w:t>
                  </w:r>
                </w:p>
              </w:tc>
              <w:tc>
                <w:tcPr>
                  <w:tcW w:w="1690" w:type="dxa"/>
                  <w:shd w:val="clear" w:color="auto" w:fill="auto"/>
                  <w:vAlign w:val="center"/>
                </w:tcPr>
                <w:p w14:paraId="353DF9F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网版</w:t>
                  </w:r>
                </w:p>
              </w:tc>
              <w:tc>
                <w:tcPr>
                  <w:tcW w:w="1124" w:type="dxa"/>
                  <w:shd w:val="clear" w:color="auto" w:fill="auto"/>
                  <w:vAlign w:val="center"/>
                </w:tcPr>
                <w:p w14:paraId="649D122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个</w:t>
                  </w:r>
                </w:p>
              </w:tc>
              <w:tc>
                <w:tcPr>
                  <w:tcW w:w="1291" w:type="dxa"/>
                  <w:shd w:val="clear" w:color="auto" w:fill="auto"/>
                  <w:vAlign w:val="center"/>
                </w:tcPr>
                <w:p w14:paraId="4D2015A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ascii="宋体" w:hAnsi="宋体" w:eastAsia="宋体" w:cs="宋体"/>
                      <w:i w:val="0"/>
                      <w:iCs w:val="0"/>
                      <w:color w:val="auto"/>
                      <w:kern w:val="0"/>
                      <w:sz w:val="21"/>
                      <w:szCs w:val="21"/>
                      <w:highlight w:val="none"/>
                      <w:u w:val="none"/>
                      <w:lang w:val="en-US" w:eastAsia="zh-CN" w:bidi="ar"/>
                    </w:rPr>
                    <w:t>个</w:t>
                  </w:r>
                </w:p>
              </w:tc>
              <w:tc>
                <w:tcPr>
                  <w:tcW w:w="526" w:type="dxa"/>
                  <w:shd w:val="clear" w:color="auto" w:fill="auto"/>
                  <w:vAlign w:val="center"/>
                </w:tcPr>
                <w:p w14:paraId="447941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rPr>
                    <w:t>固态</w:t>
                  </w:r>
                </w:p>
              </w:tc>
              <w:tc>
                <w:tcPr>
                  <w:tcW w:w="882" w:type="dxa"/>
                  <w:shd w:val="clear" w:color="auto" w:fill="auto"/>
                  <w:vAlign w:val="center"/>
                </w:tcPr>
                <w:p w14:paraId="0CC1F3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rPr>
                    <w:t>/</w:t>
                  </w:r>
                </w:p>
              </w:tc>
              <w:tc>
                <w:tcPr>
                  <w:tcW w:w="1034" w:type="dxa"/>
                  <w:shd w:val="clear" w:color="auto" w:fill="auto"/>
                  <w:vAlign w:val="center"/>
                </w:tcPr>
                <w:p w14:paraId="3D6FFB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丝印</w:t>
                  </w:r>
                </w:p>
              </w:tc>
              <w:tc>
                <w:tcPr>
                  <w:tcW w:w="917" w:type="dxa"/>
                  <w:shd w:val="clear" w:color="auto" w:fill="auto"/>
                  <w:vAlign w:val="center"/>
                </w:tcPr>
                <w:p w14:paraId="4AE72486">
                  <w:pPr>
                    <w:pageBreakBefore w:val="0"/>
                    <w:widowControl/>
                    <w:wordWrap w:val="0"/>
                    <w:overflowPunct/>
                    <w:bidi w:val="0"/>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仓库</w:t>
                  </w:r>
                </w:p>
              </w:tc>
            </w:tr>
            <w:tr w14:paraId="23D5B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4" w:type="dxa"/>
                  <w:vAlign w:val="center"/>
                </w:tcPr>
                <w:p w14:paraId="755C11A6">
                  <w:pPr>
                    <w:pageBreakBefore w:val="0"/>
                    <w:wordWrap w:val="0"/>
                    <w:overflowPunct/>
                    <w:bidi w:val="0"/>
                    <w:spacing w:line="240" w:lineRule="auto"/>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21</w:t>
                  </w:r>
                </w:p>
              </w:tc>
              <w:tc>
                <w:tcPr>
                  <w:tcW w:w="1690" w:type="dxa"/>
                  <w:shd w:val="clear" w:color="auto" w:fill="auto"/>
                  <w:vAlign w:val="center"/>
                </w:tcPr>
                <w:p w14:paraId="740DBC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酒精</w:t>
                  </w:r>
                </w:p>
              </w:tc>
              <w:tc>
                <w:tcPr>
                  <w:tcW w:w="1124" w:type="dxa"/>
                  <w:shd w:val="clear" w:color="auto" w:fill="auto"/>
                  <w:vAlign w:val="center"/>
                </w:tcPr>
                <w:p w14:paraId="454816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0.2252 </w:t>
                  </w:r>
                </w:p>
              </w:tc>
              <w:tc>
                <w:tcPr>
                  <w:tcW w:w="1291" w:type="dxa"/>
                  <w:shd w:val="clear" w:color="auto" w:fill="auto"/>
                  <w:vAlign w:val="center"/>
                </w:tcPr>
                <w:p w14:paraId="636730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526" w:type="dxa"/>
                  <w:shd w:val="clear" w:color="auto" w:fill="auto"/>
                  <w:vAlign w:val="center"/>
                </w:tcPr>
                <w:p w14:paraId="754014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液态</w:t>
                  </w:r>
                </w:p>
              </w:tc>
              <w:tc>
                <w:tcPr>
                  <w:tcW w:w="882" w:type="dxa"/>
                  <w:shd w:val="clear" w:color="auto" w:fill="auto"/>
                  <w:vAlign w:val="center"/>
                </w:tcPr>
                <w:p w14:paraId="3FEFFE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25kg/桶</w:t>
                  </w:r>
                </w:p>
              </w:tc>
              <w:tc>
                <w:tcPr>
                  <w:tcW w:w="1034" w:type="dxa"/>
                  <w:shd w:val="clear" w:color="auto" w:fill="auto"/>
                  <w:vAlign w:val="center"/>
                </w:tcPr>
                <w:p w14:paraId="580E73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表面清洁</w:t>
                  </w:r>
                </w:p>
              </w:tc>
              <w:tc>
                <w:tcPr>
                  <w:tcW w:w="917" w:type="dxa"/>
                  <w:shd w:val="clear" w:color="auto" w:fill="auto"/>
                  <w:vAlign w:val="center"/>
                </w:tcPr>
                <w:p w14:paraId="142BCA2C">
                  <w:pPr>
                    <w:pageBreakBefore w:val="0"/>
                    <w:widowControl/>
                    <w:wordWrap w:val="0"/>
                    <w:overflowPunct/>
                    <w:bidi w:val="0"/>
                    <w:adjustRightInd w:val="0"/>
                    <w:snapToGrid w:val="0"/>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化学品仓库</w:t>
                  </w:r>
                </w:p>
              </w:tc>
            </w:tr>
            <w:tr w14:paraId="0702C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84" w:type="dxa"/>
                  <w:vAlign w:val="center"/>
                </w:tcPr>
                <w:p w14:paraId="299C6D10">
                  <w:pPr>
                    <w:pageBreakBefore w:val="0"/>
                    <w:wordWrap w:val="0"/>
                    <w:overflowPunct/>
                    <w:bidi w:val="0"/>
                    <w:spacing w:line="240" w:lineRule="auto"/>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22</w:t>
                  </w:r>
                </w:p>
              </w:tc>
              <w:tc>
                <w:tcPr>
                  <w:tcW w:w="1690" w:type="dxa"/>
                  <w:shd w:val="clear" w:color="auto" w:fill="auto"/>
                  <w:vAlign w:val="center"/>
                </w:tcPr>
                <w:p w14:paraId="219B46B4">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除锈剂</w:t>
                  </w:r>
                </w:p>
              </w:tc>
              <w:tc>
                <w:tcPr>
                  <w:tcW w:w="1124" w:type="dxa"/>
                  <w:shd w:val="clear" w:color="auto" w:fill="auto"/>
                  <w:vAlign w:val="center"/>
                </w:tcPr>
                <w:p w14:paraId="2AD452B5">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1291" w:type="dxa"/>
                  <w:shd w:val="clear" w:color="auto" w:fill="auto"/>
                  <w:vAlign w:val="center"/>
                </w:tcPr>
                <w:p w14:paraId="7C873FE6">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526" w:type="dxa"/>
                  <w:shd w:val="clear" w:color="auto" w:fill="auto"/>
                  <w:vAlign w:val="center"/>
                </w:tcPr>
                <w:p w14:paraId="33DB4F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液态</w:t>
                  </w:r>
                </w:p>
              </w:tc>
              <w:tc>
                <w:tcPr>
                  <w:tcW w:w="882" w:type="dxa"/>
                  <w:shd w:val="clear" w:color="auto" w:fill="auto"/>
                  <w:vAlign w:val="center"/>
                </w:tcPr>
                <w:p w14:paraId="56B547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25kg/桶</w:t>
                  </w:r>
                </w:p>
              </w:tc>
              <w:tc>
                <w:tcPr>
                  <w:tcW w:w="1034" w:type="dxa"/>
                  <w:shd w:val="clear" w:color="auto" w:fill="auto"/>
                  <w:vAlign w:val="center"/>
                </w:tcPr>
                <w:p w14:paraId="439AFD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表面处理</w:t>
                  </w:r>
                </w:p>
              </w:tc>
              <w:tc>
                <w:tcPr>
                  <w:tcW w:w="917" w:type="dxa"/>
                  <w:shd w:val="clear" w:color="auto" w:fill="auto"/>
                  <w:vAlign w:val="center"/>
                </w:tcPr>
                <w:p w14:paraId="0CF15216">
                  <w:pPr>
                    <w:pageBreakBefore w:val="0"/>
                    <w:widowControl/>
                    <w:wordWrap w:val="0"/>
                    <w:overflowPunct/>
                    <w:bidi w:val="0"/>
                    <w:adjustRightInd w:val="0"/>
                    <w:snapToGrid w:val="0"/>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化学品仓库</w:t>
                  </w:r>
                </w:p>
              </w:tc>
            </w:tr>
            <w:tr w14:paraId="1FDBE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84" w:type="dxa"/>
                  <w:vAlign w:val="center"/>
                </w:tcPr>
                <w:p w14:paraId="679B4C85">
                  <w:pPr>
                    <w:pageBreakBefore w:val="0"/>
                    <w:wordWrap w:val="0"/>
                    <w:overflowPunct/>
                    <w:bidi w:val="0"/>
                    <w:spacing w:line="240" w:lineRule="auto"/>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23</w:t>
                  </w:r>
                </w:p>
              </w:tc>
              <w:tc>
                <w:tcPr>
                  <w:tcW w:w="1690" w:type="dxa"/>
                  <w:shd w:val="clear" w:color="auto" w:fill="auto"/>
                  <w:vAlign w:val="center"/>
                </w:tcPr>
                <w:p w14:paraId="00E2EBCA">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网版清洗剂（半水基清洗剂）</w:t>
                  </w:r>
                </w:p>
              </w:tc>
              <w:tc>
                <w:tcPr>
                  <w:tcW w:w="1124" w:type="dxa"/>
                  <w:shd w:val="clear" w:color="auto" w:fill="auto"/>
                  <w:vAlign w:val="center"/>
                </w:tcPr>
                <w:p w14:paraId="3BA3459B">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0.150 </w:t>
                  </w:r>
                </w:p>
              </w:tc>
              <w:tc>
                <w:tcPr>
                  <w:tcW w:w="1291" w:type="dxa"/>
                  <w:shd w:val="clear" w:color="auto" w:fill="auto"/>
                  <w:vAlign w:val="center"/>
                </w:tcPr>
                <w:p w14:paraId="28B35680">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526" w:type="dxa"/>
                  <w:shd w:val="clear" w:color="auto" w:fill="auto"/>
                  <w:vAlign w:val="center"/>
                </w:tcPr>
                <w:p w14:paraId="60196A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液态</w:t>
                  </w:r>
                </w:p>
              </w:tc>
              <w:tc>
                <w:tcPr>
                  <w:tcW w:w="882" w:type="dxa"/>
                  <w:shd w:val="clear" w:color="auto" w:fill="auto"/>
                  <w:vAlign w:val="center"/>
                </w:tcPr>
                <w:p w14:paraId="71AC03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25kg/桶</w:t>
                  </w:r>
                </w:p>
              </w:tc>
              <w:tc>
                <w:tcPr>
                  <w:tcW w:w="1034" w:type="dxa"/>
                  <w:shd w:val="clear" w:color="auto" w:fill="auto"/>
                  <w:vAlign w:val="center"/>
                </w:tcPr>
                <w:p w14:paraId="53321E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网版清洗</w:t>
                  </w:r>
                </w:p>
              </w:tc>
              <w:tc>
                <w:tcPr>
                  <w:tcW w:w="917" w:type="dxa"/>
                  <w:shd w:val="clear" w:color="auto" w:fill="auto"/>
                  <w:vAlign w:val="center"/>
                </w:tcPr>
                <w:p w14:paraId="3960674F">
                  <w:pPr>
                    <w:pageBreakBefore w:val="0"/>
                    <w:widowControl/>
                    <w:wordWrap w:val="0"/>
                    <w:overflowPunct/>
                    <w:bidi w:val="0"/>
                    <w:adjustRightInd w:val="0"/>
                    <w:snapToGrid w:val="0"/>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化学品仓库</w:t>
                  </w:r>
                </w:p>
              </w:tc>
            </w:tr>
            <w:tr w14:paraId="0C447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48" w:type="dxa"/>
                  <w:gridSpan w:val="8"/>
                  <w:vAlign w:val="center"/>
                </w:tcPr>
                <w:p w14:paraId="4883B9AB">
                  <w:pPr>
                    <w:pageBreakBefore w:val="0"/>
                    <w:wordWrap w:val="0"/>
                    <w:overflowPunct/>
                    <w:bidi w:val="0"/>
                    <w:spacing w:line="240" w:lineRule="auto"/>
                    <w:jc w:val="left"/>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注：本项目钢材平均密度取7.85t/</w:t>
                  </w:r>
                  <w:r>
                    <w:rPr>
                      <w:rFonts w:hint="eastAsia" w:cs="Times New Roman"/>
                      <w:i w:val="0"/>
                      <w:iCs w:val="0"/>
                      <w:color w:val="auto"/>
                      <w:kern w:val="0"/>
                      <w:sz w:val="21"/>
                      <w:szCs w:val="21"/>
                      <w:highlight w:val="none"/>
                      <w:u w:val="none"/>
                      <w:lang w:val="en-US" w:eastAsia="zh-CN"/>
                    </w:rPr>
                    <w:t>m³，板厚2.5mm</w:t>
                  </w:r>
                  <w:r>
                    <w:rPr>
                      <w:rFonts w:hint="eastAsia" w:cs="Times New Roman"/>
                      <w:color w:val="auto"/>
                      <w:sz w:val="21"/>
                      <w:szCs w:val="21"/>
                      <w:highlight w:val="none"/>
                      <w:lang w:val="en-US" w:eastAsia="zh-CN"/>
                    </w:rPr>
                    <w:t>。</w:t>
                  </w:r>
                </w:p>
              </w:tc>
            </w:tr>
          </w:tbl>
          <w:p w14:paraId="6F499F06">
            <w:pPr>
              <w:pStyle w:val="11"/>
              <w:pageBreakBefore w:val="0"/>
              <w:numPr>
                <w:ilvl w:val="4"/>
                <w:numId w:val="0"/>
              </w:numPr>
              <w:wordWrap w:val="0"/>
              <w:overflowPunct/>
              <w:bidi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（2）原辅材料理化性质</w:t>
            </w:r>
          </w:p>
          <w:p w14:paraId="534ED2B0">
            <w:pPr>
              <w:pStyle w:val="17"/>
              <w:pageBreakBefore w:val="0"/>
              <w:numPr>
                <w:ilvl w:val="0"/>
                <w:numId w:val="8"/>
              </w:numPr>
              <w:wordWrap w:val="0"/>
              <w:overflowPunct/>
              <w:bidi w:val="0"/>
              <w:spacing w:line="240" w:lineRule="auto"/>
              <w:ind w:left="0" w:leftChars="0" w:firstLine="40" w:firstLineChars="0"/>
              <w:rPr>
                <w:rFonts w:hint="default" w:ascii="Times New Roman" w:hAnsi="Times New Roman" w:cs="Times New Roman"/>
                <w:b/>
                <w:bCs/>
                <w:color w:val="auto"/>
                <w:sz w:val="21"/>
                <w:szCs w:val="21"/>
                <w:highlight w:val="none"/>
              </w:rPr>
            </w:pPr>
            <w:r>
              <w:rPr>
                <w:rFonts w:hint="eastAsia" w:cs="Times New Roman"/>
                <w:b/>
                <w:bCs/>
                <w:color w:val="auto"/>
                <w:kern w:val="2"/>
                <w:sz w:val="21"/>
                <w:szCs w:val="21"/>
                <w:highlight w:val="none"/>
                <w:lang w:val="en-US" w:eastAsia="zh-CN" w:bidi="ar-SA"/>
              </w:rPr>
              <w:t xml:space="preserve"> </w:t>
            </w:r>
            <w:r>
              <w:rPr>
                <w:rFonts w:hint="default" w:ascii="Times New Roman" w:hAnsi="Times New Roman" w:cs="Times New Roman"/>
                <w:b/>
                <w:bCs/>
                <w:color w:val="auto"/>
                <w:sz w:val="21"/>
                <w:szCs w:val="21"/>
                <w:highlight w:val="none"/>
              </w:rPr>
              <w:t>原辅材料性质一览表</w:t>
            </w:r>
          </w:p>
          <w:tbl>
            <w:tblPr>
              <w:tblStyle w:val="44"/>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61"/>
              <w:gridCol w:w="2360"/>
              <w:gridCol w:w="4124"/>
            </w:tblGrid>
            <w:tr w14:paraId="25C32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67" w:type="pct"/>
                  <w:vAlign w:val="center"/>
                </w:tcPr>
                <w:p w14:paraId="655DA394">
                  <w:pPr>
                    <w:pStyle w:val="61"/>
                    <w:pageBreakBefore w:val="0"/>
                    <w:wordWrap w:val="0"/>
                    <w:overflowPunct/>
                    <w:bidi w:val="0"/>
                    <w:spacing w:line="240" w:lineRule="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1504" w:type="pct"/>
                  <w:vAlign w:val="center"/>
                </w:tcPr>
                <w:p w14:paraId="08005C78">
                  <w:pPr>
                    <w:pStyle w:val="61"/>
                    <w:pageBreakBefore w:val="0"/>
                    <w:wordWrap w:val="0"/>
                    <w:overflowPunct/>
                    <w:bidi w:val="0"/>
                    <w:spacing w:line="240" w:lineRule="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成分</w:t>
                  </w:r>
                </w:p>
              </w:tc>
              <w:tc>
                <w:tcPr>
                  <w:tcW w:w="2628" w:type="pct"/>
                  <w:vAlign w:val="center"/>
                </w:tcPr>
                <w:p w14:paraId="5EF7E98B">
                  <w:pPr>
                    <w:pStyle w:val="61"/>
                    <w:pageBreakBefore w:val="0"/>
                    <w:wordWrap w:val="0"/>
                    <w:overflowPunct/>
                    <w:bidi w:val="0"/>
                    <w:spacing w:line="240" w:lineRule="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理化性质/简介</w:t>
                  </w:r>
                </w:p>
              </w:tc>
            </w:tr>
            <w:tr w14:paraId="1EABB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67" w:type="pct"/>
                  <w:vAlign w:val="center"/>
                </w:tcPr>
                <w:p w14:paraId="08CC4C7D">
                  <w:pPr>
                    <w:pageBreakBefore w:val="0"/>
                    <w:widowControl/>
                    <w:wordWrap w:val="0"/>
                    <w:overflowPunct/>
                    <w:bidi w:val="0"/>
                    <w:adjustRightInd w:val="0"/>
                    <w:snapToGrid w:val="0"/>
                    <w:spacing w:line="240" w:lineRule="auto"/>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粉末涂料</w:t>
                  </w:r>
                </w:p>
              </w:tc>
              <w:tc>
                <w:tcPr>
                  <w:tcW w:w="1504" w:type="pct"/>
                  <w:vAlign w:val="center"/>
                </w:tcPr>
                <w:p w14:paraId="51A72DE5">
                  <w:pPr>
                    <w:pStyle w:val="61"/>
                    <w:pageBreakBefore w:val="0"/>
                    <w:wordWrap w:val="0"/>
                    <w:overflowPunct/>
                    <w:bidi w:val="0"/>
                    <w:spacing w:line="240" w:lineRule="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聚酯树脂65%，固化剂5%，助剂5%，填充剂23%，颜料2%</w:t>
                  </w:r>
                </w:p>
              </w:tc>
              <w:tc>
                <w:tcPr>
                  <w:tcW w:w="2628" w:type="pct"/>
                  <w:vAlign w:val="center"/>
                </w:tcPr>
                <w:p w14:paraId="20CF601B">
                  <w:pPr>
                    <w:pStyle w:val="61"/>
                    <w:pageBreakBefore w:val="0"/>
                    <w:wordWrap w:val="0"/>
                    <w:overflowPunct/>
                    <w:bidi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外观与性状：粉末状，无刺激性气味</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 xml:space="preserve"> 真实密度 23℃：1.2-1.8g/cm³</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膨胀密度 23℃：400-1000 kg/m³</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粉尘和混合气的较低的爆炸极限：20-70g/m³</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在水中的溶解性：不能溶解性</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软化点：&gt;50℃</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粉尘或混合气的燃烧温度：450-600℃</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水蒸气气压：没有数据</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在水中</w:t>
                  </w:r>
                  <w:r>
                    <w:rPr>
                      <w:rFonts w:hint="eastAsia" w:cs="Times New Roman"/>
                      <w:color w:val="auto"/>
                      <w:sz w:val="21"/>
                      <w:szCs w:val="21"/>
                      <w:highlight w:val="none"/>
                      <w:lang w:val="en-US" w:eastAsia="zh-CN"/>
                    </w:rPr>
                    <w:t>p</w:t>
                  </w:r>
                  <w:r>
                    <w:rPr>
                      <w:rFonts w:hint="default" w:ascii="Times New Roman" w:hAnsi="Times New Roman" w:cs="Times New Roman"/>
                      <w:color w:val="auto"/>
                      <w:sz w:val="21"/>
                      <w:szCs w:val="21"/>
                      <w:highlight w:val="none"/>
                    </w:rPr>
                    <w:t>H值：在水中</w:t>
                  </w:r>
                  <w:r>
                    <w:rPr>
                      <w:rFonts w:hint="eastAsia" w:cs="Times New Roman"/>
                      <w:color w:val="auto"/>
                      <w:sz w:val="21"/>
                      <w:szCs w:val="21"/>
                      <w:highlight w:val="none"/>
                      <w:lang w:val="en-US" w:eastAsia="zh-CN"/>
                    </w:rPr>
                    <w:t>p</w:t>
                  </w:r>
                  <w:r>
                    <w:rPr>
                      <w:rFonts w:hint="default" w:ascii="Times New Roman" w:hAnsi="Times New Roman" w:cs="Times New Roman"/>
                      <w:color w:val="auto"/>
                      <w:sz w:val="21"/>
                      <w:szCs w:val="21"/>
                      <w:highlight w:val="none"/>
                    </w:rPr>
                    <w:t>H值将不变</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 xml:space="preserve"> </w:t>
                  </w:r>
                </w:p>
              </w:tc>
            </w:tr>
            <w:tr w14:paraId="75288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67" w:type="pct"/>
                  <w:vAlign w:val="center"/>
                </w:tcPr>
                <w:p w14:paraId="12C360C6">
                  <w:pPr>
                    <w:pageBreakBefore w:val="0"/>
                    <w:widowControl/>
                    <w:wordWrap w:val="0"/>
                    <w:overflowPunct/>
                    <w:bidi w:val="0"/>
                    <w:adjustRightInd w:val="0"/>
                    <w:snapToGrid w:val="0"/>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脱脂剂</w:t>
                  </w:r>
                </w:p>
              </w:tc>
              <w:tc>
                <w:tcPr>
                  <w:tcW w:w="1504" w:type="pct"/>
                  <w:vAlign w:val="center"/>
                </w:tcPr>
                <w:p w14:paraId="790F667B">
                  <w:pPr>
                    <w:pStyle w:val="61"/>
                    <w:pageBreakBefore w:val="0"/>
                    <w:wordWrap w:val="0"/>
                    <w:overflowPunct/>
                    <w:bidi w:val="0"/>
                    <w:spacing w:line="240" w:lineRule="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改性椰子油亚油酸：15%，壬基酚醚：25%，聚乙二醇：20%，氢氧化钠：5%，水：35%</w:t>
                  </w:r>
                </w:p>
              </w:tc>
              <w:tc>
                <w:tcPr>
                  <w:tcW w:w="2628" w:type="pct"/>
                  <w:vAlign w:val="center"/>
                </w:tcPr>
                <w:p w14:paraId="13DF9646">
                  <w:pPr>
                    <w:pStyle w:val="61"/>
                    <w:pageBreakBefore w:val="0"/>
                    <w:wordWrap w:val="0"/>
                    <w:overflowPunct/>
                    <w:bidi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物质状态：液态</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颜色：无色半透明</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气味：清香气味</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pH值：8-9</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沸点/沸点范围：102</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蒸气密度：2.0—3.1</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密度：1.01—1.05</w:t>
                  </w:r>
                </w:p>
                <w:p w14:paraId="04321483">
                  <w:pPr>
                    <w:pStyle w:val="61"/>
                    <w:pageBreakBefore w:val="0"/>
                    <w:wordWrap w:val="0"/>
                    <w:overflowPunct/>
                    <w:bidi w:val="0"/>
                    <w:spacing w:line="240" w:lineRule="auto"/>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溶解度：溶于水</w:t>
                  </w:r>
                </w:p>
              </w:tc>
            </w:tr>
            <w:tr w14:paraId="263C7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67" w:type="pct"/>
                  <w:vAlign w:val="center"/>
                </w:tcPr>
                <w:p w14:paraId="42E9E33A">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油性漆</w:t>
                  </w:r>
                </w:p>
              </w:tc>
              <w:tc>
                <w:tcPr>
                  <w:tcW w:w="1504" w:type="pct"/>
                  <w:shd w:val="clear" w:color="auto" w:fill="auto"/>
                  <w:vAlign w:val="center"/>
                </w:tcPr>
                <w:p w14:paraId="063F8BB8">
                  <w:pPr>
                    <w:pStyle w:val="61"/>
                    <w:spacing w:line="240" w:lineRule="auto"/>
                    <w:rPr>
                      <w:rFonts w:hint="eastAsia"/>
                      <w:color w:val="auto"/>
                      <w:highlight w:val="none"/>
                      <w:lang w:val="en-US" w:eastAsia="zh-CN"/>
                    </w:rPr>
                  </w:pPr>
                  <w:r>
                    <w:rPr>
                      <w:rFonts w:hint="eastAsia"/>
                      <w:color w:val="auto"/>
                      <w:highlight w:val="none"/>
                      <w:lang w:val="en-US" w:eastAsia="zh-CN"/>
                    </w:rPr>
                    <w:t>羟基丙烯酸树脂40%~60%</w:t>
                  </w:r>
                </w:p>
                <w:p w14:paraId="22AE4BA8">
                  <w:pPr>
                    <w:pStyle w:val="61"/>
                    <w:spacing w:line="240" w:lineRule="auto"/>
                    <w:rPr>
                      <w:rFonts w:hint="eastAsia"/>
                      <w:color w:val="auto"/>
                      <w:highlight w:val="none"/>
                      <w:lang w:val="en-US" w:eastAsia="zh-CN"/>
                    </w:rPr>
                  </w:pPr>
                  <w:r>
                    <w:rPr>
                      <w:rFonts w:hint="eastAsia"/>
                      <w:color w:val="auto"/>
                      <w:highlight w:val="none"/>
                      <w:lang w:val="en-US" w:eastAsia="zh-CN"/>
                    </w:rPr>
                    <w:t>二甲苯3%~8%</w:t>
                  </w:r>
                </w:p>
                <w:p w14:paraId="7B9F6160">
                  <w:pPr>
                    <w:pStyle w:val="61"/>
                    <w:spacing w:line="240" w:lineRule="auto"/>
                    <w:rPr>
                      <w:rFonts w:hint="eastAsia"/>
                      <w:color w:val="auto"/>
                      <w:highlight w:val="none"/>
                      <w:lang w:val="en-US" w:eastAsia="zh-CN"/>
                    </w:rPr>
                  </w:pPr>
                  <w:r>
                    <w:rPr>
                      <w:rFonts w:hint="eastAsia"/>
                      <w:color w:val="auto"/>
                      <w:highlight w:val="none"/>
                      <w:lang w:val="en-US" w:eastAsia="zh-CN"/>
                    </w:rPr>
                    <w:t>醋酸丁酯1%~5%</w:t>
                  </w:r>
                </w:p>
                <w:p w14:paraId="46D6C494">
                  <w:pPr>
                    <w:pStyle w:val="61"/>
                    <w:spacing w:line="240" w:lineRule="auto"/>
                    <w:rPr>
                      <w:rFonts w:hint="default" w:ascii="Times New Roman" w:hAnsi="Times New Roman" w:eastAsia="宋体" w:cs="Times New Roman"/>
                      <w:color w:val="auto"/>
                      <w:position w:val="-10"/>
                      <w:sz w:val="21"/>
                      <w:szCs w:val="21"/>
                      <w:highlight w:val="none"/>
                      <w:lang w:val="en-US" w:eastAsia="zh-CN" w:bidi="ar-SA"/>
                    </w:rPr>
                  </w:pPr>
                  <w:r>
                    <w:rPr>
                      <w:rFonts w:hint="eastAsia"/>
                      <w:color w:val="auto"/>
                      <w:highlight w:val="none"/>
                      <w:lang w:val="en-US" w:eastAsia="zh-CN"/>
                    </w:rPr>
                    <w:t>钛白粉15%~30%</w:t>
                  </w:r>
                </w:p>
              </w:tc>
              <w:tc>
                <w:tcPr>
                  <w:tcW w:w="2628" w:type="pct"/>
                  <w:vAlign w:val="center"/>
                </w:tcPr>
                <w:p w14:paraId="7B2085F6">
                  <w:pPr>
                    <w:pStyle w:val="61"/>
                    <w:spacing w:line="240" w:lineRule="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相对密度:1.35±0.05，危险特征:遇明火/火花/高热可引发强烈燃烧；密闭空间内，挥发溶剂与空气混合可能形成爆炸性混合物，遇明火或火花可引发爆炸;本品经喷涂施工产生大量漆雾，遇明火/火花/高热可能导致爆燃或爆炸。</w:t>
                  </w:r>
                </w:p>
              </w:tc>
            </w:tr>
            <w:tr w14:paraId="0427B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67" w:type="pct"/>
                  <w:vAlign w:val="center"/>
                </w:tcPr>
                <w:p w14:paraId="2F75A23A">
                  <w:pPr>
                    <w:spacing w:line="240" w:lineRule="auto"/>
                    <w:jc w:val="center"/>
                    <w:rPr>
                      <w:rFonts w:hint="eastAsia" w:cs="Times New Roman"/>
                      <w:color w:val="auto"/>
                      <w:sz w:val="21"/>
                      <w:szCs w:val="21"/>
                      <w:highlight w:val="none"/>
                      <w:lang w:val="en-US" w:eastAsia="zh-CN"/>
                    </w:rPr>
                  </w:pPr>
                  <w:r>
                    <w:rPr>
                      <w:rFonts w:hint="eastAsia"/>
                      <w:color w:val="auto"/>
                      <w:sz w:val="21"/>
                      <w:szCs w:val="21"/>
                      <w:highlight w:val="none"/>
                      <w:lang w:val="en-US" w:eastAsia="zh-CN"/>
                    </w:rPr>
                    <w:t>固化剂</w:t>
                  </w:r>
                </w:p>
              </w:tc>
              <w:tc>
                <w:tcPr>
                  <w:tcW w:w="1504" w:type="pct"/>
                  <w:shd w:val="clear" w:color="auto" w:fill="auto"/>
                  <w:vAlign w:val="center"/>
                </w:tcPr>
                <w:p w14:paraId="5334B037">
                  <w:pPr>
                    <w:pStyle w:val="61"/>
                    <w:spacing w:line="240" w:lineRule="auto"/>
                    <w:rPr>
                      <w:rFonts w:hint="eastAsia"/>
                      <w:color w:val="auto"/>
                      <w:highlight w:val="none"/>
                      <w:lang w:val="en-US" w:eastAsia="zh-CN"/>
                    </w:rPr>
                  </w:pPr>
                  <w:r>
                    <w:rPr>
                      <w:rFonts w:hint="eastAsia"/>
                      <w:color w:val="auto"/>
                      <w:highlight w:val="none"/>
                      <w:lang w:val="en-US" w:eastAsia="zh-CN"/>
                    </w:rPr>
                    <w:t>六亚甲基二异氰酸酯70%~100%</w:t>
                  </w:r>
                </w:p>
                <w:p w14:paraId="39AA9AEA">
                  <w:pPr>
                    <w:pStyle w:val="61"/>
                    <w:spacing w:line="240" w:lineRule="auto"/>
                    <w:rPr>
                      <w:rFonts w:hint="default" w:ascii="Times New Roman" w:hAnsi="Times New Roman" w:eastAsia="宋体" w:cs="Times New Roman"/>
                      <w:color w:val="auto"/>
                      <w:position w:val="-10"/>
                      <w:sz w:val="21"/>
                      <w:szCs w:val="21"/>
                      <w:highlight w:val="none"/>
                      <w:lang w:val="en-US" w:eastAsia="zh-CN" w:bidi="ar-SA"/>
                    </w:rPr>
                  </w:pPr>
                  <w:r>
                    <w:rPr>
                      <w:rFonts w:hint="eastAsia"/>
                      <w:color w:val="auto"/>
                      <w:highlight w:val="none"/>
                      <w:lang w:val="en-US" w:eastAsia="zh-CN"/>
                    </w:rPr>
                    <w:t>醋酸丁酯5%~25%</w:t>
                  </w:r>
                </w:p>
              </w:tc>
              <w:tc>
                <w:tcPr>
                  <w:tcW w:w="2628" w:type="pct"/>
                  <w:vAlign w:val="center"/>
                </w:tcPr>
                <w:p w14:paraId="74877DC8">
                  <w:pPr>
                    <w:pStyle w:val="61"/>
                    <w:spacing w:line="240" w:lineRule="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相对密度:1.0±0.05，遇明火/火花/高热可引发强烈燃烧；密闭空间内，挥发溶剂与空气混合可能形成爆炸性混合物，遇明火或火花可引发爆炸;本品经喷涂施工产生大量漆雾，遇明火/火花/高热可能导致爆燃或爆炸。</w:t>
                  </w:r>
                </w:p>
              </w:tc>
            </w:tr>
            <w:tr w14:paraId="5B1AD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67" w:type="pct"/>
                  <w:vAlign w:val="center"/>
                </w:tcPr>
                <w:p w14:paraId="3E70B392">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油墨</w:t>
                  </w:r>
                </w:p>
              </w:tc>
              <w:tc>
                <w:tcPr>
                  <w:tcW w:w="1504" w:type="pct"/>
                  <w:vAlign w:val="center"/>
                </w:tcPr>
                <w:p w14:paraId="37D1E6FD">
                  <w:pPr>
                    <w:pStyle w:val="61"/>
                    <w:pageBreakBefore w:val="0"/>
                    <w:wordWrap w:val="0"/>
                    <w:overflowPunct/>
                    <w:bidi w:val="0"/>
                    <w:spacing w:line="240" w:lineRule="auto"/>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树脂</w:t>
                  </w:r>
                  <w:r>
                    <w:rPr>
                      <w:rFonts w:hint="eastAsia" w:cs="Times New Roman"/>
                      <w:color w:val="auto"/>
                      <w:sz w:val="21"/>
                      <w:szCs w:val="21"/>
                      <w:highlight w:val="none"/>
                      <w:lang w:val="en-US" w:eastAsia="zh-CN"/>
                    </w:rPr>
                    <w:t>30-40%，</w:t>
                  </w:r>
                  <w:r>
                    <w:rPr>
                      <w:rFonts w:hint="default" w:ascii="Times New Roman" w:hAnsi="Times New Roman" w:eastAsia="宋体" w:cs="Times New Roman"/>
                      <w:color w:val="auto"/>
                      <w:sz w:val="21"/>
                      <w:szCs w:val="21"/>
                      <w:highlight w:val="none"/>
                      <w:lang w:val="en-US" w:eastAsia="zh-CN"/>
                    </w:rPr>
                    <w:t>钛白粉</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碳黑</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颜料黄</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颜料红</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颜料蓝</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金银粉</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其它色粉</w:t>
                  </w:r>
                  <w:r>
                    <w:rPr>
                      <w:rFonts w:hint="eastAsia" w:cs="Times New Roman"/>
                      <w:color w:val="auto"/>
                      <w:sz w:val="21"/>
                      <w:szCs w:val="21"/>
                      <w:highlight w:val="none"/>
                      <w:lang w:val="en-US" w:eastAsia="zh-CN"/>
                    </w:rPr>
                    <w:t>10-45%，</w:t>
                  </w:r>
                  <w:r>
                    <w:rPr>
                      <w:rFonts w:hint="default" w:ascii="Times New Roman" w:hAnsi="Times New Roman" w:eastAsia="宋体" w:cs="Times New Roman"/>
                      <w:color w:val="auto"/>
                      <w:sz w:val="21"/>
                      <w:szCs w:val="21"/>
                      <w:highlight w:val="none"/>
                      <w:lang w:val="en-US" w:eastAsia="zh-CN"/>
                    </w:rPr>
                    <w:t>溶剂</w:t>
                  </w:r>
                  <w:r>
                    <w:rPr>
                      <w:rFonts w:hint="eastAsia" w:cs="Times New Roman"/>
                      <w:color w:val="auto"/>
                      <w:sz w:val="21"/>
                      <w:szCs w:val="21"/>
                      <w:highlight w:val="none"/>
                      <w:lang w:val="en-US" w:eastAsia="zh-CN"/>
                    </w:rPr>
                    <w:t>5-15%</w:t>
                  </w:r>
                  <w:r>
                    <w:rPr>
                      <w:rFonts w:hint="default" w:ascii="Times New Roman" w:hAnsi="Times New Roman" w:eastAsia="宋体" w:cs="Times New Roman"/>
                      <w:color w:val="auto"/>
                      <w:sz w:val="21"/>
                      <w:szCs w:val="21"/>
                      <w:highlight w:val="none"/>
                      <w:lang w:val="en-US" w:eastAsia="zh-CN"/>
                    </w:rPr>
                    <w:t>助剂</w:t>
                  </w:r>
                  <w:r>
                    <w:rPr>
                      <w:rFonts w:hint="eastAsia" w:cs="Times New Roman"/>
                      <w:color w:val="auto"/>
                      <w:sz w:val="21"/>
                      <w:szCs w:val="21"/>
                      <w:highlight w:val="none"/>
                      <w:lang w:val="en-US" w:eastAsia="zh-CN"/>
                    </w:rPr>
                    <w:t>2-5%</w:t>
                  </w:r>
                </w:p>
              </w:tc>
              <w:tc>
                <w:tcPr>
                  <w:tcW w:w="2628" w:type="pct"/>
                  <w:vAlign w:val="center"/>
                </w:tcPr>
                <w:p w14:paraId="34D66131">
                  <w:pPr>
                    <w:pStyle w:val="61"/>
                    <w:pageBreakBefore w:val="0"/>
                    <w:wordWrap w:val="0"/>
                    <w:overflowPunct/>
                    <w:bidi w:val="0"/>
                    <w:spacing w:line="240" w:lineRule="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物质状态：浆状物质</w:t>
                  </w:r>
                </w:p>
                <w:p w14:paraId="55540173">
                  <w:pPr>
                    <w:pStyle w:val="61"/>
                    <w:pageBreakBefore w:val="0"/>
                    <w:wordWrap w:val="0"/>
                    <w:overflowPunct/>
                    <w:bidi w:val="0"/>
                    <w:spacing w:line="240" w:lineRule="auto"/>
                    <w:rPr>
                      <w:rFonts w:hint="default" w:ascii="Times New Roman" w:hAnsi="Times New Roman" w:cs="Times New Roman"/>
                      <w:color w:val="auto"/>
                      <w:sz w:val="21"/>
                      <w:szCs w:val="21"/>
                      <w:highlight w:val="none"/>
                      <w:vertAlign w:val="superscript"/>
                      <w:lang w:val="en-US"/>
                    </w:rPr>
                  </w:pPr>
                  <w:r>
                    <w:rPr>
                      <w:rFonts w:hint="eastAsia" w:cs="Times New Roman"/>
                      <w:color w:val="auto"/>
                      <w:sz w:val="21"/>
                      <w:szCs w:val="21"/>
                      <w:highlight w:val="none"/>
                      <w:lang w:val="en-US" w:eastAsia="zh-CN"/>
                    </w:rPr>
                    <w:t>外观/颜色：各种颜色，气味：有芳香气味pH 值：（无数据），沸点（初沸点）：155.6℃，闭口闪点：82℃，自燃温度：400℃，爆炸极限（空气中）：1.1%-8.1%，蒸气压：2.95mmHg（20℃）蒸气密度：1.2，水溶性5%，相对密度0.9478g/m</w:t>
                  </w:r>
                  <w:r>
                    <w:rPr>
                      <w:rFonts w:hint="eastAsia" w:cs="Times New Roman"/>
                      <w:color w:val="auto"/>
                      <w:sz w:val="21"/>
                      <w:szCs w:val="21"/>
                      <w:highlight w:val="none"/>
                      <w:vertAlign w:val="superscript"/>
                      <w:lang w:val="en-US" w:eastAsia="zh-CN"/>
                    </w:rPr>
                    <w:t>3</w:t>
                  </w:r>
                </w:p>
              </w:tc>
            </w:tr>
            <w:tr w14:paraId="59536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67" w:type="pct"/>
                  <w:vAlign w:val="center"/>
                </w:tcPr>
                <w:p w14:paraId="12B57114">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表调剂</w:t>
                  </w:r>
                </w:p>
              </w:tc>
              <w:tc>
                <w:tcPr>
                  <w:tcW w:w="1504" w:type="pct"/>
                  <w:vAlign w:val="center"/>
                </w:tcPr>
                <w:p w14:paraId="770EE887">
                  <w:pPr>
                    <w:pStyle w:val="61"/>
                    <w:pageBreakBefore w:val="0"/>
                    <w:wordWrap w:val="0"/>
                    <w:overflowPunct/>
                    <w:bidi w:val="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焦磷酸钾30%</w:t>
                  </w:r>
                </w:p>
                <w:p w14:paraId="64357EF6">
                  <w:pPr>
                    <w:pStyle w:val="61"/>
                    <w:pageBreakBefore w:val="0"/>
                    <w:wordWrap w:val="0"/>
                    <w:overflowPunct/>
                    <w:bidi w:val="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氟钛酸钾30%</w:t>
                  </w:r>
                </w:p>
                <w:p w14:paraId="3B74D28A">
                  <w:pPr>
                    <w:pStyle w:val="61"/>
                    <w:pageBreakBefore w:val="0"/>
                    <w:wordWrap w:val="0"/>
                    <w:overflowPunct/>
                    <w:bidi w:val="0"/>
                    <w:spacing w:line="240" w:lineRule="auto"/>
                    <w:rPr>
                      <w:color w:val="auto"/>
                      <w:highlight w:val="none"/>
                    </w:rPr>
                  </w:pPr>
                  <w:r>
                    <w:rPr>
                      <w:rFonts w:hint="default" w:ascii="Times New Roman" w:hAnsi="Times New Roman" w:eastAsia="宋体" w:cs="Times New Roman"/>
                      <w:color w:val="auto"/>
                      <w:sz w:val="21"/>
                      <w:szCs w:val="21"/>
                      <w:highlight w:val="none"/>
                      <w:lang w:val="en-US" w:eastAsia="zh-CN"/>
                    </w:rPr>
                    <w:t>五水偏硅酸钠20%</w:t>
                  </w:r>
                </w:p>
                <w:p w14:paraId="45C19696">
                  <w:pPr>
                    <w:pStyle w:val="61"/>
                    <w:pageBreakBefore w:val="0"/>
                    <w:wordWrap w:val="0"/>
                    <w:overflowPunct/>
                    <w:bidi w:val="0"/>
                    <w:spacing w:line="240" w:lineRule="auto"/>
                    <w:rPr>
                      <w:rFonts w:hint="default"/>
                      <w:color w:val="auto"/>
                      <w:highlight w:val="none"/>
                      <w:lang w:val="en-US" w:eastAsia="zh-CN"/>
                    </w:rPr>
                  </w:pPr>
                  <w:r>
                    <w:rPr>
                      <w:rFonts w:hint="default"/>
                      <w:color w:val="auto"/>
                      <w:highlight w:val="none"/>
                      <w:lang w:val="en-US" w:eastAsia="zh-CN"/>
                    </w:rPr>
                    <w:t>无水硫酸钠 / 氯化钾</w:t>
                  </w:r>
                  <w:r>
                    <w:rPr>
                      <w:rFonts w:hint="eastAsia"/>
                      <w:color w:val="auto"/>
                      <w:highlight w:val="none"/>
                      <w:lang w:val="en-US" w:eastAsia="zh-CN"/>
                    </w:rPr>
                    <w:t>20%</w:t>
                  </w:r>
                  <w:r>
                    <w:rPr>
                      <w:rFonts w:hint="default"/>
                      <w:color w:val="auto"/>
                      <w:highlight w:val="none"/>
                      <w:lang w:val="en-US" w:eastAsia="zh-CN"/>
                    </w:rPr>
                    <w:t>（惰性填充载体，调节粉剂流动性、防结块）</w:t>
                  </w:r>
                </w:p>
              </w:tc>
              <w:tc>
                <w:tcPr>
                  <w:tcW w:w="2628" w:type="pct"/>
                  <w:vAlign w:val="center"/>
                </w:tcPr>
                <w:p w14:paraId="07E71506">
                  <w:pPr>
                    <w:pStyle w:val="61"/>
                    <w:pageBreakBefore w:val="0"/>
                    <w:wordWrap w:val="0"/>
                    <w:overflowPunct/>
                    <w:bidi w:val="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物质状态：粉体</w:t>
                  </w:r>
                  <w:r>
                    <w:rPr>
                      <w:rFonts w:hint="eastAsia"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颜色：白色粉状</w:t>
                  </w:r>
                  <w:r>
                    <w:rPr>
                      <w:rFonts w:hint="eastAsia"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气味：清香气味</w:t>
                  </w:r>
                  <w:r>
                    <w:rPr>
                      <w:rFonts w:hint="eastAsia"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pH 值：8-9（2‰水溶液）</w:t>
                  </w:r>
                  <w:r>
                    <w:rPr>
                      <w:rFonts w:hint="eastAsia"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沸点 / 沸点范围：1600</w:t>
                  </w:r>
                  <w:r>
                    <w:rPr>
                      <w:rFonts w:hint="eastAsia"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溶解度：溶于水</w:t>
                  </w:r>
                </w:p>
              </w:tc>
            </w:tr>
            <w:tr w14:paraId="0857A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67" w:type="pct"/>
                  <w:vAlign w:val="center"/>
                </w:tcPr>
                <w:p w14:paraId="54598E5C">
                  <w:pPr>
                    <w:pStyle w:val="61"/>
                    <w:pageBreakBefore w:val="0"/>
                    <w:wordWrap w:val="0"/>
                    <w:overflowPunct/>
                    <w:bidi w:val="0"/>
                    <w:spacing w:line="240" w:lineRule="auto"/>
                    <w:rPr>
                      <w:rFonts w:hint="eastAsia" w:eastAsia="宋体"/>
                      <w:color w:val="auto"/>
                      <w:highlight w:val="none"/>
                      <w:lang w:val="en-US" w:eastAsia="zh-CN"/>
                    </w:rPr>
                  </w:pPr>
                  <w:r>
                    <w:rPr>
                      <w:rFonts w:hint="eastAsia"/>
                      <w:color w:val="auto"/>
                      <w:highlight w:val="none"/>
                      <w:lang w:val="en-US" w:eastAsia="zh-CN"/>
                    </w:rPr>
                    <w:t>磷化剂</w:t>
                  </w:r>
                </w:p>
              </w:tc>
              <w:tc>
                <w:tcPr>
                  <w:tcW w:w="1504" w:type="pct"/>
                  <w:vAlign w:val="center"/>
                </w:tcPr>
                <w:p w14:paraId="6D63EC6F">
                  <w:pPr>
                    <w:pStyle w:val="61"/>
                    <w:pageBreakBefore w:val="0"/>
                    <w:wordWrap w:val="0"/>
                    <w:overflowPunct/>
                    <w:bidi w:val="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磷酸50%</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锌粉12%</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其他10%</w:t>
                  </w:r>
                  <w:r>
                    <w:rPr>
                      <w:rFonts w:hint="eastAsia" w:cs="Times New Roman"/>
                      <w:color w:val="auto"/>
                      <w:sz w:val="21"/>
                      <w:szCs w:val="21"/>
                      <w:highlight w:val="none"/>
                      <w:lang w:val="en-US" w:eastAsia="zh-CN"/>
                    </w:rPr>
                    <w:t>（钼酸盐和钛酸盐）、</w:t>
                  </w:r>
                  <w:r>
                    <w:rPr>
                      <w:rFonts w:hint="default" w:ascii="Times New Roman" w:hAnsi="Times New Roman" w:eastAsia="宋体" w:cs="Times New Roman"/>
                      <w:color w:val="auto"/>
                      <w:sz w:val="21"/>
                      <w:szCs w:val="21"/>
                      <w:highlight w:val="none"/>
                      <w:lang w:val="en-US" w:eastAsia="zh-CN"/>
                    </w:rPr>
                    <w:t>水28%</w:t>
                  </w:r>
                </w:p>
              </w:tc>
              <w:tc>
                <w:tcPr>
                  <w:tcW w:w="2628" w:type="pct"/>
                  <w:vAlign w:val="center"/>
                </w:tcPr>
                <w:p w14:paraId="5B6A850E">
                  <w:pPr>
                    <w:pStyle w:val="61"/>
                    <w:pageBreakBefore w:val="0"/>
                    <w:wordWrap w:val="0"/>
                    <w:overflowPunct/>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物质状态：液态</w:t>
                  </w:r>
                  <w:r>
                    <w:rPr>
                      <w:rFonts w:hint="eastAsia"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颜色：湖绿色透明</w:t>
                  </w:r>
                  <w:r>
                    <w:rPr>
                      <w:rFonts w:hint="eastAsia"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气味：清香气味</w:t>
                  </w:r>
                  <w:r>
                    <w:rPr>
                      <w:rFonts w:hint="eastAsia"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pH 值：1-2</w:t>
                  </w:r>
                  <w:r>
                    <w:rPr>
                      <w:rFonts w:hint="eastAsia"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沸点 / 沸点范围：102</w:t>
                  </w:r>
                  <w:r>
                    <w:rPr>
                      <w:rFonts w:hint="eastAsia"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蒸气密度：2.0—3.1</w:t>
                  </w:r>
                  <w:r>
                    <w:rPr>
                      <w:rFonts w:hint="eastAsia"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密度：1.25-1.35</w:t>
                  </w:r>
                  <w:r>
                    <w:rPr>
                      <w:rFonts w:hint="eastAsia"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溶解度：溶于水</w:t>
                  </w:r>
                </w:p>
              </w:tc>
            </w:tr>
            <w:tr w14:paraId="56A70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67" w:type="pct"/>
                  <w:shd w:val="clear" w:color="auto" w:fill="auto"/>
                  <w:vAlign w:val="center"/>
                </w:tcPr>
                <w:p w14:paraId="227B3832">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稀释剂</w:t>
                  </w:r>
                </w:p>
              </w:tc>
              <w:tc>
                <w:tcPr>
                  <w:tcW w:w="1504" w:type="pct"/>
                  <w:shd w:val="clear" w:color="auto" w:fill="auto"/>
                  <w:vAlign w:val="center"/>
                </w:tcPr>
                <w:p w14:paraId="1460E6E8">
                  <w:pPr>
                    <w:pStyle w:val="61"/>
                    <w:spacing w:line="240" w:lineRule="auto"/>
                    <w:rPr>
                      <w:rFonts w:hint="eastAsia" w:eastAsia="宋体"/>
                      <w:color w:val="auto"/>
                      <w:highlight w:val="none"/>
                      <w:lang w:val="en-US" w:eastAsia="zh-CN"/>
                    </w:rPr>
                  </w:pPr>
                  <w:r>
                    <w:rPr>
                      <w:rFonts w:hint="eastAsia" w:eastAsia="宋体"/>
                      <w:color w:val="auto"/>
                      <w:highlight w:val="none"/>
                      <w:lang w:val="en-US" w:eastAsia="zh-CN"/>
                    </w:rPr>
                    <w:t>二甲苯</w:t>
                  </w:r>
                  <w:r>
                    <w:rPr>
                      <w:rFonts w:hint="eastAsia"/>
                      <w:color w:val="auto"/>
                      <w:highlight w:val="none"/>
                      <w:lang w:val="en-US" w:eastAsia="zh-CN"/>
                    </w:rPr>
                    <w:t>1</w:t>
                  </w:r>
                  <w:r>
                    <w:rPr>
                      <w:rFonts w:hint="eastAsia" w:eastAsia="宋体"/>
                      <w:color w:val="auto"/>
                      <w:highlight w:val="none"/>
                      <w:lang w:val="en-US" w:eastAsia="zh-CN"/>
                    </w:rPr>
                    <w:t>0</w:t>
                  </w:r>
                  <w:r>
                    <w:rPr>
                      <w:rFonts w:hint="eastAsia"/>
                      <w:color w:val="auto"/>
                      <w:highlight w:val="none"/>
                      <w:lang w:val="en-US" w:eastAsia="zh-CN"/>
                    </w:rPr>
                    <w:t>%</w:t>
                  </w:r>
                  <w:r>
                    <w:rPr>
                      <w:rFonts w:hint="eastAsia" w:eastAsia="宋体"/>
                      <w:color w:val="auto"/>
                      <w:highlight w:val="none"/>
                      <w:lang w:val="en-US" w:eastAsia="zh-CN"/>
                    </w:rPr>
                    <w:t>~</w:t>
                  </w:r>
                  <w:r>
                    <w:rPr>
                      <w:rFonts w:hint="eastAsia"/>
                      <w:color w:val="auto"/>
                      <w:highlight w:val="none"/>
                      <w:lang w:val="en-US" w:eastAsia="zh-CN"/>
                    </w:rPr>
                    <w:t>3</w:t>
                  </w:r>
                  <w:r>
                    <w:rPr>
                      <w:rFonts w:hint="eastAsia" w:eastAsia="宋体"/>
                      <w:color w:val="auto"/>
                      <w:highlight w:val="none"/>
                      <w:lang w:val="en-US" w:eastAsia="zh-CN"/>
                    </w:rPr>
                    <w:t>0%</w:t>
                  </w:r>
                </w:p>
                <w:p w14:paraId="3CAC8056">
                  <w:pPr>
                    <w:pStyle w:val="61"/>
                    <w:spacing w:line="240" w:lineRule="auto"/>
                    <w:rPr>
                      <w:rFonts w:hint="default" w:ascii="Times New Roman" w:hAnsi="Times New Roman" w:eastAsia="宋体" w:cs="Times New Roman"/>
                      <w:color w:val="auto"/>
                      <w:kern w:val="2"/>
                      <w:position w:val="-10"/>
                      <w:sz w:val="21"/>
                      <w:szCs w:val="21"/>
                      <w:highlight w:val="none"/>
                      <w:lang w:val="en-US" w:eastAsia="zh-CN" w:bidi="ar-SA"/>
                    </w:rPr>
                  </w:pPr>
                  <w:r>
                    <w:rPr>
                      <w:rFonts w:hint="eastAsia"/>
                      <w:color w:val="auto"/>
                      <w:highlight w:val="none"/>
                      <w:lang w:val="en-US" w:eastAsia="zh-CN"/>
                    </w:rPr>
                    <w:t>醋酸</w:t>
                  </w:r>
                  <w:r>
                    <w:rPr>
                      <w:rFonts w:hint="eastAsia" w:eastAsia="宋体"/>
                      <w:color w:val="auto"/>
                      <w:highlight w:val="none"/>
                      <w:lang w:val="en-US" w:eastAsia="zh-CN"/>
                    </w:rPr>
                    <w:t>丁酯</w:t>
                  </w:r>
                  <w:r>
                    <w:rPr>
                      <w:rFonts w:hint="eastAsia"/>
                      <w:color w:val="auto"/>
                      <w:highlight w:val="none"/>
                      <w:lang w:val="en-US" w:eastAsia="zh-CN"/>
                    </w:rPr>
                    <w:t>30%</w:t>
                  </w:r>
                  <w:r>
                    <w:rPr>
                      <w:rFonts w:hint="eastAsia" w:eastAsia="宋体"/>
                      <w:color w:val="auto"/>
                      <w:highlight w:val="none"/>
                      <w:lang w:val="en-US" w:eastAsia="zh-CN"/>
                    </w:rPr>
                    <w:t>~</w:t>
                  </w:r>
                  <w:r>
                    <w:rPr>
                      <w:rFonts w:hint="eastAsia"/>
                      <w:color w:val="auto"/>
                      <w:highlight w:val="none"/>
                      <w:lang w:val="en-US" w:eastAsia="zh-CN"/>
                    </w:rPr>
                    <w:t>5</w:t>
                  </w:r>
                  <w:r>
                    <w:rPr>
                      <w:rFonts w:hint="eastAsia" w:eastAsia="宋体"/>
                      <w:color w:val="auto"/>
                      <w:highlight w:val="none"/>
                      <w:lang w:val="en-US" w:eastAsia="zh-CN"/>
                    </w:rPr>
                    <w:t>0%丙二醇甲醚醋酸酯20</w:t>
                  </w:r>
                  <w:r>
                    <w:rPr>
                      <w:rFonts w:hint="eastAsia"/>
                      <w:color w:val="auto"/>
                      <w:highlight w:val="none"/>
                      <w:lang w:val="en-US" w:eastAsia="zh-CN"/>
                    </w:rPr>
                    <w:t>%</w:t>
                  </w:r>
                  <w:r>
                    <w:rPr>
                      <w:rFonts w:hint="eastAsia" w:eastAsia="宋体"/>
                      <w:color w:val="auto"/>
                      <w:highlight w:val="none"/>
                      <w:lang w:val="en-US" w:eastAsia="zh-CN"/>
                    </w:rPr>
                    <w:t>~</w:t>
                  </w:r>
                  <w:r>
                    <w:rPr>
                      <w:rFonts w:hint="eastAsia"/>
                      <w:color w:val="auto"/>
                      <w:highlight w:val="none"/>
                      <w:lang w:val="en-US" w:eastAsia="zh-CN"/>
                    </w:rPr>
                    <w:t>4</w:t>
                  </w:r>
                  <w:r>
                    <w:rPr>
                      <w:rFonts w:hint="eastAsia" w:eastAsia="宋体"/>
                      <w:color w:val="auto"/>
                      <w:highlight w:val="none"/>
                      <w:lang w:val="en-US" w:eastAsia="zh-CN"/>
                    </w:rPr>
                    <w:t>0%</w:t>
                  </w:r>
                </w:p>
              </w:tc>
              <w:tc>
                <w:tcPr>
                  <w:tcW w:w="2628" w:type="pct"/>
                  <w:shd w:val="clear" w:color="auto" w:fill="auto"/>
                  <w:vAlign w:val="center"/>
                </w:tcPr>
                <w:p w14:paraId="786EBA99">
                  <w:pPr>
                    <w:pStyle w:val="61"/>
                    <w:pageBreakBefore w:val="0"/>
                    <w:wordWrap w:val="0"/>
                    <w:overflowPunct/>
                    <w:bidi w:val="0"/>
                    <w:spacing w:line="240" w:lineRule="auto"/>
                    <w:rPr>
                      <w:rFonts w:hint="default" w:ascii="Times New Roman" w:hAnsi="Times New Roman" w:eastAsia="宋体" w:cs="Times New Roman"/>
                      <w:color w:val="auto"/>
                      <w:kern w:val="2"/>
                      <w:position w:val="-10"/>
                      <w:sz w:val="21"/>
                      <w:szCs w:val="21"/>
                      <w:highlight w:val="none"/>
                      <w:lang w:val="en-US" w:eastAsia="zh-CN" w:bidi="ar-SA"/>
                    </w:rPr>
                  </w:pPr>
                  <w:r>
                    <w:rPr>
                      <w:rFonts w:hint="default" w:ascii="Times New Roman" w:hAnsi="Times New Roman" w:cs="Times New Roman"/>
                      <w:color w:val="auto"/>
                      <w:sz w:val="21"/>
                      <w:szCs w:val="21"/>
                      <w:highlight w:val="none"/>
                    </w:rPr>
                    <w:t>外观为无色透明液体，相对密度:0.8</w:t>
                  </w:r>
                  <w:r>
                    <w:rPr>
                      <w:rFonts w:hint="eastAsia" w:cs="Times New Roman"/>
                      <w:color w:val="auto"/>
                      <w:sz w:val="21"/>
                      <w:szCs w:val="21"/>
                      <w:highlight w:val="none"/>
                      <w:lang w:val="en-US" w:eastAsia="zh-CN"/>
                    </w:rPr>
                    <w:t>7±0.05</w:t>
                  </w:r>
                  <w:r>
                    <w:rPr>
                      <w:rFonts w:hint="default" w:ascii="Times New Roman" w:hAnsi="Times New Roman" w:cs="Times New Roman"/>
                      <w:color w:val="auto"/>
                      <w:sz w:val="21"/>
                      <w:szCs w:val="21"/>
                      <w:highlight w:val="none"/>
                    </w:rPr>
                    <w:t>，危险特征:易燃，遇明火、高热能引起燃烧爆炸。</w:t>
                  </w:r>
                </w:p>
              </w:tc>
            </w:tr>
            <w:tr w14:paraId="3F04E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67" w:type="pct"/>
                  <w:shd w:val="clear" w:color="auto" w:fill="auto"/>
                  <w:vAlign w:val="center"/>
                </w:tcPr>
                <w:p w14:paraId="02607A17">
                  <w:pPr>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除锈剂</w:t>
                  </w:r>
                </w:p>
              </w:tc>
              <w:tc>
                <w:tcPr>
                  <w:tcW w:w="1504" w:type="pct"/>
                  <w:shd w:val="clear" w:color="auto" w:fill="auto"/>
                  <w:vAlign w:val="center"/>
                </w:tcPr>
                <w:p w14:paraId="4648FEEF">
                  <w:pPr>
                    <w:pStyle w:val="61"/>
                    <w:spacing w:line="240" w:lineRule="auto"/>
                    <w:rPr>
                      <w:rFonts w:hint="default"/>
                      <w:color w:val="auto"/>
                      <w:highlight w:val="none"/>
                      <w:lang w:val="en-US" w:eastAsia="zh-CN"/>
                    </w:rPr>
                  </w:pPr>
                  <w:r>
                    <w:rPr>
                      <w:rFonts w:hint="eastAsia"/>
                      <w:color w:val="auto"/>
                      <w:highlight w:val="none"/>
                      <w:lang w:val="en-US" w:eastAsia="zh-CN"/>
                    </w:rPr>
                    <w:t>柠檬酸15%、酒石酸12%、其他9%（表面活性剂、缓蚀剂、螯合剂）、水64%</w:t>
                  </w:r>
                </w:p>
              </w:tc>
              <w:tc>
                <w:tcPr>
                  <w:tcW w:w="2628" w:type="pct"/>
                  <w:shd w:val="clear" w:color="auto" w:fill="auto"/>
                  <w:vAlign w:val="center"/>
                </w:tcPr>
                <w:p w14:paraId="088FF6CB">
                  <w:pPr>
                    <w:pStyle w:val="61"/>
                    <w:pageBreakBefore w:val="0"/>
                    <w:wordWrap w:val="0"/>
                    <w:overflowPunct/>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物质状态：液态</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颜色：黄色半透明</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气味：清香气味</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pH值：8-9</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沸点/沸点范围：102℃</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蒸气密度：2.0—3.1</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密度：1.01—1.05</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溶解度：溶于水</w:t>
                  </w:r>
                </w:p>
              </w:tc>
            </w:tr>
            <w:tr w14:paraId="1195D6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67" w:type="pct"/>
                  <w:shd w:val="clear" w:color="auto" w:fill="auto"/>
                  <w:vAlign w:val="center"/>
                </w:tcPr>
                <w:p w14:paraId="13FD87ED">
                  <w:pPr>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水性漆</w:t>
                  </w:r>
                </w:p>
              </w:tc>
              <w:tc>
                <w:tcPr>
                  <w:tcW w:w="1504" w:type="pct"/>
                  <w:shd w:val="clear" w:color="auto" w:fill="auto"/>
                  <w:vAlign w:val="center"/>
                </w:tcPr>
                <w:p w14:paraId="621FE367">
                  <w:pPr>
                    <w:pStyle w:val="61"/>
                    <w:spacing w:line="240" w:lineRule="auto"/>
                    <w:rPr>
                      <w:rFonts w:hint="eastAsia"/>
                      <w:color w:val="auto"/>
                      <w:highlight w:val="none"/>
                      <w:lang w:val="en-US" w:eastAsia="zh-CN"/>
                    </w:rPr>
                  </w:pPr>
                  <w:r>
                    <w:rPr>
                      <w:rFonts w:hint="eastAsia"/>
                      <w:color w:val="auto"/>
                      <w:highlight w:val="none"/>
                      <w:lang w:val="en-US" w:eastAsia="zh-CN"/>
                    </w:rPr>
                    <w:t>丙烯酸树脂40-60%、醇酯十二1-5%、二丙二醇丁醚1-4%、去离子水20-30%、钛白粉3-5%</w:t>
                  </w:r>
                </w:p>
              </w:tc>
              <w:tc>
                <w:tcPr>
                  <w:tcW w:w="2628" w:type="pct"/>
                  <w:shd w:val="clear" w:color="auto" w:fill="auto"/>
                  <w:vAlign w:val="center"/>
                </w:tcPr>
                <w:p w14:paraId="3BFCE148">
                  <w:pPr>
                    <w:pStyle w:val="61"/>
                    <w:pageBreakBefore w:val="0"/>
                    <w:wordWrap w:val="0"/>
                    <w:overflowPunct/>
                    <w:bidi w:val="0"/>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外观：白色液体</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pH值：8.5-9</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闪点(℃)(闭杯)：＞100</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易燃性：不燃</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蒸汽密度(g/mL)：1.0</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相对密度(g/cm³)：1.2</w:t>
                  </w:r>
                </w:p>
              </w:tc>
            </w:tr>
            <w:tr w14:paraId="2F59C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867" w:type="pct"/>
                  <w:shd w:val="clear" w:color="auto" w:fill="auto"/>
                  <w:vAlign w:val="center"/>
                </w:tcPr>
                <w:p w14:paraId="38D59AC0">
                  <w:pPr>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网版清洗剂（半水基清洗剂）</w:t>
                  </w:r>
                </w:p>
              </w:tc>
              <w:tc>
                <w:tcPr>
                  <w:tcW w:w="1504" w:type="pct"/>
                  <w:shd w:val="clear" w:color="auto" w:fill="auto"/>
                  <w:vAlign w:val="center"/>
                </w:tcPr>
                <w:p w14:paraId="494A0BA4">
                  <w:pPr>
                    <w:pStyle w:val="61"/>
                    <w:spacing w:line="240" w:lineRule="auto"/>
                    <w:rPr>
                      <w:rFonts w:hint="default"/>
                      <w:color w:val="auto"/>
                      <w:highlight w:val="none"/>
                      <w:lang w:val="en-US" w:eastAsia="zh-CN"/>
                    </w:rPr>
                  </w:pPr>
                  <w:r>
                    <w:rPr>
                      <w:rFonts w:hint="eastAsia"/>
                      <w:color w:val="auto"/>
                      <w:highlight w:val="none"/>
                      <w:lang w:val="en-US" w:eastAsia="zh-CN"/>
                    </w:rPr>
                    <w:t>三丙二醇单甲醚10%</w:t>
                  </w:r>
                </w:p>
                <w:p w14:paraId="4202E0ED">
                  <w:pPr>
                    <w:pStyle w:val="61"/>
                    <w:spacing w:line="240" w:lineRule="auto"/>
                    <w:rPr>
                      <w:rFonts w:hint="default"/>
                      <w:color w:val="auto"/>
                      <w:highlight w:val="none"/>
                      <w:lang w:val="en-US" w:eastAsia="zh-CN"/>
                    </w:rPr>
                  </w:pPr>
                  <w:r>
                    <w:rPr>
                      <w:rFonts w:hint="eastAsia"/>
                      <w:color w:val="auto"/>
                      <w:highlight w:val="none"/>
                      <w:lang w:val="en-US" w:eastAsia="zh-CN"/>
                    </w:rPr>
                    <w:t>表面活性剂10%</w:t>
                  </w:r>
                </w:p>
                <w:p w14:paraId="497E8C61">
                  <w:pPr>
                    <w:pStyle w:val="61"/>
                    <w:spacing w:line="240" w:lineRule="auto"/>
                    <w:rPr>
                      <w:rFonts w:hint="default"/>
                      <w:color w:val="auto"/>
                      <w:highlight w:val="none"/>
                      <w:lang w:val="en-US" w:eastAsia="zh-CN"/>
                    </w:rPr>
                  </w:pPr>
                  <w:r>
                    <w:rPr>
                      <w:rFonts w:hint="eastAsia"/>
                      <w:color w:val="auto"/>
                      <w:highlight w:val="none"/>
                      <w:lang w:val="en-US" w:eastAsia="zh-CN"/>
                    </w:rPr>
                    <w:t>三乙醇胺5%</w:t>
                  </w:r>
                </w:p>
                <w:p w14:paraId="0F1301CC">
                  <w:pPr>
                    <w:pStyle w:val="61"/>
                    <w:spacing w:line="240" w:lineRule="auto"/>
                    <w:rPr>
                      <w:rFonts w:hint="eastAsia"/>
                      <w:color w:val="auto"/>
                      <w:highlight w:val="none"/>
                      <w:lang w:val="en-US" w:eastAsia="zh-CN"/>
                    </w:rPr>
                  </w:pPr>
                  <w:r>
                    <w:rPr>
                      <w:rFonts w:hint="eastAsia"/>
                      <w:color w:val="auto"/>
                      <w:highlight w:val="none"/>
                      <w:lang w:val="en-US" w:eastAsia="zh-CN"/>
                    </w:rPr>
                    <w:t>去离子水75%</w:t>
                  </w:r>
                </w:p>
              </w:tc>
              <w:tc>
                <w:tcPr>
                  <w:tcW w:w="2628" w:type="pct"/>
                  <w:shd w:val="clear" w:color="auto" w:fill="auto"/>
                  <w:vAlign w:val="center"/>
                </w:tcPr>
                <w:p w14:paraId="4EB15783">
                  <w:pPr>
                    <w:pStyle w:val="61"/>
                    <w:pageBreakBefore w:val="0"/>
                    <w:wordWrap w:val="0"/>
                    <w:overflowPunct/>
                    <w:bidi w:val="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外观与性状：无色至淡黄色液体</w:t>
                  </w:r>
                </w:p>
                <w:p w14:paraId="6D0F75B8">
                  <w:pPr>
                    <w:pStyle w:val="61"/>
                    <w:pageBreakBefore w:val="0"/>
                    <w:wordWrap w:val="0"/>
                    <w:overflowPunct/>
                    <w:bidi w:val="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稳定性：3-10℃，无结晶无沉淀，40℃不分层，不混浊，不改变气味</w:t>
                  </w:r>
                  <w:r>
                    <w:rPr>
                      <w:rFonts w:hint="eastAsia"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沸点：101±5℃</w:t>
                  </w:r>
                </w:p>
                <w:p w14:paraId="3F70F8CB">
                  <w:pPr>
                    <w:pStyle w:val="61"/>
                    <w:pageBreakBefore w:val="0"/>
                    <w:wordWrap w:val="0"/>
                    <w:overflowPunct/>
                    <w:bidi w:val="0"/>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闪点：无</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密度，g/cm³(20±1℃)：1.01±0.1</w:t>
                  </w:r>
                </w:p>
                <w:p w14:paraId="4C8D1527">
                  <w:pPr>
                    <w:pStyle w:val="61"/>
                    <w:pageBreakBefore w:val="0"/>
                    <w:wordWrap w:val="0"/>
                    <w:overflowPunct/>
                    <w:bidi w:val="0"/>
                    <w:spacing w:line="240" w:lineRule="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p</w:t>
                  </w:r>
                  <w:r>
                    <w:rPr>
                      <w:rFonts w:hint="default" w:ascii="Times New Roman" w:hAnsi="Times New Roman" w:eastAsia="宋体" w:cs="Times New Roman"/>
                      <w:color w:val="auto"/>
                      <w:sz w:val="21"/>
                      <w:szCs w:val="21"/>
                      <w:highlight w:val="none"/>
                      <w:lang w:val="en-US" w:eastAsia="zh-CN"/>
                    </w:rPr>
                    <w:t>H 值：12±1</w:t>
                  </w:r>
                  <w:r>
                    <w:rPr>
                      <w:rFonts w:hint="eastAsia"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溶解性：易溶于水</w:t>
                  </w:r>
                </w:p>
              </w:tc>
            </w:tr>
          </w:tbl>
          <w:p w14:paraId="6A9D0174">
            <w:pPr>
              <w:keepNext w:val="0"/>
              <w:keepLines w:val="0"/>
              <w:pageBreakBefore w:val="0"/>
              <w:widowControl w:val="0"/>
              <w:kinsoku/>
              <w:wordWrap w:val="0"/>
              <w:overflowPunct/>
              <w:topLinePunct w:val="0"/>
              <w:autoSpaceDE/>
              <w:autoSpaceDN/>
              <w:bidi w:val="0"/>
              <w:adjustRightInd/>
              <w:snapToGrid/>
              <w:spacing w:before="156" w:beforeLines="50" w:line="360" w:lineRule="auto"/>
              <w:ind w:firstLine="480" w:firstLineChars="200"/>
              <w:textAlignment w:val="auto"/>
              <w:rPr>
                <w:b/>
                <w:color w:val="auto"/>
                <w:sz w:val="24"/>
                <w:highlight w:val="none"/>
              </w:rPr>
            </w:pPr>
            <w:r>
              <w:rPr>
                <w:rFonts w:hint="eastAsia" w:eastAsia="宋体" w:cs="Times New Roman"/>
                <w:b/>
                <w:bCs/>
                <w:color w:val="auto"/>
                <w:highlight w:val="none"/>
                <w:lang w:val="en-US" w:eastAsia="zh-CN"/>
              </w:rPr>
              <w:t>（3）</w:t>
            </w:r>
            <w:r>
              <w:rPr>
                <w:rFonts w:hint="eastAsia"/>
                <w:b/>
                <w:color w:val="auto"/>
                <w:sz w:val="24"/>
                <w:highlight w:val="none"/>
                <w:lang w:val="en-US" w:eastAsia="zh-CN"/>
              </w:rPr>
              <w:t>原</w:t>
            </w:r>
            <w:r>
              <w:rPr>
                <w:b/>
                <w:color w:val="auto"/>
                <w:sz w:val="24"/>
                <w:highlight w:val="none"/>
              </w:rPr>
              <w:t>料用料核算依据</w:t>
            </w:r>
          </w:p>
          <w:p w14:paraId="54FF8076">
            <w:pPr>
              <w:widowControl/>
              <w:spacing w:line="360" w:lineRule="auto"/>
              <w:ind w:firstLine="480" w:firstLineChars="200"/>
              <w:jc w:val="left"/>
              <w:rPr>
                <w:rFonts w:hint="eastAsia"/>
                <w:color w:val="auto"/>
                <w:sz w:val="24"/>
                <w:szCs w:val="24"/>
                <w:highlight w:val="none"/>
                <w:lang w:val="en-US" w:eastAsia="zh-CN"/>
              </w:rPr>
            </w:pPr>
            <w:bookmarkStart w:id="24" w:name="_Toc10399"/>
            <w:r>
              <w:rPr>
                <w:rFonts w:hint="eastAsia"/>
                <w:color w:val="auto"/>
                <w:sz w:val="24"/>
                <w:szCs w:val="24"/>
                <w:highlight w:val="none"/>
                <w:lang w:val="en-US" w:eastAsia="zh-CN"/>
              </w:rPr>
              <w:t>1）漆料用量核算</w:t>
            </w:r>
          </w:p>
          <w:p w14:paraId="61503FFF">
            <w:pPr>
              <w:widowControl/>
              <w:spacing w:line="360" w:lineRule="auto"/>
              <w:ind w:firstLine="480" w:firstLineChars="200"/>
              <w:jc w:val="left"/>
              <w:rPr>
                <w:rFonts w:hint="default" w:eastAsia="宋体"/>
                <w:color w:val="auto"/>
                <w:sz w:val="24"/>
                <w:szCs w:val="24"/>
                <w:highlight w:val="none"/>
                <w:lang w:val="en-US" w:eastAsia="zh-CN"/>
              </w:rPr>
            </w:pPr>
            <w:r>
              <w:rPr>
                <w:rFonts w:hint="eastAsia"/>
                <w:color w:val="auto"/>
                <w:sz w:val="24"/>
                <w:szCs w:val="24"/>
                <w:highlight w:val="none"/>
                <w:lang w:val="en-US" w:eastAsia="zh-CN"/>
              </w:rPr>
              <w:t>本项目涂料实际用量采用计算公式：涂料实际用量（L）=喷涂面积×干膜厚度/（10×体积固体含量×100×上漆率）</w:t>
            </w:r>
          </w:p>
          <w:p w14:paraId="3BA7B1B6">
            <w:pPr>
              <w:pageBreakBefore w:val="0"/>
              <w:wordWrap w:val="0"/>
              <w:overflowPunct/>
              <w:bidi w:val="0"/>
              <w:spacing w:line="360" w:lineRule="auto"/>
              <w:ind w:firstLine="480" w:firstLineChars="200"/>
              <w:rPr>
                <w:b/>
                <w:color w:val="auto"/>
                <w:sz w:val="24"/>
                <w:highlight w:val="none"/>
              </w:rPr>
            </w:pPr>
            <w:r>
              <w:rPr>
                <w:rFonts w:hint="eastAsia"/>
                <w:b/>
                <w:color w:val="auto"/>
                <w:sz w:val="24"/>
                <w:highlight w:val="none"/>
                <w:lang w:val="en-US" w:eastAsia="zh-CN"/>
              </w:rPr>
              <w:t>①</w:t>
            </w:r>
            <w:r>
              <w:rPr>
                <w:b/>
                <w:color w:val="auto"/>
                <w:sz w:val="24"/>
                <w:highlight w:val="none"/>
              </w:rPr>
              <w:t>调配后各漆料用料核算</w:t>
            </w:r>
            <w:bookmarkEnd w:id="24"/>
          </w:p>
          <w:p w14:paraId="2B7C5369">
            <w:pPr>
              <w:pStyle w:val="17"/>
              <w:pageBreakBefore w:val="0"/>
              <w:numPr>
                <w:ilvl w:val="0"/>
                <w:numId w:val="8"/>
              </w:numPr>
              <w:wordWrap w:val="0"/>
              <w:overflowPunct/>
              <w:bidi w:val="0"/>
              <w:spacing w:line="240" w:lineRule="auto"/>
              <w:ind w:left="0" w:leftChars="0" w:firstLine="40" w:firstLineChars="0"/>
              <w:rPr>
                <w:b/>
                <w:bCs/>
                <w:color w:val="auto"/>
                <w:sz w:val="21"/>
                <w:szCs w:val="21"/>
                <w:highlight w:val="none"/>
              </w:rPr>
            </w:pPr>
            <w:r>
              <w:rPr>
                <w:b/>
                <w:bCs/>
                <w:color w:val="auto"/>
                <w:sz w:val="21"/>
                <w:szCs w:val="21"/>
                <w:highlight w:val="none"/>
              </w:rPr>
              <w:t>调配后各漆料用料一览表</w:t>
            </w:r>
          </w:p>
          <w:tbl>
            <w:tblPr>
              <w:tblStyle w:val="43"/>
              <w:tblW w:w="0" w:type="auto"/>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64"/>
              <w:gridCol w:w="1136"/>
              <w:gridCol w:w="1146"/>
              <w:gridCol w:w="1048"/>
              <w:gridCol w:w="973"/>
              <w:gridCol w:w="949"/>
              <w:gridCol w:w="1320"/>
            </w:tblGrid>
            <w:tr w14:paraId="12E9A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DBF00">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原料使用</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CB509">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喷涂面积</w:t>
                  </w:r>
                  <w:r>
                    <w:rPr>
                      <w:rFonts w:hint="default" w:ascii="Times New Roman" w:hAnsi="Times New Roman" w:eastAsia="宋体" w:cs="Times New Roman"/>
                      <w:b/>
                      <w:bCs/>
                      <w:i w:val="0"/>
                      <w:iCs w:val="0"/>
                      <w:color w:val="auto"/>
                      <w:kern w:val="0"/>
                      <w:sz w:val="21"/>
                      <w:szCs w:val="21"/>
                      <w:highlight w:val="none"/>
                      <w:u w:val="none"/>
                      <w:lang w:val="en-US" w:eastAsia="zh-CN"/>
                    </w:rPr>
                    <w:t>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rPr>
                    <w:t>2</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094C1">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喷涂厚度</w:t>
                  </w:r>
                  <w:r>
                    <w:rPr>
                      <w:rFonts w:hint="default" w:ascii="Times New Roman" w:hAnsi="Times New Roman" w:eastAsia="宋体" w:cs="Times New Roman"/>
                      <w:b/>
                      <w:bCs/>
                      <w:i w:val="0"/>
                      <w:iCs w:val="0"/>
                      <w:color w:val="auto"/>
                      <w:kern w:val="0"/>
                      <w:sz w:val="21"/>
                      <w:szCs w:val="21"/>
                      <w:highlight w:val="none"/>
                      <w:u w:val="none"/>
                      <w:lang w:val="en-US" w:eastAsia="zh-CN"/>
                    </w:rPr>
                    <w:t>μm</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AC2E5">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密度</w:t>
                  </w:r>
                  <w:r>
                    <w:rPr>
                      <w:rFonts w:hint="default" w:ascii="Times New Roman" w:hAnsi="Times New Roman" w:eastAsia="宋体" w:cs="Times New Roman"/>
                      <w:b/>
                      <w:bCs/>
                      <w:i w:val="0"/>
                      <w:iCs w:val="0"/>
                      <w:color w:val="auto"/>
                      <w:kern w:val="0"/>
                      <w:sz w:val="21"/>
                      <w:szCs w:val="21"/>
                      <w:highlight w:val="none"/>
                      <w:u w:val="none"/>
                      <w:lang w:val="en-US" w:eastAsia="zh-CN"/>
                    </w:rPr>
                    <w:t>g/cm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rPr>
                    <w:t>3</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5EE13">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固含量</w:t>
                  </w:r>
                  <w:r>
                    <w:rPr>
                      <w:rFonts w:hint="default" w:ascii="Times New Roman" w:hAnsi="Times New Roman" w:eastAsia="宋体" w:cs="Times New Roman"/>
                      <w:b/>
                      <w:bCs/>
                      <w:i w:val="0"/>
                      <w:iCs w:val="0"/>
                      <w:color w:val="auto"/>
                      <w:kern w:val="0"/>
                      <w:sz w:val="21"/>
                      <w:szCs w:val="21"/>
                      <w:highlight w:val="none"/>
                      <w:u w:val="none"/>
                      <w:lang w:val="en-US" w:eastAsia="zh-CN"/>
                    </w:rPr>
                    <w:t>%</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1E503">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附着率</w:t>
                  </w:r>
                  <w:r>
                    <w:rPr>
                      <w:rFonts w:hint="default" w:ascii="Times New Roman" w:hAnsi="Times New Roman" w:eastAsia="宋体" w:cs="Times New Roman"/>
                      <w:b/>
                      <w:bCs/>
                      <w:i w:val="0"/>
                      <w:iCs w:val="0"/>
                      <w:color w:val="auto"/>
                      <w:kern w:val="0"/>
                      <w:sz w:val="21"/>
                      <w:szCs w:val="21"/>
                      <w:highlight w:val="none"/>
                      <w:u w:val="none"/>
                      <w:lang w:val="en-US" w:eastAsia="zh-CN"/>
                    </w:rPr>
                    <w:t>%</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C4D02">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原料使用量</w:t>
                  </w:r>
                  <w:r>
                    <w:rPr>
                      <w:rFonts w:hint="default" w:ascii="Times New Roman" w:hAnsi="Times New Roman" w:eastAsia="宋体" w:cs="Times New Roman"/>
                      <w:b/>
                      <w:bCs/>
                      <w:i w:val="0"/>
                      <w:iCs w:val="0"/>
                      <w:color w:val="auto"/>
                      <w:kern w:val="0"/>
                      <w:sz w:val="21"/>
                      <w:szCs w:val="21"/>
                      <w:highlight w:val="none"/>
                      <w:u w:val="none"/>
                      <w:lang w:val="en-US" w:eastAsia="zh-CN"/>
                    </w:rPr>
                    <w:t>t/a</w:t>
                  </w:r>
                </w:p>
              </w:tc>
            </w:tr>
            <w:tr w14:paraId="548D6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1FF17">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水性漆</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012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22800</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FE2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16</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B5B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1.2</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D41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 xml:space="preserve">72.67 </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4B2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60</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85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 xml:space="preserve">1.004 </w:t>
                  </w:r>
                </w:p>
              </w:tc>
            </w:tr>
            <w:tr w14:paraId="2F8D6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trPr>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C969C">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油性漆</w:t>
                  </w:r>
                  <w:r>
                    <w:rPr>
                      <w:rFonts w:hint="eastAsia" w:ascii="宋体" w:hAnsi="宋体" w:cs="宋体"/>
                      <w:i w:val="0"/>
                      <w:iCs w:val="0"/>
                      <w:color w:val="auto"/>
                      <w:kern w:val="0"/>
                      <w:sz w:val="21"/>
                      <w:szCs w:val="21"/>
                      <w:highlight w:val="none"/>
                      <w:u w:val="none"/>
                      <w:lang w:val="en-US" w:eastAsia="zh-CN"/>
                    </w:rPr>
                    <w:t>（含固化剂）</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D70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76000</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1AB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14</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3F2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1.275</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269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 xml:space="preserve">77.33 </w:t>
                  </w:r>
                </w:p>
              </w:tc>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2A7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60</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272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 xml:space="preserve">2.924 </w:t>
                  </w:r>
                </w:p>
              </w:tc>
            </w:tr>
            <w:tr w14:paraId="49E20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90" w:hRule="atLeast"/>
              </w:trPr>
              <w:tc>
                <w:tcPr>
                  <w:tcW w:w="7736"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228E">
                  <w:pPr>
                    <w:keepNext w:val="0"/>
                    <w:keepLines w:val="0"/>
                    <w:widowControl/>
                    <w:suppressLineNumbers w:val="0"/>
                    <w:spacing w:line="240" w:lineRule="auto"/>
                    <w:jc w:val="center"/>
                    <w:textAlignment w:val="center"/>
                    <w:rPr>
                      <w:rStyle w:val="124"/>
                      <w:rFonts w:hint="eastAsia" w:eastAsia="宋体"/>
                      <w:color w:val="auto"/>
                      <w:sz w:val="21"/>
                      <w:szCs w:val="21"/>
                      <w:highlight w:val="none"/>
                      <w:vertAlign w:val="baseline"/>
                      <w:lang w:val="en-US" w:eastAsia="zh-CN"/>
                    </w:rPr>
                  </w:pPr>
                  <w:r>
                    <w:rPr>
                      <w:rFonts w:hint="eastAsia" w:ascii="宋体" w:hAnsi="宋体" w:eastAsia="宋体" w:cs="宋体"/>
                      <w:i w:val="0"/>
                      <w:iCs w:val="0"/>
                      <w:color w:val="auto"/>
                      <w:kern w:val="0"/>
                      <w:sz w:val="21"/>
                      <w:szCs w:val="21"/>
                      <w:highlight w:val="none"/>
                      <w:u w:val="none"/>
                      <w:lang w:val="en-US" w:eastAsia="zh-CN"/>
                    </w:rPr>
                    <w:t>注：</w:t>
                  </w:r>
                  <w:r>
                    <w:rPr>
                      <w:rFonts w:hint="default" w:ascii="Times New Roman" w:hAnsi="Times New Roman" w:eastAsia="宋体" w:cs="Times New Roman"/>
                      <w:i w:val="0"/>
                      <w:iCs w:val="0"/>
                      <w:color w:val="auto"/>
                      <w:kern w:val="0"/>
                      <w:sz w:val="21"/>
                      <w:szCs w:val="21"/>
                      <w:highlight w:val="none"/>
                      <w:u w:val="none"/>
                      <w:lang w:val="en-US" w:eastAsia="zh-CN"/>
                    </w:rPr>
                    <w:t>1</w:t>
                  </w:r>
                  <w:r>
                    <w:rPr>
                      <w:rFonts w:hint="eastAsia" w:ascii="宋体" w:hAnsi="宋体" w:eastAsia="宋体" w:cs="宋体"/>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单个</w:t>
                  </w:r>
                  <w:r>
                    <w:rPr>
                      <w:rFonts w:hint="eastAsia" w:cs="Times New Roman"/>
                      <w:i w:val="0"/>
                      <w:iCs w:val="0"/>
                      <w:color w:val="auto"/>
                      <w:kern w:val="0"/>
                      <w:sz w:val="21"/>
                      <w:szCs w:val="21"/>
                      <w:highlight w:val="none"/>
                      <w:u w:val="none"/>
                      <w:lang w:val="en-US" w:eastAsia="zh-CN"/>
                    </w:rPr>
                    <w:t>电箱</w:t>
                  </w:r>
                  <w:r>
                    <w:rPr>
                      <w:rFonts w:hint="default" w:ascii="Times New Roman" w:hAnsi="Times New Roman" w:eastAsia="宋体" w:cs="Times New Roman"/>
                      <w:i w:val="0"/>
                      <w:iCs w:val="0"/>
                      <w:color w:val="auto"/>
                      <w:kern w:val="0"/>
                      <w:sz w:val="21"/>
                      <w:szCs w:val="21"/>
                      <w:highlight w:val="none"/>
                      <w:u w:val="none"/>
                      <w:lang w:val="en-US" w:eastAsia="zh-CN"/>
                    </w:rPr>
                    <w:t>尺寸为</w:t>
                  </w:r>
                  <w:r>
                    <w:rPr>
                      <w:rFonts w:hint="eastAsia" w:cs="Times New Roman"/>
                      <w:i w:val="0"/>
                      <w:iCs w:val="0"/>
                      <w:color w:val="auto"/>
                      <w:kern w:val="0"/>
                      <w:sz w:val="21"/>
                      <w:szCs w:val="21"/>
                      <w:highlight w:val="none"/>
                      <w:u w:val="none"/>
                      <w:lang w:val="en-US" w:eastAsia="zh-CN"/>
                    </w:rPr>
                    <w:t>8</w:t>
                  </w:r>
                  <w:r>
                    <w:rPr>
                      <w:rFonts w:hint="default" w:ascii="Times New Roman" w:hAnsi="Times New Roman" w:eastAsia="宋体" w:cs="Times New Roman"/>
                      <w:i w:val="0"/>
                      <w:iCs w:val="0"/>
                      <w:color w:val="auto"/>
                      <w:kern w:val="0"/>
                      <w:sz w:val="21"/>
                      <w:szCs w:val="21"/>
                      <w:highlight w:val="none"/>
                      <w:u w:val="none"/>
                      <w:lang w:val="en-US" w:eastAsia="zh-CN"/>
                    </w:rPr>
                    <w:t>00mm×</w:t>
                  </w:r>
                  <w:r>
                    <w:rPr>
                      <w:rFonts w:hint="eastAsia" w:cs="Times New Roman"/>
                      <w:i w:val="0"/>
                      <w:iCs w:val="0"/>
                      <w:color w:val="auto"/>
                      <w:kern w:val="0"/>
                      <w:sz w:val="21"/>
                      <w:szCs w:val="21"/>
                      <w:highlight w:val="none"/>
                      <w:u w:val="none"/>
                      <w:lang w:val="en-US" w:eastAsia="zh-CN"/>
                    </w:rPr>
                    <w:t>6</w:t>
                  </w:r>
                  <w:r>
                    <w:rPr>
                      <w:rFonts w:hint="default" w:ascii="Times New Roman" w:hAnsi="Times New Roman" w:eastAsia="宋体" w:cs="Times New Roman"/>
                      <w:i w:val="0"/>
                      <w:iCs w:val="0"/>
                      <w:color w:val="auto"/>
                      <w:kern w:val="0"/>
                      <w:sz w:val="21"/>
                      <w:szCs w:val="21"/>
                      <w:highlight w:val="none"/>
                      <w:u w:val="none"/>
                      <w:lang w:val="en-US" w:eastAsia="zh-CN"/>
                    </w:rPr>
                    <w:t>00mm×</w:t>
                  </w:r>
                  <w:r>
                    <w:rPr>
                      <w:rFonts w:hint="eastAsia" w:cs="Times New Roman"/>
                      <w:i w:val="0"/>
                      <w:iCs w:val="0"/>
                      <w:color w:val="auto"/>
                      <w:kern w:val="0"/>
                      <w:sz w:val="21"/>
                      <w:szCs w:val="21"/>
                      <w:highlight w:val="none"/>
                      <w:u w:val="none"/>
                      <w:lang w:val="en-US" w:eastAsia="zh-CN"/>
                    </w:rPr>
                    <w:t>2</w:t>
                  </w:r>
                  <w:r>
                    <w:rPr>
                      <w:rFonts w:hint="default" w:ascii="Times New Roman" w:hAnsi="Times New Roman" w:eastAsia="宋体" w:cs="Times New Roman"/>
                      <w:i w:val="0"/>
                      <w:iCs w:val="0"/>
                      <w:color w:val="auto"/>
                      <w:kern w:val="0"/>
                      <w:sz w:val="21"/>
                      <w:szCs w:val="21"/>
                      <w:highlight w:val="none"/>
                      <w:u w:val="none"/>
                      <w:lang w:val="en-US" w:eastAsia="zh-CN"/>
                    </w:rPr>
                    <w:t>00mm</w:t>
                  </w:r>
                  <w:r>
                    <w:rPr>
                      <w:rFonts w:hint="default" w:ascii="Times New Roman" w:hAnsi="Times New Roman" w:cs="Times New Roman"/>
                      <w:i w:val="0"/>
                      <w:iCs w:val="0"/>
                      <w:color w:val="auto"/>
                      <w:kern w:val="0"/>
                      <w:sz w:val="21"/>
                      <w:szCs w:val="21"/>
                      <w:highlight w:val="none"/>
                      <w:u w:val="none"/>
                      <w:lang w:val="en-US" w:eastAsia="zh-CN"/>
                    </w:rPr>
                    <w:t>，计得面积为</w:t>
                  </w:r>
                  <w:r>
                    <w:rPr>
                      <w:rFonts w:hint="eastAsia" w:cs="Times New Roman"/>
                      <w:i w:val="0"/>
                      <w:iCs w:val="0"/>
                      <w:color w:val="auto"/>
                      <w:kern w:val="0"/>
                      <w:sz w:val="21"/>
                      <w:szCs w:val="21"/>
                      <w:highlight w:val="none"/>
                      <w:u w:val="none"/>
                      <w:lang w:val="en-US" w:eastAsia="zh-CN"/>
                    </w:rPr>
                    <w:t>1.52</w:t>
                  </w:r>
                  <w:r>
                    <w:rPr>
                      <w:rFonts w:hint="default" w:ascii="Times New Roman" w:hAnsi="Times New Roman" w:cs="Times New Roman"/>
                      <w:i w:val="0"/>
                      <w:iCs w:val="0"/>
                      <w:color w:val="auto"/>
                      <w:kern w:val="0"/>
                      <w:sz w:val="21"/>
                      <w:szCs w:val="21"/>
                      <w:highlight w:val="none"/>
                      <w:u w:val="none"/>
                      <w:lang w:val="en-US" w:eastAsia="zh-CN"/>
                    </w:rPr>
                    <w:t>m</w:t>
                  </w:r>
                  <w:r>
                    <w:rPr>
                      <w:rFonts w:hint="default" w:ascii="Times New Roman" w:hAnsi="Times New Roman" w:cs="Times New Roman"/>
                      <w:i w:val="0"/>
                      <w:iCs w:val="0"/>
                      <w:color w:val="auto"/>
                      <w:kern w:val="0"/>
                      <w:sz w:val="21"/>
                      <w:szCs w:val="21"/>
                      <w:highlight w:val="none"/>
                      <w:u w:val="none"/>
                      <w:vertAlign w:val="superscript"/>
                      <w:lang w:val="en-US" w:eastAsia="zh-CN"/>
                    </w:rPr>
                    <w:t>2</w:t>
                  </w:r>
                  <w:r>
                    <w:rPr>
                      <w:rFonts w:hint="default" w:ascii="Times New Roman" w:hAnsi="Times New Roman" w:cs="Times New Roman"/>
                      <w:i w:val="0"/>
                      <w:iCs w:val="0"/>
                      <w:color w:val="auto"/>
                      <w:kern w:val="0"/>
                      <w:sz w:val="21"/>
                      <w:szCs w:val="21"/>
                      <w:highlight w:val="none"/>
                      <w:u w:val="none"/>
                      <w:vertAlign w:val="baseline"/>
                      <w:lang w:val="en-US" w:eastAsia="zh-CN"/>
                    </w:rPr>
                    <w:t>；</w:t>
                  </w:r>
                  <w:r>
                    <w:rPr>
                      <w:rFonts w:hint="eastAsia" w:ascii="Times New Roman" w:hAnsi="Times New Roman" w:cs="Times New Roman"/>
                      <w:i w:val="0"/>
                      <w:iCs w:val="0"/>
                      <w:color w:val="auto"/>
                      <w:kern w:val="0"/>
                      <w:sz w:val="21"/>
                      <w:szCs w:val="21"/>
                      <w:highlight w:val="none"/>
                      <w:u w:val="none"/>
                      <w:vertAlign w:val="baseline"/>
                      <w:lang w:val="en-US" w:eastAsia="zh-CN"/>
                    </w:rPr>
                    <w:t>项目年产10万套储能电箱</w:t>
                  </w:r>
                  <w:r>
                    <w:rPr>
                      <w:rFonts w:hint="default" w:ascii="Times New Roman" w:hAnsi="Times New Roman" w:cs="Times New Roman"/>
                      <w:i w:val="0"/>
                      <w:iCs w:val="0"/>
                      <w:color w:val="auto"/>
                      <w:kern w:val="0"/>
                      <w:sz w:val="21"/>
                      <w:szCs w:val="21"/>
                      <w:highlight w:val="none"/>
                      <w:u w:val="none"/>
                      <w:lang w:val="en-US" w:eastAsia="zh-CN"/>
                    </w:rPr>
                    <w:t>，</w:t>
                  </w:r>
                  <w:r>
                    <w:rPr>
                      <w:rFonts w:hint="eastAsia" w:cs="Times New Roman"/>
                      <w:i w:val="0"/>
                      <w:iCs w:val="0"/>
                      <w:color w:val="auto"/>
                      <w:kern w:val="0"/>
                      <w:sz w:val="21"/>
                      <w:szCs w:val="21"/>
                      <w:highlight w:val="none"/>
                      <w:u w:val="none"/>
                      <w:lang w:val="en-US" w:eastAsia="zh-CN"/>
                    </w:rPr>
                    <w:t>喷涂方案为双面喷涂。</w:t>
                  </w:r>
                  <w:r>
                    <w:rPr>
                      <w:rFonts w:hint="eastAsia" w:ascii="Times New Roman" w:hAnsi="Times New Roman" w:cs="Times New Roman"/>
                      <w:i w:val="0"/>
                      <w:iCs w:val="0"/>
                      <w:color w:val="auto"/>
                      <w:kern w:val="0"/>
                      <w:sz w:val="21"/>
                      <w:szCs w:val="21"/>
                      <w:highlight w:val="none"/>
                      <w:u w:val="none"/>
                      <w:lang w:val="en-US" w:eastAsia="zh-CN"/>
                    </w:rPr>
                    <w:t>项目有</w:t>
                  </w:r>
                  <w:r>
                    <w:rPr>
                      <w:rFonts w:hint="eastAsia" w:cs="Times New Roman"/>
                      <w:i w:val="0"/>
                      <w:iCs w:val="0"/>
                      <w:color w:val="auto"/>
                      <w:kern w:val="0"/>
                      <w:sz w:val="21"/>
                      <w:szCs w:val="21"/>
                      <w:highlight w:val="none"/>
                      <w:u w:val="none"/>
                      <w:lang w:val="en-US" w:eastAsia="zh-CN"/>
                    </w:rPr>
                    <w:t>7.5</w:t>
                  </w:r>
                  <w:r>
                    <w:rPr>
                      <w:rFonts w:hint="eastAsia" w:ascii="Times New Roman" w:hAnsi="Times New Roman" w:cs="Times New Roman"/>
                      <w:i w:val="0"/>
                      <w:iCs w:val="0"/>
                      <w:color w:val="auto"/>
                      <w:kern w:val="0"/>
                      <w:sz w:val="21"/>
                      <w:szCs w:val="21"/>
                      <w:highlight w:val="none"/>
                      <w:u w:val="none"/>
                      <w:lang w:val="en-US" w:eastAsia="zh-CN"/>
                    </w:rPr>
                    <w:t>%的产品</w:t>
                  </w:r>
                  <w:r>
                    <w:rPr>
                      <w:rFonts w:hint="eastAsia" w:cs="Times New Roman"/>
                      <w:i w:val="0"/>
                      <w:iCs w:val="0"/>
                      <w:color w:val="auto"/>
                      <w:kern w:val="0"/>
                      <w:sz w:val="21"/>
                      <w:szCs w:val="21"/>
                      <w:highlight w:val="none"/>
                      <w:u w:val="none"/>
                      <w:lang w:val="en-US" w:eastAsia="zh-CN"/>
                    </w:rPr>
                    <w:t>经喷粉固化后</w:t>
                  </w:r>
                  <w:r>
                    <w:rPr>
                      <w:rFonts w:hint="eastAsia" w:ascii="Times New Roman" w:hAnsi="Times New Roman" w:cs="Times New Roman"/>
                      <w:i w:val="0"/>
                      <w:iCs w:val="0"/>
                      <w:color w:val="auto"/>
                      <w:kern w:val="0"/>
                      <w:sz w:val="21"/>
                      <w:szCs w:val="21"/>
                      <w:highlight w:val="none"/>
                      <w:u w:val="none"/>
                      <w:lang w:val="en-US" w:eastAsia="zh-CN"/>
                    </w:rPr>
                    <w:t>喷涂水性漆，</w:t>
                  </w:r>
                  <w:r>
                    <w:rPr>
                      <w:rFonts w:hint="eastAsia" w:cs="Times New Roman"/>
                      <w:i w:val="0"/>
                      <w:iCs w:val="0"/>
                      <w:color w:val="auto"/>
                      <w:kern w:val="0"/>
                      <w:sz w:val="21"/>
                      <w:szCs w:val="21"/>
                      <w:highlight w:val="none"/>
                      <w:u w:val="none"/>
                      <w:lang w:val="en-US" w:eastAsia="zh-CN"/>
                    </w:rPr>
                    <w:t>25</w:t>
                  </w:r>
                  <w:r>
                    <w:rPr>
                      <w:rFonts w:hint="eastAsia" w:ascii="Times New Roman" w:hAnsi="Times New Roman" w:cs="Times New Roman"/>
                      <w:i w:val="0"/>
                      <w:iCs w:val="0"/>
                      <w:color w:val="auto"/>
                      <w:kern w:val="0"/>
                      <w:sz w:val="21"/>
                      <w:szCs w:val="21"/>
                      <w:highlight w:val="none"/>
                      <w:u w:val="none"/>
                      <w:lang w:val="en-US" w:eastAsia="zh-CN"/>
                    </w:rPr>
                    <w:t>%的产品</w:t>
                  </w:r>
                  <w:r>
                    <w:rPr>
                      <w:rFonts w:hint="eastAsia" w:cs="Times New Roman"/>
                      <w:i w:val="0"/>
                      <w:iCs w:val="0"/>
                      <w:color w:val="auto"/>
                      <w:kern w:val="0"/>
                      <w:sz w:val="21"/>
                      <w:szCs w:val="21"/>
                      <w:highlight w:val="none"/>
                      <w:u w:val="none"/>
                      <w:lang w:val="en-US" w:eastAsia="zh-CN"/>
                    </w:rPr>
                    <w:t>经喷粉固化后</w:t>
                  </w:r>
                  <w:r>
                    <w:rPr>
                      <w:rFonts w:hint="eastAsia" w:ascii="Times New Roman" w:hAnsi="Times New Roman" w:cs="Times New Roman"/>
                      <w:i w:val="0"/>
                      <w:iCs w:val="0"/>
                      <w:color w:val="auto"/>
                      <w:kern w:val="0"/>
                      <w:sz w:val="21"/>
                      <w:szCs w:val="21"/>
                      <w:highlight w:val="none"/>
                      <w:u w:val="none"/>
                      <w:lang w:val="en-US" w:eastAsia="zh-CN"/>
                    </w:rPr>
                    <w:t>喷涂油性漆</w:t>
                  </w:r>
                  <w:r>
                    <w:rPr>
                      <w:rFonts w:hint="eastAsia" w:cs="Times New Roman"/>
                      <w:i w:val="0"/>
                      <w:iCs w:val="0"/>
                      <w:color w:val="auto"/>
                      <w:kern w:val="0"/>
                      <w:sz w:val="21"/>
                      <w:szCs w:val="21"/>
                      <w:highlight w:val="none"/>
                      <w:u w:val="none"/>
                      <w:lang w:val="en-US" w:eastAsia="zh-CN"/>
                    </w:rPr>
                    <w:t>，剩余67.5%的产品仅进行喷粉处理，无需喷漆</w:t>
                  </w:r>
                  <w:r>
                    <w:rPr>
                      <w:rStyle w:val="124"/>
                      <w:rFonts w:hint="default" w:ascii="Times New Roman" w:hAnsi="Times New Roman" w:eastAsia="宋体" w:cs="Times New Roman"/>
                      <w:color w:val="auto"/>
                      <w:sz w:val="21"/>
                      <w:szCs w:val="21"/>
                      <w:highlight w:val="none"/>
                      <w:vertAlign w:val="baseline"/>
                      <w:lang w:val="en-US" w:eastAsia="zh-CN"/>
                    </w:rPr>
                    <w:t>；</w:t>
                  </w:r>
                </w:p>
                <w:p w14:paraId="2CEF787F">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outlineLvl w:val="9"/>
                    <w:rPr>
                      <w:rFonts w:hint="eastAsia" w:ascii="Times New Roman" w:hAnsi="Times New Roman" w:eastAsia="宋体" w:cs="Times New Roman"/>
                      <w:bCs/>
                      <w:color w:val="auto"/>
                      <w:sz w:val="21"/>
                      <w:szCs w:val="21"/>
                      <w:highlight w:val="none"/>
                      <w:lang w:eastAsia="zh-CN"/>
                    </w:rPr>
                  </w:pPr>
                  <w:r>
                    <w:rPr>
                      <w:rStyle w:val="124"/>
                      <w:rFonts w:hint="eastAsia" w:eastAsia="宋体"/>
                      <w:color w:val="auto"/>
                      <w:sz w:val="21"/>
                      <w:szCs w:val="21"/>
                      <w:highlight w:val="none"/>
                      <w:vertAlign w:val="baseline"/>
                      <w:lang w:val="en-US" w:eastAsia="zh-CN"/>
                    </w:rPr>
                    <w:t>2、</w:t>
                  </w:r>
                  <w:r>
                    <w:rPr>
                      <w:rFonts w:hint="default" w:ascii="Times New Roman" w:hAnsi="Times New Roman" w:cs="Times New Roman"/>
                      <w:bCs/>
                      <w:color w:val="auto"/>
                      <w:sz w:val="21"/>
                      <w:szCs w:val="21"/>
                      <w:highlight w:val="none"/>
                    </w:rPr>
                    <w:t>根据建设单位提供</w:t>
                  </w:r>
                  <w:r>
                    <w:rPr>
                      <w:rFonts w:hint="eastAsia" w:cs="Times New Roman"/>
                      <w:bCs/>
                      <w:color w:val="auto"/>
                      <w:sz w:val="21"/>
                      <w:szCs w:val="21"/>
                      <w:highlight w:val="none"/>
                      <w:lang w:eastAsia="zh-CN"/>
                    </w:rPr>
                    <w:t>的资料</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val="en-US" w:eastAsia="zh-CN"/>
                    </w:rPr>
                    <w:t>本项目喷漆工序</w:t>
                  </w:r>
                  <w:r>
                    <w:rPr>
                      <w:rFonts w:hint="default" w:ascii="Times New Roman" w:hAnsi="Times New Roman" w:cs="Times New Roman"/>
                      <w:bCs/>
                      <w:color w:val="auto"/>
                      <w:sz w:val="21"/>
                      <w:szCs w:val="21"/>
                      <w:highlight w:val="none"/>
                    </w:rPr>
                    <w:t>采用空气喷涂法，涂料利用率参考《现代涂装手册 化学工业出版社 2010年（第一版）》内容：“第4章 空气喷涂-4.1.2 空气喷涂的特点”，选取为</w:t>
                  </w:r>
                  <w:r>
                    <w:rPr>
                      <w:rFonts w:hint="eastAsia" w:ascii="Times New Roman" w:hAnsi="Times New Roman" w:cs="Times New Roman"/>
                      <w:bCs/>
                      <w:color w:val="auto"/>
                      <w:sz w:val="21"/>
                      <w:szCs w:val="21"/>
                      <w:highlight w:val="none"/>
                      <w:lang w:val="en-US" w:eastAsia="zh-CN"/>
                    </w:rPr>
                    <w:t>6</w:t>
                  </w:r>
                  <w:r>
                    <w:rPr>
                      <w:rFonts w:hint="default" w:ascii="Times New Roman" w:hAnsi="Times New Roman" w:cs="Times New Roman"/>
                      <w:bCs/>
                      <w:color w:val="auto"/>
                      <w:sz w:val="21"/>
                      <w:szCs w:val="21"/>
                      <w:highlight w:val="none"/>
                    </w:rPr>
                    <w:t>0%</w:t>
                  </w:r>
                  <w:r>
                    <w:rPr>
                      <w:rFonts w:hint="eastAsia" w:cs="Times New Roman"/>
                      <w:bCs/>
                      <w:color w:val="auto"/>
                      <w:sz w:val="21"/>
                      <w:szCs w:val="21"/>
                      <w:highlight w:val="none"/>
                      <w:lang w:eastAsia="zh-CN"/>
                    </w:rPr>
                    <w:t>。</w:t>
                  </w:r>
                </w:p>
                <w:p w14:paraId="365E51EC">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outlineLvl w:val="9"/>
                    <w:rPr>
                      <w:rFonts w:hint="default" w:ascii="Times New Roman" w:hAnsi="Times New Roman" w:cs="Times New Roman"/>
                      <w:bCs/>
                      <w:color w:val="auto"/>
                      <w:sz w:val="21"/>
                      <w:szCs w:val="21"/>
                      <w:highlight w:val="none"/>
                      <w:lang w:val="en-US" w:eastAsia="zh-CN"/>
                    </w:rPr>
                  </w:pPr>
                  <w:r>
                    <w:rPr>
                      <w:rStyle w:val="124"/>
                      <w:rFonts w:hint="eastAsia" w:eastAsia="宋体"/>
                      <w:color w:val="auto"/>
                      <w:sz w:val="21"/>
                      <w:szCs w:val="21"/>
                      <w:highlight w:val="none"/>
                      <w:vertAlign w:val="baseline"/>
                      <w:lang w:val="en-US" w:eastAsia="zh-CN"/>
                    </w:rPr>
                    <w:t>3、</w:t>
                  </w:r>
                  <w:r>
                    <w:rPr>
                      <w:rFonts w:hint="default" w:ascii="Times New Roman" w:hAnsi="Times New Roman" w:cs="Times New Roman"/>
                      <w:bCs/>
                      <w:color w:val="auto"/>
                      <w:sz w:val="21"/>
                      <w:szCs w:val="21"/>
                      <w:highlight w:val="none"/>
                    </w:rPr>
                    <w:t>喷</w:t>
                  </w:r>
                  <w:r>
                    <w:rPr>
                      <w:rFonts w:hint="default" w:ascii="Times New Roman" w:hAnsi="Times New Roman" w:cs="Times New Roman"/>
                      <w:bCs/>
                      <w:color w:val="auto"/>
                      <w:sz w:val="21"/>
                      <w:szCs w:val="21"/>
                      <w:highlight w:val="none"/>
                      <w:lang w:val="en-US" w:eastAsia="zh-CN"/>
                    </w:rPr>
                    <w:t>涂</w:t>
                  </w:r>
                  <w:r>
                    <w:rPr>
                      <w:rFonts w:hint="default" w:ascii="Times New Roman" w:hAnsi="Times New Roman" w:cs="Times New Roman"/>
                      <w:bCs/>
                      <w:color w:val="auto"/>
                      <w:sz w:val="21"/>
                      <w:szCs w:val="21"/>
                      <w:highlight w:val="none"/>
                    </w:rPr>
                    <w:t>工序</w:t>
                  </w:r>
                  <w:r>
                    <w:rPr>
                      <w:rFonts w:hint="default" w:ascii="Times New Roman" w:hAnsi="Times New Roman" w:cs="Times New Roman"/>
                      <w:bCs/>
                      <w:color w:val="auto"/>
                      <w:sz w:val="21"/>
                      <w:szCs w:val="21"/>
                      <w:highlight w:val="none"/>
                      <w:lang w:val="en-US" w:eastAsia="zh-CN"/>
                    </w:rPr>
                    <w:t>中：</w:t>
                  </w:r>
                </w:p>
                <w:p w14:paraId="2DB93CE2">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outlineLvl w:val="9"/>
                    <w:rPr>
                      <w:rFonts w:hint="default" w:ascii="Times New Roman" w:hAnsi="Times New Roman"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①油性漆-调配方案为：PU</w:t>
                  </w:r>
                  <w:r>
                    <w:rPr>
                      <w:rFonts w:hint="default" w:ascii="Times New Roman" w:hAnsi="Times New Roman" w:cs="Times New Roman"/>
                      <w:color w:val="auto"/>
                      <w:sz w:val="21"/>
                      <w:szCs w:val="21"/>
                      <w:highlight w:val="none"/>
                      <w:lang w:val="en-US" w:eastAsia="zh-CN"/>
                    </w:rPr>
                    <w:t>漆:固化剂=</w:t>
                  </w:r>
                  <w:r>
                    <w:rPr>
                      <w:rFonts w:hint="eastAsia"/>
                      <w:color w:val="auto"/>
                      <w:sz w:val="21"/>
                      <w:szCs w:val="21"/>
                      <w:highlight w:val="none"/>
                      <w:lang w:val="en-US" w:eastAsia="zh-CN"/>
                    </w:rPr>
                    <w:t>1</w:t>
                  </w:r>
                  <w:r>
                    <w:rPr>
                      <w:rFonts w:hint="eastAsia" w:cs="Times New Roman"/>
                      <w:color w:val="auto"/>
                      <w:sz w:val="21"/>
                      <w:szCs w:val="21"/>
                      <w:highlight w:val="none"/>
                      <w:lang w:val="en-US" w:eastAsia="zh-CN"/>
                    </w:rPr>
                    <w:t>：0.2</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bCs/>
                      <w:color w:val="auto"/>
                      <w:sz w:val="21"/>
                      <w:szCs w:val="21"/>
                      <w:highlight w:val="none"/>
                      <w:lang w:val="en-US" w:eastAsia="zh-CN"/>
                    </w:rPr>
                    <w:t>已知PU</w:t>
                  </w:r>
                  <w:r>
                    <w:rPr>
                      <w:rFonts w:hint="default" w:ascii="Times New Roman" w:hAnsi="Times New Roman" w:cs="Times New Roman"/>
                      <w:bCs/>
                      <w:color w:val="auto"/>
                      <w:sz w:val="21"/>
                      <w:szCs w:val="21"/>
                      <w:highlight w:val="none"/>
                    </w:rPr>
                    <w:t>漆的密度为1</w:t>
                  </w:r>
                  <w:r>
                    <w:rPr>
                      <w:rFonts w:hint="default" w:ascii="Times New Roman" w:hAnsi="Times New Roman" w:cs="Times New Roman"/>
                      <w:bCs/>
                      <w:color w:val="auto"/>
                      <w:sz w:val="21"/>
                      <w:szCs w:val="21"/>
                      <w:highlight w:val="none"/>
                      <w:lang w:val="en-US" w:eastAsia="zh-CN"/>
                    </w:rPr>
                    <w:t>.</w:t>
                  </w:r>
                  <w:r>
                    <w:rPr>
                      <w:rFonts w:hint="eastAsia" w:cs="Times New Roman"/>
                      <w:bCs/>
                      <w:color w:val="auto"/>
                      <w:sz w:val="21"/>
                      <w:szCs w:val="21"/>
                      <w:highlight w:val="none"/>
                      <w:lang w:val="en-US" w:eastAsia="zh-CN"/>
                    </w:rPr>
                    <w:t>35</w:t>
                  </w:r>
                  <w:r>
                    <w:rPr>
                      <w:rFonts w:hint="default" w:ascii="Times New Roman" w:hAnsi="Times New Roman" w:cs="Times New Roman"/>
                      <w:bCs/>
                      <w:color w:val="auto"/>
                      <w:sz w:val="21"/>
                      <w:szCs w:val="21"/>
                      <w:highlight w:val="none"/>
                    </w:rPr>
                    <w:t>g/cm</w:t>
                  </w:r>
                  <w:r>
                    <w:rPr>
                      <w:rFonts w:hint="default" w:ascii="Times New Roman" w:hAnsi="Times New Roman" w:cs="Times New Roman"/>
                      <w:bCs/>
                      <w:color w:val="auto"/>
                      <w:sz w:val="21"/>
                      <w:szCs w:val="21"/>
                      <w:highlight w:val="none"/>
                      <w:vertAlign w:val="superscript"/>
                    </w:rPr>
                    <w:t>3</w:t>
                  </w:r>
                  <w:r>
                    <w:rPr>
                      <w:rFonts w:hint="default" w:ascii="Times New Roman" w:hAnsi="Times New Roman" w:cs="Times New Roman"/>
                      <w:bCs/>
                      <w:color w:val="auto"/>
                      <w:sz w:val="21"/>
                      <w:szCs w:val="21"/>
                      <w:highlight w:val="none"/>
                      <w:vertAlign w:val="baseline"/>
                      <w:lang w:eastAsia="zh-CN"/>
                    </w:rPr>
                    <w:t>，</w:t>
                  </w:r>
                  <w:r>
                    <w:rPr>
                      <w:rFonts w:hint="default" w:ascii="Times New Roman" w:hAnsi="Times New Roman" w:cs="Times New Roman"/>
                      <w:bCs/>
                      <w:color w:val="auto"/>
                      <w:sz w:val="21"/>
                      <w:szCs w:val="21"/>
                      <w:highlight w:val="none"/>
                      <w:lang w:val="en-US" w:eastAsia="zh-CN"/>
                    </w:rPr>
                    <w:t>固化</w:t>
                  </w:r>
                  <w:r>
                    <w:rPr>
                      <w:rFonts w:hint="default" w:ascii="Times New Roman" w:hAnsi="Times New Roman" w:cs="Times New Roman"/>
                      <w:bCs/>
                      <w:color w:val="auto"/>
                      <w:sz w:val="21"/>
                      <w:szCs w:val="21"/>
                      <w:highlight w:val="none"/>
                    </w:rPr>
                    <w:t>剂的密度为</w:t>
                  </w:r>
                  <w:r>
                    <w:rPr>
                      <w:rFonts w:hint="eastAsia" w:cs="Times New Roman"/>
                      <w:bCs/>
                      <w:color w:val="auto"/>
                      <w:sz w:val="21"/>
                      <w:szCs w:val="21"/>
                      <w:highlight w:val="none"/>
                      <w:lang w:val="en-US" w:eastAsia="zh-CN"/>
                    </w:rPr>
                    <w:t>1.0</w:t>
                  </w:r>
                  <w:r>
                    <w:rPr>
                      <w:rFonts w:hint="default" w:ascii="Times New Roman" w:hAnsi="Times New Roman" w:cs="Times New Roman"/>
                      <w:bCs/>
                      <w:color w:val="auto"/>
                      <w:sz w:val="21"/>
                      <w:szCs w:val="21"/>
                      <w:highlight w:val="none"/>
                    </w:rPr>
                    <w:t>g/cm</w:t>
                  </w:r>
                  <w:r>
                    <w:rPr>
                      <w:rFonts w:hint="default" w:ascii="Times New Roman" w:hAnsi="Times New Roman" w:cs="Times New Roman"/>
                      <w:bCs/>
                      <w:color w:val="auto"/>
                      <w:sz w:val="21"/>
                      <w:szCs w:val="21"/>
                      <w:highlight w:val="none"/>
                      <w:vertAlign w:val="superscript"/>
                    </w:rPr>
                    <w:t>3</w:t>
                  </w:r>
                  <w:r>
                    <w:rPr>
                      <w:rFonts w:hint="default" w:ascii="Times New Roman" w:hAnsi="Times New Roman" w:cs="Times New Roman"/>
                      <w:bCs/>
                      <w:color w:val="auto"/>
                      <w:sz w:val="21"/>
                      <w:szCs w:val="21"/>
                      <w:highlight w:val="none"/>
                    </w:rPr>
                    <w:t>。调配后</w:t>
                  </w:r>
                  <w:r>
                    <w:rPr>
                      <w:rFonts w:hint="eastAsia" w:cs="Times New Roman"/>
                      <w:bCs/>
                      <w:color w:val="auto"/>
                      <w:sz w:val="21"/>
                      <w:szCs w:val="21"/>
                      <w:highlight w:val="none"/>
                      <w:lang w:val="en-US" w:eastAsia="zh-CN"/>
                    </w:rPr>
                    <w:t>油性</w:t>
                  </w:r>
                  <w:r>
                    <w:rPr>
                      <w:rFonts w:hint="default" w:ascii="Times New Roman" w:hAnsi="Times New Roman" w:cs="Times New Roman"/>
                      <w:bCs/>
                      <w:color w:val="auto"/>
                      <w:sz w:val="21"/>
                      <w:szCs w:val="21"/>
                      <w:highlight w:val="none"/>
                      <w:lang w:val="en-US" w:eastAsia="zh-CN"/>
                    </w:rPr>
                    <w:t>漆</w:t>
                  </w:r>
                  <w:r>
                    <w:rPr>
                      <w:rFonts w:hint="default" w:ascii="Times New Roman" w:hAnsi="Times New Roman" w:cs="Times New Roman"/>
                      <w:bCs/>
                      <w:color w:val="auto"/>
                      <w:sz w:val="21"/>
                      <w:szCs w:val="21"/>
                      <w:highlight w:val="none"/>
                    </w:rPr>
                    <w:t>密度、固含量的计算过程如下：设</w:t>
                  </w:r>
                  <w:r>
                    <w:rPr>
                      <w:rFonts w:hint="default" w:ascii="Times New Roman" w:hAnsi="Times New Roman" w:cs="Times New Roman"/>
                      <w:bCs/>
                      <w:color w:val="auto"/>
                      <w:sz w:val="21"/>
                      <w:szCs w:val="21"/>
                      <w:highlight w:val="none"/>
                      <w:lang w:val="en-US" w:eastAsia="zh-CN"/>
                    </w:rPr>
                    <w:t>PU</w:t>
                  </w:r>
                  <w:r>
                    <w:rPr>
                      <w:rFonts w:hint="default" w:ascii="Times New Roman" w:hAnsi="Times New Roman" w:cs="Times New Roman"/>
                      <w:color w:val="auto"/>
                      <w:sz w:val="21"/>
                      <w:szCs w:val="21"/>
                      <w:highlight w:val="none"/>
                      <w:lang w:val="en-US" w:eastAsia="zh-CN"/>
                    </w:rPr>
                    <w:t>漆</w:t>
                  </w:r>
                  <w:r>
                    <w:rPr>
                      <w:rFonts w:hint="default" w:ascii="Times New Roman" w:hAnsi="Times New Roman" w:cs="Times New Roman"/>
                      <w:bCs/>
                      <w:color w:val="auto"/>
                      <w:sz w:val="21"/>
                      <w:szCs w:val="21"/>
                      <w:highlight w:val="none"/>
                    </w:rPr>
                    <w:t>的年用量约为</w:t>
                  </w:r>
                  <w:r>
                    <w:rPr>
                      <w:rFonts w:hint="default" w:ascii="Times New Roman" w:hAnsi="Times New Roman"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rPr>
                    <w:t>X克，则</w:t>
                  </w:r>
                  <w:r>
                    <w:rPr>
                      <w:rFonts w:hint="default" w:ascii="Times New Roman" w:hAnsi="Times New Roman" w:cs="Times New Roman"/>
                      <w:bCs/>
                      <w:color w:val="auto"/>
                      <w:sz w:val="21"/>
                      <w:szCs w:val="21"/>
                      <w:highlight w:val="none"/>
                      <w:lang w:val="en-US" w:eastAsia="zh-CN"/>
                    </w:rPr>
                    <w:t>固化剂年用量为</w:t>
                  </w:r>
                  <w:r>
                    <w:rPr>
                      <w:rFonts w:hint="eastAsia" w:cs="Times New Roman"/>
                      <w:bCs/>
                      <w:color w:val="auto"/>
                      <w:sz w:val="21"/>
                      <w:szCs w:val="21"/>
                      <w:highlight w:val="none"/>
                      <w:lang w:val="en-US" w:eastAsia="zh-CN"/>
                    </w:rPr>
                    <w:t>0.2</w:t>
                  </w:r>
                  <w:r>
                    <w:rPr>
                      <w:rFonts w:hint="default" w:ascii="Times New Roman" w:hAnsi="Times New Roman" w:cs="Times New Roman"/>
                      <w:bCs/>
                      <w:color w:val="auto"/>
                      <w:sz w:val="21"/>
                      <w:szCs w:val="21"/>
                      <w:highlight w:val="none"/>
                    </w:rPr>
                    <w:t>X克</w:t>
                  </w:r>
                  <w:r>
                    <w:rPr>
                      <w:rFonts w:hint="eastAsia" w:cs="Times New Roman"/>
                      <w:bCs/>
                      <w:color w:val="auto"/>
                      <w:sz w:val="21"/>
                      <w:szCs w:val="21"/>
                      <w:highlight w:val="none"/>
                      <w:lang w:eastAsia="zh-CN"/>
                    </w:rPr>
                    <w:t>；</w:t>
                  </w:r>
                  <w:r>
                    <w:rPr>
                      <w:rFonts w:hint="default" w:ascii="Times New Roman" w:hAnsi="Times New Roman" w:cs="Times New Roman"/>
                      <w:bCs/>
                      <w:color w:val="auto"/>
                      <w:sz w:val="21"/>
                      <w:szCs w:val="21"/>
                      <w:highlight w:val="none"/>
                    </w:rPr>
                    <w:t>调配后的</w:t>
                  </w:r>
                  <w:r>
                    <w:rPr>
                      <w:rFonts w:hint="eastAsia" w:cs="Times New Roman"/>
                      <w:bCs/>
                      <w:color w:val="auto"/>
                      <w:sz w:val="21"/>
                      <w:szCs w:val="21"/>
                      <w:highlight w:val="none"/>
                      <w:lang w:val="en-US" w:eastAsia="zh-CN"/>
                    </w:rPr>
                    <w:t>油性</w:t>
                  </w:r>
                  <w:r>
                    <w:rPr>
                      <w:rFonts w:hint="default" w:ascii="Times New Roman" w:hAnsi="Times New Roman" w:cs="Times New Roman"/>
                      <w:bCs/>
                      <w:color w:val="auto"/>
                      <w:sz w:val="21"/>
                      <w:szCs w:val="21"/>
                      <w:highlight w:val="none"/>
                      <w:lang w:val="en-US" w:eastAsia="zh-CN"/>
                    </w:rPr>
                    <w:t>漆</w:t>
                  </w:r>
                  <w:r>
                    <w:rPr>
                      <w:rFonts w:hint="default" w:ascii="Times New Roman" w:hAnsi="Times New Roman" w:cs="Times New Roman"/>
                      <w:bCs/>
                      <w:color w:val="auto"/>
                      <w:sz w:val="21"/>
                      <w:szCs w:val="21"/>
                      <w:highlight w:val="none"/>
                    </w:rPr>
                    <w:t>总年用量为：</w:t>
                  </w:r>
                  <w:r>
                    <w:rPr>
                      <w:rFonts w:hint="default" w:ascii="Times New Roman" w:hAnsi="Times New Roman"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rPr>
                    <w:t>X+</w:t>
                  </w:r>
                  <w:r>
                    <w:rPr>
                      <w:rFonts w:hint="eastAsia" w:cs="Times New Roman"/>
                      <w:bCs/>
                      <w:color w:val="auto"/>
                      <w:sz w:val="21"/>
                      <w:szCs w:val="21"/>
                      <w:highlight w:val="none"/>
                      <w:lang w:val="en-US" w:eastAsia="zh-CN"/>
                    </w:rPr>
                    <w:t>0.2</w:t>
                  </w:r>
                  <w:r>
                    <w:rPr>
                      <w:rFonts w:hint="default" w:ascii="Times New Roman" w:hAnsi="Times New Roman" w:cs="Times New Roman"/>
                      <w:bCs/>
                      <w:color w:val="auto"/>
                      <w:sz w:val="21"/>
                      <w:szCs w:val="21"/>
                      <w:highlight w:val="none"/>
                    </w:rPr>
                    <w:t>X=</w:t>
                  </w:r>
                  <w:r>
                    <w:rPr>
                      <w:rFonts w:hint="eastAsia" w:cs="Times New Roman"/>
                      <w:bCs/>
                      <w:color w:val="auto"/>
                      <w:sz w:val="21"/>
                      <w:szCs w:val="21"/>
                      <w:highlight w:val="none"/>
                      <w:lang w:val="en-US" w:eastAsia="zh-CN"/>
                    </w:rPr>
                    <w:t>1.2</w:t>
                  </w:r>
                  <w:r>
                    <w:rPr>
                      <w:rFonts w:hint="default" w:ascii="Times New Roman" w:hAnsi="Times New Roman" w:cs="Times New Roman"/>
                      <w:bCs/>
                      <w:color w:val="auto"/>
                      <w:sz w:val="21"/>
                      <w:szCs w:val="21"/>
                      <w:highlight w:val="none"/>
                    </w:rPr>
                    <w:t>Xg，总体积为：</w:t>
                  </w:r>
                  <w:r>
                    <w:rPr>
                      <w:rFonts w:hint="default" w:ascii="Times New Roman" w:hAnsi="Times New Roman"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rPr>
                    <w:t>X/</w:t>
                  </w:r>
                  <w:r>
                    <w:rPr>
                      <w:rFonts w:hint="default" w:ascii="Times New Roman" w:hAnsi="Times New Roman" w:cs="Times New Roman"/>
                      <w:bCs/>
                      <w:color w:val="auto"/>
                      <w:sz w:val="21"/>
                      <w:szCs w:val="21"/>
                      <w:highlight w:val="none"/>
                      <w:lang w:val="en-US" w:eastAsia="zh-CN"/>
                    </w:rPr>
                    <w:t>1.</w:t>
                  </w:r>
                  <w:r>
                    <w:rPr>
                      <w:rFonts w:hint="eastAsia" w:cs="Times New Roman"/>
                      <w:bCs/>
                      <w:color w:val="auto"/>
                      <w:sz w:val="21"/>
                      <w:szCs w:val="21"/>
                      <w:highlight w:val="none"/>
                      <w:lang w:val="en-US" w:eastAsia="zh-CN"/>
                    </w:rPr>
                    <w:t>35</w:t>
                  </w:r>
                  <w:r>
                    <w:rPr>
                      <w:rFonts w:hint="default" w:ascii="Times New Roman" w:hAnsi="Times New Roman" w:cs="Times New Roman"/>
                      <w:bCs/>
                      <w:color w:val="auto"/>
                      <w:sz w:val="21"/>
                      <w:szCs w:val="21"/>
                      <w:highlight w:val="none"/>
                    </w:rPr>
                    <w:t>g/cm</w:t>
                  </w:r>
                  <w:r>
                    <w:rPr>
                      <w:rFonts w:hint="default" w:ascii="Times New Roman" w:hAnsi="Times New Roman" w:cs="Times New Roman"/>
                      <w:bCs/>
                      <w:color w:val="auto"/>
                      <w:sz w:val="21"/>
                      <w:szCs w:val="21"/>
                      <w:highlight w:val="none"/>
                      <w:vertAlign w:val="superscript"/>
                    </w:rPr>
                    <w:t>3</w:t>
                  </w:r>
                  <w:r>
                    <w:rPr>
                      <w:rFonts w:hint="default" w:ascii="Times New Roman" w:hAnsi="Times New Roman" w:cs="Times New Roman"/>
                      <w:bCs/>
                      <w:color w:val="auto"/>
                      <w:sz w:val="21"/>
                      <w:szCs w:val="21"/>
                      <w:highlight w:val="none"/>
                    </w:rPr>
                    <w:t>+</w:t>
                  </w:r>
                  <w:r>
                    <w:rPr>
                      <w:rFonts w:hint="eastAsia" w:cs="Times New Roman"/>
                      <w:bCs/>
                      <w:color w:val="auto"/>
                      <w:sz w:val="21"/>
                      <w:szCs w:val="21"/>
                      <w:highlight w:val="none"/>
                      <w:lang w:val="en-US" w:eastAsia="zh-CN"/>
                    </w:rPr>
                    <w:t>0.2</w:t>
                  </w:r>
                  <w:r>
                    <w:rPr>
                      <w:rFonts w:hint="default" w:ascii="Times New Roman" w:hAnsi="Times New Roman" w:cs="Times New Roman"/>
                      <w:bCs/>
                      <w:color w:val="auto"/>
                      <w:sz w:val="21"/>
                      <w:szCs w:val="21"/>
                      <w:highlight w:val="none"/>
                    </w:rPr>
                    <w:t>X/</w:t>
                  </w:r>
                  <w:r>
                    <w:rPr>
                      <w:rFonts w:hint="eastAsia" w:cs="Times New Roman"/>
                      <w:bCs/>
                      <w:color w:val="auto"/>
                      <w:sz w:val="21"/>
                      <w:szCs w:val="21"/>
                      <w:highlight w:val="none"/>
                      <w:lang w:val="en-US" w:eastAsia="zh-CN"/>
                    </w:rPr>
                    <w:t>1.0</w:t>
                  </w:r>
                  <w:r>
                    <w:rPr>
                      <w:rFonts w:hint="default" w:ascii="Times New Roman" w:hAnsi="Times New Roman" w:cs="Times New Roman"/>
                      <w:bCs/>
                      <w:color w:val="auto"/>
                      <w:sz w:val="21"/>
                      <w:szCs w:val="21"/>
                      <w:highlight w:val="none"/>
                    </w:rPr>
                    <w:t>g/cm</w:t>
                  </w:r>
                  <w:r>
                    <w:rPr>
                      <w:rFonts w:hint="default" w:ascii="Times New Roman" w:hAnsi="Times New Roman" w:cs="Times New Roman"/>
                      <w:bCs/>
                      <w:color w:val="auto"/>
                      <w:sz w:val="21"/>
                      <w:szCs w:val="21"/>
                      <w:highlight w:val="none"/>
                      <w:vertAlign w:val="superscript"/>
                    </w:rPr>
                    <w:t>3</w:t>
                  </w:r>
                  <w:r>
                    <w:rPr>
                      <w:rFonts w:hint="eastAsia" w:cs="Times New Roman"/>
                      <w:bCs/>
                      <w:color w:val="auto"/>
                      <w:sz w:val="21"/>
                      <w:szCs w:val="21"/>
                      <w:highlight w:val="none"/>
                      <w:lang w:val="en-US" w:eastAsia="zh-CN"/>
                    </w:rPr>
                    <w:t>≈0.941</w:t>
                  </w:r>
                  <w:r>
                    <w:rPr>
                      <w:rFonts w:hint="default" w:ascii="Times New Roman" w:hAnsi="Times New Roman" w:cs="Times New Roman"/>
                      <w:bCs/>
                      <w:color w:val="auto"/>
                      <w:sz w:val="21"/>
                      <w:szCs w:val="21"/>
                      <w:highlight w:val="none"/>
                    </w:rPr>
                    <w:t>Xcm</w:t>
                  </w:r>
                  <w:r>
                    <w:rPr>
                      <w:rFonts w:hint="default" w:ascii="Times New Roman" w:hAnsi="Times New Roman" w:cs="Times New Roman"/>
                      <w:bCs/>
                      <w:color w:val="auto"/>
                      <w:sz w:val="21"/>
                      <w:szCs w:val="21"/>
                      <w:highlight w:val="none"/>
                      <w:vertAlign w:val="superscript"/>
                    </w:rPr>
                    <w:t>3</w:t>
                  </w:r>
                  <w:r>
                    <w:rPr>
                      <w:rFonts w:hint="default" w:ascii="Times New Roman" w:hAnsi="Times New Roman" w:cs="Times New Roman"/>
                      <w:bCs/>
                      <w:color w:val="auto"/>
                      <w:sz w:val="21"/>
                      <w:szCs w:val="21"/>
                      <w:highlight w:val="none"/>
                      <w:lang w:eastAsia="zh-CN"/>
                    </w:rPr>
                    <w:t>。</w:t>
                  </w:r>
                </w:p>
                <w:p w14:paraId="138DE86E">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outlineLvl w:val="9"/>
                    <w:rPr>
                      <w:rFonts w:hint="default" w:ascii="Times New Roman" w:hAnsi="Times New Roman" w:cs="Times New Roman"/>
                      <w:bCs/>
                      <w:color w:val="auto"/>
                      <w:sz w:val="21"/>
                      <w:szCs w:val="21"/>
                      <w:highlight w:val="none"/>
                      <w:lang w:eastAsia="zh-CN"/>
                    </w:rPr>
                  </w:pPr>
                  <w:r>
                    <w:rPr>
                      <w:rFonts w:hint="default" w:ascii="Times New Roman" w:hAnsi="Times New Roman" w:cs="Times New Roman"/>
                      <w:bCs/>
                      <w:color w:val="auto"/>
                      <w:sz w:val="21"/>
                      <w:szCs w:val="21"/>
                      <w:highlight w:val="none"/>
                    </w:rPr>
                    <w:t>调配后的</w:t>
                  </w:r>
                  <w:r>
                    <w:rPr>
                      <w:rFonts w:hint="eastAsia" w:cs="Times New Roman"/>
                      <w:bCs/>
                      <w:color w:val="auto"/>
                      <w:sz w:val="21"/>
                      <w:szCs w:val="21"/>
                      <w:highlight w:val="none"/>
                      <w:lang w:val="en-US" w:eastAsia="zh-CN"/>
                    </w:rPr>
                    <w:t>油性漆</w:t>
                  </w:r>
                  <w:r>
                    <w:rPr>
                      <w:rFonts w:hint="default" w:ascii="Times New Roman" w:hAnsi="Times New Roman" w:cs="Times New Roman"/>
                      <w:bCs/>
                      <w:color w:val="auto"/>
                      <w:sz w:val="21"/>
                      <w:szCs w:val="21"/>
                      <w:highlight w:val="none"/>
                    </w:rPr>
                    <w:t>相对密度为：</w:t>
                  </w:r>
                  <w:r>
                    <w:rPr>
                      <w:rFonts w:hint="eastAsia" w:cs="Times New Roman"/>
                      <w:bCs/>
                      <w:color w:val="auto"/>
                      <w:sz w:val="21"/>
                      <w:szCs w:val="21"/>
                      <w:highlight w:val="none"/>
                      <w:lang w:val="en-US" w:eastAsia="zh-CN"/>
                    </w:rPr>
                    <w:t>1.2</w:t>
                  </w:r>
                  <w:r>
                    <w:rPr>
                      <w:rFonts w:hint="default" w:ascii="Times New Roman" w:hAnsi="Times New Roman" w:cs="Times New Roman"/>
                      <w:bCs/>
                      <w:color w:val="auto"/>
                      <w:sz w:val="21"/>
                      <w:szCs w:val="21"/>
                      <w:highlight w:val="none"/>
                    </w:rPr>
                    <w:t>Xg/</w:t>
                  </w:r>
                  <w:r>
                    <w:rPr>
                      <w:rFonts w:hint="eastAsia" w:cs="Times New Roman"/>
                      <w:bCs/>
                      <w:color w:val="auto"/>
                      <w:sz w:val="21"/>
                      <w:szCs w:val="21"/>
                      <w:highlight w:val="none"/>
                      <w:lang w:val="en-US" w:eastAsia="zh-CN"/>
                    </w:rPr>
                    <w:t>0.941</w:t>
                  </w:r>
                  <w:r>
                    <w:rPr>
                      <w:rFonts w:hint="default" w:ascii="Times New Roman" w:hAnsi="Times New Roman" w:cs="Times New Roman"/>
                      <w:bCs/>
                      <w:color w:val="auto"/>
                      <w:sz w:val="21"/>
                      <w:szCs w:val="21"/>
                      <w:highlight w:val="none"/>
                    </w:rPr>
                    <w:t>Xcm</w:t>
                  </w:r>
                  <w:r>
                    <w:rPr>
                      <w:rFonts w:hint="default" w:ascii="Times New Roman" w:hAnsi="Times New Roman" w:cs="Times New Roman"/>
                      <w:bCs/>
                      <w:color w:val="auto"/>
                      <w:sz w:val="21"/>
                      <w:szCs w:val="21"/>
                      <w:highlight w:val="none"/>
                      <w:vertAlign w:val="superscript"/>
                    </w:rPr>
                    <w:t>3</w:t>
                  </w:r>
                  <w:r>
                    <w:rPr>
                      <w:rFonts w:hint="eastAsia" w:cs="Times New Roman"/>
                      <w:bCs/>
                      <w:color w:val="auto"/>
                      <w:sz w:val="21"/>
                      <w:szCs w:val="21"/>
                      <w:highlight w:val="none"/>
                      <w:lang w:val="en-US" w:eastAsia="zh-CN"/>
                    </w:rPr>
                    <w:t>≈1.275</w:t>
                  </w:r>
                  <w:r>
                    <w:rPr>
                      <w:rFonts w:hint="default" w:ascii="Times New Roman" w:hAnsi="Times New Roman" w:cs="Times New Roman"/>
                      <w:bCs/>
                      <w:color w:val="auto"/>
                      <w:sz w:val="21"/>
                      <w:szCs w:val="21"/>
                      <w:highlight w:val="none"/>
                    </w:rPr>
                    <w:t>g/cm</w:t>
                  </w:r>
                  <w:r>
                    <w:rPr>
                      <w:rFonts w:hint="default" w:ascii="Times New Roman" w:hAnsi="Times New Roman" w:cs="Times New Roman"/>
                      <w:bCs/>
                      <w:color w:val="auto"/>
                      <w:sz w:val="21"/>
                      <w:szCs w:val="21"/>
                      <w:highlight w:val="none"/>
                      <w:vertAlign w:val="superscript"/>
                    </w:rPr>
                    <w:t>3</w:t>
                  </w:r>
                  <w:r>
                    <w:rPr>
                      <w:rFonts w:hint="default" w:ascii="Times New Roman" w:hAnsi="Times New Roman" w:cs="Times New Roman"/>
                      <w:bCs/>
                      <w:color w:val="auto"/>
                      <w:sz w:val="21"/>
                      <w:szCs w:val="21"/>
                      <w:highlight w:val="none"/>
                      <w:vertAlign w:val="baseline"/>
                      <w:lang w:eastAsia="zh-CN"/>
                    </w:rPr>
                    <w:t>，</w:t>
                  </w:r>
                  <w:r>
                    <w:rPr>
                      <w:rFonts w:hint="eastAsia" w:cs="Times New Roman"/>
                      <w:bCs/>
                      <w:color w:val="auto"/>
                      <w:sz w:val="21"/>
                      <w:szCs w:val="21"/>
                      <w:highlight w:val="none"/>
                      <w:vertAlign w:val="baseline"/>
                      <w:lang w:val="en-US" w:eastAsia="zh-CN"/>
                    </w:rPr>
                    <w:t>调配后的VOCs挥发分占比</w:t>
                  </w:r>
                  <w:r>
                    <w:rPr>
                      <w:rFonts w:hint="eastAsia"/>
                      <w:color w:val="auto"/>
                      <w:sz w:val="21"/>
                      <w:szCs w:val="21"/>
                      <w:highlight w:val="none"/>
                      <w:lang w:val="en-US" w:eastAsia="zh-CN"/>
                    </w:rPr>
                    <w:t>289g/L,</w:t>
                  </w:r>
                  <w:r>
                    <w:rPr>
                      <w:rFonts w:hint="default" w:ascii="Times New Roman" w:hAnsi="Times New Roman" w:cs="Times New Roman"/>
                      <w:bCs/>
                      <w:color w:val="auto"/>
                      <w:sz w:val="21"/>
                      <w:szCs w:val="21"/>
                      <w:highlight w:val="none"/>
                    </w:rPr>
                    <w:t>固含率</w:t>
                  </w:r>
                  <w:r>
                    <w:rPr>
                      <w:rFonts w:hint="eastAsia" w:cs="Times New Roman"/>
                      <w:bCs/>
                      <w:color w:val="auto"/>
                      <w:sz w:val="21"/>
                      <w:szCs w:val="21"/>
                      <w:highlight w:val="none"/>
                      <w:lang w:val="en-US" w:eastAsia="zh-CN"/>
                    </w:rPr>
                    <w:t>=1-挥发分占比=1-[（289g/L/1.275</w:t>
                  </w:r>
                  <w:r>
                    <w:rPr>
                      <w:rFonts w:hint="default" w:ascii="Times New Roman" w:hAnsi="Times New Roman" w:cs="Times New Roman"/>
                      <w:bCs/>
                      <w:color w:val="auto"/>
                      <w:sz w:val="21"/>
                      <w:szCs w:val="21"/>
                      <w:highlight w:val="none"/>
                    </w:rPr>
                    <w:t>g/cm</w:t>
                  </w:r>
                  <w:r>
                    <w:rPr>
                      <w:rFonts w:hint="default" w:ascii="Times New Roman" w:hAnsi="Times New Roman" w:cs="Times New Roman"/>
                      <w:bCs/>
                      <w:color w:val="auto"/>
                      <w:sz w:val="21"/>
                      <w:szCs w:val="21"/>
                      <w:highlight w:val="none"/>
                      <w:vertAlign w:val="superscript"/>
                    </w:rPr>
                    <w:t>3</w:t>
                  </w:r>
                  <w:r>
                    <w:rPr>
                      <w:rFonts w:hint="eastAsia" w:cs="Times New Roman"/>
                      <w:bCs/>
                      <w:color w:val="auto"/>
                      <w:sz w:val="21"/>
                      <w:szCs w:val="21"/>
                      <w:highlight w:val="none"/>
                      <w:lang w:val="en-US" w:eastAsia="zh-CN"/>
                    </w:rPr>
                    <w:t>）×100%]=77.33</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eastAsia="zh-CN"/>
                    </w:rPr>
                    <w:t>；</w:t>
                  </w:r>
                </w:p>
                <w:p w14:paraId="36C96797">
                  <w:pPr>
                    <w:keepNext w:val="0"/>
                    <w:keepLines w:val="0"/>
                    <w:widowControl/>
                    <w:suppressLineNumbers w:val="0"/>
                    <w:spacing w:line="240" w:lineRule="auto"/>
                    <w:ind w:firstLine="420" w:firstLineChars="200"/>
                    <w:jc w:val="both"/>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cs="Times New Roman"/>
                      <w:color w:val="auto"/>
                      <w:sz w:val="21"/>
                      <w:szCs w:val="21"/>
                      <w:highlight w:val="none"/>
                      <w:lang w:val="en-US" w:eastAsia="zh-CN"/>
                    </w:rPr>
                    <w:t>②水性漆</w:t>
                  </w:r>
                  <w:r>
                    <w:rPr>
                      <w:rFonts w:hint="default" w:ascii="Times New Roman" w:hAnsi="Times New Roman" w:cs="Times New Roman"/>
                      <w:bCs/>
                      <w:color w:val="auto"/>
                      <w:sz w:val="21"/>
                      <w:szCs w:val="21"/>
                      <w:highlight w:val="none"/>
                    </w:rPr>
                    <w:t>无需调配，直接使用</w:t>
                  </w:r>
                  <w:r>
                    <w:rPr>
                      <w:rFonts w:hint="eastAsia" w:cs="Times New Roman"/>
                      <w:bCs/>
                      <w:color w:val="auto"/>
                      <w:sz w:val="21"/>
                      <w:szCs w:val="21"/>
                      <w:highlight w:val="none"/>
                      <w:lang w:eastAsia="zh-CN"/>
                    </w:rPr>
                    <w:t>，</w:t>
                  </w:r>
                  <w:r>
                    <w:rPr>
                      <w:rFonts w:hint="eastAsia" w:cs="Times New Roman"/>
                      <w:bCs/>
                      <w:color w:val="auto"/>
                      <w:sz w:val="21"/>
                      <w:szCs w:val="21"/>
                      <w:highlight w:val="none"/>
                      <w:lang w:val="en-US" w:eastAsia="zh-CN"/>
                    </w:rPr>
                    <w:t>密度</w:t>
                  </w:r>
                  <w:r>
                    <w:rPr>
                      <w:rFonts w:hint="eastAsia"/>
                      <w:color w:val="auto"/>
                      <w:sz w:val="21"/>
                      <w:szCs w:val="21"/>
                      <w:highlight w:val="none"/>
                      <w:vertAlign w:val="baseline"/>
                      <w:lang w:val="en-US" w:eastAsia="zh-CN"/>
                    </w:rPr>
                    <w:t>本次评价取</w:t>
                  </w:r>
                  <w:r>
                    <w:rPr>
                      <w:rFonts w:hint="eastAsia"/>
                      <w:color w:val="auto"/>
                      <w:sz w:val="21"/>
                      <w:szCs w:val="21"/>
                      <w:highlight w:val="none"/>
                      <w:lang w:val="en-US" w:eastAsia="zh-CN"/>
                    </w:rPr>
                    <w:t>1.2</w:t>
                  </w:r>
                  <w:r>
                    <w:rPr>
                      <w:color w:val="auto"/>
                      <w:sz w:val="21"/>
                      <w:szCs w:val="21"/>
                      <w:highlight w:val="none"/>
                    </w:rPr>
                    <w:t>g/cm</w:t>
                  </w:r>
                  <w:r>
                    <w:rPr>
                      <w:color w:val="auto"/>
                      <w:sz w:val="21"/>
                      <w:szCs w:val="21"/>
                      <w:highlight w:val="none"/>
                      <w:vertAlign w:val="superscript"/>
                    </w:rPr>
                    <w:t>3</w:t>
                  </w:r>
                  <w:r>
                    <w:rPr>
                      <w:rFonts w:hint="eastAsia"/>
                      <w:color w:val="auto"/>
                      <w:sz w:val="21"/>
                      <w:szCs w:val="21"/>
                      <w:highlight w:val="none"/>
                      <w:vertAlign w:val="baseline"/>
                      <w:lang w:eastAsia="zh-CN"/>
                    </w:rPr>
                    <w:t>、</w:t>
                  </w:r>
                  <w:r>
                    <w:rPr>
                      <w:rFonts w:hint="eastAsia"/>
                      <w:color w:val="auto"/>
                      <w:sz w:val="21"/>
                      <w:szCs w:val="21"/>
                      <w:highlight w:val="none"/>
                      <w:vertAlign w:val="baseline"/>
                      <w:lang w:val="en-US" w:eastAsia="zh-CN"/>
                    </w:rPr>
                    <w:t>水分占比取25%，</w:t>
                  </w:r>
                  <w:r>
                    <w:rPr>
                      <w:rFonts w:hint="default" w:ascii="Times New Roman" w:hAnsi="Times New Roman" w:cs="Times New Roman"/>
                      <w:bCs/>
                      <w:color w:val="auto"/>
                      <w:sz w:val="21"/>
                      <w:szCs w:val="21"/>
                      <w:highlight w:val="none"/>
                    </w:rPr>
                    <w:t>固含率</w:t>
                  </w:r>
                  <w:r>
                    <w:rPr>
                      <w:rFonts w:hint="eastAsia" w:cs="Times New Roman"/>
                      <w:bCs/>
                      <w:color w:val="auto"/>
                      <w:sz w:val="21"/>
                      <w:szCs w:val="21"/>
                      <w:highlight w:val="none"/>
                      <w:lang w:val="en-US" w:eastAsia="zh-CN"/>
                    </w:rPr>
                    <w:t>=1-挥发分占比-水分占比=1-[（28g/L/1.2</w:t>
                  </w:r>
                  <w:r>
                    <w:rPr>
                      <w:rFonts w:hint="default" w:ascii="Times New Roman" w:hAnsi="Times New Roman" w:cs="Times New Roman"/>
                      <w:bCs/>
                      <w:color w:val="auto"/>
                      <w:sz w:val="21"/>
                      <w:szCs w:val="21"/>
                      <w:highlight w:val="none"/>
                    </w:rPr>
                    <w:t>g/cm</w:t>
                  </w:r>
                  <w:r>
                    <w:rPr>
                      <w:rFonts w:hint="default" w:ascii="Times New Roman" w:hAnsi="Times New Roman" w:cs="Times New Roman"/>
                      <w:bCs/>
                      <w:color w:val="auto"/>
                      <w:sz w:val="21"/>
                      <w:szCs w:val="21"/>
                      <w:highlight w:val="none"/>
                      <w:vertAlign w:val="superscript"/>
                    </w:rPr>
                    <w:t>3</w:t>
                  </w:r>
                  <w:r>
                    <w:rPr>
                      <w:rFonts w:hint="eastAsia" w:cs="Times New Roman"/>
                      <w:bCs/>
                      <w:color w:val="auto"/>
                      <w:sz w:val="21"/>
                      <w:szCs w:val="21"/>
                      <w:highlight w:val="none"/>
                      <w:lang w:val="en-US" w:eastAsia="zh-CN"/>
                    </w:rPr>
                    <w:t>）×100%-25%]=72.67</w:t>
                  </w:r>
                  <w:r>
                    <w:rPr>
                      <w:rFonts w:hint="default" w:ascii="Times New Roman" w:hAnsi="Times New Roman" w:cs="Times New Roman"/>
                      <w:bCs/>
                      <w:color w:val="auto"/>
                      <w:sz w:val="21"/>
                      <w:szCs w:val="21"/>
                      <w:highlight w:val="none"/>
                    </w:rPr>
                    <w:t>%</w:t>
                  </w:r>
                  <w:r>
                    <w:rPr>
                      <w:rFonts w:hint="eastAsia" w:cs="Times New Roman"/>
                      <w:bCs/>
                      <w:color w:val="auto"/>
                      <w:sz w:val="21"/>
                      <w:szCs w:val="21"/>
                      <w:highlight w:val="none"/>
                      <w:lang w:eastAsia="zh-CN"/>
                    </w:rPr>
                    <w:t>。</w:t>
                  </w:r>
                </w:p>
              </w:tc>
            </w:tr>
          </w:tbl>
          <w:p w14:paraId="2A7EA25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b/>
                <w:color w:val="auto"/>
                <w:sz w:val="24"/>
                <w:highlight w:val="none"/>
              </w:rPr>
            </w:pPr>
            <w:bookmarkStart w:id="25" w:name="_Toc29716"/>
            <w:r>
              <w:rPr>
                <w:rFonts w:hint="eastAsia"/>
                <w:b/>
                <w:color w:val="auto"/>
                <w:sz w:val="24"/>
                <w:highlight w:val="none"/>
                <w:lang w:val="en-US" w:eastAsia="zh-CN"/>
              </w:rPr>
              <w:t>②</w:t>
            </w:r>
            <w:r>
              <w:rPr>
                <w:b/>
                <w:color w:val="auto"/>
                <w:sz w:val="24"/>
                <w:highlight w:val="none"/>
              </w:rPr>
              <w:t>原漆料用量核算</w:t>
            </w:r>
            <w:bookmarkEnd w:id="25"/>
          </w:p>
          <w:p w14:paraId="77E4A18D">
            <w:pPr>
              <w:pStyle w:val="2"/>
              <w:pageBreakBefore w:val="0"/>
              <w:wordWrap w:val="0"/>
              <w:overflowPunct/>
              <w:bidi w:val="0"/>
              <w:ind w:firstLine="480" w:firstLineChars="200"/>
              <w:rPr>
                <w:rFonts w:ascii="Times New Roman" w:hAnsi="Times New Roman" w:eastAsia="宋体"/>
                <w:color w:val="auto"/>
                <w:szCs w:val="24"/>
                <w:highlight w:val="none"/>
              </w:rPr>
            </w:pPr>
            <w:r>
              <w:rPr>
                <w:rFonts w:ascii="Times New Roman" w:hAnsi="Times New Roman" w:eastAsia="宋体"/>
                <w:color w:val="auto"/>
                <w:szCs w:val="24"/>
                <w:highlight w:val="none"/>
              </w:rPr>
              <w:t>根据各漆料配比比例，得出原漆料具体成分使用量，详见下表。</w:t>
            </w:r>
          </w:p>
          <w:p w14:paraId="52F7CCB9">
            <w:pPr>
              <w:pStyle w:val="17"/>
              <w:pageBreakBefore w:val="0"/>
              <w:numPr>
                <w:ilvl w:val="0"/>
                <w:numId w:val="8"/>
              </w:numPr>
              <w:wordWrap w:val="0"/>
              <w:overflowPunct/>
              <w:bidi w:val="0"/>
              <w:spacing w:line="240" w:lineRule="auto"/>
              <w:ind w:left="0" w:leftChars="0" w:firstLine="40" w:firstLineChars="0"/>
              <w:rPr>
                <w:color w:val="auto"/>
                <w:highlight w:val="none"/>
              </w:rPr>
            </w:pPr>
            <w:r>
              <w:rPr>
                <w:rFonts w:hint="eastAsia"/>
                <w:b/>
                <w:bCs/>
                <w:color w:val="auto"/>
                <w:sz w:val="21"/>
                <w:szCs w:val="21"/>
                <w:highlight w:val="none"/>
                <w:lang w:val="en-US" w:eastAsia="zh-CN"/>
              </w:rPr>
              <w:t xml:space="preserve"> </w:t>
            </w:r>
            <w:r>
              <w:rPr>
                <w:b/>
                <w:bCs/>
                <w:color w:val="auto"/>
                <w:sz w:val="21"/>
                <w:szCs w:val="21"/>
                <w:highlight w:val="none"/>
              </w:rPr>
              <w:t>各原漆料用料一览表</w:t>
            </w:r>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1287"/>
              <w:gridCol w:w="1320"/>
              <w:gridCol w:w="4202"/>
            </w:tblGrid>
            <w:tr w14:paraId="0BEA2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660" w:type="pct"/>
                  <w:vAlign w:val="center"/>
                </w:tcPr>
                <w:p w14:paraId="00944ECB">
                  <w:pPr>
                    <w:pageBreakBefore w:val="0"/>
                    <w:wordWrap w:val="0"/>
                    <w:overflowPunct/>
                    <w:bidi w:val="0"/>
                    <w:spacing w:line="240" w:lineRule="auto"/>
                    <w:jc w:val="center"/>
                    <w:outlineLvl w:val="3"/>
                    <w:rPr>
                      <w:b/>
                      <w:color w:val="auto"/>
                      <w:sz w:val="21"/>
                      <w:szCs w:val="21"/>
                      <w:highlight w:val="none"/>
                    </w:rPr>
                  </w:pPr>
                  <w:r>
                    <w:rPr>
                      <w:b/>
                      <w:color w:val="auto"/>
                      <w:sz w:val="21"/>
                      <w:szCs w:val="21"/>
                      <w:highlight w:val="none"/>
                    </w:rPr>
                    <w:t>涂层种类</w:t>
                  </w:r>
                </w:p>
              </w:tc>
              <w:tc>
                <w:tcPr>
                  <w:tcW w:w="820" w:type="pct"/>
                  <w:vAlign w:val="center"/>
                </w:tcPr>
                <w:p w14:paraId="0106CC37">
                  <w:pPr>
                    <w:pageBreakBefore w:val="0"/>
                    <w:wordWrap w:val="0"/>
                    <w:overflowPunct/>
                    <w:bidi w:val="0"/>
                    <w:spacing w:line="240" w:lineRule="auto"/>
                    <w:jc w:val="center"/>
                    <w:outlineLvl w:val="3"/>
                    <w:rPr>
                      <w:b/>
                      <w:color w:val="auto"/>
                      <w:sz w:val="21"/>
                      <w:szCs w:val="21"/>
                      <w:highlight w:val="none"/>
                    </w:rPr>
                  </w:pPr>
                  <w:r>
                    <w:rPr>
                      <w:rFonts w:hint="eastAsia"/>
                      <w:b/>
                      <w:color w:val="auto"/>
                      <w:sz w:val="21"/>
                      <w:szCs w:val="21"/>
                      <w:highlight w:val="none"/>
                      <w:lang w:val="en-US" w:eastAsia="zh-CN"/>
                    </w:rPr>
                    <w:t>漆料</w:t>
                  </w:r>
                  <w:r>
                    <w:rPr>
                      <w:b/>
                      <w:color w:val="auto"/>
                      <w:sz w:val="21"/>
                      <w:szCs w:val="21"/>
                      <w:highlight w:val="none"/>
                    </w:rPr>
                    <w:t>名称</w:t>
                  </w:r>
                </w:p>
              </w:tc>
              <w:tc>
                <w:tcPr>
                  <w:tcW w:w="841" w:type="pct"/>
                  <w:vAlign w:val="center"/>
                </w:tcPr>
                <w:p w14:paraId="6C86EF3B">
                  <w:pPr>
                    <w:pageBreakBefore w:val="0"/>
                    <w:wordWrap w:val="0"/>
                    <w:overflowPunct/>
                    <w:bidi w:val="0"/>
                    <w:spacing w:line="240" w:lineRule="auto"/>
                    <w:jc w:val="center"/>
                    <w:outlineLvl w:val="3"/>
                    <w:rPr>
                      <w:b/>
                      <w:color w:val="auto"/>
                      <w:sz w:val="21"/>
                      <w:szCs w:val="21"/>
                      <w:highlight w:val="none"/>
                    </w:rPr>
                  </w:pPr>
                  <w:r>
                    <w:rPr>
                      <w:b/>
                      <w:color w:val="auto"/>
                      <w:sz w:val="21"/>
                      <w:szCs w:val="21"/>
                      <w:highlight w:val="none"/>
                    </w:rPr>
                    <w:t>原漆料用量（t/a）</w:t>
                  </w:r>
                </w:p>
              </w:tc>
              <w:tc>
                <w:tcPr>
                  <w:tcW w:w="2677" w:type="pct"/>
                  <w:vAlign w:val="center"/>
                </w:tcPr>
                <w:p w14:paraId="2255B1D1">
                  <w:pPr>
                    <w:pageBreakBefore w:val="0"/>
                    <w:wordWrap w:val="0"/>
                    <w:overflowPunct/>
                    <w:bidi w:val="0"/>
                    <w:spacing w:line="240" w:lineRule="auto"/>
                    <w:jc w:val="center"/>
                    <w:outlineLvl w:val="3"/>
                    <w:rPr>
                      <w:b/>
                      <w:color w:val="auto"/>
                      <w:sz w:val="21"/>
                      <w:szCs w:val="21"/>
                      <w:highlight w:val="none"/>
                    </w:rPr>
                  </w:pPr>
                  <w:r>
                    <w:rPr>
                      <w:b/>
                      <w:color w:val="auto"/>
                      <w:sz w:val="21"/>
                      <w:szCs w:val="21"/>
                      <w:highlight w:val="none"/>
                    </w:rPr>
                    <w:t>备注</w:t>
                  </w:r>
                </w:p>
              </w:tc>
            </w:tr>
            <w:tr w14:paraId="231F0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60" w:type="pct"/>
                  <w:vMerge w:val="restart"/>
                  <w:vAlign w:val="center"/>
                </w:tcPr>
                <w:p w14:paraId="425C4BA9">
                  <w:pPr>
                    <w:pageBreakBefore w:val="0"/>
                    <w:wordWrap w:val="0"/>
                    <w:overflowPunct/>
                    <w:bidi w:val="0"/>
                    <w:spacing w:line="240" w:lineRule="auto"/>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油性漆</w:t>
                  </w:r>
                </w:p>
              </w:tc>
              <w:tc>
                <w:tcPr>
                  <w:tcW w:w="820" w:type="pct"/>
                  <w:vAlign w:val="center"/>
                </w:tcPr>
                <w:p w14:paraId="63B2A0E9">
                  <w:pPr>
                    <w:pageBreakBefore w:val="0"/>
                    <w:wordWrap w:val="0"/>
                    <w:overflowPunct/>
                    <w:bidi w:val="0"/>
                    <w:spacing w:line="240" w:lineRule="auto"/>
                    <w:jc w:val="center"/>
                    <w:outlineLvl w:val="3"/>
                    <w:rPr>
                      <w:rFonts w:hint="default"/>
                      <w:bCs/>
                      <w:color w:val="auto"/>
                      <w:sz w:val="21"/>
                      <w:szCs w:val="21"/>
                      <w:highlight w:val="none"/>
                      <w:lang w:val="en-US"/>
                    </w:rPr>
                  </w:pPr>
                  <w:r>
                    <w:rPr>
                      <w:rFonts w:hint="eastAsia"/>
                      <w:bCs/>
                      <w:color w:val="auto"/>
                      <w:sz w:val="21"/>
                      <w:szCs w:val="21"/>
                      <w:highlight w:val="none"/>
                      <w:lang w:val="en-US" w:eastAsia="zh-CN"/>
                    </w:rPr>
                    <w:t>油性漆主漆</w:t>
                  </w:r>
                </w:p>
              </w:tc>
              <w:tc>
                <w:tcPr>
                  <w:tcW w:w="841" w:type="pct"/>
                  <w:vAlign w:val="center"/>
                </w:tcPr>
                <w:p w14:paraId="4C2029F9">
                  <w:pPr>
                    <w:keepNext w:val="0"/>
                    <w:keepLines w:val="0"/>
                    <w:widowControl/>
                    <w:suppressLineNumbers w:val="0"/>
                    <w:jc w:val="center"/>
                    <w:textAlignment w:val="center"/>
                    <w:rPr>
                      <w:rFonts w:hint="default" w:eastAsia="宋体"/>
                      <w:bCs/>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rPr>
                    <w:t>2.437</w:t>
                  </w:r>
                </w:p>
              </w:tc>
              <w:tc>
                <w:tcPr>
                  <w:tcW w:w="2677" w:type="pct"/>
                  <w:vAlign w:val="center"/>
                </w:tcPr>
                <w:p w14:paraId="35087FF8">
                  <w:pPr>
                    <w:pageBreakBefore w:val="0"/>
                    <w:wordWrap w:val="0"/>
                    <w:overflowPunct/>
                    <w:bidi w:val="0"/>
                    <w:spacing w:line="240" w:lineRule="auto"/>
                    <w:jc w:val="center"/>
                    <w:rPr>
                      <w:rFonts w:hint="default"/>
                      <w:bCs/>
                      <w:color w:val="auto"/>
                      <w:sz w:val="21"/>
                      <w:szCs w:val="21"/>
                      <w:highlight w:val="none"/>
                      <w:lang w:val="en-US"/>
                    </w:rPr>
                  </w:pPr>
                  <w:r>
                    <w:rPr>
                      <w:rFonts w:hint="eastAsia"/>
                      <w:bCs/>
                      <w:color w:val="auto"/>
                      <w:sz w:val="21"/>
                      <w:szCs w:val="21"/>
                      <w:highlight w:val="none"/>
                      <w:lang w:val="en-US" w:eastAsia="zh-CN"/>
                    </w:rPr>
                    <w:t>油性漆主漆</w:t>
                  </w:r>
                  <w:r>
                    <w:rPr>
                      <w:rFonts w:hint="eastAsia"/>
                      <w:color w:val="auto"/>
                      <w:sz w:val="21"/>
                      <w:szCs w:val="21"/>
                      <w:highlight w:val="none"/>
                      <w:lang w:val="en-US" w:eastAsia="zh-CN"/>
                    </w:rPr>
                    <w:t>:固化剂=1:0.2</w:t>
                  </w:r>
                </w:p>
              </w:tc>
            </w:tr>
            <w:tr w14:paraId="546F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60" w:type="pct"/>
                  <w:vMerge w:val="continue"/>
                  <w:vAlign w:val="center"/>
                </w:tcPr>
                <w:p w14:paraId="3E10920A">
                  <w:pPr>
                    <w:pageBreakBefore w:val="0"/>
                    <w:wordWrap w:val="0"/>
                    <w:overflowPunct/>
                    <w:bidi w:val="0"/>
                    <w:spacing w:line="240" w:lineRule="auto"/>
                    <w:jc w:val="center"/>
                    <w:rPr>
                      <w:bCs/>
                      <w:color w:val="auto"/>
                      <w:sz w:val="21"/>
                      <w:szCs w:val="21"/>
                      <w:highlight w:val="none"/>
                    </w:rPr>
                  </w:pPr>
                </w:p>
              </w:tc>
              <w:tc>
                <w:tcPr>
                  <w:tcW w:w="820" w:type="pct"/>
                  <w:vAlign w:val="center"/>
                </w:tcPr>
                <w:p w14:paraId="1283F08F">
                  <w:pPr>
                    <w:pageBreakBefore w:val="0"/>
                    <w:wordWrap w:val="0"/>
                    <w:overflowPunct/>
                    <w:bidi w:val="0"/>
                    <w:spacing w:line="240" w:lineRule="auto"/>
                    <w:jc w:val="center"/>
                    <w:outlineLvl w:val="3"/>
                    <w:rPr>
                      <w:bCs/>
                      <w:color w:val="auto"/>
                      <w:sz w:val="21"/>
                      <w:szCs w:val="21"/>
                      <w:highlight w:val="none"/>
                    </w:rPr>
                  </w:pPr>
                  <w:r>
                    <w:rPr>
                      <w:bCs/>
                      <w:color w:val="auto"/>
                      <w:sz w:val="21"/>
                      <w:szCs w:val="21"/>
                      <w:highlight w:val="none"/>
                    </w:rPr>
                    <w:t>固化剂</w:t>
                  </w:r>
                </w:p>
              </w:tc>
              <w:tc>
                <w:tcPr>
                  <w:tcW w:w="841" w:type="pct"/>
                  <w:vAlign w:val="center"/>
                </w:tcPr>
                <w:p w14:paraId="67CB925B">
                  <w:pPr>
                    <w:keepNext w:val="0"/>
                    <w:keepLines w:val="0"/>
                    <w:widowControl/>
                    <w:suppressLineNumbers w:val="0"/>
                    <w:jc w:val="center"/>
                    <w:textAlignment w:val="center"/>
                    <w:rPr>
                      <w:rFonts w:hint="default" w:eastAsia="宋体"/>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w:t>
                  </w:r>
                  <w:r>
                    <w:rPr>
                      <w:rFonts w:hint="eastAsia" w:cs="Times New Roman"/>
                      <w:i w:val="0"/>
                      <w:iCs w:val="0"/>
                      <w:color w:val="auto"/>
                      <w:kern w:val="0"/>
                      <w:sz w:val="21"/>
                      <w:szCs w:val="21"/>
                      <w:highlight w:val="none"/>
                      <w:u w:val="none"/>
                      <w:lang w:val="en-US" w:eastAsia="zh-CN"/>
                    </w:rPr>
                    <w:t>487</w:t>
                  </w:r>
                  <w:r>
                    <w:rPr>
                      <w:rFonts w:hint="default" w:ascii="Times New Roman" w:hAnsi="Times New Roman" w:eastAsia="宋体" w:cs="Times New Roman"/>
                      <w:i w:val="0"/>
                      <w:iCs w:val="0"/>
                      <w:color w:val="auto"/>
                      <w:kern w:val="0"/>
                      <w:sz w:val="21"/>
                      <w:szCs w:val="21"/>
                      <w:highlight w:val="none"/>
                      <w:u w:val="none"/>
                      <w:lang w:val="en-US" w:eastAsia="zh-CN"/>
                    </w:rPr>
                    <w:t xml:space="preserve"> </w:t>
                  </w:r>
                </w:p>
              </w:tc>
              <w:tc>
                <w:tcPr>
                  <w:tcW w:w="2677" w:type="pct"/>
                  <w:vAlign w:val="center"/>
                </w:tcPr>
                <w:p w14:paraId="34810CE0">
                  <w:pPr>
                    <w:pageBreakBefore w:val="0"/>
                    <w:wordWrap w:val="0"/>
                    <w:overflowPunct/>
                    <w:bidi w:val="0"/>
                    <w:spacing w:line="240" w:lineRule="auto"/>
                    <w:jc w:val="center"/>
                    <w:outlineLvl w:val="3"/>
                    <w:rPr>
                      <w:rFonts w:hint="default" w:eastAsia="宋体"/>
                      <w:bCs/>
                      <w:color w:val="auto"/>
                      <w:sz w:val="21"/>
                      <w:szCs w:val="21"/>
                      <w:highlight w:val="none"/>
                      <w:lang w:val="en-US" w:eastAsia="zh-CN"/>
                    </w:rPr>
                  </w:pPr>
                  <w:r>
                    <w:rPr>
                      <w:rFonts w:hint="eastAsia"/>
                      <w:bCs/>
                      <w:color w:val="auto"/>
                      <w:sz w:val="21"/>
                      <w:szCs w:val="21"/>
                      <w:highlight w:val="none"/>
                      <w:lang w:val="en-US" w:eastAsia="zh-CN"/>
                    </w:rPr>
                    <w:t>/</w:t>
                  </w:r>
                </w:p>
              </w:tc>
            </w:tr>
            <w:tr w14:paraId="1E51C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60" w:type="pct"/>
                  <w:vAlign w:val="center"/>
                </w:tcPr>
                <w:p w14:paraId="39D3AC84">
                  <w:pPr>
                    <w:pageBreakBefore w:val="0"/>
                    <w:wordWrap w:val="0"/>
                    <w:overflowPunct/>
                    <w:bidi w:val="0"/>
                    <w:spacing w:line="240" w:lineRule="auto"/>
                    <w:jc w:val="center"/>
                    <w:rPr>
                      <w:color w:val="auto"/>
                      <w:sz w:val="21"/>
                      <w:szCs w:val="21"/>
                      <w:highlight w:val="none"/>
                    </w:rPr>
                  </w:pPr>
                  <w:r>
                    <w:rPr>
                      <w:rFonts w:hint="eastAsia"/>
                      <w:bCs/>
                      <w:color w:val="auto"/>
                      <w:sz w:val="21"/>
                      <w:szCs w:val="21"/>
                      <w:highlight w:val="none"/>
                      <w:lang w:val="en-US" w:eastAsia="zh-CN"/>
                    </w:rPr>
                    <w:t>水性漆</w:t>
                  </w:r>
                </w:p>
              </w:tc>
              <w:tc>
                <w:tcPr>
                  <w:tcW w:w="820" w:type="pct"/>
                  <w:vAlign w:val="center"/>
                </w:tcPr>
                <w:p w14:paraId="4D695FA2">
                  <w:pPr>
                    <w:pageBreakBefore w:val="0"/>
                    <w:wordWrap w:val="0"/>
                    <w:overflowPunct/>
                    <w:bidi w:val="0"/>
                    <w:spacing w:line="240" w:lineRule="auto"/>
                    <w:jc w:val="center"/>
                    <w:outlineLvl w:val="3"/>
                    <w:rPr>
                      <w:bCs/>
                      <w:color w:val="auto"/>
                      <w:sz w:val="21"/>
                      <w:szCs w:val="21"/>
                      <w:highlight w:val="none"/>
                    </w:rPr>
                  </w:pPr>
                  <w:r>
                    <w:rPr>
                      <w:rFonts w:hint="eastAsia"/>
                      <w:bCs/>
                      <w:color w:val="auto"/>
                      <w:sz w:val="21"/>
                      <w:szCs w:val="21"/>
                      <w:highlight w:val="none"/>
                      <w:lang w:val="en-US" w:eastAsia="zh-CN"/>
                    </w:rPr>
                    <w:t>水性面</w:t>
                  </w:r>
                  <w:r>
                    <w:rPr>
                      <w:bCs/>
                      <w:color w:val="auto"/>
                      <w:sz w:val="21"/>
                      <w:szCs w:val="21"/>
                      <w:highlight w:val="none"/>
                    </w:rPr>
                    <w:t>漆</w:t>
                  </w:r>
                </w:p>
              </w:tc>
              <w:tc>
                <w:tcPr>
                  <w:tcW w:w="841" w:type="pct"/>
                  <w:vAlign w:val="center"/>
                </w:tcPr>
                <w:p w14:paraId="6422A242">
                  <w:pPr>
                    <w:pageBreakBefore w:val="0"/>
                    <w:widowControl/>
                    <w:wordWrap w:val="0"/>
                    <w:overflowPunct/>
                    <w:bidi w:val="0"/>
                    <w:spacing w:line="240" w:lineRule="auto"/>
                    <w:jc w:val="center"/>
                    <w:textAlignment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1.004</w:t>
                  </w:r>
                </w:p>
              </w:tc>
              <w:tc>
                <w:tcPr>
                  <w:tcW w:w="2677" w:type="pct"/>
                  <w:vAlign w:val="center"/>
                </w:tcPr>
                <w:p w14:paraId="0FCEE44C">
                  <w:pPr>
                    <w:pageBreakBefore w:val="0"/>
                    <w:wordWrap w:val="0"/>
                    <w:overflowPunct/>
                    <w:bidi w:val="0"/>
                    <w:spacing w:line="240" w:lineRule="auto"/>
                    <w:jc w:val="center"/>
                    <w:outlineLvl w:val="3"/>
                    <w:rPr>
                      <w:bCs/>
                      <w:color w:val="auto"/>
                      <w:sz w:val="21"/>
                      <w:szCs w:val="21"/>
                      <w:highlight w:val="none"/>
                    </w:rPr>
                  </w:pPr>
                  <w:r>
                    <w:rPr>
                      <w:bCs/>
                      <w:color w:val="auto"/>
                      <w:sz w:val="21"/>
                      <w:szCs w:val="21"/>
                      <w:highlight w:val="none"/>
                    </w:rPr>
                    <w:t>单独使用</w:t>
                  </w:r>
                  <w:r>
                    <w:rPr>
                      <w:rFonts w:hint="eastAsia"/>
                      <w:bCs/>
                      <w:color w:val="auto"/>
                      <w:sz w:val="21"/>
                      <w:szCs w:val="21"/>
                      <w:highlight w:val="none"/>
                      <w:lang w:eastAsia="zh-CN"/>
                    </w:rPr>
                    <w:t>，</w:t>
                  </w:r>
                  <w:r>
                    <w:rPr>
                      <w:rFonts w:hint="eastAsia"/>
                      <w:bCs/>
                      <w:color w:val="auto"/>
                      <w:sz w:val="21"/>
                      <w:szCs w:val="21"/>
                      <w:highlight w:val="none"/>
                      <w:lang w:val="en-US" w:eastAsia="zh-CN"/>
                    </w:rPr>
                    <w:t>水汽挥发完全成膜</w:t>
                  </w:r>
                </w:p>
              </w:tc>
            </w:tr>
          </w:tbl>
          <w:p w14:paraId="5A2EE319">
            <w:pPr>
              <w:pStyle w:val="17"/>
              <w:pageBreakBefore w:val="0"/>
              <w:numPr>
                <w:ilvl w:val="0"/>
                <w:numId w:val="8"/>
              </w:numPr>
              <w:wordWrap w:val="0"/>
              <w:overflowPunct/>
              <w:bidi w:val="0"/>
              <w:spacing w:line="240" w:lineRule="auto"/>
              <w:ind w:left="0" w:leftChars="0" w:firstLine="40" w:firstLineChars="0"/>
              <w:rPr>
                <w:rFonts w:ascii="Times New Roman" w:cs="Times New Roman"/>
                <w:b/>
                <w:bCs/>
                <w:color w:val="auto"/>
                <w:sz w:val="21"/>
                <w:szCs w:val="21"/>
                <w:highlight w:val="none"/>
              </w:rPr>
            </w:pPr>
            <w:r>
              <w:rPr>
                <w:rFonts w:hint="eastAsia" w:ascii="Times New Roman" w:cs="Times New Roman"/>
                <w:b/>
                <w:bCs/>
                <w:color w:val="auto"/>
                <w:sz w:val="21"/>
                <w:szCs w:val="21"/>
                <w:highlight w:val="none"/>
                <w:lang w:val="en-US" w:eastAsia="zh-CN"/>
              </w:rPr>
              <w:t xml:space="preserve"> </w:t>
            </w:r>
            <w:r>
              <w:rPr>
                <w:rFonts w:hint="eastAsia" w:ascii="Times New Roman" w:cs="Times New Roman"/>
                <w:b/>
                <w:bCs/>
                <w:color w:val="auto"/>
                <w:sz w:val="21"/>
                <w:szCs w:val="21"/>
                <w:highlight w:val="none"/>
              </w:rPr>
              <w:t>项目涉VOCs原辅材料VOCs含量情况一览表</w:t>
            </w:r>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68" w:type="dxa"/>
                <w:bottom w:w="0" w:type="dxa"/>
                <w:right w:w="68" w:type="dxa"/>
              </w:tblCellMar>
            </w:tblPr>
            <w:tblGrid>
              <w:gridCol w:w="1378"/>
              <w:gridCol w:w="839"/>
              <w:gridCol w:w="901"/>
              <w:gridCol w:w="2041"/>
              <w:gridCol w:w="1795"/>
              <w:gridCol w:w="891"/>
            </w:tblGrid>
            <w:tr w14:paraId="69D14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97" w:hRule="atLeast"/>
              </w:trPr>
              <w:tc>
                <w:tcPr>
                  <w:tcW w:w="878" w:type="pct"/>
                  <w:vAlign w:val="center"/>
                </w:tcPr>
                <w:p w14:paraId="7B382ADC">
                  <w:pPr>
                    <w:pageBreakBefore w:val="0"/>
                    <w:wordWrap w:val="0"/>
                    <w:overflowPunct/>
                    <w:bidi w:val="0"/>
                    <w:adjustRightInd w:val="0"/>
                    <w:snapToGrid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名称</w:t>
                  </w:r>
                </w:p>
              </w:tc>
              <w:tc>
                <w:tcPr>
                  <w:tcW w:w="1109" w:type="pct"/>
                  <w:gridSpan w:val="2"/>
                  <w:vAlign w:val="center"/>
                </w:tcPr>
                <w:p w14:paraId="430ED364">
                  <w:pPr>
                    <w:pageBreakBefore w:val="0"/>
                    <w:wordWrap w:val="0"/>
                    <w:overflowPunct/>
                    <w:bidi w:val="0"/>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VOCs含量</w:t>
                  </w:r>
                </w:p>
              </w:tc>
              <w:tc>
                <w:tcPr>
                  <w:tcW w:w="1301" w:type="pct"/>
                  <w:vAlign w:val="center"/>
                </w:tcPr>
                <w:p w14:paraId="00B0CFFF">
                  <w:pPr>
                    <w:pageBreakBefore w:val="0"/>
                    <w:wordWrap w:val="0"/>
                    <w:overflowPunct/>
                    <w:bidi w:val="0"/>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执行国家标准</w:t>
                  </w:r>
                </w:p>
              </w:tc>
              <w:tc>
                <w:tcPr>
                  <w:tcW w:w="1144" w:type="pct"/>
                  <w:vAlign w:val="center"/>
                </w:tcPr>
                <w:p w14:paraId="4D82238C">
                  <w:pPr>
                    <w:pageBreakBefore w:val="0"/>
                    <w:wordWrap w:val="0"/>
                    <w:overflowPunct/>
                    <w:bidi w:val="0"/>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标准限值</w:t>
                  </w:r>
                </w:p>
              </w:tc>
              <w:tc>
                <w:tcPr>
                  <w:tcW w:w="566" w:type="pct"/>
                  <w:vAlign w:val="center"/>
                </w:tcPr>
                <w:p w14:paraId="1B55F827">
                  <w:pPr>
                    <w:pageBreakBefore w:val="0"/>
                    <w:wordWrap w:val="0"/>
                    <w:overflowPunct/>
                    <w:bidi w:val="0"/>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符合性</w:t>
                  </w:r>
                </w:p>
              </w:tc>
            </w:tr>
            <w:tr w14:paraId="0E29A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97" w:hRule="atLeast"/>
              </w:trPr>
              <w:tc>
                <w:tcPr>
                  <w:tcW w:w="878" w:type="pct"/>
                  <w:shd w:val="clear" w:color="auto" w:fill="auto"/>
                  <w:vAlign w:val="center"/>
                </w:tcPr>
                <w:p w14:paraId="30EAC59B">
                  <w:pPr>
                    <w:pageBreakBefore w:val="0"/>
                    <w:wordWrap w:val="0"/>
                    <w:overflowPunct/>
                    <w:bidi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调配后油性漆</w:t>
                  </w:r>
                </w:p>
              </w:tc>
              <w:tc>
                <w:tcPr>
                  <w:tcW w:w="535" w:type="pct"/>
                  <w:shd w:val="clear" w:color="auto" w:fill="auto"/>
                  <w:vAlign w:val="center"/>
                </w:tcPr>
                <w:p w14:paraId="37DEE9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23.37%</w:t>
                  </w:r>
                </w:p>
              </w:tc>
              <w:tc>
                <w:tcPr>
                  <w:tcW w:w="574" w:type="pct"/>
                  <w:shd w:val="clear" w:color="auto" w:fill="auto"/>
                  <w:vAlign w:val="center"/>
                </w:tcPr>
                <w:p w14:paraId="51CAD7F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298</w:t>
                  </w:r>
                  <w:r>
                    <w:rPr>
                      <w:rFonts w:hint="default" w:ascii="Times New Roman" w:hAnsi="Times New Roman" w:eastAsia="宋体" w:cs="Times New Roman"/>
                      <w:i w:val="0"/>
                      <w:iCs w:val="0"/>
                      <w:color w:val="auto"/>
                      <w:kern w:val="0"/>
                      <w:sz w:val="21"/>
                      <w:szCs w:val="21"/>
                      <w:highlight w:val="none"/>
                      <w:u w:val="none"/>
                      <w:lang w:val="en-US" w:eastAsia="zh-CN" w:bidi="ar"/>
                    </w:rPr>
                    <w:t>g/L</w:t>
                  </w:r>
                </w:p>
              </w:tc>
              <w:tc>
                <w:tcPr>
                  <w:tcW w:w="1301" w:type="pct"/>
                  <w:vMerge w:val="restart"/>
                  <w:vAlign w:val="center"/>
                </w:tcPr>
                <w:p w14:paraId="208E2D16">
                  <w:pPr>
                    <w:pageBreakBefore w:val="0"/>
                    <w:wordWrap w:val="0"/>
                    <w:overflowPunct/>
                    <w:bidi w:val="0"/>
                    <w:adjustRightInd w:val="0"/>
                    <w:snapToGrid w:val="0"/>
                    <w:spacing w:line="240" w:lineRule="auto"/>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《低挥发性有机化合物含量涂料产品技术要求》（GB/T38597-2020）</w:t>
                  </w:r>
                </w:p>
              </w:tc>
              <w:tc>
                <w:tcPr>
                  <w:tcW w:w="1144" w:type="pct"/>
                  <w:vAlign w:val="center"/>
                </w:tcPr>
                <w:p w14:paraId="3AB4A872">
                  <w:pPr>
                    <w:pageBreakBefore w:val="0"/>
                    <w:wordWrap w:val="0"/>
                    <w:overflowPunct/>
                    <w:bidi w:val="0"/>
                    <w:adjustRightInd w:val="0"/>
                    <w:snapToGrid w:val="0"/>
                    <w:spacing w:line="240" w:lineRule="auto"/>
                    <w:jc w:val="center"/>
                    <w:rPr>
                      <w:rFonts w:hint="default" w:ascii="Times New Roman" w:hAnsi="Times New Roman" w:cs="Times New Roman"/>
                      <w:bCs/>
                      <w:color w:val="auto"/>
                      <w:sz w:val="21"/>
                      <w:szCs w:val="21"/>
                      <w:highlight w:val="none"/>
                    </w:rPr>
                  </w:pPr>
                  <w:r>
                    <w:rPr>
                      <w:rFonts w:hint="eastAsia" w:cs="Times New Roman"/>
                      <w:bCs/>
                      <w:color w:val="auto"/>
                      <w:sz w:val="21"/>
                      <w:szCs w:val="21"/>
                      <w:highlight w:val="none"/>
                      <w:lang w:val="en-US" w:eastAsia="zh-CN"/>
                    </w:rPr>
                    <w:t>防火涂料</w:t>
                  </w:r>
                  <w:r>
                    <w:rPr>
                      <w:rFonts w:hint="default" w:ascii="Times New Roman" w:hAnsi="Times New Roman" w:cs="Times New Roman"/>
                      <w:bCs/>
                      <w:color w:val="auto"/>
                      <w:sz w:val="21"/>
                      <w:szCs w:val="21"/>
                      <w:highlight w:val="none"/>
                      <w:lang w:val="en-US" w:eastAsia="zh-CN"/>
                    </w:rPr>
                    <w:t>≤420g/L</w:t>
                  </w:r>
                </w:p>
              </w:tc>
              <w:tc>
                <w:tcPr>
                  <w:tcW w:w="566" w:type="pct"/>
                  <w:vAlign w:val="center"/>
                </w:tcPr>
                <w:p w14:paraId="322AC31C">
                  <w:pPr>
                    <w:pageBreakBefore w:val="0"/>
                    <w:wordWrap w:val="0"/>
                    <w:overflowPunct/>
                    <w:bidi w:val="0"/>
                    <w:adjustRightInd w:val="0"/>
                    <w:snapToGrid w:val="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符合</w:t>
                  </w:r>
                </w:p>
              </w:tc>
            </w:tr>
            <w:tr w14:paraId="1059F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97" w:hRule="atLeast"/>
              </w:trPr>
              <w:tc>
                <w:tcPr>
                  <w:tcW w:w="878" w:type="pct"/>
                  <w:vAlign w:val="center"/>
                </w:tcPr>
                <w:p w14:paraId="40153AA1">
                  <w:pPr>
                    <w:pageBreakBefore w:val="0"/>
                    <w:wordWrap w:val="0"/>
                    <w:overflowPunct/>
                    <w:bidi w:val="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水性面漆</w:t>
                  </w:r>
                </w:p>
              </w:tc>
              <w:tc>
                <w:tcPr>
                  <w:tcW w:w="535" w:type="pct"/>
                  <w:vAlign w:val="center"/>
                </w:tcPr>
                <w:p w14:paraId="20620CD8">
                  <w:pPr>
                    <w:pageBreakBefore w:val="0"/>
                    <w:wordWrap w:val="0"/>
                    <w:overflowPunct/>
                    <w:bidi w:val="0"/>
                    <w:adjustRightInd w:val="0"/>
                    <w:snapToGrid w:val="0"/>
                    <w:spacing w:line="240" w:lineRule="auto"/>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2.33%</w:t>
                  </w:r>
                </w:p>
              </w:tc>
              <w:tc>
                <w:tcPr>
                  <w:tcW w:w="574" w:type="pct"/>
                  <w:vAlign w:val="center"/>
                </w:tcPr>
                <w:p w14:paraId="4665EF01">
                  <w:pPr>
                    <w:pageBreakBefore w:val="0"/>
                    <w:wordWrap w:val="0"/>
                    <w:overflowPunct/>
                    <w:bidi w:val="0"/>
                    <w:adjustRightInd w:val="0"/>
                    <w:snapToGrid w:val="0"/>
                    <w:spacing w:line="240" w:lineRule="auto"/>
                    <w:jc w:val="center"/>
                    <w:rPr>
                      <w:rFonts w:hint="eastAsia"/>
                      <w:bCs/>
                      <w:color w:val="auto"/>
                      <w:sz w:val="21"/>
                      <w:szCs w:val="21"/>
                      <w:highlight w:val="none"/>
                      <w:lang w:val="en-US" w:eastAsia="zh-CN"/>
                    </w:rPr>
                  </w:pPr>
                  <w:r>
                    <w:rPr>
                      <w:rFonts w:hint="eastAsia"/>
                      <w:bCs/>
                      <w:color w:val="auto"/>
                      <w:sz w:val="21"/>
                      <w:szCs w:val="21"/>
                      <w:highlight w:val="none"/>
                      <w:lang w:val="en-US" w:eastAsia="zh-CN"/>
                    </w:rPr>
                    <w:t>28</w:t>
                  </w:r>
                  <w:r>
                    <w:rPr>
                      <w:rFonts w:hint="eastAsia"/>
                      <w:bCs/>
                      <w:color w:val="auto"/>
                      <w:sz w:val="21"/>
                      <w:szCs w:val="21"/>
                      <w:highlight w:val="none"/>
                    </w:rPr>
                    <w:t>g/L</w:t>
                  </w:r>
                </w:p>
              </w:tc>
              <w:tc>
                <w:tcPr>
                  <w:tcW w:w="1301" w:type="pct"/>
                  <w:vMerge w:val="continue"/>
                  <w:vAlign w:val="center"/>
                </w:tcPr>
                <w:p w14:paraId="23FA961B">
                  <w:pPr>
                    <w:pageBreakBefore w:val="0"/>
                    <w:wordWrap w:val="0"/>
                    <w:overflowPunct/>
                    <w:bidi w:val="0"/>
                    <w:adjustRightInd w:val="0"/>
                    <w:snapToGrid w:val="0"/>
                    <w:jc w:val="center"/>
                    <w:rPr>
                      <w:rFonts w:hint="default" w:ascii="Times New Roman" w:hAnsi="Times New Roman" w:cs="Times New Roman"/>
                      <w:bCs/>
                      <w:color w:val="auto"/>
                      <w:sz w:val="21"/>
                      <w:szCs w:val="21"/>
                      <w:highlight w:val="none"/>
                    </w:rPr>
                  </w:pPr>
                </w:p>
              </w:tc>
              <w:tc>
                <w:tcPr>
                  <w:tcW w:w="1144" w:type="pct"/>
                  <w:vAlign w:val="center"/>
                </w:tcPr>
                <w:p w14:paraId="194ECA3D">
                  <w:pPr>
                    <w:pageBreakBefore w:val="0"/>
                    <w:wordWrap w:val="0"/>
                    <w:overflowPunct/>
                    <w:bidi w:val="0"/>
                    <w:adjustRightInd w:val="0"/>
                    <w:snapToGrid w:val="0"/>
                    <w:spacing w:line="240" w:lineRule="auto"/>
                    <w:jc w:val="center"/>
                    <w:rPr>
                      <w:rFonts w:hint="default" w:ascii="Times New Roman" w:hAnsi="Times New Roman" w:cs="Times New Roman"/>
                      <w:bCs/>
                      <w:color w:val="auto"/>
                      <w:sz w:val="21"/>
                      <w:szCs w:val="21"/>
                      <w:highlight w:val="none"/>
                    </w:rPr>
                  </w:pPr>
                  <w:r>
                    <w:rPr>
                      <w:bCs/>
                      <w:color w:val="auto"/>
                      <w:sz w:val="21"/>
                      <w:szCs w:val="21"/>
                      <w:highlight w:val="none"/>
                    </w:rPr>
                    <w:t>水性涂料-</w:t>
                  </w:r>
                  <w:r>
                    <w:rPr>
                      <w:rFonts w:hint="eastAsia"/>
                      <w:bCs/>
                      <w:color w:val="auto"/>
                      <w:sz w:val="21"/>
                      <w:szCs w:val="21"/>
                      <w:highlight w:val="none"/>
                      <w:lang w:val="en-US" w:eastAsia="zh-CN"/>
                    </w:rPr>
                    <w:t>型材</w:t>
                  </w:r>
                  <w:r>
                    <w:rPr>
                      <w:bCs/>
                      <w:color w:val="auto"/>
                      <w:sz w:val="21"/>
                      <w:szCs w:val="21"/>
                      <w:highlight w:val="none"/>
                    </w:rPr>
                    <w:t>涂料-</w:t>
                  </w:r>
                  <w:r>
                    <w:rPr>
                      <w:rFonts w:hint="eastAsia"/>
                      <w:bCs/>
                      <w:color w:val="auto"/>
                      <w:sz w:val="21"/>
                      <w:szCs w:val="21"/>
                      <w:highlight w:val="none"/>
                      <w:lang w:val="en-US" w:eastAsia="zh-CN"/>
                    </w:rPr>
                    <w:t>其他</w:t>
                  </w:r>
                  <w:r>
                    <w:rPr>
                      <w:bCs/>
                      <w:color w:val="auto"/>
                      <w:sz w:val="21"/>
                      <w:szCs w:val="21"/>
                      <w:highlight w:val="none"/>
                    </w:rPr>
                    <w:t>：≤2</w:t>
                  </w:r>
                  <w:r>
                    <w:rPr>
                      <w:rFonts w:hint="eastAsia"/>
                      <w:bCs/>
                      <w:color w:val="auto"/>
                      <w:sz w:val="21"/>
                      <w:szCs w:val="21"/>
                      <w:highlight w:val="none"/>
                      <w:lang w:val="en-US" w:eastAsia="zh-CN"/>
                    </w:rPr>
                    <w:t>5</w:t>
                  </w:r>
                  <w:r>
                    <w:rPr>
                      <w:bCs/>
                      <w:color w:val="auto"/>
                      <w:sz w:val="21"/>
                      <w:szCs w:val="21"/>
                      <w:highlight w:val="none"/>
                    </w:rPr>
                    <w:t>0g/L</w:t>
                  </w:r>
                </w:p>
              </w:tc>
              <w:tc>
                <w:tcPr>
                  <w:tcW w:w="566" w:type="pct"/>
                  <w:vAlign w:val="center"/>
                </w:tcPr>
                <w:p w14:paraId="13D9BC0C">
                  <w:pPr>
                    <w:pageBreakBefore w:val="0"/>
                    <w:wordWrap w:val="0"/>
                    <w:overflowPunct/>
                    <w:bidi w:val="0"/>
                    <w:adjustRightInd w:val="0"/>
                    <w:snapToGrid w:val="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符合</w:t>
                  </w:r>
                </w:p>
              </w:tc>
            </w:tr>
            <w:tr w14:paraId="235C8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97" w:hRule="atLeast"/>
              </w:trPr>
              <w:tc>
                <w:tcPr>
                  <w:tcW w:w="878" w:type="pct"/>
                  <w:vAlign w:val="center"/>
                </w:tcPr>
                <w:p w14:paraId="44D0258A">
                  <w:pPr>
                    <w:pageBreakBefore w:val="0"/>
                    <w:wordWrap w:val="0"/>
                    <w:overflowPunct/>
                    <w:bidi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油墨</w:t>
                  </w:r>
                </w:p>
              </w:tc>
              <w:tc>
                <w:tcPr>
                  <w:tcW w:w="535" w:type="pct"/>
                  <w:vAlign w:val="center"/>
                </w:tcPr>
                <w:p w14:paraId="04BFCF93">
                  <w:pPr>
                    <w:pageBreakBefore w:val="0"/>
                    <w:wordWrap w:val="0"/>
                    <w:overflowPunct/>
                    <w:bidi w:val="0"/>
                    <w:adjustRightInd w:val="0"/>
                    <w:snapToGrid w:val="0"/>
                    <w:spacing w:line="240" w:lineRule="auto"/>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45%</w:t>
                  </w:r>
                </w:p>
              </w:tc>
              <w:tc>
                <w:tcPr>
                  <w:tcW w:w="574" w:type="pct"/>
                  <w:vAlign w:val="center"/>
                </w:tcPr>
                <w:p w14:paraId="536BB0BD">
                  <w:pPr>
                    <w:pageBreakBefore w:val="0"/>
                    <w:wordWrap w:val="0"/>
                    <w:overflowPunct/>
                    <w:bidi w:val="0"/>
                    <w:adjustRightInd w:val="0"/>
                    <w:snapToGrid w:val="0"/>
                    <w:spacing w:line="240" w:lineRule="auto"/>
                    <w:jc w:val="center"/>
                    <w:rPr>
                      <w:rFonts w:hint="default"/>
                      <w:bCs/>
                      <w:color w:val="auto"/>
                      <w:sz w:val="21"/>
                      <w:szCs w:val="21"/>
                      <w:highlight w:val="none"/>
                      <w:lang w:val="en-US" w:eastAsia="zh-CN"/>
                    </w:rPr>
                  </w:pPr>
                  <w:r>
                    <w:rPr>
                      <w:rFonts w:hint="eastAsia"/>
                      <w:bCs/>
                      <w:color w:val="auto"/>
                      <w:sz w:val="21"/>
                      <w:szCs w:val="21"/>
                      <w:highlight w:val="none"/>
                      <w:lang w:val="en-US" w:eastAsia="zh-CN"/>
                    </w:rPr>
                    <w:t>/</w:t>
                  </w:r>
                </w:p>
              </w:tc>
              <w:tc>
                <w:tcPr>
                  <w:tcW w:w="1301" w:type="pct"/>
                  <w:vAlign w:val="center"/>
                </w:tcPr>
                <w:p w14:paraId="5C62D495">
                  <w:pPr>
                    <w:pageBreakBefore w:val="0"/>
                    <w:wordWrap w:val="0"/>
                    <w:overflowPunct/>
                    <w:bidi w:val="0"/>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rPr>
                    <w:t>《油墨中可挥发性有机化合物（VOCs）含量的限值》（GB38507-2020）</w:t>
                  </w:r>
                  <w:r>
                    <w:rPr>
                      <w:rFonts w:hint="eastAsia" w:cs="Times New Roman"/>
                      <w:bCs/>
                      <w:color w:val="auto"/>
                      <w:sz w:val="21"/>
                      <w:szCs w:val="21"/>
                      <w:highlight w:val="none"/>
                      <w:lang w:val="en-US" w:eastAsia="zh-CN"/>
                    </w:rPr>
                    <w:t>溶剂型油墨-网印油墨</w:t>
                  </w:r>
                </w:p>
              </w:tc>
              <w:tc>
                <w:tcPr>
                  <w:tcW w:w="1144" w:type="pct"/>
                  <w:vAlign w:val="center"/>
                </w:tcPr>
                <w:p w14:paraId="7553D060">
                  <w:pPr>
                    <w:pageBreakBefore w:val="0"/>
                    <w:wordWrap w:val="0"/>
                    <w:overflowPunct/>
                    <w:bidi w:val="0"/>
                    <w:adjustRightInd w:val="0"/>
                    <w:snapToGrid w:val="0"/>
                    <w:spacing w:line="240" w:lineRule="auto"/>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75%</w:t>
                  </w:r>
                </w:p>
              </w:tc>
              <w:tc>
                <w:tcPr>
                  <w:tcW w:w="566" w:type="pct"/>
                  <w:vAlign w:val="center"/>
                </w:tcPr>
                <w:p w14:paraId="7B9F08C5">
                  <w:pPr>
                    <w:pageBreakBefore w:val="0"/>
                    <w:wordWrap w:val="0"/>
                    <w:overflowPunct/>
                    <w:bidi w:val="0"/>
                    <w:adjustRightInd w:val="0"/>
                    <w:snapToGrid w:val="0"/>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符合</w:t>
                  </w:r>
                </w:p>
              </w:tc>
            </w:tr>
            <w:tr w14:paraId="72931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8" w:type="dxa"/>
                  <w:bottom w:w="0" w:type="dxa"/>
                  <w:right w:w="68" w:type="dxa"/>
                </w:tblCellMar>
              </w:tblPrEx>
              <w:trPr>
                <w:trHeight w:val="397" w:hRule="atLeast"/>
              </w:trPr>
              <w:tc>
                <w:tcPr>
                  <w:tcW w:w="5000" w:type="pct"/>
                  <w:gridSpan w:val="6"/>
                  <w:vAlign w:val="center"/>
                </w:tcPr>
                <w:p w14:paraId="021A4D97">
                  <w:pPr>
                    <w:pageBreakBefore w:val="0"/>
                    <w:wordWrap w:val="0"/>
                    <w:overflowPunct/>
                    <w:bidi w:val="0"/>
                    <w:adjustRightInd w:val="0"/>
                    <w:snapToGrid w:val="0"/>
                    <w:spacing w:line="360" w:lineRule="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注：</w:t>
                  </w:r>
                </w:p>
                <w:p w14:paraId="6B25EC73">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rPr>
                    <w:t>①</w:t>
                  </w:r>
                  <w:r>
                    <w:rPr>
                      <w:rFonts w:hint="default" w:ascii="Times New Roman" w:hAnsi="Times New Roman" w:cs="Times New Roman"/>
                      <w:bCs/>
                      <w:color w:val="auto"/>
                      <w:sz w:val="21"/>
                      <w:szCs w:val="21"/>
                      <w:highlight w:val="none"/>
                      <w:lang w:val="en-US" w:eastAsia="zh-CN"/>
                    </w:rPr>
                    <w:t>调配后油性漆-</w:t>
                  </w:r>
                  <w:r>
                    <w:rPr>
                      <w:rFonts w:hint="eastAsia" w:cs="Times New Roman"/>
                      <w:bCs/>
                      <w:color w:val="auto"/>
                      <w:sz w:val="21"/>
                      <w:szCs w:val="21"/>
                      <w:highlight w:val="none"/>
                      <w:lang w:val="en-US" w:eastAsia="zh-CN"/>
                    </w:rPr>
                    <w:t>油性漆:</w:t>
                  </w:r>
                  <w:r>
                    <w:rPr>
                      <w:rFonts w:hint="default" w:ascii="Times New Roman" w:hAnsi="Times New Roman" w:cs="Times New Roman"/>
                      <w:bCs/>
                      <w:color w:val="auto"/>
                      <w:sz w:val="21"/>
                      <w:szCs w:val="21"/>
                      <w:highlight w:val="none"/>
                      <w:lang w:val="en-US" w:eastAsia="zh-CN"/>
                    </w:rPr>
                    <w:t>根据VOC检测报告（附件</w:t>
                  </w:r>
                  <w:r>
                    <w:rPr>
                      <w:rFonts w:hint="eastAsia" w:ascii="Times New Roman" w:hAnsi="Times New Roman" w:cs="Times New Roman"/>
                      <w:bCs/>
                      <w:color w:val="auto"/>
                      <w:sz w:val="21"/>
                      <w:szCs w:val="21"/>
                      <w:highlight w:val="none"/>
                      <w:lang w:val="en-US" w:eastAsia="zh-CN"/>
                    </w:rPr>
                    <w:t>7</w:t>
                  </w:r>
                  <w:r>
                    <w:rPr>
                      <w:rFonts w:hint="default" w:ascii="Times New Roman" w:hAnsi="Times New Roman" w:cs="Times New Roman"/>
                      <w:bCs/>
                      <w:color w:val="auto"/>
                      <w:sz w:val="21"/>
                      <w:szCs w:val="21"/>
                      <w:highlight w:val="none"/>
                      <w:lang w:val="en-US" w:eastAsia="zh-CN"/>
                    </w:rPr>
                    <w:t>）可知，</w:t>
                  </w:r>
                  <w:r>
                    <w:rPr>
                      <w:rFonts w:hint="eastAsia" w:ascii="Times New Roman" w:hAnsi="Times New Roman" w:cs="Times New Roman"/>
                      <w:bCs/>
                      <w:color w:val="auto"/>
                      <w:sz w:val="21"/>
                      <w:szCs w:val="21"/>
                      <w:highlight w:val="none"/>
                      <w:lang w:val="en-US" w:eastAsia="zh-CN"/>
                    </w:rPr>
                    <w:t>调配比为主漆:固化剂:=1:0.</w:t>
                  </w:r>
                  <w:r>
                    <w:rPr>
                      <w:rFonts w:hint="eastAsia" w:cs="Times New Roman"/>
                      <w:bCs/>
                      <w:color w:val="auto"/>
                      <w:sz w:val="21"/>
                      <w:szCs w:val="21"/>
                      <w:highlight w:val="none"/>
                      <w:lang w:val="en-US" w:eastAsia="zh-CN"/>
                    </w:rPr>
                    <w:t>2</w:t>
                  </w:r>
                  <w:r>
                    <w:rPr>
                      <w:rFonts w:hint="eastAsia" w:ascii="Times New Roman" w:hAnsi="Times New Roman" w:cs="Times New Roman"/>
                      <w:bCs/>
                      <w:color w:val="auto"/>
                      <w:sz w:val="21"/>
                      <w:szCs w:val="21"/>
                      <w:highlight w:val="none"/>
                      <w:lang w:val="en-US" w:eastAsia="zh-CN"/>
                    </w:rPr>
                    <w:t>（质量比）时，</w:t>
                  </w:r>
                  <w:r>
                    <w:rPr>
                      <w:rFonts w:hint="default" w:ascii="Times New Roman" w:hAnsi="Times New Roman" w:cs="Times New Roman"/>
                      <w:bCs/>
                      <w:color w:val="auto"/>
                      <w:sz w:val="21"/>
                      <w:szCs w:val="21"/>
                      <w:highlight w:val="none"/>
                      <w:lang w:val="en-US" w:eastAsia="zh-CN"/>
                    </w:rPr>
                    <w:t>其挥发性有机化合物</w:t>
                  </w:r>
                  <w:r>
                    <w:rPr>
                      <w:rFonts w:hint="eastAsia" w:ascii="Times New Roman" w:hAnsi="Times New Roman" w:cs="Times New Roman"/>
                      <w:bCs/>
                      <w:color w:val="auto"/>
                      <w:sz w:val="21"/>
                      <w:szCs w:val="21"/>
                      <w:highlight w:val="none"/>
                      <w:lang w:val="en-US" w:eastAsia="zh-CN"/>
                    </w:rPr>
                    <w:t>含量</w:t>
                  </w:r>
                  <w:r>
                    <w:rPr>
                      <w:rFonts w:hint="default" w:ascii="Times New Roman" w:hAnsi="Times New Roman" w:cs="Times New Roman"/>
                      <w:bCs/>
                      <w:color w:val="auto"/>
                      <w:sz w:val="21"/>
                      <w:szCs w:val="21"/>
                      <w:highlight w:val="none"/>
                      <w:lang w:val="en-US" w:eastAsia="zh-CN"/>
                    </w:rPr>
                    <w:t>（VOC）</w:t>
                  </w:r>
                  <w:r>
                    <w:rPr>
                      <w:rFonts w:hint="eastAsia" w:ascii="Times New Roman" w:hAnsi="Times New Roman" w:cs="Times New Roman"/>
                      <w:bCs/>
                      <w:color w:val="auto"/>
                      <w:sz w:val="21"/>
                      <w:szCs w:val="21"/>
                      <w:highlight w:val="none"/>
                      <w:lang w:val="en-US" w:eastAsia="zh-CN"/>
                    </w:rPr>
                    <w:t>检测结果</w:t>
                  </w:r>
                  <w:r>
                    <w:rPr>
                      <w:rFonts w:hint="default" w:ascii="Times New Roman" w:hAnsi="Times New Roman"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298</w:t>
                  </w:r>
                  <w:r>
                    <w:rPr>
                      <w:rFonts w:hint="default" w:ascii="Times New Roman" w:hAnsi="Times New Roman" w:cs="Times New Roman"/>
                      <w:bCs/>
                      <w:color w:val="auto"/>
                      <w:sz w:val="21"/>
                      <w:szCs w:val="21"/>
                      <w:highlight w:val="none"/>
                      <w:lang w:val="en-US" w:eastAsia="zh-CN"/>
                    </w:rPr>
                    <w:t>g/L</w:t>
                  </w:r>
                  <w:r>
                    <w:rPr>
                      <w:rFonts w:hint="eastAsia" w:cs="Times New Roman"/>
                      <w:bCs/>
                      <w:color w:val="auto"/>
                      <w:sz w:val="21"/>
                      <w:szCs w:val="21"/>
                      <w:highlight w:val="none"/>
                      <w:lang w:val="en-US" w:eastAsia="zh-CN"/>
                    </w:rPr>
                    <w:t>，转换百分比为（298g/L/1.275</w:t>
                  </w:r>
                  <w:r>
                    <w:rPr>
                      <w:rFonts w:hint="default" w:ascii="Times New Roman" w:hAnsi="Times New Roman" w:cs="Times New Roman"/>
                      <w:bCs/>
                      <w:color w:val="auto"/>
                      <w:sz w:val="21"/>
                      <w:szCs w:val="21"/>
                      <w:highlight w:val="none"/>
                    </w:rPr>
                    <w:t>g/cm</w:t>
                  </w:r>
                  <w:r>
                    <w:rPr>
                      <w:rFonts w:hint="default" w:ascii="Times New Roman" w:hAnsi="Times New Roman" w:cs="Times New Roman"/>
                      <w:bCs/>
                      <w:color w:val="auto"/>
                      <w:sz w:val="21"/>
                      <w:szCs w:val="21"/>
                      <w:highlight w:val="none"/>
                      <w:vertAlign w:val="superscript"/>
                    </w:rPr>
                    <w:t>3</w:t>
                  </w:r>
                  <w:r>
                    <w:rPr>
                      <w:rFonts w:hint="eastAsia" w:cs="Times New Roman"/>
                      <w:bCs/>
                      <w:color w:val="auto"/>
                      <w:sz w:val="21"/>
                      <w:szCs w:val="21"/>
                      <w:highlight w:val="none"/>
                      <w:lang w:val="en-US" w:eastAsia="zh-CN"/>
                    </w:rPr>
                    <w:t>）×10</w:t>
                  </w:r>
                  <w:r>
                    <w:rPr>
                      <w:rFonts w:hint="eastAsia" w:ascii="Times New Roman" w:hAnsi="Times New Roman" w:eastAsia="宋体" w:cs="Times New Roman"/>
                      <w:i w:val="0"/>
                      <w:iCs w:val="0"/>
                      <w:color w:val="auto"/>
                      <w:kern w:val="0"/>
                      <w:sz w:val="21"/>
                      <w:szCs w:val="21"/>
                      <w:highlight w:val="none"/>
                      <w:u w:val="none"/>
                      <w:lang w:val="en-US" w:eastAsia="zh-CN" w:bidi="ar"/>
                    </w:rPr>
                    <w:t>0%≈23.37%</w:t>
                  </w:r>
                  <w:r>
                    <w:rPr>
                      <w:rFonts w:hint="default" w:ascii="Times New Roman" w:hAnsi="Times New Roman" w:cs="Times New Roman"/>
                      <w:bCs/>
                      <w:color w:val="auto"/>
                      <w:sz w:val="21"/>
                      <w:szCs w:val="21"/>
                      <w:highlight w:val="none"/>
                    </w:rPr>
                    <w:t>；</w:t>
                  </w:r>
                </w:p>
                <w:p w14:paraId="349367CE">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②</w:t>
                  </w:r>
                  <w:r>
                    <w:rPr>
                      <w:rFonts w:hint="eastAsia" w:cs="Times New Roman"/>
                      <w:color w:val="auto"/>
                      <w:sz w:val="21"/>
                      <w:szCs w:val="21"/>
                      <w:highlight w:val="none"/>
                      <w:lang w:val="en-US" w:eastAsia="zh-CN"/>
                    </w:rPr>
                    <w:t>水性面</w:t>
                  </w:r>
                  <w:r>
                    <w:rPr>
                      <w:rFonts w:hint="default" w:ascii="Times New Roman" w:hAnsi="Times New Roman" w:cs="Times New Roman"/>
                      <w:color w:val="auto"/>
                      <w:sz w:val="21"/>
                      <w:szCs w:val="21"/>
                      <w:highlight w:val="none"/>
                      <w:lang w:val="en-US" w:eastAsia="zh-CN"/>
                    </w:rPr>
                    <w:t>漆</w:t>
                  </w:r>
                  <w:r>
                    <w:rPr>
                      <w:rFonts w:hint="eastAsia" w:cs="Times New Roman"/>
                      <w:color w:val="auto"/>
                      <w:sz w:val="21"/>
                      <w:szCs w:val="21"/>
                      <w:highlight w:val="none"/>
                      <w:lang w:val="en-US" w:eastAsia="zh-CN"/>
                    </w:rPr>
                    <w:t>：</w:t>
                  </w:r>
                  <w:r>
                    <w:rPr>
                      <w:rFonts w:hint="default" w:ascii="Times New Roman" w:hAnsi="Times New Roman" w:cs="Times New Roman"/>
                      <w:bCs/>
                      <w:color w:val="auto"/>
                      <w:sz w:val="21"/>
                      <w:szCs w:val="21"/>
                      <w:highlight w:val="none"/>
                      <w:lang w:val="en-US" w:eastAsia="zh-CN"/>
                    </w:rPr>
                    <w:t>根据VOC检测报告（附件</w:t>
                  </w:r>
                  <w:r>
                    <w:rPr>
                      <w:rFonts w:hint="eastAsia" w:ascii="Times New Roman" w:hAnsi="Times New Roman" w:cs="Times New Roman"/>
                      <w:bCs/>
                      <w:color w:val="auto"/>
                      <w:sz w:val="21"/>
                      <w:szCs w:val="21"/>
                      <w:highlight w:val="none"/>
                      <w:lang w:val="en-US" w:eastAsia="zh-CN"/>
                    </w:rPr>
                    <w:t>7</w:t>
                  </w:r>
                  <w:r>
                    <w:rPr>
                      <w:rFonts w:hint="default" w:ascii="Times New Roman" w:hAnsi="Times New Roman" w:cs="Times New Roman"/>
                      <w:bCs/>
                      <w:color w:val="auto"/>
                      <w:sz w:val="21"/>
                      <w:szCs w:val="21"/>
                      <w:highlight w:val="none"/>
                      <w:lang w:val="en-US" w:eastAsia="zh-CN"/>
                    </w:rPr>
                    <w:t>）可知，其挥发性有机化合物</w:t>
                  </w:r>
                  <w:r>
                    <w:rPr>
                      <w:rFonts w:hint="eastAsia" w:ascii="Times New Roman" w:hAnsi="Times New Roman" w:cs="Times New Roman"/>
                      <w:bCs/>
                      <w:color w:val="auto"/>
                      <w:sz w:val="21"/>
                      <w:szCs w:val="21"/>
                      <w:highlight w:val="none"/>
                      <w:lang w:val="en-US" w:eastAsia="zh-CN"/>
                    </w:rPr>
                    <w:t>含量</w:t>
                  </w:r>
                  <w:r>
                    <w:rPr>
                      <w:rFonts w:hint="default" w:ascii="Times New Roman" w:hAnsi="Times New Roman" w:cs="Times New Roman"/>
                      <w:bCs/>
                      <w:color w:val="auto"/>
                      <w:sz w:val="21"/>
                      <w:szCs w:val="21"/>
                      <w:highlight w:val="none"/>
                      <w:lang w:val="en-US" w:eastAsia="zh-CN"/>
                    </w:rPr>
                    <w:t>（VOC）</w:t>
                  </w:r>
                  <w:r>
                    <w:rPr>
                      <w:rFonts w:hint="eastAsia" w:ascii="Times New Roman" w:hAnsi="Times New Roman" w:cs="Times New Roman"/>
                      <w:bCs/>
                      <w:color w:val="auto"/>
                      <w:sz w:val="21"/>
                      <w:szCs w:val="21"/>
                      <w:highlight w:val="none"/>
                      <w:lang w:val="en-US" w:eastAsia="zh-CN"/>
                    </w:rPr>
                    <w:t>检测结果</w:t>
                  </w:r>
                  <w:r>
                    <w:rPr>
                      <w:rFonts w:hint="default" w:ascii="Times New Roman" w:hAnsi="Times New Roman" w:cs="Times New Roman"/>
                      <w:bCs/>
                      <w:color w:val="auto"/>
                      <w:sz w:val="21"/>
                      <w:szCs w:val="21"/>
                      <w:highlight w:val="none"/>
                      <w:lang w:val="en-US" w:eastAsia="zh-CN"/>
                    </w:rPr>
                    <w:t>为</w:t>
                  </w:r>
                  <w:r>
                    <w:rPr>
                      <w:rFonts w:hint="eastAsia" w:cs="Times New Roman"/>
                      <w:bCs/>
                      <w:color w:val="auto"/>
                      <w:sz w:val="21"/>
                      <w:szCs w:val="21"/>
                      <w:highlight w:val="none"/>
                      <w:lang w:val="en-US" w:eastAsia="zh-CN"/>
                    </w:rPr>
                    <w:t>28</w:t>
                  </w:r>
                  <w:r>
                    <w:rPr>
                      <w:rFonts w:hint="default" w:ascii="Times New Roman" w:hAnsi="Times New Roman" w:cs="Times New Roman"/>
                      <w:bCs/>
                      <w:color w:val="auto"/>
                      <w:sz w:val="21"/>
                      <w:szCs w:val="21"/>
                      <w:highlight w:val="none"/>
                      <w:lang w:val="en-US" w:eastAsia="zh-CN"/>
                    </w:rPr>
                    <w:t>g/L</w:t>
                  </w:r>
                  <w:r>
                    <w:rPr>
                      <w:rFonts w:hint="eastAsia" w:ascii="Times New Roman" w:hAnsi="Times New Roman" w:cs="Times New Roman"/>
                      <w:bCs/>
                      <w:color w:val="auto"/>
                      <w:sz w:val="21"/>
                      <w:szCs w:val="21"/>
                      <w:highlight w:val="none"/>
                      <w:lang w:val="en-US" w:eastAsia="zh-CN"/>
                    </w:rPr>
                    <w:t>，未检出苯系物、甲醛</w:t>
                  </w:r>
                  <w:r>
                    <w:rPr>
                      <w:rFonts w:hint="eastAsia" w:cs="Times New Roman"/>
                      <w:bCs/>
                      <w:color w:val="auto"/>
                      <w:sz w:val="21"/>
                      <w:szCs w:val="21"/>
                      <w:highlight w:val="none"/>
                      <w:lang w:val="en-US" w:eastAsia="zh-CN"/>
                    </w:rPr>
                    <w:t>，转换百分比为（28g/L/1.2</w:t>
                  </w:r>
                  <w:r>
                    <w:rPr>
                      <w:rFonts w:hint="default" w:ascii="Times New Roman" w:hAnsi="Times New Roman" w:cs="Times New Roman"/>
                      <w:bCs/>
                      <w:color w:val="auto"/>
                      <w:sz w:val="21"/>
                      <w:szCs w:val="21"/>
                      <w:highlight w:val="none"/>
                    </w:rPr>
                    <w:t>g/cm</w:t>
                  </w:r>
                  <w:r>
                    <w:rPr>
                      <w:rFonts w:hint="default" w:ascii="Times New Roman" w:hAnsi="Times New Roman" w:cs="Times New Roman"/>
                      <w:bCs/>
                      <w:color w:val="auto"/>
                      <w:sz w:val="21"/>
                      <w:szCs w:val="21"/>
                      <w:highlight w:val="none"/>
                      <w:vertAlign w:val="superscript"/>
                    </w:rPr>
                    <w:t>3</w:t>
                  </w:r>
                  <w:r>
                    <w:rPr>
                      <w:rFonts w:hint="eastAsia" w:cs="Times New Roman"/>
                      <w:bCs/>
                      <w:color w:val="auto"/>
                      <w:sz w:val="21"/>
                      <w:szCs w:val="21"/>
                      <w:highlight w:val="none"/>
                      <w:lang w:val="en-US" w:eastAsia="zh-CN"/>
                    </w:rPr>
                    <w:t>）×100%≈2.33%。</w:t>
                  </w:r>
                </w:p>
              </w:tc>
            </w:tr>
          </w:tbl>
          <w:p w14:paraId="25C1D758">
            <w:pPr>
              <w:pStyle w:val="21"/>
              <w:pageBreakBefore w:val="0"/>
              <w:wordWrap w:val="0"/>
              <w:overflowPunct/>
              <w:bidi w:val="0"/>
              <w:ind w:firstLine="480"/>
              <w:rPr>
                <w:rFonts w:hint="default" w:cs="Times New Roman"/>
                <w:b/>
                <w:bCs/>
                <w:color w:val="auto"/>
                <w:highlight w:val="none"/>
                <w:lang w:val="en-US" w:eastAsia="zh-CN"/>
              </w:rPr>
            </w:pPr>
            <w:r>
              <w:rPr>
                <w:rFonts w:hint="eastAsia" w:cs="Times New Roman"/>
                <w:b/>
                <w:bCs/>
                <w:color w:val="auto"/>
                <w:highlight w:val="none"/>
                <w:lang w:val="en-US" w:eastAsia="zh-CN"/>
              </w:rPr>
              <w:t>2）粉末涂料用量核算</w:t>
            </w:r>
          </w:p>
          <w:p w14:paraId="229E2B9F">
            <w:pPr>
              <w:widowControl/>
              <w:wordWrap w:val="0"/>
              <w:topLinePunct/>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根据《现代涂装手册 化学工业出版社 2010年（第一版）》内容：“第13章粉末涂装 表13-1粉末涂料和液体涂料的涂装性能比较”可知，静电喷粉涂料喷涂损失率小于10%，综合考虑本项目设备性能及粉末喷粉厚度，静电喷粉附在工件表面的附着率取70%，无法吸附在工件上的喷粉材料约占30%。</w:t>
            </w:r>
          </w:p>
          <w:p w14:paraId="36AC1306">
            <w:pPr>
              <w:pStyle w:val="17"/>
              <w:pageBreakBefore w:val="0"/>
              <w:numPr>
                <w:ilvl w:val="0"/>
                <w:numId w:val="8"/>
              </w:numPr>
              <w:wordWrap w:val="0"/>
              <w:overflowPunct/>
              <w:bidi w:val="0"/>
              <w:spacing w:line="240" w:lineRule="auto"/>
              <w:ind w:left="0" w:leftChars="0" w:firstLine="40" w:firstLineChars="0"/>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粉末使用量计算一览表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6"/>
              <w:gridCol w:w="1485"/>
              <w:gridCol w:w="1006"/>
              <w:gridCol w:w="1272"/>
              <w:gridCol w:w="1272"/>
              <w:gridCol w:w="1277"/>
            </w:tblGrid>
            <w:tr w14:paraId="4B8B3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6" w:type="dxa"/>
                  <w:vAlign w:val="center"/>
                </w:tcPr>
                <w:p w14:paraId="64BEACD7">
                  <w:pPr>
                    <w:keepNext w:val="0"/>
                    <w:keepLines w:val="0"/>
                    <w:widowControl/>
                    <w:suppressLineNumbers w:val="0"/>
                    <w:wordWrap w:val="0"/>
                    <w:topLinePunct/>
                    <w:spacing w:before="0" w:beforeAutospacing="0" w:after="0" w:afterAutospacing="0"/>
                    <w:ind w:left="0" w:right="0"/>
                    <w:jc w:val="center"/>
                    <w:rPr>
                      <w:rFonts w:hint="default"/>
                      <w:b/>
                      <w:bCs/>
                      <w:color w:val="auto"/>
                      <w:kern w:val="2"/>
                      <w:sz w:val="21"/>
                      <w:szCs w:val="21"/>
                      <w:highlight w:val="none"/>
                    </w:rPr>
                  </w:pPr>
                  <w:r>
                    <w:rPr>
                      <w:rFonts w:hint="default"/>
                      <w:b/>
                      <w:bCs/>
                      <w:color w:val="auto"/>
                      <w:kern w:val="2"/>
                      <w:sz w:val="21"/>
                      <w:szCs w:val="21"/>
                      <w:highlight w:val="none"/>
                    </w:rPr>
                    <w:t>产品喷粉总面积/m</w:t>
                  </w:r>
                  <w:r>
                    <w:rPr>
                      <w:rFonts w:hint="default"/>
                      <w:b/>
                      <w:bCs/>
                      <w:color w:val="auto"/>
                      <w:kern w:val="2"/>
                      <w:sz w:val="21"/>
                      <w:szCs w:val="21"/>
                      <w:highlight w:val="none"/>
                      <w:vertAlign w:val="superscript"/>
                    </w:rPr>
                    <w:t>2</w:t>
                  </w:r>
                </w:p>
              </w:tc>
              <w:tc>
                <w:tcPr>
                  <w:tcW w:w="1485" w:type="dxa"/>
                  <w:vAlign w:val="center"/>
                </w:tcPr>
                <w:p w14:paraId="7F6D84FB">
                  <w:pPr>
                    <w:keepNext w:val="0"/>
                    <w:keepLines w:val="0"/>
                    <w:widowControl/>
                    <w:suppressLineNumbers w:val="0"/>
                    <w:wordWrap w:val="0"/>
                    <w:topLinePunct/>
                    <w:spacing w:before="0" w:beforeAutospacing="0" w:after="0" w:afterAutospacing="0"/>
                    <w:ind w:left="0" w:right="0"/>
                    <w:jc w:val="center"/>
                    <w:rPr>
                      <w:rFonts w:hint="default"/>
                      <w:b/>
                      <w:bCs/>
                      <w:color w:val="auto"/>
                      <w:kern w:val="2"/>
                      <w:sz w:val="21"/>
                      <w:szCs w:val="21"/>
                      <w:highlight w:val="none"/>
                    </w:rPr>
                  </w:pPr>
                  <w:r>
                    <w:rPr>
                      <w:rFonts w:hint="default"/>
                      <w:b/>
                      <w:bCs/>
                      <w:color w:val="auto"/>
                      <w:kern w:val="2"/>
                      <w:sz w:val="21"/>
                      <w:szCs w:val="21"/>
                      <w:highlight w:val="none"/>
                    </w:rPr>
                    <w:t>喷粉厚度（μm）</w:t>
                  </w:r>
                </w:p>
              </w:tc>
              <w:tc>
                <w:tcPr>
                  <w:tcW w:w="1006" w:type="dxa"/>
                  <w:vAlign w:val="center"/>
                </w:tcPr>
                <w:p w14:paraId="5B8B4848">
                  <w:pPr>
                    <w:keepNext w:val="0"/>
                    <w:keepLines w:val="0"/>
                    <w:widowControl/>
                    <w:suppressLineNumbers w:val="0"/>
                    <w:wordWrap w:val="0"/>
                    <w:topLinePunct/>
                    <w:spacing w:before="0" w:beforeAutospacing="0" w:after="0" w:afterAutospacing="0"/>
                    <w:ind w:left="0" w:right="0"/>
                    <w:jc w:val="center"/>
                    <w:rPr>
                      <w:rFonts w:hint="default"/>
                      <w:b/>
                      <w:bCs/>
                      <w:color w:val="auto"/>
                      <w:kern w:val="2"/>
                      <w:sz w:val="21"/>
                      <w:szCs w:val="21"/>
                      <w:highlight w:val="none"/>
                    </w:rPr>
                  </w:pPr>
                  <w:r>
                    <w:rPr>
                      <w:rFonts w:hint="default"/>
                      <w:b/>
                      <w:bCs/>
                      <w:color w:val="auto"/>
                      <w:kern w:val="2"/>
                      <w:sz w:val="21"/>
                      <w:szCs w:val="21"/>
                      <w:highlight w:val="none"/>
                    </w:rPr>
                    <w:t>密度/g/cm</w:t>
                  </w:r>
                  <w:r>
                    <w:rPr>
                      <w:rFonts w:hint="default"/>
                      <w:b/>
                      <w:bCs/>
                      <w:color w:val="auto"/>
                      <w:kern w:val="2"/>
                      <w:sz w:val="21"/>
                      <w:szCs w:val="21"/>
                      <w:highlight w:val="none"/>
                      <w:vertAlign w:val="superscript"/>
                    </w:rPr>
                    <w:t>3</w:t>
                  </w:r>
                </w:p>
              </w:tc>
              <w:tc>
                <w:tcPr>
                  <w:tcW w:w="1272" w:type="dxa"/>
                  <w:vAlign w:val="center"/>
                </w:tcPr>
                <w:p w14:paraId="37361FFF">
                  <w:pPr>
                    <w:keepNext w:val="0"/>
                    <w:keepLines w:val="0"/>
                    <w:widowControl/>
                    <w:suppressLineNumbers w:val="0"/>
                    <w:wordWrap w:val="0"/>
                    <w:topLinePunct/>
                    <w:spacing w:before="0" w:beforeAutospacing="0" w:after="0" w:afterAutospacing="0"/>
                    <w:ind w:left="0" w:right="0"/>
                    <w:jc w:val="center"/>
                    <w:rPr>
                      <w:rFonts w:hint="default"/>
                      <w:b/>
                      <w:bCs/>
                      <w:color w:val="auto"/>
                      <w:kern w:val="2"/>
                      <w:sz w:val="21"/>
                      <w:szCs w:val="21"/>
                      <w:highlight w:val="none"/>
                    </w:rPr>
                  </w:pPr>
                  <w:r>
                    <w:rPr>
                      <w:rFonts w:hint="eastAsia"/>
                      <w:b/>
                      <w:bCs/>
                      <w:color w:val="auto"/>
                      <w:kern w:val="2"/>
                      <w:sz w:val="21"/>
                      <w:szCs w:val="21"/>
                      <w:highlight w:val="none"/>
                    </w:rPr>
                    <w:t>一次</w:t>
                  </w:r>
                  <w:r>
                    <w:rPr>
                      <w:rFonts w:hint="default"/>
                      <w:b/>
                      <w:bCs/>
                      <w:color w:val="auto"/>
                      <w:kern w:val="2"/>
                      <w:sz w:val="21"/>
                      <w:szCs w:val="21"/>
                      <w:highlight w:val="none"/>
                    </w:rPr>
                    <w:t>附着率%</w:t>
                  </w:r>
                </w:p>
              </w:tc>
              <w:tc>
                <w:tcPr>
                  <w:tcW w:w="1272" w:type="dxa"/>
                  <w:vAlign w:val="center"/>
                </w:tcPr>
                <w:p w14:paraId="3FE6BF61">
                  <w:pPr>
                    <w:keepNext w:val="0"/>
                    <w:keepLines w:val="0"/>
                    <w:widowControl/>
                    <w:suppressLineNumbers w:val="0"/>
                    <w:wordWrap w:val="0"/>
                    <w:topLinePunct/>
                    <w:spacing w:before="0" w:beforeAutospacing="0" w:after="0" w:afterAutospacing="0"/>
                    <w:ind w:left="0" w:right="0"/>
                    <w:jc w:val="center"/>
                    <w:rPr>
                      <w:rFonts w:hint="default"/>
                      <w:b/>
                      <w:bCs/>
                      <w:color w:val="auto"/>
                      <w:kern w:val="2"/>
                      <w:sz w:val="21"/>
                      <w:szCs w:val="21"/>
                      <w:highlight w:val="none"/>
                    </w:rPr>
                  </w:pPr>
                  <w:r>
                    <w:rPr>
                      <w:rFonts w:hint="default"/>
                      <w:b/>
                      <w:bCs/>
                      <w:color w:val="auto"/>
                      <w:kern w:val="2"/>
                      <w:sz w:val="21"/>
                      <w:szCs w:val="21"/>
                      <w:highlight w:val="none"/>
                    </w:rPr>
                    <w:t>综合利用率%</w:t>
                  </w:r>
                </w:p>
              </w:tc>
              <w:tc>
                <w:tcPr>
                  <w:tcW w:w="1277" w:type="dxa"/>
                  <w:vAlign w:val="center"/>
                </w:tcPr>
                <w:p w14:paraId="0D52C82E">
                  <w:pPr>
                    <w:keepNext w:val="0"/>
                    <w:keepLines w:val="0"/>
                    <w:widowControl/>
                    <w:suppressLineNumbers w:val="0"/>
                    <w:wordWrap w:val="0"/>
                    <w:topLinePunct/>
                    <w:spacing w:before="0" w:beforeAutospacing="0" w:after="0" w:afterAutospacing="0"/>
                    <w:ind w:left="0" w:right="0"/>
                    <w:jc w:val="center"/>
                    <w:rPr>
                      <w:rFonts w:hint="default"/>
                      <w:b/>
                      <w:bCs/>
                      <w:color w:val="auto"/>
                      <w:kern w:val="2"/>
                      <w:sz w:val="21"/>
                      <w:szCs w:val="21"/>
                      <w:highlight w:val="none"/>
                    </w:rPr>
                  </w:pPr>
                  <w:r>
                    <w:rPr>
                      <w:rFonts w:hint="default"/>
                      <w:b/>
                      <w:bCs/>
                      <w:color w:val="auto"/>
                      <w:kern w:val="2"/>
                      <w:sz w:val="21"/>
                      <w:szCs w:val="21"/>
                      <w:highlight w:val="none"/>
                    </w:rPr>
                    <w:t>粉末使用量t/a</w:t>
                  </w:r>
                </w:p>
              </w:tc>
            </w:tr>
            <w:tr w14:paraId="3B1A8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6" w:type="dxa"/>
                  <w:vAlign w:val="center"/>
                </w:tcPr>
                <w:p w14:paraId="64E0781E">
                  <w:pPr>
                    <w:keepNext w:val="0"/>
                    <w:keepLines w:val="0"/>
                    <w:widowControl/>
                    <w:suppressLineNumbers w:val="0"/>
                    <w:jc w:val="center"/>
                    <w:textAlignment w:val="center"/>
                    <w:rPr>
                      <w:rFonts w:hint="default"/>
                      <w:color w:val="auto"/>
                      <w:kern w:val="2"/>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304000</w:t>
                  </w:r>
                </w:p>
              </w:tc>
              <w:tc>
                <w:tcPr>
                  <w:tcW w:w="1485" w:type="dxa"/>
                  <w:vAlign w:val="center"/>
                </w:tcPr>
                <w:p w14:paraId="2C3618FA">
                  <w:pPr>
                    <w:keepNext w:val="0"/>
                    <w:keepLines w:val="0"/>
                    <w:widowControl/>
                    <w:suppressLineNumbers w:val="0"/>
                    <w:jc w:val="center"/>
                    <w:textAlignment w:val="center"/>
                    <w:rPr>
                      <w:rFonts w:hint="default" w:eastAsia="宋体"/>
                      <w:color w:val="auto"/>
                      <w:kern w:val="2"/>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006" w:type="dxa"/>
                  <w:vAlign w:val="center"/>
                </w:tcPr>
                <w:p w14:paraId="708C170A">
                  <w:pPr>
                    <w:keepNext w:val="0"/>
                    <w:keepLines w:val="0"/>
                    <w:widowControl/>
                    <w:suppressLineNumbers w:val="0"/>
                    <w:jc w:val="center"/>
                    <w:textAlignment w:val="center"/>
                    <w:rPr>
                      <w:rFonts w:hint="eastAsia" w:eastAsia="宋体"/>
                      <w:color w:val="auto"/>
                      <w:kern w:val="2"/>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c>
                <w:tcPr>
                  <w:tcW w:w="1272" w:type="dxa"/>
                  <w:vAlign w:val="center"/>
                </w:tcPr>
                <w:p w14:paraId="45396A83">
                  <w:pPr>
                    <w:keepNext w:val="0"/>
                    <w:keepLines w:val="0"/>
                    <w:widowControl/>
                    <w:suppressLineNumbers w:val="0"/>
                    <w:jc w:val="center"/>
                    <w:textAlignment w:val="center"/>
                    <w:rPr>
                      <w:rFonts w:hint="default"/>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1272" w:type="dxa"/>
                  <w:vAlign w:val="center"/>
                </w:tcPr>
                <w:p w14:paraId="3B314379">
                  <w:pPr>
                    <w:keepNext w:val="0"/>
                    <w:keepLines w:val="0"/>
                    <w:widowControl/>
                    <w:suppressLineNumbers w:val="0"/>
                    <w:jc w:val="center"/>
                    <w:textAlignment w:val="center"/>
                    <w:rPr>
                      <w:rFonts w:hint="default"/>
                      <w:color w:val="auto"/>
                      <w:kern w:val="2"/>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95.54%</w:t>
                  </w:r>
                </w:p>
              </w:tc>
              <w:tc>
                <w:tcPr>
                  <w:tcW w:w="1277" w:type="dxa"/>
                  <w:vAlign w:val="center"/>
                </w:tcPr>
                <w:p w14:paraId="09B1D3C5">
                  <w:pPr>
                    <w:keepNext w:val="0"/>
                    <w:keepLines w:val="0"/>
                    <w:widowControl/>
                    <w:suppressLineNumbers w:val="0"/>
                    <w:jc w:val="center"/>
                    <w:textAlignment w:val="center"/>
                    <w:rPr>
                      <w:rFonts w:hint="default" w:eastAsia="宋体"/>
                      <w:color w:val="auto"/>
                      <w:kern w:val="2"/>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11.455 </w:t>
                  </w:r>
                </w:p>
              </w:tc>
            </w:tr>
          </w:tbl>
          <w:p w14:paraId="249E1ADA">
            <w:pPr>
              <w:pStyle w:val="21"/>
              <w:pageBreakBefore w:val="0"/>
              <w:wordWrap w:val="0"/>
              <w:overflowPunct/>
              <w:bidi w:val="0"/>
              <w:ind w:firstLine="480"/>
              <w:rPr>
                <w:rFonts w:hint="eastAsia" w:cs="Times New Roman"/>
                <w:b/>
                <w:bCs/>
                <w:color w:val="auto"/>
                <w:highlight w:val="none"/>
                <w:lang w:val="en-US" w:eastAsia="zh-CN"/>
              </w:rPr>
            </w:pPr>
            <w:r>
              <w:rPr>
                <w:rFonts w:hint="eastAsia" w:cs="Times New Roman"/>
                <w:b/>
                <w:bCs/>
                <w:color w:val="auto"/>
                <w:highlight w:val="none"/>
                <w:lang w:val="en-US" w:eastAsia="zh-CN"/>
              </w:rPr>
              <w:t>3）油墨使用量核算</w:t>
            </w:r>
          </w:p>
          <w:p w14:paraId="038F5692">
            <w:pPr>
              <w:tabs>
                <w:tab w:val="left" w:pos="0"/>
              </w:tabs>
              <w:adjustRightInd w:val="0"/>
              <w:snapToGrid w:val="0"/>
              <w:spacing w:line="360" w:lineRule="auto"/>
              <w:ind w:firstLine="480" w:firstLineChars="200"/>
              <w:rPr>
                <w:b/>
                <w:color w:val="auto"/>
                <w:sz w:val="24"/>
                <w:highlight w:val="none"/>
              </w:rPr>
            </w:pPr>
            <w:r>
              <w:rPr>
                <w:b/>
                <w:color w:val="auto"/>
                <w:sz w:val="24"/>
                <w:highlight w:val="none"/>
              </w:rPr>
              <w:t>油墨用量核算：</w:t>
            </w:r>
          </w:p>
          <w:p w14:paraId="3BCA0E8D">
            <w:pPr>
              <w:tabs>
                <w:tab w:val="left" w:pos="0"/>
              </w:tabs>
              <w:adjustRightInd w:val="0"/>
              <w:snapToGrid w:val="0"/>
              <w:spacing w:line="360" w:lineRule="auto"/>
              <w:ind w:firstLine="480" w:firstLineChars="200"/>
              <w:rPr>
                <w:bCs/>
                <w:color w:val="auto"/>
                <w:sz w:val="24"/>
                <w:highlight w:val="none"/>
              </w:rPr>
            </w:pPr>
            <w:r>
              <w:rPr>
                <w:bCs/>
                <w:color w:val="auto"/>
                <w:sz w:val="24"/>
                <w:highlight w:val="none"/>
              </w:rPr>
              <w:t>油墨使用量按照下式进行计算：</w:t>
            </w:r>
          </w:p>
          <w:p w14:paraId="30429219">
            <w:pPr>
              <w:tabs>
                <w:tab w:val="left" w:pos="0"/>
              </w:tabs>
              <w:adjustRightInd w:val="0"/>
              <w:snapToGrid w:val="0"/>
              <w:spacing w:line="360" w:lineRule="auto"/>
              <w:ind w:firstLine="480" w:firstLineChars="200"/>
              <w:rPr>
                <w:bCs/>
                <w:color w:val="auto"/>
                <w:sz w:val="24"/>
                <w:highlight w:val="none"/>
              </w:rPr>
            </w:pPr>
            <w:r>
              <w:rPr>
                <w:bCs/>
                <w:color w:val="auto"/>
                <w:sz w:val="24"/>
                <w:highlight w:val="none"/>
              </w:rPr>
              <w:drawing>
                <wp:inline distT="0" distB="0" distL="0" distR="0">
                  <wp:extent cx="4184650" cy="548005"/>
                  <wp:effectExtent l="0" t="0" r="5715" b="4445"/>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11" cstate="print"/>
                          <a:srcRect/>
                          <a:stretch>
                            <a:fillRect/>
                          </a:stretch>
                        </pic:blipFill>
                        <pic:spPr>
                          <a:xfrm>
                            <a:off x="0" y="0"/>
                            <a:ext cx="4185284" cy="548005"/>
                          </a:xfrm>
                          <a:prstGeom prst="rect">
                            <a:avLst/>
                          </a:prstGeom>
                          <a:ln>
                            <a:noFill/>
                          </a:ln>
                        </pic:spPr>
                      </pic:pic>
                    </a:graphicData>
                  </a:graphic>
                </wp:inline>
              </w:drawing>
            </w:r>
          </w:p>
          <w:p w14:paraId="5FEAB20C">
            <w:pPr>
              <w:tabs>
                <w:tab w:val="left" w:pos="0"/>
              </w:tabs>
              <w:adjustRightInd w:val="0"/>
              <w:snapToGrid w:val="0"/>
              <w:spacing w:line="360" w:lineRule="auto"/>
              <w:ind w:firstLine="480" w:firstLineChars="200"/>
              <w:rPr>
                <w:rFonts w:hint="default" w:eastAsia="宋体"/>
                <w:bCs/>
                <w:color w:val="auto"/>
                <w:sz w:val="24"/>
                <w:highlight w:val="none"/>
                <w:lang w:val="en-US" w:eastAsia="zh-CN"/>
              </w:rPr>
            </w:pPr>
            <w:r>
              <w:rPr>
                <w:bCs/>
                <w:color w:val="auto"/>
                <w:sz w:val="24"/>
                <w:highlight w:val="none"/>
              </w:rPr>
              <w:t>式中：</w:t>
            </w:r>
          </w:p>
          <w:p w14:paraId="100E1C59">
            <w:pPr>
              <w:tabs>
                <w:tab w:val="left" w:pos="0"/>
              </w:tabs>
              <w:adjustRightInd w:val="0"/>
              <w:snapToGrid w:val="0"/>
              <w:spacing w:line="360" w:lineRule="auto"/>
              <w:ind w:firstLine="480" w:firstLineChars="200"/>
              <w:rPr>
                <w:bCs/>
                <w:color w:val="auto"/>
                <w:sz w:val="24"/>
                <w:highlight w:val="none"/>
              </w:rPr>
            </w:pPr>
            <w:r>
              <w:rPr>
                <w:bCs/>
                <w:color w:val="auto"/>
                <w:sz w:val="24"/>
                <w:highlight w:val="none"/>
              </w:rPr>
              <w:t>印刷面积：本项目使用</w:t>
            </w:r>
            <w:r>
              <w:rPr>
                <w:rFonts w:hint="eastAsia"/>
                <w:bCs/>
                <w:color w:val="auto"/>
                <w:sz w:val="24"/>
                <w:highlight w:val="none"/>
                <w:lang w:val="en-US" w:eastAsia="zh-CN"/>
              </w:rPr>
              <w:t>丝</w:t>
            </w:r>
            <w:r>
              <w:rPr>
                <w:bCs/>
                <w:color w:val="auto"/>
                <w:sz w:val="24"/>
                <w:highlight w:val="none"/>
              </w:rPr>
              <w:t>印机在</w:t>
            </w:r>
            <w:r>
              <w:rPr>
                <w:rFonts w:hint="eastAsia"/>
                <w:bCs/>
                <w:color w:val="auto"/>
                <w:sz w:val="24"/>
                <w:highlight w:val="none"/>
                <w:lang w:val="en-US" w:eastAsia="zh-CN"/>
              </w:rPr>
              <w:t>电箱</w:t>
            </w:r>
            <w:r>
              <w:rPr>
                <w:bCs/>
                <w:color w:val="auto"/>
                <w:sz w:val="24"/>
                <w:highlight w:val="none"/>
              </w:rPr>
              <w:t>表面印刷，年印刷</w:t>
            </w:r>
            <w:r>
              <w:rPr>
                <w:rFonts w:hint="eastAsia"/>
                <w:bCs/>
                <w:color w:val="auto"/>
                <w:sz w:val="24"/>
                <w:highlight w:val="none"/>
                <w:lang w:val="en-US" w:eastAsia="zh-CN"/>
              </w:rPr>
              <w:t>产品</w:t>
            </w:r>
            <w:r>
              <w:rPr>
                <w:bCs/>
                <w:color w:val="auto"/>
                <w:sz w:val="24"/>
                <w:highlight w:val="none"/>
              </w:rPr>
              <w:t>量约</w:t>
            </w:r>
            <w:r>
              <w:rPr>
                <w:rFonts w:hint="eastAsia"/>
                <w:bCs/>
                <w:color w:val="auto"/>
                <w:sz w:val="24"/>
                <w:highlight w:val="none"/>
                <w:lang w:val="en-US" w:eastAsia="zh-CN"/>
              </w:rPr>
              <w:t>10</w:t>
            </w:r>
            <w:r>
              <w:rPr>
                <w:rFonts w:hint="eastAsia"/>
                <w:bCs/>
                <w:color w:val="auto"/>
                <w:sz w:val="24"/>
                <w:highlight w:val="none"/>
                <w:lang w:eastAsia="zh-CN"/>
              </w:rPr>
              <w:t>万</w:t>
            </w:r>
            <w:r>
              <w:rPr>
                <w:rFonts w:hint="eastAsia"/>
                <w:bCs/>
                <w:color w:val="auto"/>
                <w:sz w:val="24"/>
                <w:highlight w:val="none"/>
                <w:lang w:val="en-US" w:eastAsia="zh-CN"/>
              </w:rPr>
              <w:t>套</w:t>
            </w:r>
            <w:r>
              <w:rPr>
                <w:bCs/>
                <w:color w:val="auto"/>
                <w:sz w:val="24"/>
                <w:highlight w:val="none"/>
              </w:rPr>
              <w:t>，</w:t>
            </w:r>
            <w:r>
              <w:rPr>
                <w:rFonts w:hint="eastAsia"/>
                <w:bCs/>
                <w:color w:val="auto"/>
                <w:sz w:val="24"/>
                <w:highlight w:val="none"/>
              </w:rPr>
              <w:t>每</w:t>
            </w:r>
            <w:r>
              <w:rPr>
                <w:rFonts w:hint="eastAsia"/>
                <w:bCs/>
                <w:color w:val="auto"/>
                <w:sz w:val="24"/>
                <w:highlight w:val="none"/>
                <w:lang w:val="en-US" w:eastAsia="zh-CN"/>
              </w:rPr>
              <w:t>件</w:t>
            </w:r>
            <w:r>
              <w:rPr>
                <w:rFonts w:hint="eastAsia"/>
                <w:bCs/>
                <w:color w:val="auto"/>
                <w:sz w:val="24"/>
                <w:highlight w:val="none"/>
              </w:rPr>
              <w:t>的印刷面积约为喷漆面积的</w:t>
            </w:r>
            <w:r>
              <w:rPr>
                <w:rFonts w:hint="eastAsia"/>
                <w:bCs/>
                <w:color w:val="auto"/>
                <w:sz w:val="24"/>
                <w:highlight w:val="none"/>
                <w:lang w:val="en-US" w:eastAsia="zh-CN"/>
              </w:rPr>
              <w:t>1/5</w:t>
            </w:r>
            <w:r>
              <w:rPr>
                <w:rFonts w:hint="eastAsia"/>
                <w:bCs/>
                <w:color w:val="auto"/>
                <w:sz w:val="24"/>
                <w:highlight w:val="none"/>
              </w:rPr>
              <w:t>，</w:t>
            </w:r>
            <w:r>
              <w:rPr>
                <w:bCs/>
                <w:color w:val="auto"/>
                <w:sz w:val="24"/>
                <w:highlight w:val="none"/>
              </w:rPr>
              <w:t>则</w:t>
            </w:r>
            <w:r>
              <w:rPr>
                <w:rFonts w:hint="eastAsia"/>
                <w:bCs/>
                <w:color w:val="auto"/>
                <w:sz w:val="24"/>
                <w:highlight w:val="none"/>
                <w:lang w:val="en-US" w:eastAsia="zh-CN"/>
              </w:rPr>
              <w:t>丝</w:t>
            </w:r>
            <w:r>
              <w:rPr>
                <w:bCs/>
                <w:color w:val="auto"/>
                <w:sz w:val="24"/>
                <w:highlight w:val="none"/>
              </w:rPr>
              <w:t>印面积约为</w:t>
            </w:r>
            <w:r>
              <w:rPr>
                <w:rFonts w:hint="eastAsia"/>
                <w:bCs/>
                <w:color w:val="auto"/>
                <w:sz w:val="24"/>
                <w:highlight w:val="none"/>
                <w:lang w:val="en-US" w:eastAsia="zh-CN"/>
              </w:rPr>
              <w:t>152000×1/5=30400</w:t>
            </w:r>
            <w:r>
              <w:rPr>
                <w:bCs/>
                <w:color w:val="auto"/>
                <w:sz w:val="24"/>
                <w:highlight w:val="none"/>
              </w:rPr>
              <w:t>m</w:t>
            </w:r>
            <w:r>
              <w:rPr>
                <w:bCs/>
                <w:color w:val="auto"/>
                <w:sz w:val="24"/>
                <w:highlight w:val="none"/>
                <w:vertAlign w:val="superscript"/>
              </w:rPr>
              <w:t>2</w:t>
            </w:r>
            <w:r>
              <w:rPr>
                <w:bCs/>
                <w:color w:val="auto"/>
                <w:sz w:val="24"/>
                <w:highlight w:val="none"/>
              </w:rPr>
              <w:t>；</w:t>
            </w:r>
          </w:p>
          <w:p w14:paraId="249FD54A">
            <w:pPr>
              <w:tabs>
                <w:tab w:val="left" w:pos="0"/>
              </w:tabs>
              <w:adjustRightInd w:val="0"/>
              <w:snapToGrid w:val="0"/>
              <w:spacing w:line="360" w:lineRule="auto"/>
              <w:ind w:firstLine="480" w:firstLineChars="200"/>
              <w:rPr>
                <w:bCs/>
                <w:color w:val="auto"/>
                <w:sz w:val="24"/>
                <w:highlight w:val="none"/>
              </w:rPr>
            </w:pPr>
            <w:r>
              <w:rPr>
                <w:bCs/>
                <w:color w:val="auto"/>
                <w:sz w:val="24"/>
                <w:highlight w:val="none"/>
              </w:rPr>
              <w:t>油墨覆盖率：移印印刷产品需印刷的图案总面积占实际印刷面积的比例约为50%；</w:t>
            </w:r>
          </w:p>
          <w:p w14:paraId="20A77E3E">
            <w:pPr>
              <w:tabs>
                <w:tab w:val="left" w:pos="0"/>
              </w:tabs>
              <w:adjustRightInd w:val="0"/>
              <w:snapToGrid w:val="0"/>
              <w:spacing w:line="360" w:lineRule="auto"/>
              <w:ind w:firstLine="480" w:firstLineChars="200"/>
              <w:rPr>
                <w:bCs/>
                <w:color w:val="auto"/>
                <w:sz w:val="24"/>
                <w:highlight w:val="none"/>
              </w:rPr>
            </w:pPr>
            <w:r>
              <w:rPr>
                <w:bCs/>
                <w:color w:val="auto"/>
                <w:sz w:val="24"/>
                <w:highlight w:val="none"/>
              </w:rPr>
              <w:t>油墨厚度：印刷机油墨印刷厚度，项目印刷物的墨层厚度在2~4μm之间，本评价取4μm，即0.000004m；</w:t>
            </w:r>
          </w:p>
          <w:p w14:paraId="6F003932">
            <w:pPr>
              <w:tabs>
                <w:tab w:val="left" w:pos="0"/>
              </w:tabs>
              <w:adjustRightInd w:val="0"/>
              <w:snapToGrid w:val="0"/>
              <w:spacing w:line="360" w:lineRule="auto"/>
              <w:ind w:firstLine="480" w:firstLineChars="200"/>
              <w:rPr>
                <w:bCs/>
                <w:color w:val="auto"/>
                <w:sz w:val="24"/>
                <w:highlight w:val="none"/>
              </w:rPr>
            </w:pPr>
            <w:r>
              <w:rPr>
                <w:bCs/>
                <w:color w:val="auto"/>
                <w:sz w:val="24"/>
                <w:highlight w:val="none"/>
              </w:rPr>
              <w:t>密度：油墨密度约为</w:t>
            </w:r>
            <w:r>
              <w:rPr>
                <w:rFonts w:hint="eastAsia"/>
                <w:bCs/>
                <w:color w:val="auto"/>
                <w:sz w:val="24"/>
                <w:highlight w:val="none"/>
                <w:lang w:val="en-US" w:eastAsia="zh-CN"/>
              </w:rPr>
              <w:t>0.9478</w:t>
            </w:r>
            <w:r>
              <w:rPr>
                <w:bCs/>
                <w:color w:val="auto"/>
                <w:sz w:val="24"/>
                <w:highlight w:val="none"/>
              </w:rPr>
              <w:t>g/cm</w:t>
            </w:r>
            <w:r>
              <w:rPr>
                <w:bCs/>
                <w:color w:val="auto"/>
                <w:sz w:val="24"/>
                <w:highlight w:val="none"/>
                <w:vertAlign w:val="superscript"/>
              </w:rPr>
              <w:t>3</w:t>
            </w:r>
            <w:r>
              <w:rPr>
                <w:bCs/>
                <w:color w:val="auto"/>
                <w:sz w:val="24"/>
                <w:highlight w:val="none"/>
              </w:rPr>
              <w:t>；</w:t>
            </w:r>
          </w:p>
          <w:p w14:paraId="0887BF0E">
            <w:pPr>
              <w:tabs>
                <w:tab w:val="left" w:pos="0"/>
              </w:tabs>
              <w:adjustRightInd w:val="0"/>
              <w:snapToGrid w:val="0"/>
              <w:spacing w:line="360" w:lineRule="auto"/>
              <w:ind w:firstLine="480" w:firstLineChars="200"/>
              <w:rPr>
                <w:bCs/>
                <w:color w:val="auto"/>
                <w:sz w:val="24"/>
                <w:highlight w:val="none"/>
              </w:rPr>
            </w:pPr>
            <w:r>
              <w:rPr>
                <w:bCs/>
                <w:color w:val="auto"/>
                <w:sz w:val="24"/>
                <w:highlight w:val="none"/>
              </w:rPr>
              <w:t>固含量：</w:t>
            </w:r>
            <w:r>
              <w:rPr>
                <w:rFonts w:hint="eastAsia"/>
                <w:bCs/>
                <w:color w:val="auto"/>
                <w:sz w:val="24"/>
                <w:highlight w:val="none"/>
                <w:lang w:val="en-US" w:eastAsia="zh-CN"/>
              </w:rPr>
              <w:t>油墨VOCs挥发含量为45%，</w:t>
            </w:r>
            <w:r>
              <w:rPr>
                <w:rFonts w:hint="eastAsia"/>
                <w:bCs/>
                <w:color w:val="auto"/>
                <w:sz w:val="24"/>
                <w:highlight w:val="none"/>
              </w:rPr>
              <w:t>则</w:t>
            </w:r>
            <w:r>
              <w:rPr>
                <w:color w:val="auto"/>
                <w:sz w:val="24"/>
                <w:highlight w:val="none"/>
              </w:rPr>
              <w:t>固含量为</w:t>
            </w:r>
            <w:r>
              <w:rPr>
                <w:rFonts w:hint="eastAsia"/>
                <w:color w:val="auto"/>
                <w:sz w:val="24"/>
                <w:highlight w:val="none"/>
                <w:lang w:val="en-US" w:eastAsia="zh-CN"/>
              </w:rPr>
              <w:t>55</w:t>
            </w:r>
            <w:r>
              <w:rPr>
                <w:color w:val="auto"/>
                <w:sz w:val="24"/>
                <w:highlight w:val="none"/>
              </w:rPr>
              <w:t>%。</w:t>
            </w:r>
          </w:p>
          <w:p w14:paraId="30CBEF08">
            <w:pPr>
              <w:rPr>
                <w:bCs/>
                <w:color w:val="auto"/>
                <w:sz w:val="24"/>
                <w:highlight w:val="none"/>
              </w:rPr>
            </w:pPr>
            <w:r>
              <w:rPr>
                <w:bCs/>
                <w:color w:val="auto"/>
                <w:sz w:val="24"/>
                <w:highlight w:val="none"/>
              </w:rPr>
              <w:t>经计算，项目油墨使用量应约为0.</w:t>
            </w:r>
            <w:r>
              <w:rPr>
                <w:rFonts w:hint="eastAsia"/>
                <w:bCs/>
                <w:color w:val="auto"/>
                <w:sz w:val="24"/>
                <w:highlight w:val="none"/>
                <w:lang w:val="en-US" w:eastAsia="zh-CN"/>
              </w:rPr>
              <w:t>105</w:t>
            </w:r>
            <w:r>
              <w:rPr>
                <w:bCs/>
                <w:color w:val="auto"/>
                <w:sz w:val="24"/>
                <w:highlight w:val="none"/>
              </w:rPr>
              <w:t>t/a。</w:t>
            </w:r>
          </w:p>
          <w:p w14:paraId="35DDBD60">
            <w:pPr>
              <w:tabs>
                <w:tab w:val="left" w:pos="0"/>
              </w:tabs>
              <w:adjustRightInd w:val="0"/>
              <w:snapToGrid w:val="0"/>
              <w:spacing w:line="360" w:lineRule="auto"/>
              <w:ind w:firstLine="480" w:firstLineChars="200"/>
              <w:rPr>
                <w:b/>
                <w:color w:val="auto"/>
                <w:sz w:val="24"/>
                <w:highlight w:val="none"/>
              </w:rPr>
            </w:pPr>
            <w:r>
              <w:rPr>
                <w:rFonts w:hint="eastAsia"/>
                <w:b/>
                <w:color w:val="auto"/>
                <w:sz w:val="24"/>
                <w:highlight w:val="none"/>
                <w:lang w:val="en-US" w:eastAsia="zh-CN"/>
              </w:rPr>
              <w:t>酒精</w:t>
            </w:r>
            <w:r>
              <w:rPr>
                <w:b/>
                <w:color w:val="auto"/>
                <w:sz w:val="24"/>
                <w:highlight w:val="none"/>
              </w:rPr>
              <w:t>使用量核算：</w:t>
            </w:r>
          </w:p>
          <w:p w14:paraId="4FF94C85">
            <w:pPr>
              <w:pStyle w:val="21"/>
              <w:pageBreakBefore w:val="0"/>
              <w:wordWrap w:val="0"/>
              <w:overflowPunct/>
              <w:bidi w:val="0"/>
              <w:ind w:firstLine="480"/>
              <w:rPr>
                <w:bCs w:val="0"/>
                <w:color w:val="auto"/>
                <w:kern w:val="2"/>
                <w:sz w:val="24"/>
                <w:szCs w:val="24"/>
                <w:highlight w:val="none"/>
              </w:rPr>
            </w:pPr>
            <w:r>
              <w:rPr>
                <w:bCs w:val="0"/>
                <w:color w:val="auto"/>
                <w:kern w:val="2"/>
                <w:sz w:val="24"/>
                <w:szCs w:val="24"/>
                <w:highlight w:val="none"/>
              </w:rPr>
              <w:t>本项目</w:t>
            </w:r>
            <w:r>
              <w:rPr>
                <w:rFonts w:hint="eastAsia"/>
                <w:bCs w:val="0"/>
                <w:color w:val="auto"/>
                <w:kern w:val="2"/>
                <w:sz w:val="24"/>
                <w:szCs w:val="24"/>
                <w:highlight w:val="none"/>
                <w:lang w:val="en-US" w:eastAsia="zh-CN"/>
              </w:rPr>
              <w:t>丝印</w:t>
            </w:r>
            <w:r>
              <w:rPr>
                <w:bCs w:val="0"/>
                <w:color w:val="auto"/>
                <w:kern w:val="2"/>
                <w:sz w:val="24"/>
                <w:szCs w:val="24"/>
                <w:highlight w:val="none"/>
              </w:rPr>
              <w:t>前</w:t>
            </w:r>
            <w:r>
              <w:rPr>
                <w:rFonts w:hint="eastAsia"/>
                <w:bCs w:val="0"/>
                <w:color w:val="auto"/>
                <w:kern w:val="2"/>
                <w:sz w:val="24"/>
                <w:szCs w:val="24"/>
                <w:highlight w:val="none"/>
                <w:lang w:val="en-US" w:eastAsia="zh-CN"/>
              </w:rPr>
              <w:t>再次进行表面检查，</w:t>
            </w:r>
            <w:r>
              <w:rPr>
                <w:bCs w:val="0"/>
                <w:color w:val="auto"/>
                <w:kern w:val="2"/>
                <w:sz w:val="24"/>
                <w:szCs w:val="24"/>
                <w:highlight w:val="none"/>
              </w:rPr>
              <w:t>会使用</w:t>
            </w:r>
            <w:r>
              <w:rPr>
                <w:rFonts w:hint="eastAsia"/>
                <w:bCs w:val="0"/>
                <w:color w:val="auto"/>
                <w:kern w:val="2"/>
                <w:sz w:val="24"/>
                <w:szCs w:val="24"/>
                <w:highlight w:val="none"/>
                <w:lang w:val="en-US" w:eastAsia="zh-CN"/>
              </w:rPr>
              <w:t>酒精</w:t>
            </w:r>
            <w:r>
              <w:rPr>
                <w:bCs w:val="0"/>
                <w:color w:val="auto"/>
                <w:kern w:val="2"/>
                <w:sz w:val="24"/>
                <w:szCs w:val="24"/>
                <w:highlight w:val="none"/>
              </w:rPr>
              <w:t>润湿抹布进行清洁，清洁完成后再进行</w:t>
            </w:r>
            <w:r>
              <w:rPr>
                <w:rFonts w:hint="eastAsia"/>
                <w:bCs w:val="0"/>
                <w:color w:val="auto"/>
                <w:kern w:val="2"/>
                <w:sz w:val="24"/>
                <w:szCs w:val="24"/>
                <w:highlight w:val="none"/>
                <w:lang w:val="en-US" w:eastAsia="zh-CN"/>
              </w:rPr>
              <w:t>丝印</w:t>
            </w:r>
            <w:r>
              <w:rPr>
                <w:bCs w:val="0"/>
                <w:color w:val="auto"/>
                <w:kern w:val="2"/>
                <w:sz w:val="24"/>
                <w:szCs w:val="24"/>
                <w:highlight w:val="none"/>
              </w:rPr>
              <w:t>，根据建设单位介绍，每天清洁所用</w:t>
            </w:r>
            <w:r>
              <w:rPr>
                <w:rFonts w:hint="eastAsia"/>
                <w:bCs w:val="0"/>
                <w:color w:val="auto"/>
                <w:kern w:val="2"/>
                <w:sz w:val="24"/>
                <w:szCs w:val="24"/>
                <w:highlight w:val="none"/>
                <w:lang w:val="en-US" w:eastAsia="zh-CN"/>
              </w:rPr>
              <w:t>酒精</w:t>
            </w:r>
            <w:r>
              <w:rPr>
                <w:bCs w:val="0"/>
                <w:color w:val="auto"/>
                <w:kern w:val="2"/>
                <w:sz w:val="24"/>
                <w:szCs w:val="24"/>
                <w:highlight w:val="none"/>
              </w:rPr>
              <w:t>用量约为</w:t>
            </w:r>
            <w:r>
              <w:rPr>
                <w:rFonts w:hint="eastAsia"/>
                <w:bCs w:val="0"/>
                <w:color w:val="auto"/>
                <w:kern w:val="2"/>
                <w:sz w:val="24"/>
                <w:szCs w:val="24"/>
                <w:highlight w:val="none"/>
                <w:lang w:val="en-US" w:eastAsia="zh-CN"/>
              </w:rPr>
              <w:t>950ml</w:t>
            </w:r>
            <w:r>
              <w:rPr>
                <w:bCs w:val="0"/>
                <w:color w:val="auto"/>
                <w:kern w:val="2"/>
                <w:sz w:val="24"/>
                <w:szCs w:val="24"/>
                <w:highlight w:val="none"/>
              </w:rPr>
              <w:t>，故用量为</w:t>
            </w:r>
            <w:r>
              <w:rPr>
                <w:rFonts w:hint="eastAsia" w:ascii="Times New Roman" w:hAnsi="Times New Roman" w:eastAsia="宋体" w:cs="Times New Roman"/>
                <w:i w:val="0"/>
                <w:iCs w:val="0"/>
                <w:color w:val="auto"/>
                <w:kern w:val="0"/>
                <w:sz w:val="24"/>
                <w:szCs w:val="24"/>
                <w:highlight w:val="none"/>
                <w:u w:val="none"/>
                <w:lang w:val="en-US" w:eastAsia="zh-CN" w:bidi="ar"/>
              </w:rPr>
              <w:t>950</w:t>
            </w:r>
            <w:r>
              <w:rPr>
                <w:rFonts w:hint="default" w:ascii="Times New Roman" w:hAnsi="Times New Roman" w:eastAsia="宋体" w:cs="Times New Roman"/>
                <w:i w:val="0"/>
                <w:iCs w:val="0"/>
                <w:color w:val="auto"/>
                <w:kern w:val="0"/>
                <w:sz w:val="24"/>
                <w:szCs w:val="24"/>
                <w:highlight w:val="none"/>
                <w:u w:val="none"/>
                <w:lang w:val="en-US" w:eastAsia="zh-CN" w:bidi="ar"/>
              </w:rPr>
              <w:t>×10-</w:t>
            </w:r>
            <w:r>
              <w:rPr>
                <w:rFonts w:hint="eastAsia" w:ascii="Times New Roman" w:hAnsi="Times New Roman" w:eastAsia="宋体" w:cs="Times New Roman"/>
                <w:i w:val="0"/>
                <w:iCs w:val="0"/>
                <w:color w:val="auto"/>
                <w:kern w:val="0"/>
                <w:sz w:val="24"/>
                <w:szCs w:val="24"/>
                <w:highlight w:val="none"/>
                <w:u w:val="none"/>
                <w:lang w:val="en-US" w:eastAsia="zh-CN" w:bidi="ar"/>
              </w:rPr>
              <w:t>6</w:t>
            </w:r>
            <w:r>
              <w:rPr>
                <w:rFonts w:hint="default" w:ascii="Times New Roman" w:hAnsi="Times New Roman" w:eastAsia="宋体" w:cs="Times New Roman"/>
                <w:i w:val="0"/>
                <w:iCs w:val="0"/>
                <w:color w:val="auto"/>
                <w:kern w:val="0"/>
                <w:sz w:val="24"/>
                <w:szCs w:val="24"/>
                <w:highlight w:val="none"/>
                <w:u w:val="none"/>
                <w:lang w:val="en-US" w:eastAsia="zh-CN" w:bidi="ar"/>
              </w:rPr>
              <w:t>×</w:t>
            </w:r>
            <w:r>
              <w:rPr>
                <w:rFonts w:hint="eastAsia" w:ascii="Times New Roman" w:hAnsi="Times New Roman" w:eastAsia="宋体" w:cs="Times New Roman"/>
                <w:i w:val="0"/>
                <w:iCs w:val="0"/>
                <w:color w:val="auto"/>
                <w:kern w:val="0"/>
                <w:sz w:val="24"/>
                <w:szCs w:val="24"/>
                <w:highlight w:val="none"/>
                <w:u w:val="none"/>
                <w:lang w:val="en-US" w:eastAsia="zh-CN" w:bidi="ar"/>
              </w:rPr>
              <w:t>300×0.79≈</w:t>
            </w:r>
            <w:r>
              <w:rPr>
                <w:rFonts w:hint="default" w:ascii="Times New Roman" w:hAnsi="Times New Roman" w:eastAsia="宋体" w:cs="Times New Roman"/>
                <w:i w:val="0"/>
                <w:iCs w:val="0"/>
                <w:color w:val="auto"/>
                <w:kern w:val="0"/>
                <w:sz w:val="24"/>
                <w:szCs w:val="24"/>
                <w:highlight w:val="none"/>
                <w:u w:val="none"/>
                <w:lang w:val="en-US" w:eastAsia="zh-CN" w:bidi="ar"/>
              </w:rPr>
              <w:t>0.</w:t>
            </w:r>
            <w:r>
              <w:rPr>
                <w:rFonts w:hint="eastAsia" w:ascii="Times New Roman" w:hAnsi="Times New Roman" w:eastAsia="宋体" w:cs="Times New Roman"/>
                <w:i w:val="0"/>
                <w:iCs w:val="0"/>
                <w:color w:val="auto"/>
                <w:kern w:val="0"/>
                <w:sz w:val="24"/>
                <w:szCs w:val="24"/>
                <w:highlight w:val="none"/>
                <w:u w:val="none"/>
                <w:lang w:val="en-US" w:eastAsia="zh-CN" w:bidi="ar"/>
              </w:rPr>
              <w:t>2252t</w:t>
            </w:r>
            <w:r>
              <w:rPr>
                <w:rFonts w:hint="default" w:ascii="Times New Roman" w:hAnsi="Times New Roman" w:eastAsia="宋体" w:cs="Times New Roman"/>
                <w:i w:val="0"/>
                <w:iCs w:val="0"/>
                <w:color w:val="auto"/>
                <w:kern w:val="0"/>
                <w:sz w:val="24"/>
                <w:szCs w:val="24"/>
                <w:highlight w:val="none"/>
                <w:u w:val="none"/>
                <w:lang w:val="en-US" w:eastAsia="zh-CN" w:bidi="ar"/>
              </w:rPr>
              <w:t>/a。</w:t>
            </w:r>
          </w:p>
          <w:p w14:paraId="75561056">
            <w:pPr>
              <w:pStyle w:val="21"/>
              <w:pageBreakBefore w:val="0"/>
              <w:wordWrap w:val="0"/>
              <w:overflowPunct/>
              <w:bidi w:val="0"/>
              <w:ind w:firstLine="480"/>
              <w:rPr>
                <w:b/>
                <w:color w:val="auto"/>
                <w:sz w:val="24"/>
                <w:highlight w:val="none"/>
              </w:rPr>
            </w:pPr>
            <w:r>
              <w:rPr>
                <w:rFonts w:hint="eastAsia"/>
                <w:b/>
                <w:color w:val="auto"/>
                <w:sz w:val="24"/>
                <w:highlight w:val="none"/>
                <w:lang w:val="en-US" w:eastAsia="zh-CN"/>
              </w:rPr>
              <w:t>网版清洗剂</w:t>
            </w:r>
            <w:r>
              <w:rPr>
                <w:b/>
                <w:color w:val="auto"/>
                <w:sz w:val="24"/>
                <w:highlight w:val="none"/>
              </w:rPr>
              <w:t>使用量核算：</w:t>
            </w:r>
          </w:p>
          <w:p w14:paraId="7C813F6C">
            <w:pPr>
              <w:pStyle w:val="21"/>
              <w:pageBreakBefore w:val="0"/>
              <w:wordWrap w:val="0"/>
              <w:overflowPunct/>
              <w:bidi w:val="0"/>
              <w:ind w:firstLine="480"/>
              <w:rPr>
                <w:rFonts w:hint="default" w:eastAsia="宋体"/>
                <w:b w:val="0"/>
                <w:bCs/>
                <w:color w:val="auto"/>
                <w:sz w:val="24"/>
                <w:highlight w:val="none"/>
                <w:lang w:val="en-US" w:eastAsia="zh-CN"/>
              </w:rPr>
            </w:pPr>
            <w:r>
              <w:rPr>
                <w:rFonts w:hint="eastAsia"/>
                <w:b w:val="0"/>
                <w:bCs/>
                <w:color w:val="auto"/>
                <w:sz w:val="24"/>
                <w:highlight w:val="none"/>
                <w:lang w:val="en-US" w:eastAsia="zh-CN"/>
              </w:rPr>
              <w:t>本项目使用半水基网版清洗剂进行网版清洁，根据建设单位提供资料，每天网版清洁时需要用清洁剂约45ml，故网版清洁剂用量为45</w:t>
            </w:r>
            <w:r>
              <w:rPr>
                <w:b w:val="0"/>
                <w:bCs/>
                <w:color w:val="auto"/>
                <w:kern w:val="2"/>
                <w:sz w:val="24"/>
                <w:szCs w:val="24"/>
                <w:highlight w:val="none"/>
              </w:rPr>
              <w:t>×10</w:t>
            </w:r>
            <w:r>
              <w:rPr>
                <w:b w:val="0"/>
                <w:bCs/>
                <w:color w:val="auto"/>
                <w:kern w:val="2"/>
                <w:sz w:val="24"/>
                <w:szCs w:val="24"/>
                <w:highlight w:val="none"/>
                <w:vertAlign w:val="superscript"/>
              </w:rPr>
              <w:t>-</w:t>
            </w:r>
            <w:r>
              <w:rPr>
                <w:rFonts w:hint="eastAsia"/>
                <w:b w:val="0"/>
                <w:bCs/>
                <w:color w:val="auto"/>
                <w:kern w:val="2"/>
                <w:sz w:val="24"/>
                <w:szCs w:val="24"/>
                <w:highlight w:val="none"/>
                <w:vertAlign w:val="superscript"/>
                <w:lang w:val="en-US" w:eastAsia="zh-CN"/>
              </w:rPr>
              <w:t>6</w:t>
            </w:r>
            <w:r>
              <w:rPr>
                <w:b w:val="0"/>
                <w:bCs/>
                <w:color w:val="auto"/>
                <w:kern w:val="2"/>
                <w:sz w:val="24"/>
                <w:szCs w:val="24"/>
                <w:highlight w:val="none"/>
              </w:rPr>
              <w:t>×</w:t>
            </w:r>
            <w:r>
              <w:rPr>
                <w:rFonts w:hint="eastAsia"/>
                <w:b w:val="0"/>
                <w:bCs/>
                <w:color w:val="auto"/>
                <w:kern w:val="2"/>
                <w:sz w:val="24"/>
                <w:szCs w:val="24"/>
                <w:highlight w:val="none"/>
                <w:lang w:val="en-US" w:eastAsia="zh-CN"/>
              </w:rPr>
              <w:t>300×1.11≈</w:t>
            </w:r>
            <w:r>
              <w:rPr>
                <w:b w:val="0"/>
                <w:bCs/>
                <w:color w:val="auto"/>
                <w:kern w:val="2"/>
                <w:sz w:val="24"/>
                <w:szCs w:val="24"/>
                <w:highlight w:val="none"/>
              </w:rPr>
              <w:t>0.</w:t>
            </w:r>
            <w:r>
              <w:rPr>
                <w:rFonts w:hint="eastAsia"/>
                <w:b w:val="0"/>
                <w:bCs/>
                <w:color w:val="auto"/>
                <w:kern w:val="2"/>
                <w:sz w:val="24"/>
                <w:szCs w:val="24"/>
                <w:highlight w:val="none"/>
                <w:lang w:val="en-US" w:eastAsia="zh-CN"/>
              </w:rPr>
              <w:t>150t</w:t>
            </w:r>
            <w:r>
              <w:rPr>
                <w:b w:val="0"/>
                <w:bCs/>
                <w:color w:val="auto"/>
                <w:kern w:val="2"/>
                <w:sz w:val="24"/>
                <w:szCs w:val="24"/>
                <w:highlight w:val="none"/>
              </w:rPr>
              <w:t>/a</w:t>
            </w:r>
          </w:p>
          <w:p w14:paraId="627E3F0F">
            <w:pPr>
              <w:pStyle w:val="19"/>
              <w:pageBreakBefore w:val="0"/>
              <w:wordWrap w:val="0"/>
              <w:overflowPunct/>
              <w:bidi w:val="0"/>
              <w:ind w:firstLine="482"/>
              <w:rPr>
                <w:b/>
                <w:color w:val="auto"/>
                <w:sz w:val="24"/>
                <w:highlight w:val="none"/>
              </w:rPr>
            </w:pPr>
            <w:r>
              <w:rPr>
                <w:b/>
                <w:color w:val="auto"/>
                <w:sz w:val="24"/>
                <w:highlight w:val="none"/>
              </w:rPr>
              <w:t>喷枪产能核算：</w:t>
            </w:r>
          </w:p>
          <w:p w14:paraId="78392ED0">
            <w:pPr>
              <w:pStyle w:val="17"/>
              <w:pageBreakBefore w:val="0"/>
              <w:numPr>
                <w:ilvl w:val="0"/>
                <w:numId w:val="8"/>
              </w:numPr>
              <w:wordWrap w:val="0"/>
              <w:overflowPunct/>
              <w:bidi w:val="0"/>
              <w:spacing w:line="240" w:lineRule="auto"/>
              <w:ind w:left="0" w:leftChars="0" w:firstLine="40" w:firstLineChars="0"/>
              <w:rPr>
                <w:color w:val="auto"/>
                <w:sz w:val="21"/>
                <w:szCs w:val="21"/>
                <w:highlight w:val="none"/>
              </w:rPr>
            </w:pPr>
            <w:r>
              <w:rPr>
                <w:b/>
                <w:color w:val="auto"/>
                <w:sz w:val="21"/>
                <w:szCs w:val="21"/>
                <w:highlight w:val="none"/>
              </w:rPr>
              <w:t xml:space="preserve"> 喷枪产能核算一览表</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39"/>
              <w:gridCol w:w="1122"/>
              <w:gridCol w:w="750"/>
              <w:gridCol w:w="1351"/>
              <w:gridCol w:w="994"/>
              <w:gridCol w:w="1378"/>
              <w:gridCol w:w="1314"/>
            </w:tblGrid>
            <w:tr w14:paraId="0015D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39" w:type="dxa"/>
                  <w:vAlign w:val="center"/>
                </w:tcPr>
                <w:p w14:paraId="5CAFE7B7">
                  <w:pPr>
                    <w:keepNext w:val="0"/>
                    <w:keepLines w:val="0"/>
                    <w:widowControl/>
                    <w:suppressLineNumbers w:val="0"/>
                    <w:spacing w:line="240" w:lineRule="auto"/>
                    <w:jc w:val="center"/>
                    <w:textAlignment w:val="center"/>
                    <w:rPr>
                      <w:rFonts w:hint="eastAsia" w:eastAsia="宋体"/>
                      <w:b/>
                      <w:bCs/>
                      <w:color w:val="auto"/>
                      <w:sz w:val="21"/>
                      <w:szCs w:val="21"/>
                      <w:highlight w:val="none"/>
                      <w:lang w:eastAsia="zh-CN"/>
                    </w:rPr>
                  </w:pPr>
                  <w:r>
                    <w:rPr>
                      <w:rFonts w:hint="eastAsia" w:ascii="宋体" w:hAnsi="宋体" w:eastAsia="宋体" w:cs="宋体"/>
                      <w:b/>
                      <w:bCs/>
                      <w:i w:val="0"/>
                      <w:iCs w:val="0"/>
                      <w:color w:val="auto"/>
                      <w:kern w:val="0"/>
                      <w:sz w:val="21"/>
                      <w:szCs w:val="21"/>
                      <w:highlight w:val="none"/>
                      <w:u w:val="none"/>
                      <w:lang w:val="en-US" w:eastAsia="zh-CN"/>
                    </w:rPr>
                    <w:t>物料名称</w:t>
                  </w:r>
                </w:p>
              </w:tc>
              <w:tc>
                <w:tcPr>
                  <w:tcW w:w="1122" w:type="dxa"/>
                  <w:vAlign w:val="center"/>
                </w:tcPr>
                <w:p w14:paraId="5C231DD9">
                  <w:pPr>
                    <w:keepNext w:val="0"/>
                    <w:keepLines w:val="0"/>
                    <w:widowControl/>
                    <w:suppressLineNumbers w:val="0"/>
                    <w:spacing w:line="240" w:lineRule="auto"/>
                    <w:jc w:val="center"/>
                    <w:textAlignment w:val="center"/>
                    <w:rPr>
                      <w:b/>
                      <w:bCs/>
                      <w:color w:val="auto"/>
                      <w:sz w:val="21"/>
                      <w:szCs w:val="21"/>
                      <w:highlight w:val="none"/>
                    </w:rPr>
                  </w:pPr>
                  <w:r>
                    <w:rPr>
                      <w:rFonts w:hint="eastAsia" w:ascii="宋体" w:hAnsi="宋体" w:eastAsia="宋体" w:cs="宋体"/>
                      <w:b/>
                      <w:bCs/>
                      <w:i w:val="0"/>
                      <w:iCs w:val="0"/>
                      <w:color w:val="auto"/>
                      <w:kern w:val="0"/>
                      <w:sz w:val="21"/>
                      <w:szCs w:val="21"/>
                      <w:highlight w:val="none"/>
                      <w:u w:val="none"/>
                      <w:lang w:val="en-US" w:eastAsia="zh-CN"/>
                    </w:rPr>
                    <w:t>设备名称</w:t>
                  </w:r>
                </w:p>
              </w:tc>
              <w:tc>
                <w:tcPr>
                  <w:tcW w:w="750" w:type="dxa"/>
                  <w:vAlign w:val="center"/>
                </w:tcPr>
                <w:p w14:paraId="7AACB70E">
                  <w:pPr>
                    <w:keepNext w:val="0"/>
                    <w:keepLines w:val="0"/>
                    <w:widowControl/>
                    <w:suppressLineNumbers w:val="0"/>
                    <w:spacing w:line="240" w:lineRule="auto"/>
                    <w:jc w:val="center"/>
                    <w:textAlignment w:val="center"/>
                    <w:rPr>
                      <w:b/>
                      <w:bCs/>
                      <w:color w:val="auto"/>
                      <w:sz w:val="21"/>
                      <w:szCs w:val="21"/>
                      <w:highlight w:val="none"/>
                    </w:rPr>
                  </w:pPr>
                  <w:r>
                    <w:rPr>
                      <w:rFonts w:hint="eastAsia" w:ascii="宋体" w:hAnsi="宋体" w:eastAsia="宋体" w:cs="宋体"/>
                      <w:b/>
                      <w:bCs/>
                      <w:i w:val="0"/>
                      <w:iCs w:val="0"/>
                      <w:color w:val="auto"/>
                      <w:kern w:val="0"/>
                      <w:sz w:val="21"/>
                      <w:szCs w:val="21"/>
                      <w:highlight w:val="none"/>
                      <w:u w:val="none"/>
                      <w:lang w:val="en-US" w:eastAsia="zh-CN"/>
                    </w:rPr>
                    <w:t>数量（支）</w:t>
                  </w:r>
                </w:p>
              </w:tc>
              <w:tc>
                <w:tcPr>
                  <w:tcW w:w="1351" w:type="dxa"/>
                  <w:vAlign w:val="center"/>
                </w:tcPr>
                <w:p w14:paraId="6C3121EA">
                  <w:pPr>
                    <w:keepNext w:val="0"/>
                    <w:keepLines w:val="0"/>
                    <w:widowControl/>
                    <w:suppressLineNumbers w:val="0"/>
                    <w:spacing w:line="240" w:lineRule="auto"/>
                    <w:jc w:val="center"/>
                    <w:textAlignment w:val="center"/>
                    <w:rPr>
                      <w:b/>
                      <w:bCs/>
                      <w:color w:val="auto"/>
                      <w:sz w:val="21"/>
                      <w:szCs w:val="21"/>
                      <w:highlight w:val="none"/>
                    </w:rPr>
                  </w:pPr>
                  <w:r>
                    <w:rPr>
                      <w:rFonts w:hint="eastAsia" w:ascii="宋体" w:hAnsi="宋体" w:eastAsia="宋体" w:cs="宋体"/>
                      <w:b/>
                      <w:bCs/>
                      <w:i w:val="0"/>
                      <w:iCs w:val="0"/>
                      <w:color w:val="auto"/>
                      <w:kern w:val="0"/>
                      <w:sz w:val="21"/>
                      <w:szCs w:val="21"/>
                      <w:highlight w:val="none"/>
                      <w:u w:val="none"/>
                      <w:lang w:val="en-US" w:eastAsia="zh-CN"/>
                    </w:rPr>
                    <w:t>设计喷枪流量（</w:t>
                  </w:r>
                  <w:r>
                    <w:rPr>
                      <w:rFonts w:hint="default" w:ascii="Times New Roman" w:hAnsi="Times New Roman" w:eastAsia="宋体" w:cs="Times New Roman"/>
                      <w:b/>
                      <w:bCs/>
                      <w:i w:val="0"/>
                      <w:iCs w:val="0"/>
                      <w:color w:val="auto"/>
                      <w:kern w:val="0"/>
                      <w:sz w:val="21"/>
                      <w:szCs w:val="21"/>
                      <w:highlight w:val="none"/>
                      <w:u w:val="none"/>
                      <w:lang w:val="en-US" w:eastAsia="zh-CN"/>
                    </w:rPr>
                    <w:t>kg/h</w:t>
                  </w:r>
                  <w:r>
                    <w:rPr>
                      <w:rFonts w:hint="eastAsia" w:ascii="宋体" w:hAnsi="宋体" w:eastAsia="宋体" w:cs="宋体"/>
                      <w:b/>
                      <w:bCs/>
                      <w:i w:val="0"/>
                      <w:iCs w:val="0"/>
                      <w:color w:val="auto"/>
                      <w:kern w:val="0"/>
                      <w:sz w:val="21"/>
                      <w:szCs w:val="21"/>
                      <w:highlight w:val="none"/>
                      <w:u w:val="none"/>
                      <w:lang w:val="en-US" w:eastAsia="zh-CN"/>
                    </w:rPr>
                    <w:t>）</w:t>
                  </w:r>
                </w:p>
              </w:tc>
              <w:tc>
                <w:tcPr>
                  <w:tcW w:w="994" w:type="dxa"/>
                  <w:vAlign w:val="center"/>
                </w:tcPr>
                <w:p w14:paraId="5DB80575">
                  <w:pPr>
                    <w:keepNext w:val="0"/>
                    <w:keepLines w:val="0"/>
                    <w:widowControl/>
                    <w:suppressLineNumbers w:val="0"/>
                    <w:spacing w:line="240" w:lineRule="auto"/>
                    <w:jc w:val="center"/>
                    <w:textAlignment w:val="center"/>
                    <w:rPr>
                      <w:b/>
                      <w:bCs/>
                      <w:color w:val="auto"/>
                      <w:sz w:val="21"/>
                      <w:szCs w:val="21"/>
                      <w:highlight w:val="none"/>
                    </w:rPr>
                  </w:pPr>
                  <w:r>
                    <w:rPr>
                      <w:rFonts w:hint="eastAsia" w:ascii="宋体" w:hAnsi="宋体" w:eastAsia="宋体" w:cs="宋体"/>
                      <w:b/>
                      <w:bCs/>
                      <w:i w:val="0"/>
                      <w:iCs w:val="0"/>
                      <w:color w:val="auto"/>
                      <w:kern w:val="0"/>
                      <w:sz w:val="21"/>
                      <w:szCs w:val="21"/>
                      <w:highlight w:val="none"/>
                      <w:u w:val="none"/>
                      <w:lang w:val="en-US" w:eastAsia="zh-CN"/>
                    </w:rPr>
                    <w:t>工作时间（</w:t>
                  </w:r>
                  <w:r>
                    <w:rPr>
                      <w:rFonts w:hint="default" w:ascii="Times New Roman" w:hAnsi="Times New Roman" w:eastAsia="宋体" w:cs="Times New Roman"/>
                      <w:b/>
                      <w:bCs/>
                      <w:i w:val="0"/>
                      <w:iCs w:val="0"/>
                      <w:color w:val="auto"/>
                      <w:kern w:val="0"/>
                      <w:sz w:val="21"/>
                      <w:szCs w:val="21"/>
                      <w:highlight w:val="none"/>
                      <w:u w:val="none"/>
                      <w:lang w:val="en-US" w:eastAsia="zh-CN"/>
                    </w:rPr>
                    <w:t>h</w:t>
                  </w:r>
                  <w:r>
                    <w:rPr>
                      <w:rFonts w:hint="eastAsia" w:ascii="宋体" w:hAnsi="宋体" w:eastAsia="宋体" w:cs="宋体"/>
                      <w:b/>
                      <w:bCs/>
                      <w:i w:val="0"/>
                      <w:iCs w:val="0"/>
                      <w:color w:val="auto"/>
                      <w:kern w:val="0"/>
                      <w:sz w:val="21"/>
                      <w:szCs w:val="21"/>
                      <w:highlight w:val="none"/>
                      <w:u w:val="none"/>
                      <w:lang w:val="en-US" w:eastAsia="zh-CN"/>
                    </w:rPr>
                    <w:t>）</w:t>
                  </w:r>
                </w:p>
              </w:tc>
              <w:tc>
                <w:tcPr>
                  <w:tcW w:w="1378" w:type="dxa"/>
                  <w:vAlign w:val="center"/>
                </w:tcPr>
                <w:p w14:paraId="1FB414EA">
                  <w:pPr>
                    <w:keepNext w:val="0"/>
                    <w:keepLines w:val="0"/>
                    <w:widowControl/>
                    <w:suppressLineNumbers w:val="0"/>
                    <w:spacing w:line="240" w:lineRule="auto"/>
                    <w:jc w:val="center"/>
                    <w:textAlignment w:val="center"/>
                    <w:rPr>
                      <w:b/>
                      <w:bCs/>
                      <w:color w:val="auto"/>
                      <w:sz w:val="21"/>
                      <w:szCs w:val="21"/>
                      <w:highlight w:val="none"/>
                    </w:rPr>
                  </w:pPr>
                  <w:r>
                    <w:rPr>
                      <w:rFonts w:hint="eastAsia" w:ascii="宋体" w:hAnsi="宋体" w:eastAsia="宋体" w:cs="宋体"/>
                      <w:b/>
                      <w:bCs/>
                      <w:i w:val="0"/>
                      <w:iCs w:val="0"/>
                      <w:color w:val="auto"/>
                      <w:kern w:val="0"/>
                      <w:sz w:val="21"/>
                      <w:szCs w:val="21"/>
                      <w:highlight w:val="none"/>
                      <w:u w:val="none"/>
                      <w:lang w:val="en-US" w:eastAsia="zh-CN"/>
                    </w:rPr>
                    <w:t>设计年喷涂量（</w:t>
                  </w:r>
                  <w:r>
                    <w:rPr>
                      <w:rFonts w:hint="default" w:ascii="Times New Roman" w:hAnsi="Times New Roman" w:eastAsia="宋体" w:cs="Times New Roman"/>
                      <w:b/>
                      <w:bCs/>
                      <w:i w:val="0"/>
                      <w:iCs w:val="0"/>
                      <w:color w:val="auto"/>
                      <w:kern w:val="0"/>
                      <w:sz w:val="21"/>
                      <w:szCs w:val="21"/>
                      <w:highlight w:val="none"/>
                      <w:u w:val="none"/>
                      <w:lang w:val="en-US" w:eastAsia="zh-CN"/>
                    </w:rPr>
                    <w:t>t/a</w:t>
                  </w:r>
                  <w:r>
                    <w:rPr>
                      <w:rFonts w:hint="eastAsia" w:ascii="宋体" w:hAnsi="宋体" w:eastAsia="宋体" w:cs="宋体"/>
                      <w:b/>
                      <w:bCs/>
                      <w:i w:val="0"/>
                      <w:iCs w:val="0"/>
                      <w:color w:val="auto"/>
                      <w:kern w:val="0"/>
                      <w:sz w:val="21"/>
                      <w:szCs w:val="21"/>
                      <w:highlight w:val="none"/>
                      <w:u w:val="none"/>
                      <w:lang w:val="en-US" w:eastAsia="zh-CN"/>
                    </w:rPr>
                    <w:t>）</w:t>
                  </w:r>
                </w:p>
              </w:tc>
              <w:tc>
                <w:tcPr>
                  <w:tcW w:w="1314" w:type="dxa"/>
                  <w:vAlign w:val="center"/>
                </w:tcPr>
                <w:p w14:paraId="349C04E9">
                  <w:pPr>
                    <w:keepNext w:val="0"/>
                    <w:keepLines w:val="0"/>
                    <w:widowControl/>
                    <w:suppressLineNumbers w:val="0"/>
                    <w:spacing w:line="240" w:lineRule="auto"/>
                    <w:jc w:val="center"/>
                    <w:textAlignment w:val="center"/>
                    <w:rPr>
                      <w:b/>
                      <w:bCs/>
                      <w:color w:val="auto"/>
                      <w:sz w:val="21"/>
                      <w:szCs w:val="21"/>
                      <w:highlight w:val="none"/>
                    </w:rPr>
                  </w:pPr>
                  <w:r>
                    <w:rPr>
                      <w:rFonts w:hint="eastAsia" w:ascii="宋体" w:hAnsi="宋体" w:eastAsia="宋体" w:cs="宋体"/>
                      <w:b/>
                      <w:bCs/>
                      <w:i w:val="0"/>
                      <w:iCs w:val="0"/>
                      <w:color w:val="auto"/>
                      <w:kern w:val="0"/>
                      <w:sz w:val="21"/>
                      <w:szCs w:val="21"/>
                      <w:highlight w:val="none"/>
                      <w:u w:val="none"/>
                      <w:lang w:val="en-US" w:eastAsia="zh-CN"/>
                    </w:rPr>
                    <w:t>项目实际年喷涂量（</w:t>
                  </w:r>
                  <w:r>
                    <w:rPr>
                      <w:rFonts w:hint="default" w:ascii="Times New Roman" w:hAnsi="Times New Roman" w:eastAsia="宋体" w:cs="Times New Roman"/>
                      <w:b/>
                      <w:bCs/>
                      <w:i w:val="0"/>
                      <w:iCs w:val="0"/>
                      <w:color w:val="auto"/>
                      <w:kern w:val="0"/>
                      <w:sz w:val="21"/>
                      <w:szCs w:val="21"/>
                      <w:highlight w:val="none"/>
                      <w:u w:val="none"/>
                      <w:lang w:val="en-US" w:eastAsia="zh-CN"/>
                    </w:rPr>
                    <w:t>t/a</w:t>
                  </w:r>
                  <w:r>
                    <w:rPr>
                      <w:rFonts w:hint="eastAsia" w:ascii="宋体" w:hAnsi="宋体" w:eastAsia="宋体" w:cs="宋体"/>
                      <w:b/>
                      <w:bCs/>
                      <w:i w:val="0"/>
                      <w:iCs w:val="0"/>
                      <w:color w:val="auto"/>
                      <w:kern w:val="0"/>
                      <w:sz w:val="21"/>
                      <w:szCs w:val="21"/>
                      <w:highlight w:val="none"/>
                      <w:u w:val="none"/>
                      <w:lang w:val="en-US" w:eastAsia="zh-CN"/>
                    </w:rPr>
                    <w:t>）</w:t>
                  </w:r>
                </w:p>
              </w:tc>
            </w:tr>
            <w:tr w14:paraId="05857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939" w:type="dxa"/>
                  <w:vAlign w:val="center"/>
                </w:tcPr>
                <w:p w14:paraId="39C85ED7">
                  <w:pPr>
                    <w:keepNext w:val="0"/>
                    <w:keepLines w:val="0"/>
                    <w:widowControl/>
                    <w:suppressLineNumbers w:val="0"/>
                    <w:spacing w:line="240" w:lineRule="auto"/>
                    <w:jc w:val="center"/>
                    <w:textAlignment w:val="center"/>
                    <w:rPr>
                      <w:rFonts w:hint="eastAsia" w:eastAsia="宋体"/>
                      <w:color w:val="auto"/>
                      <w:sz w:val="21"/>
                      <w:szCs w:val="21"/>
                      <w:highlight w:val="none"/>
                      <w:lang w:eastAsia="zh-CN"/>
                    </w:rPr>
                  </w:pPr>
                  <w:r>
                    <w:rPr>
                      <w:rFonts w:hint="eastAsia" w:ascii="宋体" w:hAnsi="宋体" w:eastAsia="宋体" w:cs="宋体"/>
                      <w:i w:val="0"/>
                      <w:iCs w:val="0"/>
                      <w:color w:val="auto"/>
                      <w:kern w:val="0"/>
                      <w:sz w:val="21"/>
                      <w:szCs w:val="21"/>
                      <w:highlight w:val="none"/>
                      <w:u w:val="none"/>
                      <w:lang w:val="en-US" w:eastAsia="zh-CN"/>
                    </w:rPr>
                    <w:t>水性漆</w:t>
                  </w:r>
                </w:p>
              </w:tc>
              <w:tc>
                <w:tcPr>
                  <w:tcW w:w="1122" w:type="dxa"/>
                  <w:vAlign w:val="center"/>
                </w:tcPr>
                <w:p w14:paraId="7D872E64">
                  <w:pPr>
                    <w:keepNext w:val="0"/>
                    <w:keepLines w:val="0"/>
                    <w:widowControl/>
                    <w:suppressLineNumbers w:val="0"/>
                    <w:spacing w:line="240" w:lineRule="auto"/>
                    <w:jc w:val="center"/>
                    <w:textAlignment w:val="center"/>
                    <w:rPr>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rPr>
                    <w:t>1.2mm</w:t>
                  </w:r>
                  <w:r>
                    <w:rPr>
                      <w:rFonts w:hint="eastAsia" w:ascii="宋体" w:hAnsi="宋体" w:eastAsia="宋体" w:cs="宋体"/>
                      <w:i w:val="0"/>
                      <w:iCs w:val="0"/>
                      <w:color w:val="auto"/>
                      <w:kern w:val="0"/>
                      <w:sz w:val="21"/>
                      <w:szCs w:val="21"/>
                      <w:highlight w:val="none"/>
                      <w:u w:val="none"/>
                      <w:lang w:val="en-US" w:eastAsia="zh-CN"/>
                    </w:rPr>
                    <w:t>口径喷枪</w:t>
                  </w:r>
                </w:p>
              </w:tc>
              <w:tc>
                <w:tcPr>
                  <w:tcW w:w="750" w:type="dxa"/>
                  <w:vAlign w:val="center"/>
                </w:tcPr>
                <w:p w14:paraId="0494D10E">
                  <w:pPr>
                    <w:keepNext w:val="0"/>
                    <w:keepLines w:val="0"/>
                    <w:widowControl/>
                    <w:suppressLineNumbers w:val="0"/>
                    <w:jc w:val="center"/>
                    <w:textAlignment w:val="center"/>
                    <w:rPr>
                      <w:rFonts w:hint="eastAsia" w:eastAsia="宋体"/>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rPr>
                    <w:t>2</w:t>
                  </w:r>
                </w:p>
              </w:tc>
              <w:tc>
                <w:tcPr>
                  <w:tcW w:w="1351" w:type="dxa"/>
                  <w:vAlign w:val="center"/>
                </w:tcPr>
                <w:p w14:paraId="5DB49B93">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1.5</w:t>
                  </w:r>
                </w:p>
              </w:tc>
              <w:tc>
                <w:tcPr>
                  <w:tcW w:w="994" w:type="dxa"/>
                  <w:vAlign w:val="center"/>
                </w:tcPr>
                <w:p w14:paraId="372582E9">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1125</w:t>
                  </w:r>
                </w:p>
              </w:tc>
              <w:tc>
                <w:tcPr>
                  <w:tcW w:w="1378" w:type="dxa"/>
                  <w:vAlign w:val="center"/>
                </w:tcPr>
                <w:p w14:paraId="61C88CBD">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3.375</w:t>
                  </w:r>
                </w:p>
              </w:tc>
              <w:tc>
                <w:tcPr>
                  <w:tcW w:w="1314" w:type="dxa"/>
                  <w:vAlign w:val="center"/>
                </w:tcPr>
                <w:p w14:paraId="42175502">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 xml:space="preserve">1.004 </w:t>
                  </w:r>
                </w:p>
              </w:tc>
            </w:tr>
            <w:tr w14:paraId="3393F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939" w:type="dxa"/>
                  <w:vAlign w:val="center"/>
                </w:tcPr>
                <w:p w14:paraId="30769082">
                  <w:pPr>
                    <w:keepNext w:val="0"/>
                    <w:keepLines w:val="0"/>
                    <w:widowControl/>
                    <w:suppressLineNumbers w:val="0"/>
                    <w:spacing w:line="240" w:lineRule="auto"/>
                    <w:jc w:val="center"/>
                    <w:textAlignment w:val="center"/>
                    <w:rPr>
                      <w:rFonts w:hint="eastAsia" w:eastAsia="宋体"/>
                      <w:color w:val="auto"/>
                      <w:sz w:val="21"/>
                      <w:szCs w:val="21"/>
                      <w:highlight w:val="none"/>
                      <w:lang w:eastAsia="zh-CN"/>
                    </w:rPr>
                  </w:pPr>
                  <w:r>
                    <w:rPr>
                      <w:rFonts w:hint="eastAsia" w:ascii="宋体" w:hAnsi="宋体" w:eastAsia="宋体" w:cs="宋体"/>
                      <w:i w:val="0"/>
                      <w:iCs w:val="0"/>
                      <w:color w:val="auto"/>
                      <w:kern w:val="0"/>
                      <w:sz w:val="21"/>
                      <w:szCs w:val="21"/>
                      <w:highlight w:val="none"/>
                      <w:u w:val="none"/>
                      <w:lang w:val="en-US" w:eastAsia="zh-CN"/>
                    </w:rPr>
                    <w:t>油性漆</w:t>
                  </w:r>
                </w:p>
              </w:tc>
              <w:tc>
                <w:tcPr>
                  <w:tcW w:w="1122" w:type="dxa"/>
                  <w:vAlign w:val="center"/>
                </w:tcPr>
                <w:p w14:paraId="025E07E2">
                  <w:pPr>
                    <w:keepNext w:val="0"/>
                    <w:keepLines w:val="0"/>
                    <w:widowControl/>
                    <w:suppressLineNumbers w:val="0"/>
                    <w:spacing w:line="240" w:lineRule="auto"/>
                    <w:jc w:val="center"/>
                    <w:textAlignment w:val="center"/>
                    <w:rPr>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rPr>
                    <w:t>1.2mm口径喷枪</w:t>
                  </w:r>
                </w:p>
              </w:tc>
              <w:tc>
                <w:tcPr>
                  <w:tcW w:w="750" w:type="dxa"/>
                  <w:vAlign w:val="center"/>
                </w:tcPr>
                <w:p w14:paraId="403680B6">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w:t>
                  </w:r>
                </w:p>
              </w:tc>
              <w:tc>
                <w:tcPr>
                  <w:tcW w:w="1351" w:type="dxa"/>
                  <w:vAlign w:val="center"/>
                </w:tcPr>
                <w:p w14:paraId="191C43FF">
                  <w:pPr>
                    <w:keepNext w:val="0"/>
                    <w:keepLines w:val="0"/>
                    <w:widowControl/>
                    <w:suppressLineNumbers w:val="0"/>
                    <w:jc w:val="center"/>
                    <w:textAlignment w:val="center"/>
                    <w:rPr>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rPr>
                    <w:t>1.5</w:t>
                  </w:r>
                </w:p>
              </w:tc>
              <w:tc>
                <w:tcPr>
                  <w:tcW w:w="994" w:type="dxa"/>
                  <w:vAlign w:val="center"/>
                </w:tcPr>
                <w:p w14:paraId="3B1AEB16">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1875</w:t>
                  </w:r>
                </w:p>
              </w:tc>
              <w:tc>
                <w:tcPr>
                  <w:tcW w:w="1378" w:type="dxa"/>
                  <w:vAlign w:val="center"/>
                </w:tcPr>
                <w:p w14:paraId="00D2B2A6">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5.625</w:t>
                  </w:r>
                </w:p>
              </w:tc>
              <w:tc>
                <w:tcPr>
                  <w:tcW w:w="1314" w:type="dxa"/>
                  <w:vAlign w:val="center"/>
                </w:tcPr>
                <w:p w14:paraId="2E99007C">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 xml:space="preserve">2.924 </w:t>
                  </w:r>
                </w:p>
              </w:tc>
            </w:tr>
            <w:tr w14:paraId="358E2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848" w:type="dxa"/>
                  <w:gridSpan w:val="7"/>
                  <w:vAlign w:val="center"/>
                </w:tcPr>
                <w:p w14:paraId="4CBA5D16">
                  <w:pPr>
                    <w:pStyle w:val="58"/>
                    <w:keepNext w:val="0"/>
                    <w:keepLines w:val="0"/>
                    <w:pageBreakBefore w:val="0"/>
                    <w:widowControl w:val="0"/>
                    <w:kinsoku/>
                    <w:wordWrap w:val="0"/>
                    <w:overflowPunct/>
                    <w:topLinePunct w:val="0"/>
                    <w:autoSpaceDE/>
                    <w:autoSpaceDN/>
                    <w:bidi w:val="0"/>
                    <w:adjustRightInd/>
                    <w:snapToGrid/>
                    <w:jc w:val="both"/>
                    <w:textAlignment w:val="auto"/>
                    <w:rPr>
                      <w:rFonts w:hint="default" w:eastAsia="宋体"/>
                      <w:color w:val="auto"/>
                      <w:sz w:val="21"/>
                      <w:szCs w:val="21"/>
                      <w:highlight w:val="none"/>
                      <w:lang w:val="en-US" w:eastAsia="zh-CN"/>
                    </w:rPr>
                  </w:pPr>
                  <w:r>
                    <w:rPr>
                      <w:color w:val="auto"/>
                      <w:sz w:val="21"/>
                      <w:szCs w:val="21"/>
                      <w:highlight w:val="none"/>
                    </w:rPr>
                    <w:t>注：</w:t>
                  </w:r>
                  <w:r>
                    <w:rPr>
                      <w:rFonts w:hint="eastAsia"/>
                      <w:color w:val="auto"/>
                      <w:sz w:val="21"/>
                      <w:szCs w:val="21"/>
                      <w:highlight w:val="none"/>
                      <w:lang w:eastAsia="zh-CN"/>
                    </w:rPr>
                    <w:t>①单支喷枪流量为</w:t>
                  </w:r>
                  <w:r>
                    <w:rPr>
                      <w:rFonts w:hint="eastAsia" w:cs="Times New Roman"/>
                      <w:color w:val="auto"/>
                      <w:sz w:val="21"/>
                      <w:szCs w:val="21"/>
                      <w:highlight w:val="none"/>
                      <w:lang w:val="en-US" w:eastAsia="zh-CN"/>
                    </w:rPr>
                    <w:t>5~50ml/min，本项目取20ml/min，即约为1.5kg/h；</w:t>
                  </w:r>
                </w:p>
                <w:p w14:paraId="212C640B">
                  <w:pPr>
                    <w:pStyle w:val="58"/>
                    <w:keepNext w:val="0"/>
                    <w:keepLines w:val="0"/>
                    <w:pageBreakBefore w:val="0"/>
                    <w:widowControl w:val="0"/>
                    <w:kinsoku/>
                    <w:wordWrap w:val="0"/>
                    <w:overflowPunct/>
                    <w:topLinePunct w:val="0"/>
                    <w:autoSpaceDE/>
                    <w:autoSpaceDN/>
                    <w:bidi w:val="0"/>
                    <w:adjustRightInd/>
                    <w:snapToGrid/>
                    <w:jc w:val="left"/>
                    <w:textAlignment w:val="auto"/>
                    <w:rPr>
                      <w:color w:val="auto"/>
                      <w:highlight w:val="none"/>
                    </w:rPr>
                  </w:pPr>
                  <w:r>
                    <w:rPr>
                      <w:rFonts w:hint="eastAsia"/>
                      <w:color w:val="auto"/>
                      <w:sz w:val="21"/>
                      <w:szCs w:val="21"/>
                      <w:highlight w:val="none"/>
                      <w:lang w:eastAsia="zh-CN"/>
                    </w:rPr>
                    <w:t>②</w:t>
                  </w:r>
                  <w:r>
                    <w:rPr>
                      <w:color w:val="auto"/>
                      <w:sz w:val="21"/>
                      <w:szCs w:val="21"/>
                      <w:highlight w:val="none"/>
                    </w:rPr>
                    <w:t>根据企业提供资料，项目喷涂过程中</w:t>
                  </w:r>
                  <w:r>
                    <w:rPr>
                      <w:rFonts w:hint="eastAsia"/>
                      <w:color w:val="auto"/>
                      <w:sz w:val="21"/>
                      <w:szCs w:val="21"/>
                      <w:highlight w:val="none"/>
                      <w:lang w:val="en-US" w:eastAsia="zh-CN"/>
                    </w:rPr>
                    <w:t>水性漆</w:t>
                  </w:r>
                  <w:r>
                    <w:rPr>
                      <w:color w:val="auto"/>
                      <w:sz w:val="21"/>
                      <w:szCs w:val="21"/>
                      <w:highlight w:val="none"/>
                    </w:rPr>
                    <w:t>喷涂时间</w:t>
                  </w:r>
                  <w:r>
                    <w:rPr>
                      <w:rFonts w:hint="eastAsia"/>
                      <w:color w:val="auto"/>
                      <w:sz w:val="21"/>
                      <w:szCs w:val="21"/>
                      <w:highlight w:val="none"/>
                      <w:lang w:val="en-US" w:eastAsia="zh-CN"/>
                    </w:rPr>
                    <w:t>约</w:t>
                  </w:r>
                  <w:r>
                    <w:rPr>
                      <w:color w:val="auto"/>
                      <w:sz w:val="21"/>
                      <w:szCs w:val="21"/>
                      <w:highlight w:val="none"/>
                    </w:rPr>
                    <w:t>为</w:t>
                  </w:r>
                  <w:r>
                    <w:rPr>
                      <w:rFonts w:hint="eastAsia"/>
                      <w:color w:val="auto"/>
                      <w:sz w:val="21"/>
                      <w:szCs w:val="21"/>
                      <w:highlight w:val="none"/>
                      <w:lang w:val="en-US" w:eastAsia="zh-CN"/>
                    </w:rPr>
                    <w:t>1125</w:t>
                  </w:r>
                  <w:r>
                    <w:rPr>
                      <w:color w:val="auto"/>
                      <w:sz w:val="21"/>
                      <w:szCs w:val="21"/>
                      <w:highlight w:val="none"/>
                    </w:rPr>
                    <w:t>h</w:t>
                  </w:r>
                  <w:r>
                    <w:rPr>
                      <w:rFonts w:hint="eastAsia"/>
                      <w:color w:val="auto"/>
                      <w:sz w:val="21"/>
                      <w:szCs w:val="21"/>
                      <w:highlight w:val="none"/>
                      <w:lang w:eastAsia="zh-CN"/>
                    </w:rPr>
                    <w:t>，</w:t>
                  </w:r>
                  <w:r>
                    <w:rPr>
                      <w:rFonts w:hint="eastAsia"/>
                      <w:color w:val="auto"/>
                      <w:sz w:val="21"/>
                      <w:szCs w:val="21"/>
                      <w:highlight w:val="none"/>
                      <w:lang w:val="en-US" w:eastAsia="zh-CN"/>
                    </w:rPr>
                    <w:t>油性漆喷涂时间为1875h。</w:t>
                  </w:r>
                  <w:r>
                    <w:rPr>
                      <w:color w:val="auto"/>
                      <w:sz w:val="21"/>
                      <w:szCs w:val="21"/>
                      <w:highlight w:val="none"/>
                    </w:rPr>
                    <w:t>根据计算，喷枪设计喷涂总量</w:t>
                  </w:r>
                  <w:r>
                    <w:rPr>
                      <w:rFonts w:hint="eastAsia"/>
                      <w:color w:val="auto"/>
                      <w:sz w:val="21"/>
                      <w:szCs w:val="21"/>
                      <w:highlight w:val="none"/>
                      <w:lang w:val="en-US" w:eastAsia="zh-CN"/>
                    </w:rPr>
                    <w:t>分别</w:t>
                  </w:r>
                  <w:r>
                    <w:rPr>
                      <w:color w:val="auto"/>
                      <w:sz w:val="21"/>
                      <w:szCs w:val="21"/>
                      <w:highlight w:val="none"/>
                    </w:rPr>
                    <w:t>为</w:t>
                  </w:r>
                  <w:r>
                    <w:rPr>
                      <w:rFonts w:hint="eastAsia"/>
                      <w:color w:val="auto"/>
                      <w:sz w:val="21"/>
                      <w:szCs w:val="21"/>
                      <w:highlight w:val="none"/>
                      <w:lang w:val="en-US" w:eastAsia="zh-CN"/>
                    </w:rPr>
                    <w:t>3.375</w:t>
                  </w:r>
                  <w:r>
                    <w:rPr>
                      <w:color w:val="auto"/>
                      <w:sz w:val="21"/>
                      <w:szCs w:val="21"/>
                      <w:highlight w:val="none"/>
                    </w:rPr>
                    <w:t>t/a</w:t>
                  </w:r>
                  <w:r>
                    <w:rPr>
                      <w:rFonts w:hint="eastAsia"/>
                      <w:color w:val="auto"/>
                      <w:sz w:val="21"/>
                      <w:szCs w:val="21"/>
                      <w:highlight w:val="none"/>
                      <w:lang w:eastAsia="zh-CN"/>
                    </w:rPr>
                    <w:t>、</w:t>
                  </w:r>
                  <w:r>
                    <w:rPr>
                      <w:rFonts w:hint="eastAsia"/>
                      <w:color w:val="auto"/>
                      <w:sz w:val="21"/>
                      <w:szCs w:val="21"/>
                      <w:highlight w:val="none"/>
                      <w:lang w:val="en-US" w:eastAsia="zh-CN"/>
                    </w:rPr>
                    <w:t>5.625t/a</w:t>
                  </w:r>
                  <w:r>
                    <w:rPr>
                      <w:color w:val="auto"/>
                      <w:sz w:val="21"/>
                      <w:szCs w:val="21"/>
                      <w:highlight w:val="none"/>
                    </w:rPr>
                    <w:t>，项目油漆</w:t>
                  </w:r>
                  <w:r>
                    <w:rPr>
                      <w:rFonts w:hint="eastAsia"/>
                      <w:color w:val="auto"/>
                      <w:sz w:val="21"/>
                      <w:szCs w:val="21"/>
                      <w:highlight w:val="none"/>
                      <w:lang w:eastAsia="zh-CN"/>
                    </w:rPr>
                    <w:t>（水性</w:t>
                  </w:r>
                  <w:r>
                    <w:rPr>
                      <w:rFonts w:hint="eastAsia"/>
                      <w:color w:val="auto"/>
                      <w:sz w:val="21"/>
                      <w:szCs w:val="21"/>
                      <w:highlight w:val="none"/>
                      <w:lang w:val="en-US" w:eastAsia="zh-CN"/>
                    </w:rPr>
                    <w:t>+油性</w:t>
                  </w:r>
                  <w:r>
                    <w:rPr>
                      <w:rFonts w:hint="eastAsia"/>
                      <w:color w:val="auto"/>
                      <w:sz w:val="21"/>
                      <w:szCs w:val="21"/>
                      <w:highlight w:val="none"/>
                      <w:lang w:eastAsia="zh-CN"/>
                    </w:rPr>
                    <w:t>）</w:t>
                  </w:r>
                  <w:r>
                    <w:rPr>
                      <w:color w:val="auto"/>
                      <w:sz w:val="21"/>
                      <w:szCs w:val="21"/>
                      <w:highlight w:val="none"/>
                    </w:rPr>
                    <w:t>实际总用量为</w:t>
                  </w:r>
                  <w:r>
                    <w:rPr>
                      <w:rFonts w:hint="eastAsia"/>
                      <w:color w:val="auto"/>
                      <w:sz w:val="21"/>
                      <w:szCs w:val="21"/>
                      <w:highlight w:val="none"/>
                      <w:lang w:val="en-US" w:eastAsia="zh-CN"/>
                    </w:rPr>
                    <w:t>3.93</w:t>
                  </w:r>
                  <w:r>
                    <w:rPr>
                      <w:color w:val="auto"/>
                      <w:sz w:val="21"/>
                      <w:szCs w:val="21"/>
                      <w:highlight w:val="none"/>
                    </w:rPr>
                    <w:t>t/a，约占喷枪设计产能的</w:t>
                  </w:r>
                  <w:r>
                    <w:rPr>
                      <w:rFonts w:hint="eastAsia"/>
                      <w:color w:val="auto"/>
                      <w:sz w:val="21"/>
                      <w:szCs w:val="21"/>
                      <w:highlight w:val="none"/>
                      <w:lang w:val="en-US" w:eastAsia="zh-CN"/>
                    </w:rPr>
                    <w:t>43.6</w:t>
                  </w:r>
                  <w:r>
                    <w:rPr>
                      <w:color w:val="auto"/>
                      <w:sz w:val="21"/>
                      <w:szCs w:val="21"/>
                      <w:highlight w:val="none"/>
                    </w:rPr>
                    <w:t>%，与喷枪的产能相匹配。因此，生产设备的产能和原料用量相匹配、合理。</w:t>
                  </w:r>
                </w:p>
              </w:tc>
            </w:tr>
          </w:tbl>
          <w:p w14:paraId="525B7B8C">
            <w:pPr>
              <w:pStyle w:val="19"/>
              <w:pageBreakBefore w:val="0"/>
              <w:wordWrap w:val="0"/>
              <w:overflowPunct/>
              <w:bidi w:val="0"/>
              <w:ind w:firstLine="482"/>
              <w:rPr>
                <w:b/>
                <w:color w:val="auto"/>
                <w:sz w:val="24"/>
                <w:highlight w:val="none"/>
              </w:rPr>
            </w:pPr>
            <w:r>
              <w:rPr>
                <w:b/>
                <w:color w:val="auto"/>
                <w:sz w:val="24"/>
                <w:highlight w:val="none"/>
              </w:rPr>
              <w:t>喷枪</w:t>
            </w:r>
            <w:r>
              <w:rPr>
                <w:rFonts w:hint="eastAsia"/>
                <w:b/>
                <w:color w:val="auto"/>
                <w:sz w:val="24"/>
                <w:highlight w:val="none"/>
                <w:lang w:val="en-US" w:eastAsia="zh-CN"/>
              </w:rPr>
              <w:t>清洗稀释剂用量</w:t>
            </w:r>
            <w:r>
              <w:rPr>
                <w:b/>
                <w:color w:val="auto"/>
                <w:sz w:val="24"/>
                <w:highlight w:val="none"/>
              </w:rPr>
              <w:t>核算：</w:t>
            </w:r>
          </w:p>
          <w:p w14:paraId="52A20535">
            <w:pPr>
              <w:pStyle w:val="17"/>
              <w:pageBreakBefore w:val="0"/>
              <w:numPr>
                <w:ilvl w:val="0"/>
                <w:numId w:val="8"/>
              </w:numPr>
              <w:wordWrap w:val="0"/>
              <w:overflowPunct/>
              <w:bidi w:val="0"/>
              <w:spacing w:line="240" w:lineRule="auto"/>
              <w:ind w:left="0" w:leftChars="0" w:firstLine="40" w:firstLineChars="0"/>
              <w:rPr>
                <w:color w:val="auto"/>
                <w:sz w:val="21"/>
                <w:szCs w:val="21"/>
                <w:highlight w:val="none"/>
              </w:rPr>
            </w:pPr>
            <w:r>
              <w:rPr>
                <w:b/>
                <w:color w:val="auto"/>
                <w:sz w:val="21"/>
                <w:szCs w:val="21"/>
                <w:highlight w:val="none"/>
              </w:rPr>
              <w:t xml:space="preserve"> 喷枪产能</w:t>
            </w:r>
            <w:r>
              <w:rPr>
                <w:rFonts w:hint="eastAsia"/>
                <w:b/>
                <w:color w:val="auto"/>
                <w:sz w:val="21"/>
                <w:szCs w:val="21"/>
                <w:highlight w:val="none"/>
                <w:lang w:val="en-US" w:eastAsia="zh-CN"/>
              </w:rPr>
              <w:t>清洗稀释剂用量</w:t>
            </w:r>
            <w:r>
              <w:rPr>
                <w:b/>
                <w:color w:val="auto"/>
                <w:sz w:val="21"/>
                <w:szCs w:val="21"/>
                <w:highlight w:val="none"/>
              </w:rPr>
              <w:t>核算一览表</w:t>
            </w:r>
          </w:p>
          <w:tbl>
            <w:tblPr>
              <w:tblStyle w:val="43"/>
              <w:tblW w:w="496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45"/>
              <w:gridCol w:w="1975"/>
              <w:gridCol w:w="968"/>
              <w:gridCol w:w="1607"/>
              <w:gridCol w:w="2205"/>
            </w:tblGrid>
            <w:tr w14:paraId="22F41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7BD12">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lang w:val="en-US"/>
                    </w:rPr>
                  </w:pPr>
                  <w:r>
                    <w:rPr>
                      <w:rFonts w:hint="eastAsia" w:ascii="宋体" w:hAnsi="宋体" w:eastAsia="宋体" w:cs="宋体"/>
                      <w:b/>
                      <w:bCs/>
                      <w:i w:val="0"/>
                      <w:iCs w:val="0"/>
                      <w:color w:val="auto"/>
                      <w:kern w:val="0"/>
                      <w:sz w:val="21"/>
                      <w:szCs w:val="21"/>
                      <w:highlight w:val="none"/>
                      <w:u w:val="none"/>
                      <w:lang w:val="en-US" w:eastAsia="zh-CN"/>
                    </w:rPr>
                    <w:t>用量t</w:t>
                  </w:r>
                  <w:r>
                    <w:rPr>
                      <w:rFonts w:hint="eastAsia" w:ascii="宋体" w:hAnsi="宋体" w:cs="宋体"/>
                      <w:b/>
                      <w:bCs/>
                      <w:i w:val="0"/>
                      <w:iCs w:val="0"/>
                      <w:color w:val="auto"/>
                      <w:kern w:val="0"/>
                      <w:sz w:val="21"/>
                      <w:szCs w:val="21"/>
                      <w:highlight w:val="none"/>
                      <w:u w:val="none"/>
                      <w:lang w:val="en-US" w:eastAsia="zh-CN"/>
                    </w:rPr>
                    <w:t>/a</w:t>
                  </w:r>
                </w:p>
              </w:tc>
              <w:tc>
                <w:tcPr>
                  <w:tcW w:w="1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FEAE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每次每把</w:t>
                  </w:r>
                  <w:r>
                    <w:rPr>
                      <w:rFonts w:hint="default" w:ascii="Times New Roman" w:hAnsi="Times New Roman" w:eastAsia="宋体" w:cs="Times New Roman"/>
                      <w:b/>
                      <w:bCs/>
                      <w:i w:val="0"/>
                      <w:iCs w:val="0"/>
                      <w:color w:val="auto"/>
                      <w:kern w:val="0"/>
                      <w:sz w:val="21"/>
                      <w:szCs w:val="21"/>
                      <w:highlight w:val="none"/>
                      <w:u w:val="none"/>
                      <w:lang w:val="en-US" w:eastAsia="zh-CN"/>
                    </w:rPr>
                    <w:t>ml</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FB28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把数</w:t>
                  </w:r>
                </w:p>
              </w:tc>
              <w:tc>
                <w:tcPr>
                  <w:tcW w:w="10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F0D60">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清洗次数</w:t>
                  </w:r>
                </w:p>
              </w:tc>
              <w:tc>
                <w:tcPr>
                  <w:tcW w:w="1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8E6C6">
                  <w:pPr>
                    <w:keepNext w:val="0"/>
                    <w:keepLines w:val="0"/>
                    <w:widowControl/>
                    <w:suppressLineNumbers w:val="0"/>
                    <w:jc w:val="center"/>
                    <w:textAlignment w:val="center"/>
                    <w:rPr>
                      <w:rFonts w:hint="default" w:ascii="宋体" w:hAnsi="宋体" w:eastAsia="宋体" w:cs="宋体"/>
                      <w:b/>
                      <w:bCs/>
                      <w:i w:val="0"/>
                      <w:iCs w:val="0"/>
                      <w:color w:val="auto"/>
                      <w:sz w:val="21"/>
                      <w:szCs w:val="21"/>
                      <w:highlight w:val="none"/>
                      <w:u w:val="none"/>
                      <w:vertAlign w:val="superscript"/>
                      <w:lang w:val="en-US"/>
                    </w:rPr>
                  </w:pPr>
                  <w:r>
                    <w:rPr>
                      <w:rFonts w:hint="eastAsia" w:ascii="宋体" w:hAnsi="宋体" w:eastAsia="宋体" w:cs="宋体"/>
                      <w:b/>
                      <w:bCs/>
                      <w:i w:val="0"/>
                      <w:iCs w:val="0"/>
                      <w:color w:val="auto"/>
                      <w:kern w:val="0"/>
                      <w:sz w:val="21"/>
                      <w:szCs w:val="21"/>
                      <w:highlight w:val="none"/>
                      <w:u w:val="none"/>
                      <w:lang w:val="en-US" w:eastAsia="zh-CN"/>
                    </w:rPr>
                    <w:t>相对密度</w:t>
                  </w:r>
                  <w:r>
                    <w:rPr>
                      <w:rFonts w:hint="eastAsia" w:ascii="宋体" w:hAnsi="宋体" w:cs="宋体"/>
                      <w:b/>
                      <w:bCs/>
                      <w:i w:val="0"/>
                      <w:iCs w:val="0"/>
                      <w:color w:val="auto"/>
                      <w:kern w:val="0"/>
                      <w:sz w:val="21"/>
                      <w:szCs w:val="21"/>
                      <w:highlight w:val="none"/>
                      <w:u w:val="none"/>
                      <w:lang w:val="en-US" w:eastAsia="zh-CN"/>
                    </w:rPr>
                    <w:t>g/cm</w:t>
                  </w:r>
                  <w:r>
                    <w:rPr>
                      <w:rFonts w:hint="eastAsia" w:ascii="宋体" w:hAnsi="宋体" w:cs="宋体"/>
                      <w:b/>
                      <w:bCs/>
                      <w:i w:val="0"/>
                      <w:iCs w:val="0"/>
                      <w:color w:val="auto"/>
                      <w:kern w:val="0"/>
                      <w:sz w:val="21"/>
                      <w:szCs w:val="21"/>
                      <w:highlight w:val="none"/>
                      <w:u w:val="none"/>
                      <w:vertAlign w:val="superscript"/>
                      <w:lang w:val="en-US" w:eastAsia="zh-CN"/>
                    </w:rPr>
                    <w:t>3</w:t>
                  </w:r>
                </w:p>
              </w:tc>
            </w:tr>
            <w:tr w14:paraId="503D0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732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0.031 </w:t>
                  </w:r>
                </w:p>
              </w:tc>
              <w:tc>
                <w:tcPr>
                  <w:tcW w:w="2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5B1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D49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713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2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8D4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0.87</w:t>
                  </w:r>
                </w:p>
              </w:tc>
            </w:tr>
          </w:tbl>
          <w:p w14:paraId="7D181A71">
            <w:pPr>
              <w:pStyle w:val="21"/>
              <w:pageBreakBefore w:val="0"/>
              <w:wordWrap w:val="0"/>
              <w:overflowPunct/>
              <w:bidi w:val="0"/>
              <w:ind w:firstLine="480"/>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（4）</w:t>
            </w:r>
            <w:r>
              <w:rPr>
                <w:rFonts w:hint="default" w:ascii="Times New Roman" w:hAnsi="Times New Roman" w:eastAsia="宋体" w:cs="Times New Roman"/>
                <w:b/>
                <w:bCs/>
                <w:color w:val="auto"/>
                <w:highlight w:val="none"/>
                <w:lang w:val="en-US" w:eastAsia="zh-CN"/>
              </w:rPr>
              <w:t>项目物料平衡</w:t>
            </w:r>
          </w:p>
          <w:p w14:paraId="2ACE23C3">
            <w:pPr>
              <w:pStyle w:val="21"/>
              <w:pageBreakBefore w:val="0"/>
              <w:wordWrap w:val="0"/>
              <w:overflowPunct/>
              <w:bidi w:val="0"/>
              <w:ind w:firstLine="480"/>
              <w:rPr>
                <w:rFonts w:hint="eastAsia" w:eastAsia="宋体" w:cs="Times New Roman"/>
                <w:b w:val="0"/>
                <w:bCs w:val="0"/>
                <w:color w:val="auto"/>
                <w:highlight w:val="none"/>
                <w:lang w:val="en-US" w:eastAsia="zh-CN"/>
              </w:rPr>
            </w:pPr>
            <w:r>
              <w:rPr>
                <w:rFonts w:hint="eastAsia" w:eastAsia="宋体" w:cs="Times New Roman"/>
                <w:b w:val="0"/>
                <w:bCs w:val="0"/>
                <w:color w:val="auto"/>
                <w:highlight w:val="none"/>
                <w:lang w:val="en-US" w:eastAsia="zh-CN"/>
              </w:rPr>
              <w:t>根据建设单位提供资料，本项目生产过程物料平衡分析</w:t>
            </w:r>
            <w:r>
              <w:rPr>
                <w:rFonts w:hint="eastAsia" w:cs="Times New Roman"/>
                <w:b w:val="0"/>
                <w:bCs w:val="0"/>
                <w:color w:val="auto"/>
                <w:highlight w:val="none"/>
                <w:lang w:val="en-US" w:eastAsia="zh-CN"/>
              </w:rPr>
              <w:t>如</w:t>
            </w:r>
            <w:r>
              <w:rPr>
                <w:rFonts w:hint="eastAsia" w:eastAsia="宋体" w:cs="Times New Roman"/>
                <w:b w:val="0"/>
                <w:bCs w:val="0"/>
                <w:color w:val="auto"/>
                <w:highlight w:val="none"/>
                <w:lang w:val="en-US" w:eastAsia="zh-CN"/>
              </w:rPr>
              <w:t>下：</w:t>
            </w:r>
          </w:p>
          <w:p w14:paraId="687A032C">
            <w:pPr>
              <w:pStyle w:val="17"/>
              <w:pageBreakBefore w:val="0"/>
              <w:numPr>
                <w:ilvl w:val="0"/>
                <w:numId w:val="8"/>
              </w:numPr>
              <w:wordWrap w:val="0"/>
              <w:overflowPunct/>
              <w:bidi w:val="0"/>
              <w:spacing w:line="240" w:lineRule="auto"/>
              <w:ind w:left="0" w:leftChars="0" w:firstLine="40" w:firstLineChars="0"/>
              <w:rPr>
                <w:rFonts w:hint="eastAsia" w:eastAsia="宋体" w:cs="Times New Roman"/>
                <w:color w:val="auto"/>
                <w:highlight w:val="none"/>
                <w:lang w:val="en-US" w:eastAsia="zh-CN"/>
              </w:rPr>
            </w:pPr>
            <w:r>
              <w:rPr>
                <w:rFonts w:hint="eastAsia" w:cs="Times New Roman"/>
                <w:color w:val="auto"/>
                <w:highlight w:val="none"/>
                <w:lang w:val="en-US" w:eastAsia="zh-CN"/>
              </w:rPr>
              <w:t xml:space="preserve"> 涉VOCs</w:t>
            </w:r>
            <w:r>
              <w:rPr>
                <w:rFonts w:hint="eastAsia" w:eastAsia="宋体" w:cs="Times New Roman"/>
                <w:color w:val="auto"/>
                <w:highlight w:val="none"/>
                <w:lang w:val="en-US" w:eastAsia="zh-CN"/>
              </w:rPr>
              <w:t>物料平衡表</w:t>
            </w:r>
          </w:p>
          <w:tbl>
            <w:tblPr>
              <w:tblStyle w:val="43"/>
              <w:tblW w:w="0" w:type="auto"/>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1"/>
              <w:gridCol w:w="2046"/>
              <w:gridCol w:w="1133"/>
              <w:gridCol w:w="364"/>
              <w:gridCol w:w="1583"/>
              <w:gridCol w:w="1289"/>
              <w:gridCol w:w="794"/>
            </w:tblGrid>
            <w:tr w14:paraId="6CE9F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E1C632">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31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ED453C">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投料（</w:t>
                  </w:r>
                  <w:r>
                    <w:rPr>
                      <w:rFonts w:hint="default" w:ascii="Times New Roman" w:hAnsi="Times New Roman" w:eastAsia="宋体" w:cs="Times New Roman"/>
                      <w:b/>
                      <w:bCs/>
                      <w:i w:val="0"/>
                      <w:iCs w:val="0"/>
                      <w:color w:val="auto"/>
                      <w:kern w:val="0"/>
                      <w:sz w:val="21"/>
                      <w:szCs w:val="21"/>
                      <w:highlight w:val="none"/>
                      <w:u w:val="none"/>
                      <w:lang w:val="en-US" w:eastAsia="zh-CN" w:bidi="ar"/>
                    </w:rPr>
                    <w:t>t/a</w:t>
                  </w:r>
                  <w:r>
                    <w:rPr>
                      <w:rFonts w:hint="eastAsia" w:ascii="宋体" w:hAnsi="宋体" w:eastAsia="宋体" w:cs="宋体"/>
                      <w:b/>
                      <w:bCs/>
                      <w:i w:val="0"/>
                      <w:iCs w:val="0"/>
                      <w:color w:val="auto"/>
                      <w:kern w:val="0"/>
                      <w:sz w:val="21"/>
                      <w:szCs w:val="21"/>
                      <w:highlight w:val="none"/>
                      <w:u w:val="none"/>
                      <w:lang w:val="en-US" w:eastAsia="zh-CN" w:bidi="ar"/>
                    </w:rPr>
                    <w:t>）</w:t>
                  </w:r>
                </w:p>
              </w:tc>
              <w:tc>
                <w:tcPr>
                  <w:tcW w:w="40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C3D6A23">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产出（</w:t>
                  </w:r>
                  <w:r>
                    <w:rPr>
                      <w:rFonts w:hint="default" w:ascii="Times New Roman" w:hAnsi="Times New Roman" w:eastAsia="宋体" w:cs="Times New Roman"/>
                      <w:b/>
                      <w:bCs/>
                      <w:i w:val="0"/>
                      <w:iCs w:val="0"/>
                      <w:color w:val="auto"/>
                      <w:kern w:val="0"/>
                      <w:sz w:val="21"/>
                      <w:szCs w:val="21"/>
                      <w:highlight w:val="none"/>
                      <w:u w:val="none"/>
                      <w:lang w:val="en-US" w:eastAsia="zh-CN" w:bidi="ar"/>
                    </w:rPr>
                    <w:t>t/a</w:t>
                  </w:r>
                  <w:r>
                    <w:rPr>
                      <w:rFonts w:hint="eastAsia" w:ascii="宋体" w:hAnsi="宋体" w:eastAsia="宋体" w:cs="宋体"/>
                      <w:b/>
                      <w:bCs/>
                      <w:i w:val="0"/>
                      <w:iCs w:val="0"/>
                      <w:color w:val="auto"/>
                      <w:kern w:val="0"/>
                      <w:sz w:val="21"/>
                      <w:szCs w:val="21"/>
                      <w:highlight w:val="none"/>
                      <w:u w:val="none"/>
                      <w:lang w:val="en-US" w:eastAsia="zh-CN" w:bidi="ar"/>
                    </w:rPr>
                    <w:t>）</w:t>
                  </w:r>
                </w:p>
              </w:tc>
            </w:tr>
            <w:tr w14:paraId="3A59D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8FAAEE">
                  <w:pPr>
                    <w:spacing w:line="240" w:lineRule="auto"/>
                    <w:jc w:val="center"/>
                    <w:rPr>
                      <w:rFonts w:hint="default" w:ascii="Times New Roman" w:hAnsi="Times New Roman" w:eastAsia="宋体" w:cs="Times New Roman"/>
                      <w:b/>
                      <w:bCs/>
                      <w:i w:val="0"/>
                      <w:iCs w:val="0"/>
                      <w:color w:val="auto"/>
                      <w:sz w:val="21"/>
                      <w:szCs w:val="21"/>
                      <w:highlight w:val="none"/>
                      <w:u w:val="none"/>
                    </w:rPr>
                  </w:pP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CF791">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物料名称</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522E2">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3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805DE8">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物料名称</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AE004">
                  <w:pPr>
                    <w:keepNext w:val="0"/>
                    <w:keepLines w:val="0"/>
                    <w:widowControl/>
                    <w:suppressLineNumbers w:val="0"/>
                    <w:spacing w:line="240" w:lineRule="auto"/>
                    <w:jc w:val="left"/>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r>
            <w:tr w14:paraId="04AAC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D3A0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BDE6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水性油漆</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E879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1.004</w:t>
                  </w:r>
                </w:p>
              </w:tc>
              <w:tc>
                <w:tcPr>
                  <w:tcW w:w="3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DF39C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进入产品</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E7C7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12.189 </w:t>
                  </w:r>
                </w:p>
              </w:tc>
            </w:tr>
            <w:tr w14:paraId="2B7B1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5E7C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7D63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粉末涂料</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0452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11.455 </w:t>
                  </w:r>
                </w:p>
              </w:tc>
              <w:tc>
                <w:tcPr>
                  <w:tcW w:w="323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F10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VOCs</w:t>
                  </w:r>
                  <w:r>
                    <w:rPr>
                      <w:rFonts w:hint="eastAsia" w:ascii="Times New Roman" w:hAnsi="Times New Roman" w:eastAsia="宋体" w:cs="Times New Roman"/>
                      <w:i w:val="0"/>
                      <w:iCs w:val="0"/>
                      <w:color w:val="auto"/>
                      <w:kern w:val="0"/>
                      <w:sz w:val="21"/>
                      <w:szCs w:val="21"/>
                      <w:highlight w:val="none"/>
                      <w:u w:val="none"/>
                      <w:lang w:val="en-US" w:eastAsia="zh-CN" w:bidi="ar"/>
                    </w:rPr>
                    <w:t>去除量</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9E6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0.738 </w:t>
                  </w:r>
                </w:p>
              </w:tc>
            </w:tr>
            <w:tr w14:paraId="2A728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6A5D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5E30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丝印油墨</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7728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0.105</w:t>
                  </w:r>
                </w:p>
              </w:tc>
              <w:tc>
                <w:tcPr>
                  <w:tcW w:w="3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4611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废气</w:t>
                  </w:r>
                </w:p>
              </w:tc>
              <w:tc>
                <w:tcPr>
                  <w:tcW w:w="15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BDB4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颗粒物</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864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有组织</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047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0.143 </w:t>
                  </w:r>
                </w:p>
              </w:tc>
            </w:tr>
            <w:tr w14:paraId="3C788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0023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8948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油性漆主漆</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145F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2.437 </w:t>
                  </w:r>
                </w:p>
              </w:tc>
              <w:tc>
                <w:tcPr>
                  <w:tcW w:w="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5B5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123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AD2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无组织</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BCD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0.697 </w:t>
                  </w:r>
                </w:p>
              </w:tc>
            </w:tr>
            <w:tr w14:paraId="5AA10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2D60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41FC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固化剂</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1AC9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0.487 </w:t>
                  </w:r>
                </w:p>
              </w:tc>
              <w:tc>
                <w:tcPr>
                  <w:tcW w:w="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5EA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F210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VOCs</w:t>
                  </w: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B23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有组织</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1A3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0.184 </w:t>
                  </w:r>
                </w:p>
              </w:tc>
            </w:tr>
            <w:tr w14:paraId="18238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FE27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E52B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稀释剂</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500E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0.031 </w:t>
                  </w:r>
                </w:p>
              </w:tc>
              <w:tc>
                <w:tcPr>
                  <w:tcW w:w="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8306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5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8B73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2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7F3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无组织</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C3E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0.098 </w:t>
                  </w:r>
                </w:p>
              </w:tc>
            </w:tr>
            <w:tr w14:paraId="1E0DA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D58B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A65F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网版清洗剂（半水基清洗剂）</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A80A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0.150 </w:t>
                  </w:r>
                </w:p>
              </w:tc>
              <w:tc>
                <w:tcPr>
                  <w:tcW w:w="3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4907B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固废</w:t>
                  </w:r>
                </w:p>
              </w:tc>
              <w:tc>
                <w:tcPr>
                  <w:tcW w:w="28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F1F83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喷枪清洗废液</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746E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0.016 </w:t>
                  </w:r>
                </w:p>
              </w:tc>
            </w:tr>
            <w:tr w14:paraId="7380E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301E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20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F00B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酒精</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623B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0.225</w:t>
                  </w:r>
                  <w:r>
                    <w:rPr>
                      <w:rFonts w:hint="eastAsia" w:cs="Times New Roman"/>
                      <w:i w:val="0"/>
                      <w:iCs w:val="0"/>
                      <w:color w:val="auto"/>
                      <w:kern w:val="0"/>
                      <w:sz w:val="21"/>
                      <w:szCs w:val="21"/>
                      <w:highlight w:val="none"/>
                      <w:u w:val="none"/>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4C19D">
                  <w:pPr>
                    <w:spacing w:line="240" w:lineRule="auto"/>
                    <w:jc w:val="center"/>
                    <w:rPr>
                      <w:rFonts w:hint="default" w:ascii="Times New Roman" w:hAnsi="Times New Roman" w:eastAsia="宋体" w:cs="Times New Roman"/>
                      <w:i w:val="0"/>
                      <w:iCs w:val="0"/>
                      <w:color w:val="auto"/>
                      <w:sz w:val="21"/>
                      <w:szCs w:val="21"/>
                      <w:highlight w:val="none"/>
                      <w:u w:val="none"/>
                    </w:rPr>
                  </w:pPr>
                </w:p>
              </w:tc>
              <w:tc>
                <w:tcPr>
                  <w:tcW w:w="28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72C24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漆渣去除量</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2A80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1.066 </w:t>
                  </w:r>
                </w:p>
              </w:tc>
            </w:tr>
            <w:tr w14:paraId="61213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88BF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D3EE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DC89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717148">
                  <w:pPr>
                    <w:spacing w:line="240" w:lineRule="auto"/>
                    <w:jc w:val="center"/>
                    <w:rPr>
                      <w:rFonts w:hint="default" w:ascii="Times New Roman" w:hAnsi="Times New Roman" w:eastAsia="宋体" w:cs="Times New Roman"/>
                      <w:i w:val="0"/>
                      <w:iCs w:val="0"/>
                      <w:color w:val="auto"/>
                      <w:sz w:val="21"/>
                      <w:szCs w:val="21"/>
                      <w:highlight w:val="none"/>
                      <w:u w:val="none"/>
                    </w:rPr>
                  </w:pPr>
                </w:p>
              </w:tc>
              <w:tc>
                <w:tcPr>
                  <w:tcW w:w="28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CD14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网版清洗废液</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F454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0.138 </w:t>
                  </w:r>
                </w:p>
              </w:tc>
            </w:tr>
            <w:tr w14:paraId="6EA3B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5E82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7B73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870D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B3170">
                  <w:pPr>
                    <w:spacing w:line="240" w:lineRule="auto"/>
                    <w:jc w:val="center"/>
                    <w:rPr>
                      <w:rFonts w:hint="default" w:ascii="Times New Roman" w:hAnsi="Times New Roman" w:eastAsia="宋体" w:cs="Times New Roman"/>
                      <w:i w:val="0"/>
                      <w:iCs w:val="0"/>
                      <w:color w:val="auto"/>
                      <w:sz w:val="21"/>
                      <w:szCs w:val="21"/>
                      <w:highlight w:val="none"/>
                      <w:u w:val="none"/>
                    </w:rPr>
                  </w:pPr>
                </w:p>
              </w:tc>
              <w:tc>
                <w:tcPr>
                  <w:tcW w:w="28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E7521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废粉末涂料</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D24E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0.375 </w:t>
                  </w:r>
                </w:p>
              </w:tc>
            </w:tr>
            <w:tr w14:paraId="29D54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7165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E386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18F1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EFF41">
                  <w:pPr>
                    <w:spacing w:line="240" w:lineRule="auto"/>
                    <w:jc w:val="center"/>
                    <w:rPr>
                      <w:rFonts w:hint="default" w:ascii="Times New Roman" w:hAnsi="Times New Roman" w:eastAsia="宋体" w:cs="Times New Roman"/>
                      <w:i w:val="0"/>
                      <w:iCs w:val="0"/>
                      <w:color w:val="auto"/>
                      <w:sz w:val="21"/>
                      <w:szCs w:val="21"/>
                      <w:highlight w:val="none"/>
                      <w:u w:val="none"/>
                    </w:rPr>
                  </w:pPr>
                </w:p>
              </w:tc>
              <w:tc>
                <w:tcPr>
                  <w:tcW w:w="287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902D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水蒸气</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5CA4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0.25 </w:t>
                  </w:r>
                </w:p>
              </w:tc>
            </w:tr>
            <w:tr w14:paraId="418AA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6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582604">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合计</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15A6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15.894 </w:t>
                  </w:r>
                </w:p>
              </w:tc>
              <w:tc>
                <w:tcPr>
                  <w:tcW w:w="3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E51E20">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合计</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ECB9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15.894 </w:t>
                  </w:r>
                </w:p>
              </w:tc>
            </w:tr>
          </w:tbl>
          <w:p w14:paraId="18243D9D">
            <w:pPr>
              <w:pStyle w:val="10"/>
              <w:pageBreakBefore w:val="0"/>
              <w:numPr>
                <w:ilvl w:val="3"/>
                <w:numId w:val="0"/>
              </w:numPr>
              <w:wordWrap w:val="0"/>
              <w:overflowPunct/>
              <w:bidi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t>4、</w:t>
            </w:r>
            <w:r>
              <w:rPr>
                <w:rFonts w:hint="default" w:ascii="Times New Roman" w:hAnsi="Times New Roman" w:cs="Times New Roman"/>
                <w:color w:val="auto"/>
                <w:highlight w:val="none"/>
              </w:rPr>
              <w:t>生产设备</w:t>
            </w:r>
          </w:p>
          <w:p w14:paraId="332C3D5B">
            <w:pPr>
              <w:pStyle w:val="21"/>
              <w:pageBreakBefore w:val="0"/>
              <w:wordWrap w:val="0"/>
              <w:overflowPunct/>
              <w:bidi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本项目生产设备见下表。</w:t>
            </w:r>
          </w:p>
          <w:p w14:paraId="63C35691">
            <w:pPr>
              <w:pStyle w:val="17"/>
              <w:pageBreakBefore w:val="0"/>
              <w:numPr>
                <w:ilvl w:val="0"/>
                <w:numId w:val="8"/>
              </w:numPr>
              <w:wordWrap w:val="0"/>
              <w:overflowPunct/>
              <w:bidi w:val="0"/>
              <w:spacing w:line="240" w:lineRule="auto"/>
              <w:ind w:left="0" w:leftChars="0" w:firstLine="4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 xml:space="preserve"> 生产设备一览表</w:t>
            </w:r>
          </w:p>
          <w:tbl>
            <w:tblPr>
              <w:tblStyle w:val="43"/>
              <w:tblW w:w="496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569"/>
              <w:gridCol w:w="1761"/>
              <w:gridCol w:w="2212"/>
              <w:gridCol w:w="1053"/>
              <w:gridCol w:w="2198"/>
            </w:tblGrid>
            <w:tr w14:paraId="1046B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657" w:hRule="atLeast"/>
                <w:jc w:val="center"/>
              </w:trPr>
              <w:tc>
                <w:tcPr>
                  <w:tcW w:w="365" w:type="pct"/>
                  <w:tcBorders>
                    <w:tl2br w:val="nil"/>
                    <w:tr2bl w:val="nil"/>
                  </w:tcBorders>
                  <w:shd w:val="clear" w:color="auto" w:fill="auto"/>
                  <w:noWrap/>
                  <w:vAlign w:val="center"/>
                </w:tcPr>
                <w:p w14:paraId="3BDBFED1">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rPr>
                    <w:t>序号</w:t>
                  </w:r>
                </w:p>
              </w:tc>
              <w:tc>
                <w:tcPr>
                  <w:tcW w:w="1129" w:type="pct"/>
                  <w:tcBorders>
                    <w:tl2br w:val="nil"/>
                    <w:tr2bl w:val="nil"/>
                  </w:tcBorders>
                  <w:shd w:val="clear" w:color="auto" w:fill="auto"/>
                  <w:noWrap/>
                  <w:vAlign w:val="center"/>
                </w:tcPr>
                <w:p w14:paraId="5C0AD5D4">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rPr>
                    <w:t>设备名称</w:t>
                  </w:r>
                </w:p>
              </w:tc>
              <w:tc>
                <w:tcPr>
                  <w:tcW w:w="1418" w:type="pct"/>
                  <w:tcBorders>
                    <w:tl2br w:val="nil"/>
                    <w:tr2bl w:val="nil"/>
                  </w:tcBorders>
                  <w:shd w:val="clear" w:color="auto" w:fill="auto"/>
                  <w:noWrap/>
                  <w:vAlign w:val="center"/>
                </w:tcPr>
                <w:p w14:paraId="655E055A">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rPr>
                    <w:t>规格型号</w:t>
                  </w:r>
                </w:p>
              </w:tc>
              <w:tc>
                <w:tcPr>
                  <w:tcW w:w="675" w:type="pct"/>
                  <w:tcBorders>
                    <w:tl2br w:val="nil"/>
                    <w:tr2bl w:val="nil"/>
                  </w:tcBorders>
                  <w:shd w:val="clear" w:color="auto" w:fill="auto"/>
                  <w:noWrap/>
                  <w:vAlign w:val="center"/>
                </w:tcPr>
                <w:p w14:paraId="7B5F1DA9">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数量</w:t>
                  </w:r>
                </w:p>
              </w:tc>
              <w:tc>
                <w:tcPr>
                  <w:tcW w:w="1409" w:type="pct"/>
                  <w:tcBorders>
                    <w:tl2br w:val="nil"/>
                    <w:tr2bl w:val="nil"/>
                  </w:tcBorders>
                  <w:shd w:val="clear" w:color="auto" w:fill="auto"/>
                  <w:noWrap/>
                  <w:vAlign w:val="center"/>
                </w:tcPr>
                <w:p w14:paraId="65FFB20F">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rPr>
                    <w:t>用途</w:t>
                  </w:r>
                </w:p>
              </w:tc>
            </w:tr>
            <w:tr w14:paraId="371E6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01" w:hRule="atLeast"/>
                <w:jc w:val="center"/>
              </w:trPr>
              <w:tc>
                <w:tcPr>
                  <w:tcW w:w="365" w:type="pct"/>
                  <w:tcBorders>
                    <w:tl2br w:val="nil"/>
                    <w:tr2bl w:val="nil"/>
                  </w:tcBorders>
                  <w:shd w:val="clear" w:color="auto" w:fill="auto"/>
                  <w:noWrap/>
                  <w:vAlign w:val="center"/>
                </w:tcPr>
                <w:p w14:paraId="4A24B0EF">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1</w:t>
                  </w:r>
                </w:p>
              </w:tc>
              <w:tc>
                <w:tcPr>
                  <w:tcW w:w="1129" w:type="pct"/>
                  <w:tcBorders>
                    <w:tl2br w:val="nil"/>
                    <w:tr2bl w:val="nil"/>
                  </w:tcBorders>
                  <w:shd w:val="clear" w:color="auto" w:fill="auto"/>
                  <w:noWrap/>
                  <w:vAlign w:val="center"/>
                </w:tcPr>
                <w:p w14:paraId="316AFB12">
                  <w:pPr>
                    <w:widowControl/>
                    <w:spacing w:line="36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切割机</w:t>
                  </w:r>
                </w:p>
              </w:tc>
              <w:tc>
                <w:tcPr>
                  <w:tcW w:w="1418" w:type="pct"/>
                  <w:tcBorders>
                    <w:tl2br w:val="nil"/>
                    <w:tr2bl w:val="nil"/>
                  </w:tcBorders>
                  <w:shd w:val="clear" w:color="auto" w:fill="auto"/>
                  <w:noWrap/>
                  <w:vAlign w:val="center"/>
                </w:tcPr>
                <w:p w14:paraId="4D8AF39E">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75" w:type="pct"/>
                  <w:tcBorders>
                    <w:tl2br w:val="nil"/>
                    <w:tr2bl w:val="nil"/>
                  </w:tcBorders>
                  <w:shd w:val="clear" w:color="auto" w:fill="auto"/>
                  <w:noWrap/>
                  <w:vAlign w:val="center"/>
                </w:tcPr>
                <w:p w14:paraId="0B4B0937">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2台</w:t>
                  </w:r>
                </w:p>
              </w:tc>
              <w:tc>
                <w:tcPr>
                  <w:tcW w:w="1409" w:type="pct"/>
                  <w:tcBorders>
                    <w:tl2br w:val="nil"/>
                    <w:tr2bl w:val="nil"/>
                  </w:tcBorders>
                  <w:shd w:val="clear" w:color="auto" w:fill="auto"/>
                  <w:noWrap/>
                  <w:vAlign w:val="center"/>
                </w:tcPr>
                <w:p w14:paraId="72D4B225">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激光切割开料</w:t>
                  </w:r>
                </w:p>
              </w:tc>
            </w:tr>
            <w:tr w14:paraId="43F20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01" w:hRule="atLeast"/>
                <w:jc w:val="center"/>
              </w:trPr>
              <w:tc>
                <w:tcPr>
                  <w:tcW w:w="365" w:type="pct"/>
                  <w:tcBorders>
                    <w:tl2br w:val="nil"/>
                    <w:tr2bl w:val="nil"/>
                  </w:tcBorders>
                  <w:shd w:val="clear" w:color="auto" w:fill="auto"/>
                  <w:noWrap/>
                  <w:vAlign w:val="center"/>
                </w:tcPr>
                <w:p w14:paraId="440DDDDC">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129" w:type="pct"/>
                  <w:tcBorders>
                    <w:tl2br w:val="nil"/>
                    <w:tr2bl w:val="nil"/>
                  </w:tcBorders>
                  <w:shd w:val="clear" w:color="auto" w:fill="auto"/>
                  <w:vAlign w:val="center"/>
                </w:tcPr>
                <w:p w14:paraId="552EF823">
                  <w:pPr>
                    <w:widowControl/>
                    <w:spacing w:line="36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折弯机</w:t>
                  </w:r>
                </w:p>
              </w:tc>
              <w:tc>
                <w:tcPr>
                  <w:tcW w:w="1418" w:type="pct"/>
                  <w:tcBorders>
                    <w:tl2br w:val="nil"/>
                    <w:tr2bl w:val="nil"/>
                  </w:tcBorders>
                  <w:shd w:val="clear" w:color="auto" w:fill="auto"/>
                  <w:vAlign w:val="center"/>
                </w:tcPr>
                <w:p w14:paraId="6C8AA70F">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75" w:type="pct"/>
                  <w:tcBorders>
                    <w:tl2br w:val="nil"/>
                    <w:tr2bl w:val="nil"/>
                  </w:tcBorders>
                  <w:shd w:val="clear" w:color="auto" w:fill="auto"/>
                  <w:noWrap/>
                  <w:vAlign w:val="center"/>
                </w:tcPr>
                <w:p w14:paraId="0086B0B3">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4台</w:t>
                  </w:r>
                </w:p>
              </w:tc>
              <w:tc>
                <w:tcPr>
                  <w:tcW w:w="1409" w:type="pct"/>
                  <w:tcBorders>
                    <w:tl2br w:val="nil"/>
                    <w:tr2bl w:val="nil"/>
                  </w:tcBorders>
                  <w:shd w:val="clear" w:color="auto" w:fill="auto"/>
                  <w:noWrap/>
                  <w:vAlign w:val="center"/>
                </w:tcPr>
                <w:p w14:paraId="2CFB1E92">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折弯</w:t>
                  </w:r>
                </w:p>
              </w:tc>
            </w:tr>
            <w:tr w14:paraId="6955D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01" w:hRule="atLeast"/>
                <w:jc w:val="center"/>
              </w:trPr>
              <w:tc>
                <w:tcPr>
                  <w:tcW w:w="365" w:type="pct"/>
                  <w:tcBorders>
                    <w:tl2br w:val="nil"/>
                    <w:tr2bl w:val="nil"/>
                  </w:tcBorders>
                  <w:shd w:val="clear" w:color="auto" w:fill="auto"/>
                  <w:noWrap/>
                  <w:vAlign w:val="center"/>
                </w:tcPr>
                <w:p w14:paraId="6DD53D7C">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129" w:type="pct"/>
                  <w:tcBorders>
                    <w:tl2br w:val="nil"/>
                    <w:tr2bl w:val="nil"/>
                  </w:tcBorders>
                  <w:shd w:val="clear" w:color="auto" w:fill="auto"/>
                  <w:vAlign w:val="center"/>
                </w:tcPr>
                <w:p w14:paraId="4226A7EB">
                  <w:pPr>
                    <w:widowControl/>
                    <w:spacing w:line="36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铆钉机</w:t>
                  </w:r>
                </w:p>
              </w:tc>
              <w:tc>
                <w:tcPr>
                  <w:tcW w:w="1418" w:type="pct"/>
                  <w:tcBorders>
                    <w:tl2br w:val="nil"/>
                    <w:tr2bl w:val="nil"/>
                  </w:tcBorders>
                  <w:shd w:val="clear" w:color="auto" w:fill="auto"/>
                  <w:vAlign w:val="center"/>
                </w:tcPr>
                <w:p w14:paraId="2FC11BD3">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75" w:type="pct"/>
                  <w:tcBorders>
                    <w:tl2br w:val="nil"/>
                    <w:tr2bl w:val="nil"/>
                  </w:tcBorders>
                  <w:shd w:val="clear" w:color="auto" w:fill="auto"/>
                  <w:noWrap/>
                  <w:vAlign w:val="center"/>
                </w:tcPr>
                <w:p w14:paraId="6E23EF1F">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4台</w:t>
                  </w:r>
                </w:p>
              </w:tc>
              <w:tc>
                <w:tcPr>
                  <w:tcW w:w="1409" w:type="pct"/>
                  <w:tcBorders>
                    <w:tl2br w:val="nil"/>
                    <w:tr2bl w:val="nil"/>
                  </w:tcBorders>
                  <w:shd w:val="clear" w:color="auto" w:fill="auto"/>
                  <w:noWrap/>
                  <w:vAlign w:val="center"/>
                </w:tcPr>
                <w:p w14:paraId="44C6BE6F">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铆钉</w:t>
                  </w:r>
                </w:p>
              </w:tc>
            </w:tr>
            <w:tr w14:paraId="21DBE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01" w:hRule="atLeast"/>
                <w:jc w:val="center"/>
              </w:trPr>
              <w:tc>
                <w:tcPr>
                  <w:tcW w:w="365" w:type="pct"/>
                  <w:tcBorders>
                    <w:tl2br w:val="nil"/>
                    <w:tr2bl w:val="nil"/>
                  </w:tcBorders>
                  <w:shd w:val="clear" w:color="auto" w:fill="auto"/>
                  <w:noWrap/>
                  <w:vAlign w:val="center"/>
                </w:tcPr>
                <w:p w14:paraId="3E75DEA1">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129" w:type="pct"/>
                  <w:tcBorders>
                    <w:tl2br w:val="nil"/>
                    <w:tr2bl w:val="nil"/>
                  </w:tcBorders>
                  <w:shd w:val="clear" w:color="auto" w:fill="auto"/>
                  <w:vAlign w:val="center"/>
                </w:tcPr>
                <w:p w14:paraId="534F6A91">
                  <w:pPr>
                    <w:widowControl/>
                    <w:spacing w:line="36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电焊机</w:t>
                  </w:r>
                </w:p>
              </w:tc>
              <w:tc>
                <w:tcPr>
                  <w:tcW w:w="1418" w:type="pct"/>
                  <w:tcBorders>
                    <w:tl2br w:val="nil"/>
                    <w:tr2bl w:val="nil"/>
                  </w:tcBorders>
                  <w:shd w:val="clear" w:color="auto" w:fill="auto"/>
                  <w:vAlign w:val="center"/>
                </w:tcPr>
                <w:p w14:paraId="323D8501">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675" w:type="pct"/>
                  <w:tcBorders>
                    <w:tl2br w:val="nil"/>
                    <w:tr2bl w:val="nil"/>
                  </w:tcBorders>
                  <w:shd w:val="clear" w:color="auto" w:fill="auto"/>
                  <w:noWrap/>
                  <w:vAlign w:val="center"/>
                </w:tcPr>
                <w:p w14:paraId="7A64B04A">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6台</w:t>
                  </w:r>
                </w:p>
              </w:tc>
              <w:tc>
                <w:tcPr>
                  <w:tcW w:w="1409" w:type="pct"/>
                  <w:tcBorders>
                    <w:tl2br w:val="nil"/>
                    <w:tr2bl w:val="nil"/>
                  </w:tcBorders>
                  <w:shd w:val="clear" w:color="auto" w:fill="auto"/>
                  <w:noWrap/>
                  <w:vAlign w:val="center"/>
                </w:tcPr>
                <w:p w14:paraId="0A498F87">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焊接</w:t>
                  </w:r>
                </w:p>
              </w:tc>
            </w:tr>
            <w:tr w14:paraId="638AEA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01" w:hRule="atLeast"/>
                <w:jc w:val="center"/>
              </w:trPr>
              <w:tc>
                <w:tcPr>
                  <w:tcW w:w="365" w:type="pct"/>
                  <w:tcBorders>
                    <w:tl2br w:val="nil"/>
                    <w:tr2bl w:val="nil"/>
                  </w:tcBorders>
                  <w:shd w:val="clear" w:color="auto" w:fill="auto"/>
                  <w:noWrap/>
                  <w:vAlign w:val="center"/>
                </w:tcPr>
                <w:p w14:paraId="10B8301D">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129" w:type="pct"/>
                  <w:tcBorders>
                    <w:tl2br w:val="nil"/>
                    <w:tr2bl w:val="nil"/>
                  </w:tcBorders>
                  <w:shd w:val="clear" w:color="auto" w:fill="auto"/>
                  <w:vAlign w:val="center"/>
                </w:tcPr>
                <w:p w14:paraId="2C187F0F">
                  <w:pPr>
                    <w:widowControl/>
                    <w:spacing w:line="36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打磨机</w:t>
                  </w:r>
                </w:p>
              </w:tc>
              <w:tc>
                <w:tcPr>
                  <w:tcW w:w="1418" w:type="pct"/>
                  <w:tcBorders>
                    <w:tl2br w:val="nil"/>
                    <w:tr2bl w:val="nil"/>
                  </w:tcBorders>
                  <w:shd w:val="clear" w:color="auto" w:fill="auto"/>
                  <w:vAlign w:val="center"/>
                </w:tcPr>
                <w:p w14:paraId="13F770FD">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675" w:type="pct"/>
                  <w:tcBorders>
                    <w:tl2br w:val="nil"/>
                    <w:tr2bl w:val="nil"/>
                  </w:tcBorders>
                  <w:shd w:val="clear" w:color="auto" w:fill="auto"/>
                  <w:noWrap/>
                  <w:vAlign w:val="center"/>
                </w:tcPr>
                <w:p w14:paraId="3BF8990C">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5台</w:t>
                  </w:r>
                </w:p>
              </w:tc>
              <w:tc>
                <w:tcPr>
                  <w:tcW w:w="1409" w:type="pct"/>
                  <w:tcBorders>
                    <w:tl2br w:val="nil"/>
                    <w:tr2bl w:val="nil"/>
                  </w:tcBorders>
                  <w:shd w:val="clear" w:color="auto" w:fill="auto"/>
                  <w:noWrap/>
                  <w:vAlign w:val="center"/>
                </w:tcPr>
                <w:p w14:paraId="5D384372">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打磨</w:t>
                  </w:r>
                </w:p>
              </w:tc>
            </w:tr>
            <w:tr w14:paraId="47944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16" w:hRule="atLeast"/>
                <w:jc w:val="center"/>
              </w:trPr>
              <w:tc>
                <w:tcPr>
                  <w:tcW w:w="365" w:type="pct"/>
                  <w:tcBorders>
                    <w:tl2br w:val="nil"/>
                    <w:tr2bl w:val="nil"/>
                  </w:tcBorders>
                  <w:shd w:val="clear" w:color="auto" w:fill="auto"/>
                  <w:noWrap/>
                  <w:vAlign w:val="center"/>
                </w:tcPr>
                <w:p w14:paraId="137D02A9">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1129" w:type="pct"/>
                  <w:tcBorders>
                    <w:tl2br w:val="nil"/>
                    <w:tr2bl w:val="nil"/>
                  </w:tcBorders>
                  <w:shd w:val="clear" w:color="auto" w:fill="auto"/>
                  <w:vAlign w:val="center"/>
                </w:tcPr>
                <w:p w14:paraId="1E151F69">
                  <w:pPr>
                    <w:widowControl/>
                    <w:spacing w:line="36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喷粉线</w:t>
                  </w:r>
                </w:p>
              </w:tc>
              <w:tc>
                <w:tcPr>
                  <w:tcW w:w="1418" w:type="pct"/>
                  <w:tcBorders>
                    <w:tl2br w:val="nil"/>
                    <w:tr2bl w:val="nil"/>
                  </w:tcBorders>
                  <w:shd w:val="clear" w:color="auto" w:fill="auto"/>
                  <w:vAlign w:val="center"/>
                </w:tcPr>
                <w:p w14:paraId="0A0E6443">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8m*22m</w:t>
                  </w:r>
                </w:p>
              </w:tc>
              <w:tc>
                <w:tcPr>
                  <w:tcW w:w="675" w:type="pct"/>
                  <w:tcBorders>
                    <w:tl2br w:val="nil"/>
                    <w:tr2bl w:val="nil"/>
                  </w:tcBorders>
                  <w:shd w:val="clear" w:color="auto" w:fill="auto"/>
                  <w:noWrap/>
                  <w:vAlign w:val="center"/>
                </w:tcPr>
                <w:p w14:paraId="2DA7C201">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1间</w:t>
                  </w:r>
                </w:p>
              </w:tc>
              <w:tc>
                <w:tcPr>
                  <w:tcW w:w="1409" w:type="pct"/>
                  <w:tcBorders>
                    <w:tl2br w:val="nil"/>
                    <w:tr2bl w:val="nil"/>
                  </w:tcBorders>
                  <w:shd w:val="clear" w:color="auto" w:fill="auto"/>
                  <w:noWrap/>
                  <w:vAlign w:val="center"/>
                </w:tcPr>
                <w:p w14:paraId="60518607">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val="en-US" w:eastAsia="zh-CN" w:bidi="ar-SA"/>
                    </w:rPr>
                    <w:t>粉末涂料</w:t>
                  </w:r>
                  <w:r>
                    <w:rPr>
                      <w:rFonts w:hint="default" w:ascii="Times New Roman" w:hAnsi="Times New Roman" w:eastAsia="宋体" w:cs="Times New Roman"/>
                      <w:color w:val="auto"/>
                      <w:kern w:val="0"/>
                      <w:sz w:val="21"/>
                      <w:szCs w:val="21"/>
                      <w:highlight w:val="none"/>
                      <w:lang w:val="en-US" w:eastAsia="zh-CN" w:bidi="ar-SA"/>
                    </w:rPr>
                    <w:t>喷</w:t>
                  </w:r>
                  <w:r>
                    <w:rPr>
                      <w:rFonts w:hint="eastAsia" w:cs="Times New Roman"/>
                      <w:color w:val="auto"/>
                      <w:kern w:val="0"/>
                      <w:sz w:val="21"/>
                      <w:szCs w:val="21"/>
                      <w:highlight w:val="none"/>
                      <w:lang w:val="en-US" w:eastAsia="zh-CN" w:bidi="ar-SA"/>
                    </w:rPr>
                    <w:t>涂</w:t>
                  </w:r>
                </w:p>
              </w:tc>
            </w:tr>
            <w:tr w14:paraId="3C0A63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01" w:hRule="atLeast"/>
                <w:jc w:val="center"/>
              </w:trPr>
              <w:tc>
                <w:tcPr>
                  <w:tcW w:w="365" w:type="pct"/>
                  <w:tcBorders>
                    <w:tl2br w:val="nil"/>
                    <w:tr2bl w:val="nil"/>
                  </w:tcBorders>
                  <w:shd w:val="clear" w:color="auto" w:fill="auto"/>
                  <w:noWrap/>
                  <w:vAlign w:val="center"/>
                </w:tcPr>
                <w:p w14:paraId="19F31DFF">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1129" w:type="pct"/>
                  <w:tcBorders>
                    <w:tl2br w:val="nil"/>
                    <w:tr2bl w:val="nil"/>
                  </w:tcBorders>
                  <w:shd w:val="clear" w:color="auto" w:fill="auto"/>
                  <w:vAlign w:val="center"/>
                </w:tcPr>
                <w:p w14:paraId="6CC4D08B">
                  <w:pPr>
                    <w:widowControl/>
                    <w:spacing w:line="36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喷漆房</w:t>
                  </w:r>
                </w:p>
              </w:tc>
              <w:tc>
                <w:tcPr>
                  <w:tcW w:w="1418" w:type="pct"/>
                  <w:tcBorders>
                    <w:tl2br w:val="nil"/>
                    <w:tr2bl w:val="nil"/>
                  </w:tcBorders>
                  <w:shd w:val="clear" w:color="auto" w:fill="auto"/>
                  <w:vAlign w:val="center"/>
                </w:tcPr>
                <w:p w14:paraId="6B170041">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4m*4m</w:t>
                  </w:r>
                </w:p>
              </w:tc>
              <w:tc>
                <w:tcPr>
                  <w:tcW w:w="675" w:type="pct"/>
                  <w:tcBorders>
                    <w:tl2br w:val="nil"/>
                    <w:tr2bl w:val="nil"/>
                  </w:tcBorders>
                  <w:shd w:val="clear" w:color="auto" w:fill="auto"/>
                  <w:noWrap/>
                  <w:vAlign w:val="center"/>
                </w:tcPr>
                <w:p w14:paraId="63CB7296">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1间</w:t>
                  </w:r>
                </w:p>
              </w:tc>
              <w:tc>
                <w:tcPr>
                  <w:tcW w:w="1409" w:type="pct"/>
                  <w:tcBorders>
                    <w:tl2br w:val="nil"/>
                    <w:tr2bl w:val="nil"/>
                  </w:tcBorders>
                  <w:shd w:val="clear" w:color="auto" w:fill="auto"/>
                  <w:noWrap/>
                  <w:vAlign w:val="center"/>
                </w:tcPr>
                <w:p w14:paraId="36747632">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漆料喷涂</w:t>
                  </w:r>
                </w:p>
              </w:tc>
            </w:tr>
            <w:tr w14:paraId="2CE00A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79" w:hRule="atLeast"/>
                <w:jc w:val="center"/>
              </w:trPr>
              <w:tc>
                <w:tcPr>
                  <w:tcW w:w="365" w:type="pct"/>
                  <w:tcBorders>
                    <w:tl2br w:val="nil"/>
                    <w:tr2bl w:val="nil"/>
                  </w:tcBorders>
                  <w:shd w:val="clear" w:color="auto" w:fill="auto"/>
                  <w:noWrap/>
                  <w:vAlign w:val="center"/>
                </w:tcPr>
                <w:p w14:paraId="5F65892C">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1129" w:type="pct"/>
                  <w:tcBorders>
                    <w:tl2br w:val="nil"/>
                    <w:tr2bl w:val="nil"/>
                  </w:tcBorders>
                  <w:shd w:val="clear" w:color="auto" w:fill="auto"/>
                  <w:vAlign w:val="center"/>
                </w:tcPr>
                <w:p w14:paraId="4CC48065">
                  <w:pPr>
                    <w:widowControl/>
                    <w:spacing w:line="36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r>
                    <w:rPr>
                      <w:rFonts w:hint="default" w:ascii="Times New Roman" w:hAnsi="Times New Roman" w:eastAsia="宋体" w:cs="Times New Roman"/>
                      <w:color w:val="auto"/>
                      <w:kern w:val="0"/>
                      <w:sz w:val="21"/>
                      <w:szCs w:val="21"/>
                      <w:highlight w:val="none"/>
                      <w:lang w:val="en-US" w:eastAsia="zh-CN" w:bidi="ar-SA"/>
                    </w:rPr>
                    <w:t>烤炉</w:t>
                  </w:r>
                </w:p>
              </w:tc>
              <w:tc>
                <w:tcPr>
                  <w:tcW w:w="1418" w:type="pct"/>
                  <w:tcBorders>
                    <w:tl2br w:val="nil"/>
                    <w:tr2bl w:val="nil"/>
                  </w:tcBorders>
                  <w:shd w:val="clear" w:color="auto" w:fill="auto"/>
                  <w:vAlign w:val="center"/>
                </w:tcPr>
                <w:p w14:paraId="6ED8DA01">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6.5m*22.5m</w:t>
                  </w:r>
                </w:p>
              </w:tc>
              <w:tc>
                <w:tcPr>
                  <w:tcW w:w="675" w:type="pct"/>
                  <w:tcBorders>
                    <w:tl2br w:val="nil"/>
                    <w:tr2bl w:val="nil"/>
                  </w:tcBorders>
                  <w:shd w:val="clear" w:color="auto" w:fill="auto"/>
                  <w:noWrap/>
                  <w:vAlign w:val="center"/>
                </w:tcPr>
                <w:p w14:paraId="30F4D64B">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1个</w:t>
                  </w:r>
                </w:p>
              </w:tc>
              <w:tc>
                <w:tcPr>
                  <w:tcW w:w="1409" w:type="pct"/>
                  <w:tcBorders>
                    <w:tl2br w:val="nil"/>
                    <w:tr2bl w:val="nil"/>
                  </w:tcBorders>
                  <w:shd w:val="clear" w:color="auto" w:fill="auto"/>
                  <w:noWrap/>
                  <w:vAlign w:val="center"/>
                </w:tcPr>
                <w:p w14:paraId="04D6AA01">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粉末涂料</w:t>
                  </w:r>
                  <w:r>
                    <w:rPr>
                      <w:rFonts w:hint="default" w:ascii="Times New Roman" w:hAnsi="Times New Roman" w:eastAsia="宋体" w:cs="Times New Roman"/>
                      <w:color w:val="auto"/>
                      <w:sz w:val="21"/>
                      <w:szCs w:val="21"/>
                      <w:highlight w:val="none"/>
                      <w:lang w:val="en-US" w:eastAsia="zh-CN"/>
                    </w:rPr>
                    <w:t>烘烤</w:t>
                  </w:r>
                  <w:r>
                    <w:rPr>
                      <w:rFonts w:hint="eastAsia" w:cs="Times New Roman"/>
                      <w:color w:val="auto"/>
                      <w:sz w:val="21"/>
                      <w:szCs w:val="21"/>
                      <w:highlight w:val="none"/>
                      <w:lang w:val="en-US" w:eastAsia="zh-CN"/>
                    </w:rPr>
                    <w:t>固化，使用天然气</w:t>
                  </w:r>
                </w:p>
              </w:tc>
            </w:tr>
            <w:tr w14:paraId="6C600E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501" w:hRule="atLeast"/>
                <w:jc w:val="center"/>
              </w:trPr>
              <w:tc>
                <w:tcPr>
                  <w:tcW w:w="365" w:type="pct"/>
                  <w:tcBorders>
                    <w:tl2br w:val="nil"/>
                    <w:tr2bl w:val="nil"/>
                  </w:tcBorders>
                  <w:shd w:val="clear" w:color="auto" w:fill="auto"/>
                  <w:noWrap/>
                  <w:vAlign w:val="center"/>
                </w:tcPr>
                <w:p w14:paraId="79A6B6D0">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c>
                <w:tcPr>
                  <w:tcW w:w="1129" w:type="pct"/>
                  <w:tcBorders>
                    <w:tl2br w:val="nil"/>
                    <w:tr2bl w:val="nil"/>
                  </w:tcBorders>
                  <w:shd w:val="clear" w:color="auto" w:fill="auto"/>
                  <w:vAlign w:val="center"/>
                </w:tcPr>
                <w:p w14:paraId="4AF2B3F6">
                  <w:pPr>
                    <w:widowControl/>
                    <w:spacing w:line="36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w:t>
                  </w:r>
                  <w:r>
                    <w:rPr>
                      <w:rFonts w:hint="default" w:ascii="Times New Roman" w:hAnsi="Times New Roman" w:eastAsia="宋体" w:cs="Times New Roman"/>
                      <w:color w:val="auto"/>
                      <w:kern w:val="0"/>
                      <w:sz w:val="21"/>
                      <w:szCs w:val="21"/>
                      <w:highlight w:val="none"/>
                      <w:lang w:val="en-US" w:eastAsia="zh-CN" w:bidi="ar-SA"/>
                    </w:rPr>
                    <w:t>烤炉</w:t>
                  </w:r>
                </w:p>
              </w:tc>
              <w:tc>
                <w:tcPr>
                  <w:tcW w:w="1418" w:type="pct"/>
                  <w:tcBorders>
                    <w:tl2br w:val="nil"/>
                    <w:tr2bl w:val="nil"/>
                  </w:tcBorders>
                  <w:shd w:val="clear" w:color="auto" w:fill="auto"/>
                  <w:vAlign w:val="center"/>
                </w:tcPr>
                <w:p w14:paraId="345ADD71">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1.5m*26m</w:t>
                  </w:r>
                </w:p>
              </w:tc>
              <w:tc>
                <w:tcPr>
                  <w:tcW w:w="675" w:type="pct"/>
                  <w:tcBorders>
                    <w:tl2br w:val="nil"/>
                    <w:tr2bl w:val="nil"/>
                  </w:tcBorders>
                  <w:shd w:val="clear" w:color="auto" w:fill="auto"/>
                  <w:noWrap/>
                  <w:vAlign w:val="center"/>
                </w:tcPr>
                <w:p w14:paraId="427605FA">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1个</w:t>
                  </w:r>
                </w:p>
              </w:tc>
              <w:tc>
                <w:tcPr>
                  <w:tcW w:w="1409" w:type="pct"/>
                  <w:tcBorders>
                    <w:tl2br w:val="nil"/>
                    <w:tr2bl w:val="nil"/>
                  </w:tcBorders>
                  <w:shd w:val="clear" w:color="auto" w:fill="auto"/>
                  <w:noWrap/>
                  <w:vAlign w:val="center"/>
                </w:tcPr>
                <w:p w14:paraId="75A3DA5F">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漆料涂料</w:t>
                  </w:r>
                  <w:r>
                    <w:rPr>
                      <w:rFonts w:hint="default" w:ascii="Times New Roman" w:hAnsi="Times New Roman" w:eastAsia="宋体" w:cs="Times New Roman"/>
                      <w:color w:val="auto"/>
                      <w:sz w:val="21"/>
                      <w:szCs w:val="21"/>
                      <w:highlight w:val="none"/>
                      <w:lang w:val="en-US" w:eastAsia="zh-CN"/>
                    </w:rPr>
                    <w:t>烘烤</w:t>
                  </w:r>
                  <w:r>
                    <w:rPr>
                      <w:rFonts w:hint="eastAsia" w:cs="Times New Roman"/>
                      <w:color w:val="auto"/>
                      <w:sz w:val="21"/>
                      <w:szCs w:val="21"/>
                      <w:highlight w:val="none"/>
                      <w:lang w:val="en-US" w:eastAsia="zh-CN"/>
                    </w:rPr>
                    <w:t>固化</w:t>
                  </w:r>
                  <w:r>
                    <w:rPr>
                      <w:rFonts w:hint="default" w:ascii="Times New Roman" w:hAnsi="Times New Roman" w:eastAsia="宋体" w:cs="Times New Roman"/>
                      <w:color w:val="auto"/>
                      <w:sz w:val="21"/>
                      <w:szCs w:val="21"/>
                      <w:highlight w:val="none"/>
                      <w:lang w:val="en-US" w:eastAsia="zh-CN"/>
                    </w:rPr>
                    <w:t>，使用天然气</w:t>
                  </w:r>
                </w:p>
              </w:tc>
            </w:tr>
            <w:tr w14:paraId="4491E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89" w:hRule="atLeast"/>
                <w:jc w:val="center"/>
              </w:trPr>
              <w:tc>
                <w:tcPr>
                  <w:tcW w:w="365" w:type="pct"/>
                  <w:tcBorders>
                    <w:tl2br w:val="nil"/>
                    <w:tr2bl w:val="nil"/>
                  </w:tcBorders>
                  <w:shd w:val="clear" w:color="auto" w:fill="auto"/>
                  <w:noWrap/>
                  <w:vAlign w:val="center"/>
                </w:tcPr>
                <w:p w14:paraId="73F6AE7D">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1129" w:type="pct"/>
                  <w:tcBorders>
                    <w:tl2br w:val="nil"/>
                    <w:tr2bl w:val="nil"/>
                  </w:tcBorders>
                  <w:shd w:val="clear" w:color="auto" w:fill="auto"/>
                  <w:vAlign w:val="center"/>
                </w:tcPr>
                <w:p w14:paraId="5AF55654">
                  <w:pPr>
                    <w:widowControl/>
                    <w:spacing w:line="36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丝网印刷机</w:t>
                  </w:r>
                </w:p>
              </w:tc>
              <w:tc>
                <w:tcPr>
                  <w:tcW w:w="1418" w:type="pct"/>
                  <w:tcBorders>
                    <w:tl2br w:val="nil"/>
                    <w:tr2bl w:val="nil"/>
                  </w:tcBorders>
                  <w:shd w:val="clear" w:color="auto" w:fill="auto"/>
                  <w:vAlign w:val="center"/>
                </w:tcPr>
                <w:p w14:paraId="2284B8E9">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cs="Times New Roman"/>
                      <w:color w:val="auto"/>
                      <w:sz w:val="21"/>
                      <w:szCs w:val="21"/>
                      <w:highlight w:val="none"/>
                      <w:lang w:val="en-US" w:eastAsia="zh-CN"/>
                    </w:rPr>
                    <w:t>丝印</w:t>
                  </w:r>
                  <w:r>
                    <w:rPr>
                      <w:rFonts w:hint="default" w:ascii="Times New Roman" w:hAnsi="Times New Roman" w:eastAsia="宋体" w:cs="Times New Roman"/>
                      <w:color w:val="auto"/>
                      <w:sz w:val="21"/>
                      <w:szCs w:val="21"/>
                      <w:highlight w:val="none"/>
                      <w:lang w:val="en-US" w:eastAsia="zh-CN"/>
                    </w:rPr>
                    <w:t>间2m*2m</w:t>
                  </w:r>
                </w:p>
              </w:tc>
              <w:tc>
                <w:tcPr>
                  <w:tcW w:w="675" w:type="pct"/>
                  <w:tcBorders>
                    <w:tl2br w:val="nil"/>
                    <w:tr2bl w:val="nil"/>
                  </w:tcBorders>
                  <w:shd w:val="clear" w:color="auto" w:fill="auto"/>
                  <w:noWrap/>
                  <w:vAlign w:val="center"/>
                </w:tcPr>
                <w:p w14:paraId="33AAA6D4">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1台</w:t>
                  </w:r>
                </w:p>
              </w:tc>
              <w:tc>
                <w:tcPr>
                  <w:tcW w:w="1409" w:type="pct"/>
                  <w:tcBorders>
                    <w:tl2br w:val="nil"/>
                    <w:tr2bl w:val="nil"/>
                  </w:tcBorders>
                  <w:shd w:val="clear" w:color="auto" w:fill="auto"/>
                  <w:noWrap/>
                  <w:vAlign w:val="center"/>
                </w:tcPr>
                <w:p w14:paraId="130460AC">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油墨丝印</w:t>
                  </w:r>
                </w:p>
              </w:tc>
            </w:tr>
            <w:tr w14:paraId="3ACCD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89" w:hRule="atLeast"/>
                <w:jc w:val="center"/>
              </w:trPr>
              <w:tc>
                <w:tcPr>
                  <w:tcW w:w="365" w:type="pct"/>
                  <w:tcBorders>
                    <w:tl2br w:val="nil"/>
                    <w:tr2bl w:val="nil"/>
                  </w:tcBorders>
                  <w:shd w:val="clear" w:color="auto" w:fill="auto"/>
                  <w:noWrap/>
                  <w:vAlign w:val="center"/>
                </w:tcPr>
                <w:p w14:paraId="2403AD16">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w:t>
                  </w:r>
                </w:p>
              </w:tc>
              <w:tc>
                <w:tcPr>
                  <w:tcW w:w="1129" w:type="pct"/>
                  <w:tcBorders>
                    <w:tl2br w:val="nil"/>
                    <w:tr2bl w:val="nil"/>
                  </w:tcBorders>
                  <w:shd w:val="clear" w:color="auto" w:fill="auto"/>
                  <w:vAlign w:val="center"/>
                </w:tcPr>
                <w:p w14:paraId="00AD7EA8">
                  <w:pPr>
                    <w:widowControl/>
                    <w:spacing w:line="360" w:lineRule="auto"/>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烘水炉</w:t>
                  </w:r>
                </w:p>
              </w:tc>
              <w:tc>
                <w:tcPr>
                  <w:tcW w:w="1418" w:type="pct"/>
                  <w:tcBorders>
                    <w:tl2br w:val="nil"/>
                    <w:tr2bl w:val="nil"/>
                  </w:tcBorders>
                  <w:shd w:val="clear" w:color="auto" w:fill="auto"/>
                  <w:vAlign w:val="center"/>
                </w:tcPr>
                <w:p w14:paraId="32D47BA2">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675" w:type="pct"/>
                  <w:tcBorders>
                    <w:tl2br w:val="nil"/>
                    <w:tr2bl w:val="nil"/>
                  </w:tcBorders>
                  <w:shd w:val="clear" w:color="auto" w:fill="auto"/>
                  <w:noWrap/>
                  <w:vAlign w:val="center"/>
                </w:tcPr>
                <w:p w14:paraId="0F8C9DC1">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1套</w:t>
                  </w:r>
                </w:p>
              </w:tc>
              <w:tc>
                <w:tcPr>
                  <w:tcW w:w="1409" w:type="pct"/>
                  <w:tcBorders>
                    <w:tl2br w:val="nil"/>
                    <w:tr2bl w:val="nil"/>
                  </w:tcBorders>
                  <w:shd w:val="clear" w:color="auto" w:fill="auto"/>
                  <w:noWrap/>
                  <w:vAlign w:val="center"/>
                </w:tcPr>
                <w:p w14:paraId="7AE36581">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烘干水分，使用天然气</w:t>
                  </w:r>
                </w:p>
              </w:tc>
            </w:tr>
            <w:tr w14:paraId="1BBFE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89" w:hRule="atLeast"/>
                <w:jc w:val="center"/>
              </w:trPr>
              <w:tc>
                <w:tcPr>
                  <w:tcW w:w="365" w:type="pct"/>
                  <w:tcBorders>
                    <w:tl2br w:val="nil"/>
                    <w:tr2bl w:val="nil"/>
                  </w:tcBorders>
                  <w:shd w:val="clear" w:color="auto" w:fill="auto"/>
                  <w:noWrap/>
                  <w:vAlign w:val="center"/>
                </w:tcPr>
                <w:p w14:paraId="40185C38">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1129" w:type="pct"/>
                  <w:tcBorders>
                    <w:tl2br w:val="nil"/>
                    <w:tr2bl w:val="nil"/>
                  </w:tcBorders>
                  <w:shd w:val="clear" w:color="auto" w:fill="auto"/>
                  <w:vAlign w:val="center"/>
                </w:tcPr>
                <w:p w14:paraId="5674A5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张力机</w:t>
                  </w:r>
                </w:p>
              </w:tc>
              <w:tc>
                <w:tcPr>
                  <w:tcW w:w="1418" w:type="pct"/>
                  <w:tcBorders>
                    <w:tl2br w:val="nil"/>
                    <w:tr2bl w:val="nil"/>
                  </w:tcBorders>
                  <w:shd w:val="clear" w:color="auto" w:fill="auto"/>
                  <w:vAlign w:val="center"/>
                </w:tcPr>
                <w:p w14:paraId="7DF26938">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675" w:type="pct"/>
                  <w:tcBorders>
                    <w:tl2br w:val="nil"/>
                    <w:tr2bl w:val="nil"/>
                  </w:tcBorders>
                  <w:shd w:val="clear" w:color="auto" w:fill="auto"/>
                  <w:noWrap/>
                  <w:vAlign w:val="center"/>
                </w:tcPr>
                <w:p w14:paraId="2A776632">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1台</w:t>
                  </w:r>
                </w:p>
              </w:tc>
              <w:tc>
                <w:tcPr>
                  <w:tcW w:w="1409" w:type="pct"/>
                  <w:tcBorders>
                    <w:tl2br w:val="nil"/>
                    <w:tr2bl w:val="nil"/>
                  </w:tcBorders>
                  <w:shd w:val="clear" w:color="auto" w:fill="auto"/>
                  <w:noWrap/>
                  <w:vAlign w:val="center"/>
                </w:tcPr>
                <w:p w14:paraId="3F3CAD7A">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行进动力</w:t>
                  </w:r>
                </w:p>
              </w:tc>
            </w:tr>
            <w:tr w14:paraId="27D1A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89" w:hRule="atLeast"/>
                <w:jc w:val="center"/>
              </w:trPr>
              <w:tc>
                <w:tcPr>
                  <w:tcW w:w="365" w:type="pct"/>
                  <w:tcBorders>
                    <w:tl2br w:val="nil"/>
                    <w:tr2bl w:val="nil"/>
                  </w:tcBorders>
                  <w:shd w:val="clear" w:color="auto" w:fill="auto"/>
                  <w:noWrap/>
                  <w:vAlign w:val="center"/>
                </w:tcPr>
                <w:p w14:paraId="5F5F12A2">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w:t>
                  </w:r>
                </w:p>
              </w:tc>
              <w:tc>
                <w:tcPr>
                  <w:tcW w:w="1129" w:type="pct"/>
                  <w:tcBorders>
                    <w:tl2br w:val="nil"/>
                    <w:tr2bl w:val="nil"/>
                  </w:tcBorders>
                  <w:shd w:val="clear" w:color="auto" w:fill="auto"/>
                  <w:vAlign w:val="center"/>
                </w:tcPr>
                <w:p w14:paraId="4D996C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牵引机</w:t>
                  </w:r>
                </w:p>
              </w:tc>
              <w:tc>
                <w:tcPr>
                  <w:tcW w:w="1418" w:type="pct"/>
                  <w:tcBorders>
                    <w:tl2br w:val="nil"/>
                    <w:tr2bl w:val="nil"/>
                  </w:tcBorders>
                  <w:shd w:val="clear" w:color="auto" w:fill="auto"/>
                  <w:vAlign w:val="center"/>
                </w:tcPr>
                <w:p w14:paraId="5161E9B2">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675" w:type="pct"/>
                  <w:tcBorders>
                    <w:tl2br w:val="nil"/>
                    <w:tr2bl w:val="nil"/>
                  </w:tcBorders>
                  <w:shd w:val="clear" w:color="auto" w:fill="auto"/>
                  <w:noWrap/>
                  <w:vAlign w:val="center"/>
                </w:tcPr>
                <w:p w14:paraId="4F5FB41A">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1台</w:t>
                  </w:r>
                </w:p>
              </w:tc>
              <w:tc>
                <w:tcPr>
                  <w:tcW w:w="1409" w:type="pct"/>
                  <w:tcBorders>
                    <w:tl2br w:val="nil"/>
                    <w:tr2bl w:val="nil"/>
                  </w:tcBorders>
                  <w:shd w:val="clear" w:color="auto" w:fill="auto"/>
                  <w:noWrap/>
                  <w:vAlign w:val="center"/>
                </w:tcPr>
                <w:p w14:paraId="798323F9">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行进动力</w:t>
                  </w:r>
                </w:p>
              </w:tc>
            </w:tr>
            <w:tr w14:paraId="22679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89" w:hRule="atLeast"/>
                <w:jc w:val="center"/>
              </w:trPr>
              <w:tc>
                <w:tcPr>
                  <w:tcW w:w="365" w:type="pct"/>
                  <w:tcBorders>
                    <w:tl2br w:val="nil"/>
                    <w:tr2bl w:val="nil"/>
                  </w:tcBorders>
                  <w:shd w:val="clear" w:color="auto" w:fill="auto"/>
                  <w:noWrap/>
                  <w:vAlign w:val="center"/>
                </w:tcPr>
                <w:p w14:paraId="18047850">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w:t>
                  </w:r>
                </w:p>
              </w:tc>
              <w:tc>
                <w:tcPr>
                  <w:tcW w:w="1129" w:type="pct"/>
                  <w:tcBorders>
                    <w:tl2br w:val="nil"/>
                    <w:tr2bl w:val="nil"/>
                  </w:tcBorders>
                  <w:shd w:val="clear" w:color="auto" w:fill="auto"/>
                  <w:vAlign w:val="center"/>
                </w:tcPr>
                <w:p w14:paraId="469DE0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水池</w:t>
                  </w:r>
                </w:p>
              </w:tc>
              <w:tc>
                <w:tcPr>
                  <w:tcW w:w="1418" w:type="pct"/>
                  <w:tcBorders>
                    <w:tl2br w:val="nil"/>
                    <w:tr2bl w:val="nil"/>
                  </w:tcBorders>
                  <w:shd w:val="clear" w:color="auto" w:fill="auto"/>
                  <w:vAlign w:val="center"/>
                </w:tcPr>
                <w:p w14:paraId="1BAC3CB0">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675" w:type="pct"/>
                  <w:tcBorders>
                    <w:tl2br w:val="nil"/>
                    <w:tr2bl w:val="nil"/>
                  </w:tcBorders>
                  <w:shd w:val="clear" w:color="auto" w:fill="auto"/>
                  <w:noWrap/>
                  <w:vAlign w:val="center"/>
                </w:tcPr>
                <w:p w14:paraId="5CB749A8">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7个</w:t>
                  </w:r>
                </w:p>
              </w:tc>
              <w:tc>
                <w:tcPr>
                  <w:tcW w:w="1409" w:type="pct"/>
                  <w:tcBorders>
                    <w:tl2br w:val="nil"/>
                    <w:tr2bl w:val="nil"/>
                  </w:tcBorders>
                  <w:shd w:val="clear" w:color="auto" w:fill="auto"/>
                  <w:noWrap/>
                  <w:vAlign w:val="center"/>
                </w:tcPr>
                <w:p w14:paraId="3C983766">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表面处理</w:t>
                  </w:r>
                </w:p>
              </w:tc>
            </w:tr>
            <w:tr w14:paraId="03701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89" w:hRule="atLeast"/>
                <w:jc w:val="center"/>
              </w:trPr>
              <w:tc>
                <w:tcPr>
                  <w:tcW w:w="365" w:type="pct"/>
                  <w:tcBorders>
                    <w:tl2br w:val="nil"/>
                    <w:tr2bl w:val="nil"/>
                  </w:tcBorders>
                  <w:shd w:val="clear" w:color="auto" w:fill="auto"/>
                  <w:noWrap/>
                  <w:vAlign w:val="center"/>
                </w:tcPr>
                <w:p w14:paraId="7C38E492">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1129" w:type="pct"/>
                  <w:tcBorders>
                    <w:tl2br w:val="nil"/>
                    <w:tr2bl w:val="nil"/>
                  </w:tcBorders>
                  <w:shd w:val="clear" w:color="auto" w:fill="auto"/>
                  <w:vAlign w:val="center"/>
                </w:tcPr>
                <w:p w14:paraId="69752B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烘水通道</w:t>
                  </w:r>
                </w:p>
              </w:tc>
              <w:tc>
                <w:tcPr>
                  <w:tcW w:w="1418" w:type="pct"/>
                  <w:tcBorders>
                    <w:tl2br w:val="nil"/>
                    <w:tr2bl w:val="nil"/>
                  </w:tcBorders>
                  <w:shd w:val="clear" w:color="auto" w:fill="auto"/>
                  <w:vAlign w:val="center"/>
                </w:tcPr>
                <w:p w14:paraId="65E17C00">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rPr>
                    <w:t>m</w:t>
                  </w:r>
                </w:p>
              </w:tc>
              <w:tc>
                <w:tcPr>
                  <w:tcW w:w="675" w:type="pct"/>
                  <w:tcBorders>
                    <w:tl2br w:val="nil"/>
                    <w:tr2bl w:val="nil"/>
                  </w:tcBorders>
                  <w:shd w:val="clear" w:color="auto" w:fill="auto"/>
                  <w:noWrap/>
                  <w:vAlign w:val="center"/>
                </w:tcPr>
                <w:p w14:paraId="0F7A643F">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1台</w:t>
                  </w:r>
                </w:p>
              </w:tc>
              <w:tc>
                <w:tcPr>
                  <w:tcW w:w="1409" w:type="pct"/>
                  <w:tcBorders>
                    <w:tl2br w:val="nil"/>
                    <w:tr2bl w:val="nil"/>
                  </w:tcBorders>
                  <w:shd w:val="clear" w:color="auto" w:fill="auto"/>
                  <w:noWrap/>
                  <w:vAlign w:val="center"/>
                </w:tcPr>
                <w:p w14:paraId="2E2A7F4B">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烘干</w:t>
                  </w:r>
                </w:p>
              </w:tc>
            </w:tr>
            <w:tr w14:paraId="46441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489" w:hRule="atLeast"/>
                <w:jc w:val="center"/>
              </w:trPr>
              <w:tc>
                <w:tcPr>
                  <w:tcW w:w="365" w:type="pct"/>
                  <w:tcBorders>
                    <w:tl2br w:val="nil"/>
                    <w:tr2bl w:val="nil"/>
                  </w:tcBorders>
                  <w:shd w:val="clear" w:color="auto" w:fill="auto"/>
                  <w:noWrap/>
                  <w:vAlign w:val="center"/>
                </w:tcPr>
                <w:p w14:paraId="40CF87A2">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1129" w:type="pct"/>
                  <w:tcBorders>
                    <w:tl2br w:val="nil"/>
                    <w:tr2bl w:val="nil"/>
                  </w:tcBorders>
                  <w:shd w:val="clear" w:color="auto" w:fill="auto"/>
                  <w:vAlign w:val="center"/>
                </w:tcPr>
                <w:p w14:paraId="66B47D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3#烤炉</w:t>
                  </w:r>
                </w:p>
              </w:tc>
              <w:tc>
                <w:tcPr>
                  <w:tcW w:w="1418" w:type="pct"/>
                  <w:tcBorders>
                    <w:tl2br w:val="nil"/>
                    <w:tr2bl w:val="nil"/>
                  </w:tcBorders>
                  <w:shd w:val="clear" w:color="auto" w:fill="auto"/>
                  <w:vAlign w:val="center"/>
                </w:tcPr>
                <w:p w14:paraId="4641AFFC">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75" w:type="pct"/>
                  <w:tcBorders>
                    <w:tl2br w:val="nil"/>
                    <w:tr2bl w:val="nil"/>
                  </w:tcBorders>
                  <w:shd w:val="clear" w:color="auto" w:fill="auto"/>
                  <w:noWrap/>
                  <w:vAlign w:val="center"/>
                </w:tcPr>
                <w:p w14:paraId="42E9DA9D">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1个</w:t>
                  </w:r>
                </w:p>
              </w:tc>
              <w:tc>
                <w:tcPr>
                  <w:tcW w:w="1409" w:type="pct"/>
                  <w:tcBorders>
                    <w:tl2br w:val="nil"/>
                    <w:tr2bl w:val="nil"/>
                  </w:tcBorders>
                  <w:shd w:val="clear" w:color="auto" w:fill="auto"/>
                  <w:noWrap/>
                  <w:vAlign w:val="center"/>
                </w:tcPr>
                <w:p w14:paraId="50E73016">
                  <w:pPr>
                    <w:keepNext w:val="0"/>
                    <w:keepLines w:val="0"/>
                    <w:pageBreakBefore w:val="0"/>
                    <w:widowControl/>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丝印油墨烘烤，使用天然气</w:t>
                  </w:r>
                </w:p>
              </w:tc>
            </w:tr>
          </w:tbl>
          <w:p w14:paraId="2031CF0B">
            <w:pPr>
              <w:pStyle w:val="10"/>
              <w:pageBreakBefore w:val="0"/>
              <w:numPr>
                <w:ilvl w:val="3"/>
                <w:numId w:val="0"/>
              </w:numPr>
              <w:wordWrap w:val="0"/>
              <w:overflowPunct/>
              <w:bidi w:val="0"/>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rPr>
              <w:t>5、</w:t>
            </w:r>
            <w:r>
              <w:rPr>
                <w:rFonts w:hint="default" w:ascii="Times New Roman" w:hAnsi="Times New Roman" w:eastAsia="宋体" w:cs="Times New Roman"/>
                <w:color w:val="auto"/>
                <w:highlight w:val="none"/>
              </w:rPr>
              <w:t>劳动定员和工作制度</w:t>
            </w:r>
          </w:p>
          <w:p w14:paraId="39E81B39">
            <w:pPr>
              <w:pStyle w:val="17"/>
              <w:pageBreakBefore w:val="0"/>
              <w:numPr>
                <w:ilvl w:val="0"/>
                <w:numId w:val="8"/>
              </w:numPr>
              <w:wordWrap w:val="0"/>
              <w:overflowPunct/>
              <w:bidi w:val="0"/>
              <w:spacing w:line="240" w:lineRule="auto"/>
              <w:ind w:left="0" w:leftChars="0" w:firstLine="4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Style w:val="62"/>
                <w:rFonts w:hint="default" w:ascii="Times New Roman" w:hAnsi="Times New Roman" w:cs="Times New Roman"/>
                <w:b/>
                <w:bCs/>
                <w:color w:val="auto"/>
                <w:highlight w:val="none"/>
              </w:rPr>
              <w:t>劳</w:t>
            </w:r>
            <w:r>
              <w:rPr>
                <w:rFonts w:hint="default" w:ascii="Times New Roman" w:hAnsi="Times New Roman" w:cs="Times New Roman"/>
                <w:color w:val="auto"/>
                <w:highlight w:val="none"/>
              </w:rPr>
              <w:t>动定员与工作制度一览表</w:t>
            </w:r>
          </w:p>
          <w:tbl>
            <w:tblPr>
              <w:tblStyle w:val="4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93"/>
              <w:gridCol w:w="2613"/>
              <w:gridCol w:w="1394"/>
              <w:gridCol w:w="2545"/>
            </w:tblGrid>
            <w:tr w14:paraId="44630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24" w:type="pct"/>
                  <w:vAlign w:val="center"/>
                </w:tcPr>
                <w:p w14:paraId="2D395B26">
                  <w:pPr>
                    <w:pStyle w:val="61"/>
                    <w:pageBreakBefore w:val="0"/>
                    <w:wordWrap w:val="0"/>
                    <w:overflowPunct/>
                    <w:bidi w:val="0"/>
                    <w:rPr>
                      <w:rFonts w:hint="default"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lang w:val="en-US" w:eastAsia="zh-CN"/>
                    </w:rPr>
                    <w:t>项目</w:t>
                  </w:r>
                </w:p>
              </w:tc>
              <w:tc>
                <w:tcPr>
                  <w:tcW w:w="1665" w:type="pct"/>
                  <w:vAlign w:val="center"/>
                </w:tcPr>
                <w:p w14:paraId="7A33DC65">
                  <w:pPr>
                    <w:pStyle w:val="61"/>
                    <w:pageBreakBefore w:val="0"/>
                    <w:wordWrap w:val="0"/>
                    <w:overflowPunct/>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内容</w:t>
                  </w:r>
                </w:p>
              </w:tc>
              <w:tc>
                <w:tcPr>
                  <w:tcW w:w="888" w:type="pct"/>
                  <w:vAlign w:val="center"/>
                </w:tcPr>
                <w:p w14:paraId="0E9374A0">
                  <w:pPr>
                    <w:pStyle w:val="61"/>
                    <w:pageBreakBefore w:val="0"/>
                    <w:wordWrap w:val="0"/>
                    <w:overflowPunct/>
                    <w:bidi w:val="0"/>
                    <w:rPr>
                      <w:rFonts w:hint="default"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lang w:val="en-US" w:eastAsia="zh-CN"/>
                    </w:rPr>
                    <w:t>项目</w:t>
                  </w:r>
                </w:p>
              </w:tc>
              <w:tc>
                <w:tcPr>
                  <w:tcW w:w="1621" w:type="pct"/>
                  <w:vAlign w:val="center"/>
                </w:tcPr>
                <w:p w14:paraId="0125C2A3">
                  <w:pPr>
                    <w:pStyle w:val="61"/>
                    <w:pageBreakBefore w:val="0"/>
                    <w:wordWrap w:val="0"/>
                    <w:overflowPunct/>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内容</w:t>
                  </w:r>
                </w:p>
              </w:tc>
            </w:tr>
            <w:tr w14:paraId="33036F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24" w:type="pct"/>
                  <w:vAlign w:val="center"/>
                </w:tcPr>
                <w:p w14:paraId="3683051F">
                  <w:pPr>
                    <w:pStyle w:val="61"/>
                    <w:pageBreakBefore w:val="0"/>
                    <w:wordWrap w:val="0"/>
                    <w:overflowPunct/>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劳动定员</w:t>
                  </w:r>
                </w:p>
              </w:tc>
              <w:tc>
                <w:tcPr>
                  <w:tcW w:w="1665" w:type="pct"/>
                  <w:vAlign w:val="center"/>
                </w:tcPr>
                <w:p w14:paraId="58B63221">
                  <w:pPr>
                    <w:pStyle w:val="61"/>
                    <w:pageBreakBefore w:val="0"/>
                    <w:wordWrap w:val="0"/>
                    <w:overflowPunct/>
                    <w:bidi w:val="0"/>
                    <w:spacing w:line="360" w:lineRule="auto"/>
                    <w:rPr>
                      <w:rFonts w:hint="default" w:ascii="Times New Roman" w:hAnsi="Times New Roman" w:eastAsia="宋体" w:cs="Times New Roman"/>
                      <w:color w:val="auto"/>
                      <w:highlight w:val="none"/>
                      <w:lang w:eastAsia="zh-CN"/>
                    </w:rPr>
                  </w:pPr>
                  <w:r>
                    <w:rPr>
                      <w:rFonts w:hint="eastAsia" w:cs="Times New Roman"/>
                      <w:color w:val="auto"/>
                      <w:sz w:val="21"/>
                      <w:szCs w:val="21"/>
                      <w:highlight w:val="none"/>
                      <w:lang w:val="en-US" w:eastAsia="zh-CN"/>
                    </w:rPr>
                    <w:t>30</w:t>
                  </w:r>
                  <w:r>
                    <w:rPr>
                      <w:rFonts w:hint="default" w:ascii="Times New Roman" w:hAnsi="Times New Roman" w:cs="Times New Roman"/>
                      <w:color w:val="auto"/>
                      <w:sz w:val="21"/>
                      <w:szCs w:val="21"/>
                      <w:highlight w:val="none"/>
                      <w:lang w:eastAsia="zh-CN"/>
                    </w:rPr>
                    <w:t>人</w:t>
                  </w:r>
                </w:p>
              </w:tc>
              <w:tc>
                <w:tcPr>
                  <w:tcW w:w="888" w:type="pct"/>
                  <w:vAlign w:val="center"/>
                </w:tcPr>
                <w:p w14:paraId="529FAA50">
                  <w:pPr>
                    <w:pStyle w:val="61"/>
                    <w:pageBreakBefore w:val="0"/>
                    <w:wordWrap w:val="0"/>
                    <w:overflowPunct/>
                    <w:bidi w:val="0"/>
                    <w:rPr>
                      <w:rFonts w:hint="default"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rPr>
                    <w:t>食宿</w:t>
                  </w:r>
                  <w:r>
                    <w:rPr>
                      <w:rFonts w:hint="default" w:ascii="Times New Roman" w:hAnsi="Times New Roman" w:cs="Times New Roman"/>
                      <w:b/>
                      <w:bCs/>
                      <w:color w:val="auto"/>
                      <w:highlight w:val="none"/>
                      <w:lang w:val="en-US" w:eastAsia="zh-CN"/>
                    </w:rPr>
                    <w:t>情况</w:t>
                  </w:r>
                </w:p>
              </w:tc>
              <w:tc>
                <w:tcPr>
                  <w:tcW w:w="1621" w:type="pct"/>
                  <w:vAlign w:val="center"/>
                </w:tcPr>
                <w:p w14:paraId="10E3B8D8">
                  <w:pPr>
                    <w:pStyle w:val="61"/>
                    <w:pageBreakBefore w:val="0"/>
                    <w:wordWrap w:val="0"/>
                    <w:overflowPunct/>
                    <w:bidi w:val="0"/>
                    <w:rPr>
                      <w:rFonts w:hint="default" w:ascii="Times New Roman" w:hAnsi="Times New Roman" w:eastAsia="宋体" w:cs="Times New Roman"/>
                      <w:color w:val="auto"/>
                      <w:highlight w:val="none"/>
                      <w:lang w:eastAsia="zh-CN"/>
                    </w:rPr>
                  </w:pPr>
                  <w:r>
                    <w:rPr>
                      <w:rFonts w:hint="eastAsia" w:cs="Times New Roman"/>
                      <w:color w:val="auto"/>
                      <w:highlight w:val="none"/>
                      <w:lang w:val="en-US" w:eastAsia="zh-CN"/>
                    </w:rPr>
                    <w:t>无</w:t>
                  </w:r>
                  <w:r>
                    <w:rPr>
                      <w:rFonts w:hint="default" w:ascii="Times New Roman" w:hAnsi="Times New Roman" w:cs="Times New Roman"/>
                      <w:color w:val="auto"/>
                      <w:highlight w:val="none"/>
                    </w:rPr>
                    <w:t>食堂、</w:t>
                  </w:r>
                  <w:r>
                    <w:rPr>
                      <w:rFonts w:hint="default" w:ascii="Times New Roman" w:hAnsi="Times New Roman" w:cs="Times New Roman"/>
                      <w:color w:val="auto"/>
                      <w:highlight w:val="none"/>
                      <w:lang w:eastAsia="zh-CN"/>
                    </w:rPr>
                    <w:t>住宿</w:t>
                  </w:r>
                </w:p>
              </w:tc>
            </w:tr>
            <w:tr w14:paraId="35605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24" w:type="pct"/>
                  <w:vAlign w:val="center"/>
                </w:tcPr>
                <w:p w14:paraId="3642A16C">
                  <w:pPr>
                    <w:pStyle w:val="61"/>
                    <w:pageBreakBefore w:val="0"/>
                    <w:wordWrap w:val="0"/>
                    <w:overflowPunct/>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工作时间</w:t>
                  </w:r>
                </w:p>
              </w:tc>
              <w:tc>
                <w:tcPr>
                  <w:tcW w:w="1665" w:type="pct"/>
                  <w:vAlign w:val="center"/>
                </w:tcPr>
                <w:p w14:paraId="5F3C1A87">
                  <w:pPr>
                    <w:pStyle w:val="61"/>
                    <w:pageBreakBefore w:val="0"/>
                    <w:wordWrap w:val="0"/>
                    <w:overflowPunct/>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年生产</w:t>
                  </w:r>
                  <w:r>
                    <w:rPr>
                      <w:rFonts w:hint="eastAsia" w:cs="Times New Roman"/>
                      <w:color w:val="auto"/>
                      <w:highlight w:val="none"/>
                      <w:lang w:val="en-US" w:eastAsia="zh-CN"/>
                    </w:rPr>
                    <w:t>300</w:t>
                  </w:r>
                  <w:r>
                    <w:rPr>
                      <w:rFonts w:hint="default" w:ascii="Times New Roman" w:hAnsi="Times New Roman" w:cs="Times New Roman"/>
                      <w:color w:val="auto"/>
                      <w:highlight w:val="none"/>
                      <w:lang w:val="en-US" w:eastAsia="zh-CN"/>
                    </w:rPr>
                    <w:t>天</w:t>
                  </w:r>
                </w:p>
              </w:tc>
              <w:tc>
                <w:tcPr>
                  <w:tcW w:w="888" w:type="pct"/>
                  <w:vAlign w:val="center"/>
                </w:tcPr>
                <w:p w14:paraId="2787D858">
                  <w:pPr>
                    <w:pStyle w:val="61"/>
                    <w:pageBreakBefore w:val="0"/>
                    <w:wordWrap w:val="0"/>
                    <w:overflowPunct/>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夜间生产</w:t>
                  </w:r>
                </w:p>
              </w:tc>
              <w:tc>
                <w:tcPr>
                  <w:tcW w:w="1621" w:type="pct"/>
                  <w:vAlign w:val="center"/>
                </w:tcPr>
                <w:p w14:paraId="200C2345">
                  <w:pPr>
                    <w:pStyle w:val="61"/>
                    <w:pageBreakBefore w:val="0"/>
                    <w:wordWrap w:val="0"/>
                    <w:overflowPunct/>
                    <w:bidi w:val="0"/>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无</w:t>
                  </w:r>
                </w:p>
              </w:tc>
            </w:tr>
            <w:tr w14:paraId="42763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24" w:type="pct"/>
                  <w:vAlign w:val="center"/>
                </w:tcPr>
                <w:p w14:paraId="20E08ED8">
                  <w:pPr>
                    <w:pStyle w:val="61"/>
                    <w:pageBreakBefore w:val="0"/>
                    <w:wordWrap w:val="0"/>
                    <w:overflowPunct/>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工作班制</w:t>
                  </w:r>
                </w:p>
              </w:tc>
              <w:tc>
                <w:tcPr>
                  <w:tcW w:w="1665" w:type="pct"/>
                  <w:vAlign w:val="center"/>
                </w:tcPr>
                <w:p w14:paraId="6A1AB378">
                  <w:pPr>
                    <w:pStyle w:val="61"/>
                    <w:pageBreakBefore w:val="0"/>
                    <w:wordWrap w:val="0"/>
                    <w:overflowPunct/>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每天</w:t>
                  </w:r>
                  <w:r>
                    <w:rPr>
                      <w:rFonts w:hint="eastAsia" w:cs="Times New Roman"/>
                      <w:color w:val="auto"/>
                      <w:highlight w:val="none"/>
                      <w:lang w:val="en-US" w:eastAsia="zh-CN"/>
                    </w:rPr>
                    <w:t>10</w:t>
                  </w:r>
                  <w:r>
                    <w:rPr>
                      <w:rFonts w:hint="default" w:ascii="Times New Roman" w:hAnsi="Times New Roman" w:cs="Times New Roman"/>
                      <w:color w:val="auto"/>
                      <w:highlight w:val="none"/>
                      <w:lang w:val="en-US" w:eastAsia="zh-CN"/>
                    </w:rPr>
                    <w:t>小时，实行</w:t>
                  </w: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班制</w:t>
                  </w:r>
                </w:p>
              </w:tc>
              <w:tc>
                <w:tcPr>
                  <w:tcW w:w="888" w:type="pct"/>
                  <w:vAlign w:val="center"/>
                </w:tcPr>
                <w:p w14:paraId="504C03E4">
                  <w:pPr>
                    <w:pStyle w:val="61"/>
                    <w:pageBreakBefore w:val="0"/>
                    <w:wordWrap w:val="0"/>
                    <w:overflowPunct/>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621" w:type="pct"/>
                  <w:vAlign w:val="center"/>
                </w:tcPr>
                <w:p w14:paraId="5BC2A57D">
                  <w:pPr>
                    <w:pStyle w:val="61"/>
                    <w:pageBreakBefore w:val="0"/>
                    <w:wordWrap w:val="0"/>
                    <w:overflowPunct/>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bl>
          <w:p w14:paraId="51DF4FDD">
            <w:pPr>
              <w:pStyle w:val="10"/>
              <w:pageBreakBefore w:val="0"/>
              <w:numPr>
                <w:ilvl w:val="3"/>
                <w:numId w:val="0"/>
              </w:numPr>
              <w:wordWrap w:val="0"/>
              <w:overflowPunct/>
              <w:bidi w:val="0"/>
              <w:ind w:left="480"/>
              <w:rPr>
                <w:rFonts w:hint="default" w:ascii="Times New Roman" w:hAnsi="Times New Roman" w:cs="Times New Roman"/>
                <w:color w:val="auto"/>
                <w:highlight w:val="none"/>
              </w:rPr>
            </w:pPr>
            <w:r>
              <w:rPr>
                <w:rFonts w:hint="default" w:ascii="Times New Roman" w:hAnsi="Times New Roman" w:cs="Times New Roman"/>
                <w:color w:val="auto"/>
                <w:highlight w:val="none"/>
              </w:rPr>
              <w:t>6、能源和资源消耗</w:t>
            </w:r>
          </w:p>
          <w:p w14:paraId="47A839DE">
            <w:pPr>
              <w:pStyle w:val="11"/>
              <w:pageBreakBefore w:val="0"/>
              <w:numPr>
                <w:ilvl w:val="4"/>
                <w:numId w:val="0"/>
              </w:numPr>
              <w:wordWrap w:val="0"/>
              <w:overflowPunct/>
              <w:bidi w:val="0"/>
              <w:ind w:left="-960" w:firstLine="1440"/>
              <w:rPr>
                <w:rFonts w:hint="default" w:ascii="Times New Roman" w:hAnsi="Times New Roman" w:cs="Times New Roman"/>
                <w:color w:val="auto"/>
                <w:szCs w:val="32"/>
                <w:highlight w:val="none"/>
              </w:rPr>
            </w:pPr>
            <w:r>
              <w:rPr>
                <w:rFonts w:hint="default" w:ascii="Times New Roman" w:hAnsi="Times New Roman" w:cs="Times New Roman"/>
                <w:color w:val="auto"/>
                <w:szCs w:val="32"/>
                <w:highlight w:val="none"/>
              </w:rPr>
              <w:t>（1）供电</w:t>
            </w:r>
          </w:p>
          <w:p w14:paraId="626CF375">
            <w:pPr>
              <w:pageBreakBefore w:val="0"/>
              <w:wordWrap w:val="0"/>
              <w:overflowPunct/>
              <w:bidi w:val="0"/>
              <w:adjustRightIn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本项目用电由市政供电网提供，年用电量约</w:t>
            </w:r>
            <w:r>
              <w:rPr>
                <w:rFonts w:hint="eastAsia" w:cs="Times New Roman"/>
                <w:color w:val="auto"/>
                <w:highlight w:val="none"/>
                <w:lang w:val="en-US" w:eastAsia="zh-CN"/>
              </w:rPr>
              <w:t>6</w:t>
            </w:r>
            <w:r>
              <w:rPr>
                <w:rFonts w:hint="default" w:ascii="Times New Roman" w:hAnsi="Times New Roman" w:cs="Times New Roman"/>
                <w:color w:val="auto"/>
                <w:highlight w:val="none"/>
              </w:rPr>
              <w:t>0万千瓦·时，不设备用发电机或锅炉。</w:t>
            </w:r>
          </w:p>
          <w:p w14:paraId="34F6F48E">
            <w:pPr>
              <w:pStyle w:val="11"/>
              <w:pageBreakBefore w:val="0"/>
              <w:numPr>
                <w:ilvl w:val="4"/>
                <w:numId w:val="0"/>
              </w:numPr>
              <w:wordWrap w:val="0"/>
              <w:overflowPunct/>
              <w:bidi w:val="0"/>
              <w:ind w:left="-960" w:firstLine="1440"/>
              <w:rPr>
                <w:rFonts w:hint="default" w:ascii="Times New Roman" w:hAnsi="Times New Roman" w:cs="Times New Roman"/>
                <w:color w:val="auto"/>
                <w:highlight w:val="none"/>
              </w:rPr>
            </w:pPr>
            <w:r>
              <w:rPr>
                <w:rFonts w:hint="default" w:ascii="Times New Roman" w:hAnsi="Times New Roman" w:cs="Times New Roman"/>
                <w:color w:val="auto"/>
                <w:highlight w:val="none"/>
              </w:rPr>
              <w:t>（2）给水</w:t>
            </w:r>
          </w:p>
          <w:p w14:paraId="4148BB09">
            <w:pPr>
              <w:pageBreakBefore w:val="0"/>
              <w:wordWrap w:val="0"/>
              <w:overflowPunct/>
              <w:bidi w:val="0"/>
              <w:adjustRightIn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本项目营运期用水主要为生活用水</w:t>
            </w:r>
            <w:r>
              <w:rPr>
                <w:rFonts w:hint="eastAsia" w:cs="Times New Roman"/>
                <w:color w:val="auto"/>
                <w:highlight w:val="none"/>
                <w:lang w:val="en-US" w:eastAsia="zh-CN"/>
              </w:rPr>
              <w:t>和生产用水，生产用水包括表面处理用水、水帘柜喷淋用水、喷淋塔用水和水性漆喷枪清洗用水。</w:t>
            </w:r>
          </w:p>
          <w:p w14:paraId="3DE04756">
            <w:pPr>
              <w:pStyle w:val="21"/>
              <w:pageBreakBefore w:val="0"/>
              <w:wordWrap w:val="0"/>
              <w:overflowPunct/>
              <w:bidi w:val="0"/>
              <w:ind w:firstLine="48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①生活用水：本项目</w:t>
            </w:r>
            <w:r>
              <w:rPr>
                <w:rFonts w:hint="eastAsia" w:cs="Times New Roman"/>
                <w:color w:val="auto"/>
                <w:highlight w:val="none"/>
                <w:lang w:val="en-US" w:eastAsia="zh-CN"/>
              </w:rPr>
              <w:t>不</w:t>
            </w:r>
            <w:r>
              <w:rPr>
                <w:rFonts w:hint="default" w:ascii="Times New Roman" w:hAnsi="Times New Roman" w:cs="Times New Roman"/>
                <w:color w:val="auto"/>
                <w:highlight w:val="none"/>
                <w:lang w:val="en-US" w:eastAsia="zh-CN"/>
              </w:rPr>
              <w:t>设置</w:t>
            </w:r>
            <w:r>
              <w:rPr>
                <w:rFonts w:hint="default" w:ascii="Times New Roman" w:hAnsi="Times New Roman" w:cs="Times New Roman"/>
                <w:color w:val="auto"/>
                <w:highlight w:val="none"/>
              </w:rPr>
              <w:t>职工</w:t>
            </w:r>
            <w:r>
              <w:rPr>
                <w:rFonts w:hint="default" w:ascii="Times New Roman" w:hAnsi="Times New Roman" w:cs="Times New Roman"/>
                <w:color w:val="auto"/>
                <w:highlight w:val="none"/>
                <w:lang w:val="en-US" w:eastAsia="zh-CN"/>
              </w:rPr>
              <w:t>食堂</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宿舍，劳动定员</w:t>
            </w:r>
            <w:r>
              <w:rPr>
                <w:rFonts w:hint="eastAsia" w:cs="Times New Roman"/>
                <w:color w:val="auto"/>
                <w:highlight w:val="none"/>
                <w:lang w:val="en-US" w:eastAsia="zh-CN"/>
              </w:rPr>
              <w:t>30</w:t>
            </w:r>
            <w:r>
              <w:rPr>
                <w:rFonts w:hint="default" w:ascii="Times New Roman" w:hAnsi="Times New Roman" w:cs="Times New Roman"/>
                <w:color w:val="auto"/>
                <w:highlight w:val="none"/>
              </w:rPr>
              <w:t>人，年工作时间为</w:t>
            </w:r>
            <w:r>
              <w:rPr>
                <w:rFonts w:hint="eastAsia" w:cs="Times New Roman"/>
                <w:color w:val="auto"/>
                <w:highlight w:val="none"/>
                <w:lang w:val="en-US" w:eastAsia="zh-CN"/>
              </w:rPr>
              <w:t>300</w:t>
            </w:r>
            <w:r>
              <w:rPr>
                <w:rFonts w:hint="default" w:ascii="Times New Roman" w:hAnsi="Times New Roman" w:cs="Times New Roman"/>
                <w:color w:val="auto"/>
                <w:highlight w:val="none"/>
              </w:rPr>
              <w:t>天，</w:t>
            </w:r>
            <w:r>
              <w:rPr>
                <w:rFonts w:hint="default" w:ascii="Times New Roman" w:hAnsi="Times New Roman" w:eastAsia="宋体" w:cs="Times New Roman"/>
                <w:color w:val="auto"/>
                <w:kern w:val="0"/>
                <w:sz w:val="24"/>
                <w:szCs w:val="24"/>
                <w:highlight w:val="none"/>
              </w:rPr>
              <w:t>参考《广东省用水定额</w:t>
            </w:r>
            <w:r>
              <w:rPr>
                <w:rFonts w:hint="default" w:ascii="Times New Roman" w:hAnsi="Times New Roman" w:eastAsia="宋体" w:cs="Times New Roman"/>
                <w:color w:val="auto"/>
                <w:kern w:val="0"/>
                <w:sz w:val="24"/>
                <w:szCs w:val="24"/>
                <w:highlight w:val="none"/>
                <w:lang w:val="en-US" w:eastAsia="zh-CN"/>
              </w:rPr>
              <w:t xml:space="preserve"> 第3部分：生活</w:t>
            </w:r>
            <w:r>
              <w:rPr>
                <w:rFonts w:hint="default" w:ascii="Times New Roman" w:hAnsi="Times New Roman" w:eastAsia="宋体" w:cs="Times New Roman"/>
                <w:color w:val="auto"/>
                <w:kern w:val="0"/>
                <w:sz w:val="24"/>
                <w:szCs w:val="24"/>
                <w:highlight w:val="none"/>
              </w:rPr>
              <w:t>》（DB44/T</w:t>
            </w:r>
            <w:r>
              <w:rPr>
                <w:rFonts w:hint="default" w:ascii="Times New Roman" w:hAnsi="Times New Roman" w:eastAsia="宋体" w:cs="Times New Roman"/>
                <w:color w:val="auto"/>
                <w:kern w:val="0"/>
                <w:sz w:val="24"/>
                <w:szCs w:val="24"/>
                <w:highlight w:val="none"/>
                <w:lang w:val="en-US" w:eastAsia="zh-CN"/>
              </w:rPr>
              <w:t xml:space="preserve"> </w:t>
            </w:r>
            <w:r>
              <w:rPr>
                <w:rFonts w:hint="default" w:ascii="Times New Roman" w:hAnsi="Times New Roman" w:eastAsia="宋体" w:cs="Times New Roman"/>
                <w:color w:val="auto"/>
                <w:kern w:val="0"/>
                <w:sz w:val="24"/>
                <w:szCs w:val="24"/>
                <w:highlight w:val="none"/>
              </w:rPr>
              <w:t>1461</w:t>
            </w:r>
            <w:r>
              <w:rPr>
                <w:rFonts w:hint="default"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rPr>
              <w:t>-20</w:t>
            </w:r>
            <w:r>
              <w:rPr>
                <w:rFonts w:hint="default" w:ascii="Times New Roman" w:hAnsi="Times New Roman" w:eastAsia="宋体" w:cs="Times New Roman"/>
                <w:color w:val="auto"/>
                <w:kern w:val="0"/>
                <w:sz w:val="24"/>
                <w:szCs w:val="24"/>
                <w:highlight w:val="none"/>
                <w:lang w:val="en-US" w:eastAsia="zh-CN"/>
              </w:rPr>
              <w:t>21</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val="en-US" w:eastAsia="zh-CN"/>
              </w:rPr>
              <w:t>中</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表</w:t>
            </w:r>
            <w:r>
              <w:rPr>
                <w:rFonts w:hint="eastAsia" w:ascii="Times New Roman" w:hAnsi="Times New Roman" w:eastAsia="宋体" w:cs="Times New Roman"/>
                <w:color w:val="auto"/>
                <w:kern w:val="0"/>
                <w:sz w:val="24"/>
                <w:szCs w:val="24"/>
                <w:highlight w:val="none"/>
                <w:lang w:val="en-US" w:eastAsia="zh-CN"/>
              </w:rPr>
              <w:t>A.1 服务业用水定额表-国家机构（92）-国家行政机构（922）-办公楼-</w:t>
            </w:r>
            <w:r>
              <w:rPr>
                <w:rFonts w:hint="eastAsia" w:cs="Times New Roman"/>
                <w:color w:val="auto"/>
                <w:kern w:val="0"/>
                <w:sz w:val="24"/>
                <w:szCs w:val="24"/>
                <w:highlight w:val="none"/>
                <w:lang w:val="en-US" w:eastAsia="zh-CN"/>
              </w:rPr>
              <w:t>无</w:t>
            </w:r>
            <w:r>
              <w:rPr>
                <w:rFonts w:hint="eastAsia" w:ascii="Times New Roman" w:hAnsi="Times New Roman" w:eastAsia="宋体" w:cs="Times New Roman"/>
                <w:color w:val="auto"/>
                <w:kern w:val="0"/>
                <w:sz w:val="24"/>
                <w:szCs w:val="24"/>
                <w:highlight w:val="none"/>
                <w:lang w:val="en-US" w:eastAsia="zh-CN"/>
              </w:rPr>
              <w:t>食堂和浴室</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的标准，</w:t>
            </w:r>
            <w:r>
              <w:rPr>
                <w:rFonts w:hint="default" w:ascii="Times New Roman" w:hAnsi="Times New Roman" w:eastAsia="宋体" w:cs="Times New Roman"/>
                <w:color w:val="auto"/>
                <w:kern w:val="0"/>
                <w:sz w:val="24"/>
                <w:szCs w:val="24"/>
                <w:highlight w:val="none"/>
              </w:rPr>
              <w:t>取</w:t>
            </w:r>
            <w:r>
              <w:rPr>
                <w:rFonts w:hint="eastAsia" w:cs="Times New Roman"/>
                <w:color w:val="auto"/>
                <w:kern w:val="0"/>
                <w:sz w:val="24"/>
                <w:szCs w:val="24"/>
                <w:highlight w:val="none"/>
                <w:lang w:val="en-US" w:eastAsia="zh-CN"/>
              </w:rPr>
              <w:t>通用</w:t>
            </w:r>
            <w:r>
              <w:rPr>
                <w:rFonts w:hint="eastAsia" w:ascii="Times New Roman" w:hAnsi="Times New Roman" w:eastAsia="宋体" w:cs="Times New Roman"/>
                <w:color w:val="auto"/>
                <w:kern w:val="0"/>
                <w:sz w:val="24"/>
                <w:szCs w:val="24"/>
                <w:highlight w:val="none"/>
                <w:lang w:val="en-US" w:eastAsia="zh-CN"/>
              </w:rPr>
              <w:t>值：</w:t>
            </w:r>
            <w:r>
              <w:rPr>
                <w:rFonts w:hint="eastAsia" w:cs="Times New Roman"/>
                <w:color w:val="auto"/>
                <w:kern w:val="0"/>
                <w:sz w:val="24"/>
                <w:szCs w:val="24"/>
                <w:highlight w:val="none"/>
                <w:lang w:val="en-US" w:eastAsia="zh-CN"/>
              </w:rPr>
              <w:t>28</w:t>
            </w:r>
            <w:r>
              <w:rPr>
                <w:rFonts w:hint="eastAsia" w:ascii="Times New Roman" w:hAnsi="Times New Roman" w:eastAsia="宋体" w:cs="Times New Roman"/>
                <w:color w:val="auto"/>
                <w:kern w:val="0"/>
                <w:sz w:val="24"/>
                <w:szCs w:val="24"/>
                <w:highlight w:val="none"/>
                <w:lang w:val="en-US" w:eastAsia="zh-CN"/>
              </w:rPr>
              <w:t>m</w:t>
            </w:r>
            <w:r>
              <w:rPr>
                <w:rFonts w:hint="eastAsia"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人·</w:t>
            </w:r>
            <w:r>
              <w:rPr>
                <w:rFonts w:hint="eastAsia" w:ascii="Times New Roman" w:hAnsi="Times New Roman" w:eastAsia="宋体" w:cs="Times New Roman"/>
                <w:color w:val="auto"/>
                <w:kern w:val="0"/>
                <w:sz w:val="24"/>
                <w:szCs w:val="24"/>
                <w:highlight w:val="none"/>
                <w:lang w:val="en-US" w:eastAsia="zh-CN"/>
              </w:rPr>
              <w:t>a</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，因此本项目</w:t>
            </w:r>
            <w:r>
              <w:rPr>
                <w:rFonts w:hint="default" w:ascii="Times New Roman" w:hAnsi="Times New Roman" w:eastAsia="宋体" w:cs="Times New Roman"/>
                <w:color w:val="auto"/>
                <w:kern w:val="0"/>
                <w:sz w:val="24"/>
                <w:szCs w:val="24"/>
                <w:highlight w:val="none"/>
                <w:lang w:val="en-US" w:eastAsia="zh-CN"/>
              </w:rPr>
              <w:t>对应</w:t>
            </w:r>
            <w:r>
              <w:rPr>
                <w:rFonts w:hint="default" w:ascii="Times New Roman" w:hAnsi="Times New Roman" w:eastAsia="宋体" w:cs="Times New Roman"/>
                <w:color w:val="auto"/>
                <w:kern w:val="0"/>
                <w:sz w:val="24"/>
                <w:szCs w:val="24"/>
                <w:highlight w:val="none"/>
              </w:rPr>
              <w:t>生活用水量为</w:t>
            </w:r>
            <w:r>
              <w:rPr>
                <w:rFonts w:hint="eastAsia" w:cs="Times New Roman"/>
                <w:color w:val="auto"/>
                <w:kern w:val="0"/>
                <w:sz w:val="24"/>
                <w:szCs w:val="24"/>
                <w:highlight w:val="none"/>
                <w:lang w:val="en-US" w:eastAsia="zh-CN"/>
              </w:rPr>
              <w:t>3</w:t>
            </w:r>
            <w:r>
              <w:rPr>
                <w:rFonts w:hint="eastAsia" w:ascii="Times New Roman" w:hAnsi="Times New Roman" w:eastAsia="宋体" w:cs="Times New Roman"/>
                <w:color w:val="auto"/>
                <w:kern w:val="0"/>
                <w:sz w:val="24"/>
                <w:szCs w:val="24"/>
                <w:highlight w:val="none"/>
                <w:lang w:val="en-US" w:eastAsia="zh-CN"/>
              </w:rPr>
              <w:t>0</w:t>
            </w:r>
            <w:r>
              <w:rPr>
                <w:rFonts w:hint="default" w:ascii="Times New Roman" w:hAnsi="Times New Roman" w:eastAsia="宋体" w:cs="Times New Roman"/>
                <w:color w:val="auto"/>
                <w:kern w:val="0"/>
                <w:sz w:val="24"/>
                <w:szCs w:val="24"/>
                <w:highlight w:val="none"/>
                <w:lang w:val="en-US" w:eastAsia="zh-CN"/>
              </w:rPr>
              <w:t>人×</w:t>
            </w:r>
            <w:r>
              <w:rPr>
                <w:rFonts w:hint="eastAsia" w:cs="Times New Roman"/>
                <w:color w:val="auto"/>
                <w:kern w:val="0"/>
                <w:sz w:val="24"/>
                <w:szCs w:val="24"/>
                <w:highlight w:val="none"/>
                <w:lang w:val="en-US" w:eastAsia="zh-CN"/>
              </w:rPr>
              <w:t>28</w:t>
            </w:r>
            <w:r>
              <w:rPr>
                <w:rFonts w:hint="eastAsia" w:ascii="Times New Roman" w:hAnsi="Times New Roman" w:eastAsia="宋体" w:cs="Times New Roman"/>
                <w:color w:val="auto"/>
                <w:kern w:val="0"/>
                <w:sz w:val="24"/>
                <w:szCs w:val="24"/>
                <w:highlight w:val="none"/>
                <w:lang w:val="en-US" w:eastAsia="zh-CN"/>
              </w:rPr>
              <w:t>m</w:t>
            </w:r>
            <w:r>
              <w:rPr>
                <w:rFonts w:hint="eastAsia"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人·</w:t>
            </w:r>
            <w:r>
              <w:rPr>
                <w:rFonts w:hint="eastAsia" w:ascii="Times New Roman" w:hAnsi="Times New Roman" w:eastAsia="宋体" w:cs="Times New Roman"/>
                <w:color w:val="auto"/>
                <w:kern w:val="0"/>
                <w:sz w:val="24"/>
                <w:szCs w:val="24"/>
                <w:highlight w:val="none"/>
                <w:lang w:val="en-US" w:eastAsia="zh-CN"/>
              </w:rPr>
              <w:t>a</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w:t>
            </w:r>
            <w:r>
              <w:rPr>
                <w:rFonts w:hint="eastAsia" w:cs="Times New Roman"/>
                <w:color w:val="auto"/>
                <w:kern w:val="0"/>
                <w:sz w:val="24"/>
                <w:szCs w:val="24"/>
                <w:highlight w:val="none"/>
                <w:lang w:val="en-US" w:eastAsia="zh-CN"/>
              </w:rPr>
              <w:t>84</w:t>
            </w:r>
            <w:r>
              <w:rPr>
                <w:rFonts w:hint="eastAsia" w:ascii="Times New Roman" w:hAnsi="Times New Roman" w:eastAsia="宋体" w:cs="Times New Roman"/>
                <w:color w:val="auto"/>
                <w:kern w:val="0"/>
                <w:sz w:val="24"/>
                <w:szCs w:val="24"/>
                <w:highlight w:val="none"/>
                <w:lang w:val="en-US" w:eastAsia="zh-CN"/>
              </w:rPr>
              <w:t>0m</w:t>
            </w:r>
            <w:r>
              <w:rPr>
                <w:rFonts w:hint="eastAsia"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sz w:val="24"/>
                <w:highlight w:val="none"/>
                <w:vertAlign w:val="baseline"/>
                <w:lang w:val="en-US" w:eastAsia="zh-CN"/>
              </w:rPr>
              <w:t>/</w:t>
            </w:r>
            <w:r>
              <w:rPr>
                <w:rFonts w:hint="default" w:ascii="Times New Roman" w:hAnsi="Times New Roman" w:cs="Times New Roman"/>
                <w:color w:val="auto"/>
                <w:highlight w:val="none"/>
              </w:rPr>
              <w:t>a</w:t>
            </w:r>
            <w:r>
              <w:rPr>
                <w:rFonts w:hint="eastAsia" w:cs="Times New Roman"/>
                <w:color w:val="auto"/>
                <w:highlight w:val="none"/>
                <w:lang w:eastAsia="zh-CN"/>
              </w:rPr>
              <w:t>；</w:t>
            </w:r>
          </w:p>
          <w:p w14:paraId="2AEADD55">
            <w:pPr>
              <w:pStyle w:val="27"/>
              <w:wordWrap w:val="0"/>
              <w:topLinePunct/>
              <w:spacing w:line="360" w:lineRule="auto"/>
              <w:ind w:firstLine="480" w:firstLineChars="200"/>
              <w:rPr>
                <w:rFonts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②</w:t>
            </w:r>
            <w:r>
              <w:rPr>
                <w:rFonts w:hint="eastAsia" w:cs="Times New Roman"/>
                <w:color w:val="auto"/>
                <w:sz w:val="24"/>
                <w:szCs w:val="24"/>
                <w:highlight w:val="none"/>
                <w:lang w:val="en-US" w:eastAsia="zh-CN"/>
              </w:rPr>
              <w:t>水帘柜用水</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rPr>
              <w:t>根据</w:t>
            </w:r>
            <w:r>
              <w:rPr>
                <w:rFonts w:ascii="Times New Roman" w:hAnsi="Times New Roman" w:cs="Times New Roman"/>
                <w:color w:val="auto"/>
                <w:sz w:val="24"/>
                <w:szCs w:val="24"/>
                <w:highlight w:val="none"/>
              </w:rPr>
              <w:t>《简明通风设计手册》（孙一坚主编）第527页表10-48“各种吸收装置的技术经济比较”内容，</w:t>
            </w:r>
            <w:r>
              <w:rPr>
                <w:rFonts w:hint="eastAsia" w:ascii="Times New Roman" w:hAnsi="Times New Roman" w:cs="Times New Roman"/>
                <w:color w:val="auto"/>
                <w:sz w:val="24"/>
                <w:szCs w:val="24"/>
                <w:highlight w:val="none"/>
              </w:rPr>
              <w:t>喷淋塔的液气比0.1 L/m</w:t>
            </w:r>
            <w:r>
              <w:rPr>
                <w:rFonts w:hint="eastAsia" w:ascii="Times New Roman" w:hAnsi="Times New Roman" w:cs="Times New Roman"/>
                <w:color w:val="auto"/>
                <w:sz w:val="24"/>
                <w:szCs w:val="24"/>
                <w:highlight w:val="none"/>
                <w:vertAlign w:val="superscript"/>
              </w:rPr>
              <w:t>3</w:t>
            </w:r>
            <w:r>
              <w:rPr>
                <w:rFonts w:hint="eastAsia" w:ascii="Times New Roman" w:hAnsi="Times New Roman" w:cs="Times New Roman"/>
                <w:color w:val="auto"/>
                <w:sz w:val="24"/>
                <w:szCs w:val="24"/>
                <w:highlight w:val="none"/>
              </w:rPr>
              <w:t>～1.0 L/m</w:t>
            </w:r>
            <w:r>
              <w:rPr>
                <w:rFonts w:hint="eastAsia" w:ascii="Times New Roman" w:hAnsi="Times New Roman" w:cs="Times New Roman"/>
                <w:color w:val="auto"/>
                <w:sz w:val="24"/>
                <w:szCs w:val="24"/>
                <w:highlight w:val="none"/>
                <w:vertAlign w:val="superscript"/>
              </w:rPr>
              <w:t>3</w:t>
            </w:r>
            <w:r>
              <w:rPr>
                <w:rFonts w:hint="eastAsia" w:ascii="Times New Roman" w:hAnsi="Times New Roman" w:cs="Times New Roman"/>
                <w:color w:val="auto"/>
                <w:sz w:val="24"/>
                <w:szCs w:val="24"/>
                <w:highlight w:val="none"/>
              </w:rPr>
              <w:t>，水帘柜喷淋用水参考液气比1.0 L/m</w:t>
            </w:r>
            <w:r>
              <w:rPr>
                <w:rFonts w:hint="eastAsia" w:ascii="Times New Roman" w:hAnsi="Times New Roman" w:cs="Times New Roman"/>
                <w:color w:val="auto"/>
                <w:sz w:val="24"/>
                <w:szCs w:val="24"/>
                <w:highlight w:val="none"/>
                <w:vertAlign w:val="superscript"/>
              </w:rPr>
              <w:t>3</w:t>
            </w:r>
            <w:r>
              <w:rPr>
                <w:rFonts w:hint="eastAsia" w:ascii="Times New Roman" w:hAnsi="Times New Roman" w:cs="Times New Roman"/>
                <w:color w:val="auto"/>
                <w:sz w:val="24"/>
                <w:szCs w:val="24"/>
                <w:highlight w:val="none"/>
              </w:rPr>
              <w:t>算，本次评价取</w:t>
            </w:r>
            <w:r>
              <w:rPr>
                <w:rFonts w:hint="eastAsia" w:ascii="Times New Roman" w:hAnsi="Times New Roman" w:cs="Times New Roman"/>
                <w:color w:val="auto"/>
                <w:sz w:val="24"/>
                <w:szCs w:val="24"/>
                <w:highlight w:val="none"/>
                <w:lang w:val="en-US" w:eastAsia="zh-CN"/>
              </w:rPr>
              <w:t>1</w:t>
            </w:r>
            <w:r>
              <w:rPr>
                <w:rFonts w:ascii="Times New Roman" w:hAnsi="Times New Roman" w:cs="Times New Roman"/>
                <w:color w:val="auto"/>
                <w:sz w:val="24"/>
                <w:szCs w:val="24"/>
                <w:highlight w:val="none"/>
              </w:rPr>
              <w:t>L/m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计算，在</w:t>
            </w:r>
            <w:r>
              <w:rPr>
                <w:rFonts w:hint="eastAsia" w:ascii="Times New Roman" w:hAnsi="Times New Roman" w:cs="Times New Roman"/>
                <w:color w:val="auto"/>
                <w:sz w:val="24"/>
                <w:szCs w:val="24"/>
                <w:highlight w:val="none"/>
              </w:rPr>
              <w:t>喷漆工序收集</w:t>
            </w:r>
            <w:r>
              <w:rPr>
                <w:rFonts w:ascii="Times New Roman" w:hAnsi="Times New Roman" w:cs="Times New Roman"/>
                <w:color w:val="auto"/>
                <w:sz w:val="24"/>
                <w:szCs w:val="24"/>
                <w:highlight w:val="none"/>
              </w:rPr>
              <w:t>风量为</w:t>
            </w:r>
            <w:r>
              <w:rPr>
                <w:rFonts w:hint="eastAsia" w:ascii="Times New Roman" w:hAnsi="Times New Roman" w:cs="Times New Roman"/>
                <w:color w:val="auto"/>
                <w:sz w:val="24"/>
                <w:szCs w:val="24"/>
                <w:highlight w:val="none"/>
                <w:lang w:val="en-US" w:eastAsia="zh-CN"/>
              </w:rPr>
              <w:t>5000</w:t>
            </w:r>
            <w:r>
              <w:rPr>
                <w:rFonts w:ascii="Times New Roman" w:hAnsi="Times New Roman" w:cs="Times New Roman"/>
                <w:color w:val="auto"/>
                <w:sz w:val="24"/>
                <w:szCs w:val="24"/>
                <w:highlight w:val="none"/>
              </w:rPr>
              <w:t>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/h的情况下</w:t>
            </w:r>
            <w:r>
              <w:rPr>
                <w:rFonts w:hint="eastAsia" w:ascii="Times New Roman" w:hAnsi="Times New Roman" w:cs="Times New Roman"/>
                <w:color w:val="auto"/>
                <w:sz w:val="24"/>
                <w:szCs w:val="24"/>
                <w:highlight w:val="none"/>
              </w:rPr>
              <w:t>（不含固化过程）</w:t>
            </w:r>
            <w:r>
              <w:rPr>
                <w:rFonts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eastAsia="zh-CN"/>
              </w:rPr>
              <w:t>水帘柜</w:t>
            </w:r>
            <w:r>
              <w:rPr>
                <w:rFonts w:ascii="Times New Roman" w:hAnsi="Times New Roman" w:cs="Times New Roman"/>
                <w:color w:val="auto"/>
                <w:sz w:val="24"/>
                <w:szCs w:val="24"/>
                <w:highlight w:val="none"/>
              </w:rPr>
              <w:t>循环用水量为</w:t>
            </w:r>
            <w:r>
              <w:rPr>
                <w:rFonts w:hint="eastAsia" w:ascii="Times New Roman" w:hAnsi="Times New Roman" w:cs="Times New Roman"/>
                <w:color w:val="auto"/>
                <w:sz w:val="24"/>
                <w:szCs w:val="24"/>
                <w:highlight w:val="none"/>
                <w:lang w:val="en-US" w:eastAsia="zh-CN"/>
              </w:rPr>
              <w:t>5</w:t>
            </w:r>
            <w:r>
              <w:rPr>
                <w:rFonts w:ascii="Times New Roman" w:hAnsi="Times New Roman" w:cs="Times New Roman"/>
                <w:color w:val="auto"/>
                <w:sz w:val="24"/>
                <w:szCs w:val="24"/>
                <w:highlight w:val="none"/>
              </w:rPr>
              <w:t>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/h，即</w:t>
            </w:r>
            <w:r>
              <w:rPr>
                <w:rFonts w:hint="eastAsia" w:ascii="Times New Roman" w:hAnsi="Times New Roman" w:cs="Times New Roman"/>
                <w:color w:val="auto"/>
                <w:sz w:val="24"/>
                <w:szCs w:val="24"/>
                <w:highlight w:val="none"/>
                <w:lang w:val="en-US" w:eastAsia="zh-CN"/>
              </w:rPr>
              <w:t>15000</w:t>
            </w:r>
            <w:r>
              <w:rPr>
                <w:rFonts w:ascii="Times New Roman" w:hAnsi="Times New Roman" w:cs="Times New Roman"/>
                <w:color w:val="auto"/>
                <w:sz w:val="24"/>
                <w:szCs w:val="24"/>
                <w:highlight w:val="none"/>
              </w:rPr>
              <w:t>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/a。</w:t>
            </w:r>
          </w:p>
          <w:p w14:paraId="32B4AD05">
            <w:pPr>
              <w:pStyle w:val="27"/>
              <w:wordWrap w:val="0"/>
              <w:topLinePunct/>
              <w:spacing w:line="360" w:lineRule="auto"/>
              <w:ind w:firstLine="480" w:firstLineChars="200"/>
              <w:rPr>
                <w:rFonts w:ascii="Times New Roman" w:hAnsi="Times New Roman" w:cs="Times New Roman"/>
                <w:color w:val="auto"/>
                <w:sz w:val="24"/>
                <w:highlight w:val="none"/>
              </w:rPr>
            </w:pPr>
            <w:r>
              <w:rPr>
                <w:rFonts w:hint="eastAsia" w:ascii="Times New Roman" w:hAnsi="Times New Roman" w:cs="Times New Roman"/>
                <w:color w:val="auto"/>
                <w:sz w:val="24"/>
                <w:highlight w:val="none"/>
                <w:lang w:eastAsia="zh-CN"/>
              </w:rPr>
              <w:t>水帘柜</w:t>
            </w:r>
            <w:r>
              <w:rPr>
                <w:rFonts w:ascii="Times New Roman" w:hAnsi="Times New Roman" w:cs="Times New Roman"/>
                <w:color w:val="auto"/>
                <w:sz w:val="24"/>
                <w:highlight w:val="none"/>
              </w:rPr>
              <w:t>喷淋损耗量根据《给水排水设计手册2-建筑集水排水》（第二版，中国建筑工业出版社）P559表7-32水量损失表，水膜、冰塔、孔流等风吹损失占循环流量的0.5~1.5%（本项目取1%），蒸发损失占循环流量的0.4~0.6%（本项目取0.</w:t>
            </w:r>
            <w:r>
              <w:rPr>
                <w:rFonts w:hint="eastAsia" w:ascii="Times New Roman" w:hAnsi="Times New Roman" w:cs="Times New Roman"/>
                <w:color w:val="auto"/>
                <w:sz w:val="24"/>
                <w:highlight w:val="none"/>
              </w:rPr>
              <w:t>5</w:t>
            </w:r>
            <w:r>
              <w:rPr>
                <w:rFonts w:ascii="Times New Roman" w:hAnsi="Times New Roman" w:cs="Times New Roman"/>
                <w:color w:val="auto"/>
                <w:sz w:val="24"/>
                <w:highlight w:val="none"/>
              </w:rPr>
              <w:t>%），即损耗量共占循环流量</w:t>
            </w:r>
            <w:r>
              <w:rPr>
                <w:rFonts w:hint="eastAsia" w:ascii="Times New Roman" w:hAnsi="Times New Roman" w:cs="Times New Roman"/>
                <w:color w:val="auto"/>
                <w:sz w:val="24"/>
                <w:highlight w:val="none"/>
              </w:rPr>
              <w:t>1.5</w:t>
            </w:r>
            <w:r>
              <w:rPr>
                <w:rFonts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喷漆房</w:t>
            </w:r>
            <w:r>
              <w:rPr>
                <w:rFonts w:ascii="Times New Roman" w:hAnsi="Times New Roman" w:cs="Times New Roman"/>
                <w:color w:val="auto"/>
                <w:sz w:val="24"/>
                <w:highlight w:val="none"/>
              </w:rPr>
              <w:t>的</w:t>
            </w:r>
            <w:r>
              <w:rPr>
                <w:rFonts w:hint="eastAsia" w:ascii="Times New Roman" w:hAnsi="Times New Roman" w:cs="Times New Roman"/>
                <w:color w:val="auto"/>
                <w:sz w:val="24"/>
                <w:highlight w:val="none"/>
                <w:lang w:eastAsia="zh-CN"/>
              </w:rPr>
              <w:t>水帘柜</w:t>
            </w:r>
            <w:r>
              <w:rPr>
                <w:rFonts w:ascii="Times New Roman" w:hAnsi="Times New Roman" w:cs="Times New Roman"/>
                <w:color w:val="auto"/>
                <w:sz w:val="24"/>
                <w:highlight w:val="none"/>
              </w:rPr>
              <w:t>循环损耗补充水量为</w:t>
            </w:r>
            <w:r>
              <w:rPr>
                <w:rFonts w:hint="eastAsia" w:ascii="Times New Roman" w:hAnsi="Times New Roman" w:cs="Times New Roman"/>
                <w:color w:val="auto"/>
                <w:sz w:val="24"/>
                <w:highlight w:val="none"/>
                <w:lang w:val="en-US" w:eastAsia="zh-CN"/>
              </w:rPr>
              <w:t>15000</w:t>
            </w:r>
            <w:r>
              <w:rPr>
                <w:rFonts w:ascii="Times New Roman" w:hAnsi="Times New Roman" w:cs="Times New Roman"/>
                <w:color w:val="auto"/>
                <w:sz w:val="24"/>
                <w:highlight w:val="none"/>
              </w:rPr>
              <w:t>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/a×</w:t>
            </w:r>
            <w:r>
              <w:rPr>
                <w:rFonts w:hint="eastAsia" w:ascii="Times New Roman" w:hAnsi="Times New Roman" w:cs="Times New Roman"/>
                <w:color w:val="auto"/>
                <w:sz w:val="24"/>
                <w:highlight w:val="none"/>
              </w:rPr>
              <w:t>1.5</w:t>
            </w:r>
            <w:r>
              <w:rPr>
                <w:rFonts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225.00</w:t>
            </w:r>
            <w:r>
              <w:rPr>
                <w:rFonts w:ascii="Times New Roman" w:hAnsi="Times New Roman" w:cs="Times New Roman"/>
                <w:color w:val="auto"/>
                <w:sz w:val="24"/>
                <w:highlight w:val="none"/>
              </w:rPr>
              <w:t>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/a。</w:t>
            </w:r>
          </w:p>
          <w:p w14:paraId="214171D3">
            <w:pPr>
              <w:pStyle w:val="27"/>
              <w:wordWrap w:val="0"/>
              <w:topLinePunct/>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喷漆房内设有水帘</w:t>
            </w:r>
            <w:r>
              <w:rPr>
                <w:rFonts w:hint="eastAsia" w:ascii="Times New Roman" w:hAnsi="Times New Roman" w:cs="Times New Roman"/>
                <w:color w:val="auto"/>
                <w:sz w:val="24"/>
                <w:highlight w:val="none"/>
                <w:lang w:val="en-US" w:eastAsia="zh-CN"/>
              </w:rPr>
              <w:t>柜</w:t>
            </w:r>
            <w:r>
              <w:rPr>
                <w:rFonts w:ascii="Times New Roman" w:hAnsi="Times New Roman" w:cs="Times New Roman"/>
                <w:color w:val="auto"/>
                <w:sz w:val="24"/>
                <w:highlight w:val="none"/>
              </w:rPr>
              <w:t>的循环水池，</w:t>
            </w:r>
            <w:r>
              <w:rPr>
                <w:rFonts w:hint="eastAsia" w:ascii="Times New Roman" w:hAnsi="Times New Roman" w:cs="Times New Roman"/>
                <w:color w:val="auto"/>
                <w:sz w:val="24"/>
                <w:highlight w:val="none"/>
                <w:lang w:eastAsia="zh-CN"/>
              </w:rPr>
              <w:t>喷漆房</w:t>
            </w:r>
            <w:r>
              <w:rPr>
                <w:rFonts w:ascii="Times New Roman" w:hAnsi="Times New Roman" w:cs="Times New Roman"/>
                <w:color w:val="auto"/>
                <w:sz w:val="24"/>
                <w:highlight w:val="none"/>
              </w:rPr>
              <w:t>循环水池总有效容积为</w:t>
            </w:r>
            <w:r>
              <w:rPr>
                <w:rFonts w:hint="eastAsia" w:ascii="Times New Roman" w:hAnsi="Times New Roman" w:cs="Times New Roman"/>
                <w:color w:val="auto"/>
                <w:sz w:val="24"/>
                <w:highlight w:val="none"/>
                <w:lang w:val="en-US" w:eastAsia="zh-CN"/>
              </w:rPr>
              <w:t>5</w:t>
            </w:r>
            <w:r>
              <w:rPr>
                <w:rFonts w:ascii="Times New Roman" w:hAnsi="Times New Roman" w:cs="Times New Roman"/>
                <w:color w:val="auto"/>
                <w:sz w:val="24"/>
                <w:highlight w:val="none"/>
              </w:rPr>
              <w:t>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，每</w:t>
            </w:r>
            <w:r>
              <w:rPr>
                <w:rFonts w:hint="eastAsia" w:ascii="Times New Roman" w:hAnsi="Times New Roman" w:cs="Times New Roman"/>
                <w:color w:val="auto"/>
                <w:sz w:val="24"/>
                <w:highlight w:val="none"/>
              </w:rPr>
              <w:t>月</w:t>
            </w:r>
            <w:r>
              <w:rPr>
                <w:rFonts w:ascii="Times New Roman" w:hAnsi="Times New Roman" w:cs="Times New Roman"/>
                <w:color w:val="auto"/>
                <w:sz w:val="24"/>
                <w:highlight w:val="none"/>
              </w:rPr>
              <w:t>更换一次，对应更换补充用水量为</w:t>
            </w:r>
            <w:r>
              <w:rPr>
                <w:rFonts w:hint="eastAsia" w:ascii="Times New Roman" w:hAnsi="Times New Roman" w:cs="Times New Roman"/>
                <w:color w:val="auto"/>
                <w:sz w:val="24"/>
                <w:highlight w:val="none"/>
                <w:lang w:val="en-US" w:eastAsia="zh-CN"/>
              </w:rPr>
              <w:t>5</w:t>
            </w:r>
            <w:r>
              <w:rPr>
                <w:rFonts w:ascii="Times New Roman" w:hAnsi="Times New Roman" w:cs="Times New Roman"/>
                <w:color w:val="auto"/>
                <w:sz w:val="24"/>
                <w:highlight w:val="none"/>
              </w:rPr>
              <w:t>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w:t>
            </w:r>
            <w:r>
              <w:rPr>
                <w:rFonts w:hint="eastAsia" w:ascii="Times New Roman" w:hAnsi="Times New Roman" w:cs="Times New Roman"/>
                <w:color w:val="auto"/>
                <w:sz w:val="24"/>
                <w:highlight w:val="none"/>
              </w:rPr>
              <w:t>12</w:t>
            </w:r>
            <w:r>
              <w:rPr>
                <w:rFonts w:ascii="Times New Roman" w:hAnsi="Times New Roman" w:cs="Times New Roman"/>
                <w:color w:val="auto"/>
                <w:sz w:val="24"/>
                <w:highlight w:val="none"/>
              </w:rPr>
              <w:t>次/年=</w:t>
            </w:r>
            <w:r>
              <w:rPr>
                <w:rFonts w:hint="eastAsia" w:ascii="Times New Roman" w:hAnsi="Times New Roman" w:cs="Times New Roman"/>
                <w:color w:val="auto"/>
                <w:sz w:val="24"/>
                <w:highlight w:val="none"/>
                <w:lang w:val="en-US" w:eastAsia="zh-CN"/>
              </w:rPr>
              <w:t>60</w:t>
            </w:r>
            <w:r>
              <w:rPr>
                <w:rFonts w:ascii="Times New Roman" w:hAnsi="Times New Roman" w:cs="Times New Roman"/>
                <w:color w:val="auto"/>
                <w:sz w:val="24"/>
                <w:highlight w:val="none"/>
              </w:rPr>
              <w:t>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/a，</w:t>
            </w:r>
            <w:r>
              <w:rPr>
                <w:rFonts w:hint="default" w:ascii="Times New Roman" w:hAnsi="Times New Roman" w:eastAsia="宋体" w:cs="Times New Roman"/>
                <w:i w:val="0"/>
                <w:iCs w:val="0"/>
                <w:color w:val="auto"/>
                <w:kern w:val="0"/>
                <w:sz w:val="24"/>
                <w:szCs w:val="24"/>
                <w:highlight w:val="none"/>
                <w:u w:val="none"/>
                <w:lang w:val="en-US" w:eastAsia="zh-CN" w:bidi="ar"/>
              </w:rPr>
              <w:t>更换后的废水</w:t>
            </w:r>
            <w:r>
              <w:rPr>
                <w:rFonts w:hint="eastAsia" w:ascii="Times New Roman" w:hAnsi="Times New Roman" w:eastAsia="宋体" w:cs="Times New Roman"/>
                <w:i w:val="0"/>
                <w:iCs w:val="0"/>
                <w:color w:val="auto"/>
                <w:kern w:val="0"/>
                <w:sz w:val="24"/>
                <w:szCs w:val="24"/>
                <w:highlight w:val="none"/>
                <w:u w:val="none"/>
                <w:lang w:val="en-US" w:eastAsia="zh-CN" w:bidi="ar"/>
              </w:rPr>
              <w:t>委托有危险废物处置资质单位处置</w:t>
            </w:r>
            <w:r>
              <w:rPr>
                <w:rFonts w:hint="default" w:ascii="Times New Roman" w:hAnsi="Times New Roman" w:eastAsia="宋体" w:cs="Times New Roman"/>
                <w:i w:val="0"/>
                <w:iCs w:val="0"/>
                <w:color w:val="auto"/>
                <w:kern w:val="0"/>
                <w:sz w:val="24"/>
                <w:szCs w:val="24"/>
                <w:highlight w:val="none"/>
                <w:u w:val="none"/>
                <w:lang w:val="en-US" w:eastAsia="zh-CN" w:bidi="ar"/>
              </w:rPr>
              <w:t>，</w:t>
            </w:r>
            <w:r>
              <w:rPr>
                <w:rFonts w:ascii="Times New Roman" w:hAnsi="Times New Roman" w:cs="Times New Roman"/>
                <w:color w:val="auto"/>
                <w:sz w:val="24"/>
                <w:highlight w:val="none"/>
              </w:rPr>
              <w:t>本项目水帘</w:t>
            </w:r>
            <w:r>
              <w:rPr>
                <w:rFonts w:hint="eastAsia" w:ascii="Times New Roman" w:hAnsi="Times New Roman" w:cs="Times New Roman"/>
                <w:color w:val="auto"/>
                <w:sz w:val="24"/>
                <w:highlight w:val="none"/>
                <w:lang w:val="en-US" w:eastAsia="zh-CN"/>
              </w:rPr>
              <w:t>柜</w:t>
            </w:r>
            <w:r>
              <w:rPr>
                <w:rFonts w:ascii="Times New Roman" w:hAnsi="Times New Roman" w:cs="Times New Roman"/>
                <w:color w:val="auto"/>
                <w:sz w:val="24"/>
                <w:highlight w:val="none"/>
              </w:rPr>
              <w:t>用水总量为：</w:t>
            </w:r>
            <w:r>
              <w:rPr>
                <w:rFonts w:hint="eastAsia" w:ascii="Times New Roman" w:hAnsi="Times New Roman" w:cs="Times New Roman"/>
                <w:color w:val="auto"/>
                <w:sz w:val="24"/>
                <w:highlight w:val="none"/>
                <w:lang w:val="en-US" w:eastAsia="zh-CN"/>
              </w:rPr>
              <w:t>225</w:t>
            </w:r>
            <w:r>
              <w:rPr>
                <w:rFonts w:ascii="Times New Roman" w:hAnsi="Times New Roman" w:cs="Times New Roman"/>
                <w:color w:val="auto"/>
                <w:sz w:val="24"/>
                <w:highlight w:val="none"/>
              </w:rPr>
              <w:t>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/a+</w:t>
            </w:r>
            <w:r>
              <w:rPr>
                <w:rFonts w:hint="eastAsia" w:ascii="Times New Roman" w:hAnsi="Times New Roman" w:cs="Times New Roman"/>
                <w:color w:val="auto"/>
                <w:sz w:val="24"/>
                <w:highlight w:val="none"/>
                <w:lang w:val="en-US" w:eastAsia="zh-CN"/>
              </w:rPr>
              <w:t>60</w:t>
            </w:r>
            <w:r>
              <w:rPr>
                <w:rFonts w:ascii="Times New Roman" w:hAnsi="Times New Roman" w:cs="Times New Roman"/>
                <w:color w:val="auto"/>
                <w:sz w:val="24"/>
                <w:highlight w:val="none"/>
              </w:rPr>
              <w:t>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/a=</w:t>
            </w:r>
            <w:r>
              <w:rPr>
                <w:rFonts w:hint="eastAsia" w:ascii="Times New Roman" w:hAnsi="Times New Roman" w:cs="Times New Roman"/>
                <w:color w:val="auto"/>
                <w:sz w:val="24"/>
                <w:highlight w:val="none"/>
                <w:lang w:val="en-US" w:eastAsia="zh-CN"/>
              </w:rPr>
              <w:t>285</w:t>
            </w:r>
            <w:r>
              <w:rPr>
                <w:rFonts w:ascii="Times New Roman" w:hAnsi="Times New Roman" w:cs="Times New Roman"/>
                <w:color w:val="auto"/>
                <w:sz w:val="24"/>
                <w:highlight w:val="none"/>
              </w:rPr>
              <w:t>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/a。</w:t>
            </w:r>
          </w:p>
          <w:p w14:paraId="28A306A4">
            <w:pPr>
              <w:pStyle w:val="21"/>
              <w:pageBreakBefore w:val="0"/>
              <w:wordWrap w:val="0"/>
              <w:overflowPunct/>
              <w:bidi w:val="0"/>
              <w:ind w:firstLine="480"/>
              <w:rPr>
                <w:rFonts w:hint="eastAsia" w:cs="Times New Roman"/>
                <w:color w:val="auto"/>
                <w:highlight w:val="none"/>
                <w:lang w:val="en-US" w:eastAsia="zh-CN"/>
              </w:rPr>
            </w:pPr>
            <w:r>
              <w:rPr>
                <w:rFonts w:hint="eastAsia" w:cs="Times New Roman"/>
                <w:color w:val="auto"/>
                <w:highlight w:val="none"/>
                <w:lang w:val="en-US" w:eastAsia="zh-CN"/>
              </w:rPr>
              <w:t>③喷淋塔用水</w:t>
            </w:r>
          </w:p>
          <w:p w14:paraId="77B2E2E4">
            <w:pPr>
              <w:pStyle w:val="27"/>
              <w:wordWrap w:val="0"/>
              <w:topLinePunct/>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与水帘</w:t>
            </w:r>
            <w:r>
              <w:rPr>
                <w:rFonts w:hint="eastAsia" w:ascii="Times New Roman" w:hAnsi="Times New Roman" w:cs="Times New Roman"/>
                <w:color w:val="auto"/>
                <w:sz w:val="24"/>
                <w:highlight w:val="none"/>
                <w:lang w:val="en-US" w:eastAsia="zh-CN"/>
              </w:rPr>
              <w:t>柜</w:t>
            </w:r>
            <w:r>
              <w:rPr>
                <w:rFonts w:ascii="Times New Roman" w:hAnsi="Times New Roman" w:cs="Times New Roman"/>
                <w:color w:val="auto"/>
                <w:sz w:val="24"/>
                <w:highlight w:val="none"/>
              </w:rPr>
              <w:t>用水计算过程相同，</w:t>
            </w:r>
            <w:r>
              <w:rPr>
                <w:rFonts w:hint="eastAsia" w:ascii="Times New Roman" w:hAnsi="Times New Roman" w:cs="Times New Roman"/>
                <w:color w:val="auto"/>
                <w:sz w:val="24"/>
                <w:highlight w:val="none"/>
                <w:lang w:val="en-US" w:eastAsia="zh-CN"/>
              </w:rPr>
              <w:t>废气设施</w:t>
            </w:r>
            <w:r>
              <w:rPr>
                <w:rFonts w:hint="eastAsia" w:ascii="Times New Roman" w:hAnsi="Times New Roman" w:cs="Times New Roman"/>
                <w:color w:val="auto"/>
                <w:sz w:val="24"/>
                <w:highlight w:val="none"/>
              </w:rPr>
              <w:t>总风量为</w:t>
            </w:r>
            <w:r>
              <w:rPr>
                <w:rFonts w:hint="eastAsia" w:ascii="Times New Roman" w:hAnsi="Times New Roman" w:cs="Times New Roman"/>
                <w:color w:val="auto"/>
                <w:sz w:val="24"/>
                <w:highlight w:val="none"/>
                <w:lang w:val="en-US" w:eastAsia="zh-CN"/>
              </w:rPr>
              <w:t>10</w:t>
            </w:r>
            <w:r>
              <w:rPr>
                <w:rFonts w:hint="eastAsia" w:ascii="Times New Roman" w:hAnsi="Times New Roman" w:cs="Times New Roman"/>
                <w:color w:val="auto"/>
                <w:sz w:val="24"/>
                <w:highlight w:val="none"/>
              </w:rPr>
              <w:t>000</w:t>
            </w:r>
            <w:r>
              <w:rPr>
                <w:rFonts w:ascii="Times New Roman" w:hAnsi="Times New Roman" w:cs="Times New Roman"/>
                <w:color w:val="auto"/>
                <w:sz w:val="24"/>
                <w:highlight w:val="none"/>
              </w:rPr>
              <w:t>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/h</w:t>
            </w:r>
            <w:r>
              <w:rPr>
                <w:rFonts w:hint="eastAsia" w:ascii="Times New Roman" w:hAnsi="Times New Roman" w:cs="Times New Roman"/>
                <w:color w:val="auto"/>
                <w:sz w:val="24"/>
                <w:highlight w:val="none"/>
              </w:rPr>
              <w:t>，对应</w:t>
            </w:r>
            <w:r>
              <w:rPr>
                <w:rFonts w:ascii="Times New Roman" w:hAnsi="Times New Roman" w:cs="Times New Roman"/>
                <w:color w:val="auto"/>
                <w:sz w:val="24"/>
                <w:highlight w:val="none"/>
              </w:rPr>
              <w:t>喷淋塔循环用水量为</w:t>
            </w:r>
            <w:r>
              <w:rPr>
                <w:rFonts w:hint="eastAsia" w:ascii="Times New Roman" w:hAnsi="Times New Roman" w:cs="Times New Roman"/>
                <w:color w:val="auto"/>
                <w:sz w:val="24"/>
                <w:highlight w:val="none"/>
                <w:lang w:val="en-US" w:eastAsia="zh-CN"/>
              </w:rPr>
              <w:t>10</w:t>
            </w:r>
            <w:r>
              <w:rPr>
                <w:rFonts w:ascii="Times New Roman" w:hAnsi="Times New Roman" w:cs="Times New Roman"/>
                <w:color w:val="auto"/>
                <w:sz w:val="24"/>
                <w:highlight w:val="none"/>
              </w:rPr>
              <w:t>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/h，即</w:t>
            </w:r>
            <w:r>
              <w:rPr>
                <w:rFonts w:hint="eastAsia" w:ascii="Times New Roman" w:hAnsi="Times New Roman" w:cs="Times New Roman"/>
                <w:color w:val="auto"/>
                <w:sz w:val="24"/>
                <w:highlight w:val="none"/>
                <w:lang w:val="en-US" w:eastAsia="zh-CN"/>
              </w:rPr>
              <w:t>30000</w:t>
            </w:r>
            <w:r>
              <w:rPr>
                <w:rFonts w:ascii="Times New Roman" w:hAnsi="Times New Roman" w:cs="Times New Roman"/>
                <w:color w:val="auto"/>
                <w:sz w:val="24"/>
                <w:highlight w:val="none"/>
              </w:rPr>
              <w:t>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/a，循环损耗补充水量为</w:t>
            </w:r>
            <w:r>
              <w:rPr>
                <w:rFonts w:hint="eastAsia" w:ascii="Times New Roman" w:hAnsi="Times New Roman" w:cs="Times New Roman"/>
                <w:color w:val="auto"/>
                <w:sz w:val="24"/>
                <w:highlight w:val="none"/>
                <w:lang w:val="en-US" w:eastAsia="zh-CN"/>
              </w:rPr>
              <w:t>300</w:t>
            </w:r>
            <w:r>
              <w:rPr>
                <w:rFonts w:ascii="Times New Roman" w:hAnsi="Times New Roman" w:cs="Times New Roman"/>
                <w:color w:val="auto"/>
                <w:sz w:val="24"/>
                <w:highlight w:val="none"/>
              </w:rPr>
              <w:t>00m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/a×</w:t>
            </w:r>
            <w:r>
              <w:rPr>
                <w:rFonts w:hint="eastAsia" w:ascii="Times New Roman" w:hAnsi="Times New Roman" w:cs="Times New Roman"/>
                <w:color w:val="auto"/>
                <w:sz w:val="24"/>
                <w:highlight w:val="none"/>
              </w:rPr>
              <w:t>1.5</w:t>
            </w:r>
            <w:r>
              <w:rPr>
                <w:rFonts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450</w:t>
            </w:r>
            <w:r>
              <w:rPr>
                <w:rFonts w:ascii="Times New Roman" w:hAnsi="Times New Roman" w:cs="Times New Roman"/>
                <w:color w:val="auto"/>
                <w:sz w:val="24"/>
                <w:highlight w:val="none"/>
              </w:rPr>
              <w:t>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/a。</w:t>
            </w:r>
          </w:p>
          <w:p w14:paraId="7B9FB325">
            <w:pPr>
              <w:pStyle w:val="27"/>
              <w:wordWrap w:val="0"/>
              <w:topLinePunct/>
              <w:spacing w:line="360" w:lineRule="auto"/>
              <w:ind w:firstLine="480" w:firstLineChars="20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本项目废气治理设施设置有1台</w:t>
            </w:r>
            <w:r>
              <w:rPr>
                <w:rFonts w:ascii="Times New Roman" w:hAnsi="Times New Roman" w:cs="Times New Roman"/>
                <w:color w:val="auto"/>
                <w:sz w:val="24"/>
                <w:highlight w:val="none"/>
              </w:rPr>
              <w:t>喷淋塔</w:t>
            </w:r>
            <w:r>
              <w:rPr>
                <w:rFonts w:hint="eastAsia" w:ascii="Times New Roman" w:hAnsi="Times New Roman" w:cs="Times New Roman"/>
                <w:color w:val="auto"/>
                <w:sz w:val="24"/>
                <w:highlight w:val="none"/>
              </w:rPr>
              <w:t>，塔内</w:t>
            </w:r>
            <w:r>
              <w:rPr>
                <w:rFonts w:ascii="Times New Roman" w:hAnsi="Times New Roman" w:cs="Times New Roman"/>
                <w:color w:val="auto"/>
                <w:sz w:val="24"/>
                <w:highlight w:val="none"/>
              </w:rPr>
              <w:t>循环水吸附漆雾后污染物浓度会增大，需定期更换，预计每周更换1次，一个月更换4次，</w:t>
            </w:r>
            <w:r>
              <w:rPr>
                <w:rFonts w:hint="eastAsia" w:ascii="Times New Roman" w:hAnsi="Times New Roman" w:cs="Times New Roman"/>
                <w:color w:val="auto"/>
                <w:sz w:val="24"/>
                <w:highlight w:val="none"/>
                <w:lang w:val="en-US" w:eastAsia="zh-CN"/>
              </w:rPr>
              <w:t>全年按12个月计，</w:t>
            </w:r>
            <w:r>
              <w:rPr>
                <w:rFonts w:hint="eastAsia" w:ascii="Times New Roman" w:hAnsi="Times New Roman" w:cs="Times New Roman"/>
                <w:color w:val="auto"/>
                <w:sz w:val="24"/>
                <w:highlight w:val="none"/>
              </w:rPr>
              <w:t>喷淋塔内</w:t>
            </w:r>
            <w:r>
              <w:rPr>
                <w:rFonts w:ascii="Times New Roman" w:hAnsi="Times New Roman" w:cs="Times New Roman"/>
                <w:color w:val="auto"/>
                <w:sz w:val="24"/>
                <w:highlight w:val="none"/>
              </w:rPr>
              <w:t>循环水箱容积约0.</w:t>
            </w:r>
            <w:r>
              <w:rPr>
                <w:rFonts w:hint="eastAsia" w:ascii="Times New Roman" w:hAnsi="Times New Roman" w:cs="Times New Roman"/>
                <w:color w:val="auto"/>
                <w:sz w:val="24"/>
                <w:highlight w:val="none"/>
                <w:lang w:val="en-US" w:eastAsia="zh-CN"/>
              </w:rPr>
              <w:t>4</w:t>
            </w:r>
            <w:r>
              <w:rPr>
                <w:rFonts w:ascii="Times New Roman" w:hAnsi="Times New Roman" w:cs="Times New Roman"/>
                <w:color w:val="auto"/>
                <w:sz w:val="24"/>
                <w:highlight w:val="none"/>
              </w:rPr>
              <w:t>t，则喷淋塔循环水更换量为</w:t>
            </w:r>
            <w:r>
              <w:rPr>
                <w:rFonts w:hint="eastAsia" w:ascii="Times New Roman" w:hAnsi="Times New Roman" w:cs="Times New Roman"/>
                <w:color w:val="auto"/>
                <w:sz w:val="24"/>
                <w:highlight w:val="none"/>
              </w:rPr>
              <w:t>1台×</w:t>
            </w:r>
            <w:r>
              <w:rPr>
                <w:rFonts w:ascii="Times New Roman" w:hAnsi="Times New Roman" w:cs="Times New Roman"/>
                <w:color w:val="auto"/>
                <w:sz w:val="24"/>
                <w:highlight w:val="none"/>
              </w:rPr>
              <w:t>0.</w:t>
            </w:r>
            <w:r>
              <w:rPr>
                <w:rFonts w:hint="eastAsia" w:ascii="Times New Roman" w:hAnsi="Times New Roman" w:cs="Times New Roman"/>
                <w:color w:val="auto"/>
                <w:sz w:val="24"/>
                <w:highlight w:val="none"/>
                <w:lang w:val="en-US" w:eastAsia="zh-CN"/>
              </w:rPr>
              <w:t>4</w:t>
            </w:r>
            <w:r>
              <w:rPr>
                <w:rFonts w:ascii="Times New Roman" w:hAnsi="Times New Roman" w:cs="Times New Roman"/>
                <w:color w:val="auto"/>
                <w:sz w:val="24"/>
                <w:highlight w:val="none"/>
              </w:rPr>
              <w:t>t×4</w:t>
            </w:r>
            <w:r>
              <w:rPr>
                <w:rFonts w:hint="eastAsia" w:ascii="Times New Roman" w:hAnsi="Times New Roman" w:cs="Times New Roman"/>
                <w:color w:val="auto"/>
                <w:sz w:val="24"/>
                <w:highlight w:val="none"/>
              </w:rPr>
              <w:t>8次/年</w:t>
            </w:r>
            <w:r>
              <w:rPr>
                <w:rFonts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19.2</w:t>
            </w:r>
            <w:r>
              <w:rPr>
                <w:rFonts w:ascii="Times New Roman" w:hAnsi="Times New Roman" w:cs="Times New Roman"/>
                <w:color w:val="auto"/>
                <w:sz w:val="24"/>
                <w:highlight w:val="none"/>
              </w:rPr>
              <w:t>t/a，</w:t>
            </w:r>
            <w:r>
              <w:rPr>
                <w:rFonts w:hint="default" w:ascii="Times New Roman" w:hAnsi="Times New Roman" w:eastAsia="宋体" w:cs="Times New Roman"/>
                <w:i w:val="0"/>
                <w:iCs w:val="0"/>
                <w:color w:val="auto"/>
                <w:kern w:val="0"/>
                <w:sz w:val="24"/>
                <w:szCs w:val="24"/>
                <w:highlight w:val="none"/>
                <w:u w:val="none"/>
                <w:lang w:val="en-US" w:eastAsia="zh-CN" w:bidi="ar"/>
              </w:rPr>
              <w:t>更换后的废水</w:t>
            </w:r>
            <w:r>
              <w:rPr>
                <w:rFonts w:hint="eastAsia" w:ascii="Times New Roman" w:hAnsi="Times New Roman" w:eastAsia="宋体" w:cs="Times New Roman"/>
                <w:i w:val="0"/>
                <w:iCs w:val="0"/>
                <w:color w:val="auto"/>
                <w:kern w:val="0"/>
                <w:sz w:val="24"/>
                <w:szCs w:val="24"/>
                <w:highlight w:val="none"/>
                <w:u w:val="none"/>
                <w:lang w:val="en-US" w:eastAsia="zh-CN" w:bidi="ar"/>
              </w:rPr>
              <w:t>委托有危险废物处置资质单位处置</w:t>
            </w:r>
            <w:r>
              <w:rPr>
                <w:rFonts w:hint="eastAsia" w:ascii="Times New Roman" w:hAnsi="Times New Roman" w:cs="Times New Roman"/>
                <w:color w:val="auto"/>
                <w:sz w:val="24"/>
                <w:highlight w:val="none"/>
                <w:lang w:val="en-US" w:eastAsia="zh-CN"/>
              </w:rPr>
              <w:t>。</w:t>
            </w:r>
            <w:r>
              <w:rPr>
                <w:rFonts w:ascii="Times New Roman" w:hAnsi="Times New Roman" w:cs="Times New Roman"/>
                <w:color w:val="auto"/>
                <w:sz w:val="24"/>
                <w:highlight w:val="none"/>
              </w:rPr>
              <w:t>本项目喷淋塔用水总量为：</w:t>
            </w:r>
            <w:r>
              <w:rPr>
                <w:rFonts w:hint="eastAsia" w:ascii="Times New Roman" w:hAnsi="Times New Roman" w:cs="Times New Roman"/>
                <w:color w:val="auto"/>
                <w:sz w:val="24"/>
                <w:highlight w:val="none"/>
                <w:lang w:val="en-US" w:eastAsia="zh-CN"/>
              </w:rPr>
              <w:t>450</w:t>
            </w:r>
            <w:r>
              <w:rPr>
                <w:rFonts w:ascii="Times New Roman" w:hAnsi="Times New Roman" w:cs="Times New Roman"/>
                <w:color w:val="auto"/>
                <w:sz w:val="24"/>
                <w:highlight w:val="none"/>
              </w:rPr>
              <w:t>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/a+</w:t>
            </w:r>
            <w:r>
              <w:rPr>
                <w:rFonts w:hint="eastAsia" w:ascii="Times New Roman" w:hAnsi="Times New Roman" w:cs="Times New Roman"/>
                <w:color w:val="auto"/>
                <w:sz w:val="24"/>
                <w:highlight w:val="none"/>
                <w:lang w:val="en-US" w:eastAsia="zh-CN"/>
              </w:rPr>
              <w:t>19.2</w:t>
            </w:r>
            <w:r>
              <w:rPr>
                <w:rFonts w:ascii="Times New Roman" w:hAnsi="Times New Roman" w:cs="Times New Roman"/>
                <w:color w:val="auto"/>
                <w:sz w:val="24"/>
                <w:highlight w:val="none"/>
              </w:rPr>
              <w:t>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/a=</w:t>
            </w:r>
            <w:r>
              <w:rPr>
                <w:rFonts w:hint="eastAsia" w:ascii="Times New Roman" w:hAnsi="Times New Roman" w:cs="Times New Roman"/>
                <w:color w:val="auto"/>
                <w:sz w:val="24"/>
                <w:highlight w:val="none"/>
                <w:lang w:val="en-US" w:eastAsia="zh-CN"/>
              </w:rPr>
              <w:t>469.2</w:t>
            </w:r>
            <w:r>
              <w:rPr>
                <w:rFonts w:ascii="Times New Roman" w:hAnsi="Times New Roman" w:cs="Times New Roman"/>
                <w:color w:val="auto"/>
                <w:sz w:val="24"/>
                <w:highlight w:val="none"/>
              </w:rPr>
              <w:t>m</w:t>
            </w:r>
            <w:r>
              <w:rPr>
                <w:rFonts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/a。</w:t>
            </w:r>
          </w:p>
          <w:p w14:paraId="05FA5635">
            <w:pPr>
              <w:pStyle w:val="11"/>
              <w:numPr>
                <w:ilvl w:val="4"/>
                <w:numId w:val="0"/>
              </w:numPr>
              <w:ind w:firstLine="480" w:firstLineChars="200"/>
              <w:jc w:val="both"/>
              <w:rPr>
                <w:rFonts w:hint="default" w:ascii="Times New Roman" w:hAnsi="Times New Roman" w:eastAsia="宋体" w:cs="Times New Roman"/>
                <w:b w:val="0"/>
                <w:bCs w:val="0"/>
                <w:color w:val="auto"/>
                <w:highlight w:val="none"/>
                <w:lang w:val="en-US" w:eastAsia="zh-CN"/>
              </w:rPr>
            </w:pPr>
            <w:r>
              <w:rPr>
                <w:rFonts w:hint="eastAsia" w:cs="Times New Roman"/>
                <w:color w:val="auto"/>
                <w:highlight w:val="none"/>
                <w:lang w:val="en-US" w:eastAsia="zh-CN"/>
              </w:rPr>
              <w:t>④水性喷枪清洗用水：</w:t>
            </w:r>
          </w:p>
          <w:p w14:paraId="2600424F">
            <w:pPr>
              <w:pStyle w:val="21"/>
              <w:pageBreakBefore w:val="0"/>
              <w:wordWrap w:val="0"/>
              <w:overflowPunct/>
              <w:bidi w:val="0"/>
              <w:ind w:firstLine="480"/>
              <w:rPr>
                <w:rFonts w:hint="default" w:cs="Times New Roman"/>
                <w:color w:val="auto"/>
                <w:highlight w:val="none"/>
                <w:lang w:val="en-US" w:eastAsia="zh-CN"/>
              </w:rPr>
            </w:pPr>
            <w:r>
              <w:rPr>
                <w:rFonts w:hint="eastAsia" w:cs="Times New Roman"/>
                <w:b w:val="0"/>
                <w:bCs w:val="0"/>
                <w:color w:val="auto"/>
                <w:highlight w:val="none"/>
                <w:lang w:val="en-US" w:eastAsia="zh-CN"/>
              </w:rPr>
              <w:t>本项目配</w:t>
            </w:r>
            <w:r>
              <w:rPr>
                <w:rFonts w:hint="eastAsia"/>
                <w:bCs/>
                <w:color w:val="auto"/>
                <w:spacing w:val="-10"/>
                <w:sz w:val="24"/>
                <w:highlight w:val="none"/>
                <w:lang w:val="en-US" w:eastAsia="zh-CN"/>
              </w:rPr>
              <w:t>水性漆喷枪2支，单支喷枪冲洗时间为30s，</w:t>
            </w:r>
            <w:r>
              <w:rPr>
                <w:rFonts w:hint="eastAsia"/>
                <w:bCs/>
                <w:color w:val="auto"/>
                <w:spacing w:val="-10"/>
                <w:sz w:val="24"/>
                <w:highlight w:val="none"/>
              </w:rPr>
              <w:t>年工作</w:t>
            </w:r>
            <w:r>
              <w:rPr>
                <w:rFonts w:hint="eastAsia"/>
                <w:bCs/>
                <w:color w:val="auto"/>
                <w:spacing w:val="-10"/>
                <w:sz w:val="24"/>
                <w:highlight w:val="none"/>
                <w:lang w:val="en-US" w:eastAsia="zh-CN"/>
              </w:rPr>
              <w:t>300</w:t>
            </w:r>
            <w:r>
              <w:rPr>
                <w:rFonts w:hint="eastAsia"/>
                <w:bCs/>
                <w:color w:val="auto"/>
                <w:spacing w:val="-10"/>
                <w:sz w:val="24"/>
                <w:highlight w:val="none"/>
              </w:rPr>
              <w:t>天，则</w:t>
            </w:r>
            <w:r>
              <w:rPr>
                <w:rFonts w:hint="eastAsia"/>
                <w:color w:val="auto"/>
                <w:sz w:val="24"/>
                <w:highlight w:val="none"/>
                <w:lang w:val="en-US" w:eastAsia="zh-CN"/>
              </w:rPr>
              <w:t>喷枪</w:t>
            </w:r>
            <w:r>
              <w:rPr>
                <w:rFonts w:hint="eastAsia"/>
                <w:color w:val="auto"/>
                <w:sz w:val="24"/>
                <w:highlight w:val="none"/>
              </w:rPr>
              <w:t>清洗用水量为</w:t>
            </w:r>
            <w:r>
              <w:rPr>
                <w:rFonts w:hint="eastAsia"/>
                <w:bCs/>
                <w:color w:val="auto"/>
                <w:spacing w:val="-10"/>
                <w:sz w:val="24"/>
                <w:highlight w:val="none"/>
              </w:rPr>
              <w:t>（</w:t>
            </w:r>
            <w:r>
              <w:rPr>
                <w:rFonts w:hint="eastAsia"/>
                <w:bCs/>
                <w:color w:val="auto"/>
                <w:spacing w:val="-10"/>
                <w:sz w:val="24"/>
                <w:highlight w:val="none"/>
                <w:lang w:val="en-US" w:eastAsia="zh-CN"/>
              </w:rPr>
              <w:t>2支×30s</w:t>
            </w:r>
            <w:r>
              <w:rPr>
                <w:rFonts w:hint="eastAsia"/>
                <w:bCs/>
                <w:color w:val="auto"/>
                <w:spacing w:val="-10"/>
                <w:sz w:val="24"/>
                <w:highlight w:val="none"/>
              </w:rPr>
              <w:t>）÷60s/min×</w:t>
            </w:r>
            <w:r>
              <w:rPr>
                <w:rFonts w:hint="eastAsia"/>
                <w:bCs/>
                <w:color w:val="auto"/>
                <w:spacing w:val="-10"/>
                <w:sz w:val="24"/>
                <w:highlight w:val="none"/>
                <w:lang w:val="en-US" w:eastAsia="zh-CN"/>
              </w:rPr>
              <w:t>5</w:t>
            </w:r>
            <w:r>
              <w:rPr>
                <w:rFonts w:hint="eastAsia"/>
                <w:bCs/>
                <w:color w:val="auto"/>
                <w:spacing w:val="-10"/>
                <w:sz w:val="24"/>
                <w:highlight w:val="none"/>
              </w:rPr>
              <w:t>L/min=</w:t>
            </w:r>
            <w:r>
              <w:rPr>
                <w:rFonts w:hint="eastAsia"/>
                <w:bCs/>
                <w:color w:val="auto"/>
                <w:spacing w:val="-10"/>
                <w:sz w:val="24"/>
                <w:highlight w:val="none"/>
                <w:lang w:val="en-US" w:eastAsia="zh-CN"/>
              </w:rPr>
              <w:t>5</w:t>
            </w:r>
            <w:r>
              <w:rPr>
                <w:rFonts w:hint="eastAsia"/>
                <w:bCs/>
                <w:color w:val="auto"/>
                <w:spacing w:val="-10"/>
                <w:sz w:val="24"/>
                <w:highlight w:val="none"/>
              </w:rPr>
              <w:t>L/次，则年</w:t>
            </w:r>
            <w:r>
              <w:rPr>
                <w:rFonts w:hint="eastAsia"/>
                <w:color w:val="auto"/>
                <w:sz w:val="24"/>
                <w:highlight w:val="none"/>
              </w:rPr>
              <w:t>用水量为</w:t>
            </w:r>
            <w:r>
              <w:rPr>
                <w:rFonts w:hint="eastAsia"/>
                <w:color w:val="auto"/>
                <w:sz w:val="24"/>
                <w:highlight w:val="none"/>
                <w:lang w:val="en-US" w:eastAsia="zh-CN"/>
              </w:rPr>
              <w:t>1.5</w:t>
            </w:r>
            <w:r>
              <w:rPr>
                <w:rFonts w:hint="eastAsia"/>
                <w:bCs/>
                <w:color w:val="auto"/>
                <w:spacing w:val="-10"/>
                <w:sz w:val="24"/>
                <w:highlight w:val="none"/>
              </w:rPr>
              <w:t>t/a，污水量按用水量90%计，则</w:t>
            </w:r>
            <w:r>
              <w:rPr>
                <w:rFonts w:hint="eastAsia"/>
                <w:bCs/>
                <w:color w:val="auto"/>
                <w:spacing w:val="-10"/>
                <w:sz w:val="24"/>
                <w:highlight w:val="none"/>
                <w:lang w:eastAsia="zh-CN"/>
              </w:rPr>
              <w:t>水性漆喷枪清洗废水</w:t>
            </w:r>
            <w:r>
              <w:rPr>
                <w:rFonts w:hint="eastAsia"/>
                <w:bCs/>
                <w:color w:val="auto"/>
                <w:spacing w:val="-10"/>
                <w:sz w:val="24"/>
                <w:highlight w:val="none"/>
              </w:rPr>
              <w:t>产生量约为</w:t>
            </w:r>
            <w:r>
              <w:rPr>
                <w:rFonts w:hint="eastAsia"/>
                <w:bCs/>
                <w:color w:val="auto"/>
                <w:spacing w:val="-10"/>
                <w:sz w:val="24"/>
                <w:highlight w:val="none"/>
                <w:lang w:val="en-US" w:eastAsia="zh-CN"/>
              </w:rPr>
              <w:t>1.35</w:t>
            </w:r>
            <w:r>
              <w:rPr>
                <w:rFonts w:hint="eastAsia"/>
                <w:bCs/>
                <w:color w:val="auto"/>
                <w:spacing w:val="-10"/>
                <w:sz w:val="24"/>
                <w:highlight w:val="none"/>
              </w:rPr>
              <w:t>t/a。</w:t>
            </w:r>
            <w:r>
              <w:rPr>
                <w:rFonts w:hint="eastAsia"/>
                <w:bCs/>
                <w:color w:val="auto"/>
                <w:spacing w:val="-10"/>
                <w:sz w:val="24"/>
                <w:highlight w:val="none"/>
                <w:lang w:val="en-US" w:eastAsia="zh-CN"/>
              </w:rPr>
              <w:t>清洗废水中成分复杂，按危险废物交由有危险废物处理资质单位处理</w:t>
            </w:r>
            <w:r>
              <w:rPr>
                <w:rFonts w:hint="eastAsia"/>
                <w:bCs/>
                <w:color w:val="auto"/>
                <w:spacing w:val="-10"/>
                <w:sz w:val="24"/>
                <w:highlight w:val="none"/>
              </w:rPr>
              <w:t>。</w:t>
            </w:r>
          </w:p>
          <w:p w14:paraId="149E322A">
            <w:pPr>
              <w:pStyle w:val="21"/>
              <w:pageBreakBefore w:val="0"/>
              <w:wordWrap w:val="0"/>
              <w:overflowPunct/>
              <w:bidi w:val="0"/>
              <w:ind w:firstLine="480"/>
              <w:rPr>
                <w:rFonts w:hint="default" w:cs="Times New Roman"/>
                <w:color w:val="auto"/>
                <w:highlight w:val="none"/>
                <w:lang w:val="en-US" w:eastAsia="zh-CN"/>
              </w:rPr>
            </w:pPr>
            <w:r>
              <w:rPr>
                <w:rFonts w:hint="eastAsia" w:cs="Times New Roman"/>
                <w:b/>
                <w:bCs/>
                <w:color w:val="auto"/>
                <w:highlight w:val="none"/>
                <w:lang w:val="en-US" w:eastAsia="zh-CN"/>
              </w:rPr>
              <w:t>⑤表面处理用水：</w:t>
            </w:r>
            <w:r>
              <w:rPr>
                <w:rFonts w:hint="default" w:ascii="Times New Roman" w:hAnsi="Times New Roman" w:cs="Times New Roman"/>
                <w:color w:val="auto"/>
                <w:sz w:val="24"/>
                <w:szCs w:val="24"/>
                <w:highlight w:val="none"/>
              </w:rPr>
              <w:t>表面预处理工序</w:t>
            </w:r>
            <w:r>
              <w:rPr>
                <w:rFonts w:hint="default" w:ascii="Times New Roman" w:hAnsi="Times New Roman" w:cs="Times New Roman"/>
                <w:color w:val="auto"/>
                <w:sz w:val="24"/>
                <w:szCs w:val="24"/>
                <w:highlight w:val="none"/>
                <w:lang w:val="en-US" w:eastAsia="zh-CN"/>
              </w:rPr>
              <w:t>喷淋补充用水、整槽更换用水和溢流用水</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总</w:t>
            </w:r>
            <w:r>
              <w:rPr>
                <w:rFonts w:hint="default" w:ascii="Times New Roman" w:hAnsi="Times New Roman" w:cs="Times New Roman"/>
                <w:color w:val="auto"/>
                <w:sz w:val="24"/>
                <w:szCs w:val="24"/>
                <w:highlight w:val="none"/>
              </w:rPr>
              <w:t>用水量为</w:t>
            </w:r>
            <w:r>
              <w:rPr>
                <w:rFonts w:hint="eastAsia" w:cs="Times New Roman"/>
                <w:color w:val="auto"/>
                <w:sz w:val="24"/>
                <w:szCs w:val="24"/>
                <w:highlight w:val="none"/>
                <w:lang w:val="en-US" w:eastAsia="zh-CN"/>
              </w:rPr>
              <w:t>6721.72</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rPr>
              <w:t>/a。</w:t>
            </w:r>
          </w:p>
          <w:p w14:paraId="4F16AD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循环</w:t>
            </w:r>
            <w:r>
              <w:rPr>
                <w:rFonts w:hint="default" w:ascii="Times New Roman" w:hAnsi="Times New Roman" w:cs="Times New Roman"/>
                <w:b/>
                <w:bCs/>
                <w:color w:val="auto"/>
                <w:sz w:val="24"/>
                <w:szCs w:val="24"/>
                <w:highlight w:val="none"/>
                <w:lang w:val="en-US" w:eastAsia="zh-CN"/>
              </w:rPr>
              <w:t>补充用水</w:t>
            </w:r>
          </w:p>
          <w:p w14:paraId="1B7AD8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4"/>
                <w:szCs w:val="24"/>
                <w:highlight w:val="none"/>
                <w:lang w:val="en-US" w:eastAsia="zh-CN"/>
              </w:rPr>
              <w:t>本项目前处理线各池体处理方法均采用喷淋处理，喷淋过程产生用水损耗，需要定期补充用水，喷淋水损耗按循环水量的1%计算，本项目各前处理线喷淋补充用水计算见下表。</w:t>
            </w:r>
          </w:p>
          <w:p w14:paraId="1317975A">
            <w:pPr>
              <w:pStyle w:val="17"/>
              <w:pageBreakBefore w:val="0"/>
              <w:numPr>
                <w:ilvl w:val="0"/>
                <w:numId w:val="8"/>
              </w:numPr>
              <w:wordWrap w:val="0"/>
              <w:overflowPunct/>
              <w:bidi w:val="0"/>
              <w:spacing w:line="240" w:lineRule="auto"/>
              <w:ind w:left="0" w:leftChars="0" w:firstLine="40" w:firstLineChars="0"/>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前处理线</w:t>
            </w:r>
            <w:r>
              <w:rPr>
                <w:rFonts w:hint="eastAsia" w:ascii="Times New Roman" w:hAnsi="Times New Roman" w:eastAsia="宋体" w:cs="Times New Roman"/>
                <w:b/>
                <w:bCs/>
                <w:color w:val="auto"/>
                <w:sz w:val="21"/>
                <w:szCs w:val="21"/>
                <w:highlight w:val="none"/>
                <w:lang w:val="en-US" w:eastAsia="zh-CN"/>
              </w:rPr>
              <w:t>循环</w:t>
            </w:r>
            <w:r>
              <w:rPr>
                <w:rFonts w:hint="default" w:ascii="Times New Roman" w:hAnsi="Times New Roman" w:eastAsia="宋体" w:cs="Times New Roman"/>
                <w:b/>
                <w:bCs/>
                <w:color w:val="auto"/>
                <w:sz w:val="21"/>
                <w:szCs w:val="21"/>
                <w:highlight w:val="none"/>
                <w:lang w:val="en-US" w:eastAsia="zh-CN"/>
              </w:rPr>
              <w:t>补充用水计算表</w:t>
            </w:r>
          </w:p>
          <w:tbl>
            <w:tblPr>
              <w:tblStyle w:val="43"/>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12"/>
              <w:gridCol w:w="1183"/>
              <w:gridCol w:w="1077"/>
              <w:gridCol w:w="962"/>
              <w:gridCol w:w="1324"/>
              <w:gridCol w:w="1216"/>
              <w:gridCol w:w="1356"/>
            </w:tblGrid>
            <w:tr w14:paraId="72B58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910" w:type="dxa"/>
                  <w:tcBorders>
                    <w:top w:val="single" w:color="000000" w:sz="4" w:space="0"/>
                    <w:left w:val="single" w:color="000000" w:sz="4" w:space="0"/>
                    <w:bottom w:val="single" w:color="000000" w:sz="4" w:space="0"/>
                    <w:right w:val="single" w:color="000000" w:sz="4" w:space="0"/>
                  </w:tcBorders>
                  <w:noWrap/>
                  <w:vAlign w:val="center"/>
                </w:tcPr>
                <w:p w14:paraId="25795B5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生产线</w:t>
                  </w:r>
                </w:p>
              </w:tc>
              <w:tc>
                <w:tcPr>
                  <w:tcW w:w="1184" w:type="dxa"/>
                  <w:tcBorders>
                    <w:top w:val="single" w:color="000000" w:sz="4" w:space="0"/>
                    <w:left w:val="single" w:color="000000" w:sz="4" w:space="0"/>
                    <w:bottom w:val="single" w:color="000000" w:sz="4" w:space="0"/>
                    <w:right w:val="single" w:color="000000" w:sz="4" w:space="0"/>
                  </w:tcBorders>
                  <w:vAlign w:val="center"/>
                </w:tcPr>
                <w:p w14:paraId="0A224BD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工序</w:t>
                  </w:r>
                </w:p>
              </w:tc>
              <w:tc>
                <w:tcPr>
                  <w:tcW w:w="1077" w:type="dxa"/>
                  <w:tcBorders>
                    <w:top w:val="single" w:color="000000" w:sz="4" w:space="0"/>
                    <w:left w:val="single" w:color="000000" w:sz="4" w:space="0"/>
                    <w:bottom w:val="single" w:color="000000" w:sz="4" w:space="0"/>
                    <w:right w:val="single" w:color="000000" w:sz="4" w:space="0"/>
                  </w:tcBorders>
                  <w:vAlign w:val="center"/>
                </w:tcPr>
                <w:p w14:paraId="34E8C51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水池水量</w:t>
                  </w:r>
                  <w:r>
                    <w:rPr>
                      <w:rFonts w:hint="default" w:ascii="Times New Roman" w:hAnsi="Times New Roman" w:eastAsia="宋体" w:cs="Times New Roman"/>
                      <w:b/>
                      <w:bCs/>
                      <w:i w:val="0"/>
                      <w:iCs w:val="0"/>
                      <w:color w:val="auto"/>
                      <w:kern w:val="0"/>
                      <w:sz w:val="21"/>
                      <w:szCs w:val="21"/>
                      <w:highlight w:val="none"/>
                      <w:u w:val="none"/>
                      <w:lang w:val="en-US" w:eastAsia="zh-CN"/>
                    </w:rPr>
                    <w:t>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rPr>
                    <w:t>3</w:t>
                  </w:r>
                </w:p>
              </w:tc>
              <w:tc>
                <w:tcPr>
                  <w:tcW w:w="961" w:type="dxa"/>
                  <w:tcBorders>
                    <w:top w:val="single" w:color="000000" w:sz="4" w:space="0"/>
                    <w:left w:val="single" w:color="000000" w:sz="4" w:space="0"/>
                    <w:bottom w:val="single" w:color="000000" w:sz="4" w:space="0"/>
                    <w:right w:val="single" w:color="000000" w:sz="4" w:space="0"/>
                  </w:tcBorders>
                  <w:noWrap/>
                  <w:vAlign w:val="center"/>
                </w:tcPr>
                <w:p w14:paraId="5F31CC7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运行时间</w:t>
                  </w:r>
                  <w:r>
                    <w:rPr>
                      <w:rFonts w:hint="default" w:ascii="Times New Roman" w:hAnsi="Times New Roman" w:eastAsia="宋体" w:cs="Times New Roman"/>
                      <w:b/>
                      <w:bCs/>
                      <w:i w:val="0"/>
                      <w:iCs w:val="0"/>
                      <w:color w:val="auto"/>
                      <w:kern w:val="0"/>
                      <w:sz w:val="21"/>
                      <w:szCs w:val="21"/>
                      <w:highlight w:val="none"/>
                      <w:u w:val="none"/>
                      <w:lang w:val="en-US" w:eastAsia="zh-CN"/>
                    </w:rPr>
                    <w:t>h</w:t>
                  </w:r>
                </w:p>
              </w:tc>
              <w:tc>
                <w:tcPr>
                  <w:tcW w:w="1325" w:type="dxa"/>
                  <w:tcBorders>
                    <w:top w:val="single" w:color="000000" w:sz="4" w:space="0"/>
                    <w:left w:val="single" w:color="000000" w:sz="4" w:space="0"/>
                    <w:bottom w:val="single" w:color="000000" w:sz="4" w:space="0"/>
                    <w:right w:val="single" w:color="000000" w:sz="4" w:space="0"/>
                  </w:tcBorders>
                  <w:vAlign w:val="center"/>
                </w:tcPr>
                <w:p w14:paraId="1A38D0F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槽液循环量</w:t>
                  </w:r>
                  <w:r>
                    <w:rPr>
                      <w:rFonts w:hint="default" w:ascii="Times New Roman" w:hAnsi="Times New Roman" w:eastAsia="宋体" w:cs="Times New Roman"/>
                      <w:b/>
                      <w:bCs/>
                      <w:i w:val="0"/>
                      <w:iCs w:val="0"/>
                      <w:color w:val="auto"/>
                      <w:kern w:val="0"/>
                      <w:sz w:val="21"/>
                      <w:szCs w:val="21"/>
                      <w:highlight w:val="none"/>
                      <w:u w:val="none"/>
                      <w:lang w:val="en-US" w:eastAsia="zh-CN"/>
                    </w:rPr>
                    <w:t>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rPr>
                    <w:t>3</w:t>
                  </w:r>
                  <w:r>
                    <w:rPr>
                      <w:rFonts w:hint="default" w:ascii="Times New Roman" w:hAnsi="Times New Roman" w:eastAsia="宋体" w:cs="Times New Roman"/>
                      <w:b/>
                      <w:bCs/>
                      <w:i w:val="0"/>
                      <w:iCs w:val="0"/>
                      <w:color w:val="auto"/>
                      <w:kern w:val="0"/>
                      <w:sz w:val="21"/>
                      <w:szCs w:val="21"/>
                      <w:highlight w:val="none"/>
                      <w:u w:val="none"/>
                      <w:lang w:val="en-US" w:eastAsia="zh-CN"/>
                    </w:rPr>
                    <w:t>/h</w:t>
                  </w:r>
                </w:p>
              </w:tc>
              <w:tc>
                <w:tcPr>
                  <w:tcW w:w="1216" w:type="dxa"/>
                  <w:tcBorders>
                    <w:top w:val="single" w:color="000000" w:sz="4" w:space="0"/>
                    <w:left w:val="single" w:color="000000" w:sz="4" w:space="0"/>
                    <w:bottom w:val="single" w:color="000000" w:sz="4" w:space="0"/>
                    <w:right w:val="single" w:color="000000" w:sz="4" w:space="0"/>
                  </w:tcBorders>
                  <w:vAlign w:val="center"/>
                </w:tcPr>
                <w:p w14:paraId="1D08D587">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槽液循环量</w:t>
                  </w:r>
                  <w:r>
                    <w:rPr>
                      <w:rFonts w:hint="default" w:ascii="Times New Roman" w:hAnsi="Times New Roman" w:eastAsia="宋体" w:cs="Times New Roman"/>
                      <w:b/>
                      <w:bCs/>
                      <w:i w:val="0"/>
                      <w:iCs w:val="0"/>
                      <w:color w:val="auto"/>
                      <w:kern w:val="0"/>
                      <w:sz w:val="21"/>
                      <w:szCs w:val="21"/>
                      <w:highlight w:val="none"/>
                      <w:u w:val="none"/>
                      <w:lang w:val="en-US" w:eastAsia="zh-CN"/>
                    </w:rPr>
                    <w:t>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rPr>
                    <w:t>3</w:t>
                  </w:r>
                  <w:r>
                    <w:rPr>
                      <w:rFonts w:hint="default" w:ascii="Times New Roman" w:hAnsi="Times New Roman" w:eastAsia="宋体" w:cs="Times New Roman"/>
                      <w:b/>
                      <w:bCs/>
                      <w:i w:val="0"/>
                      <w:iCs w:val="0"/>
                      <w:color w:val="auto"/>
                      <w:kern w:val="0"/>
                      <w:sz w:val="21"/>
                      <w:szCs w:val="21"/>
                      <w:highlight w:val="none"/>
                      <w:u w:val="none"/>
                      <w:lang w:val="en-US" w:eastAsia="zh-CN"/>
                    </w:rPr>
                    <w:t>/d</w:t>
                  </w:r>
                </w:p>
              </w:tc>
              <w:tc>
                <w:tcPr>
                  <w:tcW w:w="1357" w:type="dxa"/>
                  <w:tcBorders>
                    <w:top w:val="single" w:color="000000" w:sz="4" w:space="0"/>
                    <w:left w:val="single" w:color="000000" w:sz="4" w:space="0"/>
                    <w:bottom w:val="single" w:color="000000" w:sz="4" w:space="0"/>
                    <w:right w:val="single" w:color="000000" w:sz="4" w:space="0"/>
                  </w:tcBorders>
                  <w:vAlign w:val="center"/>
                </w:tcPr>
                <w:p w14:paraId="0369212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循环补充用水量</w:t>
                  </w:r>
                  <w:r>
                    <w:rPr>
                      <w:rFonts w:hint="default" w:ascii="Times New Roman" w:hAnsi="Times New Roman" w:eastAsia="宋体" w:cs="Times New Roman"/>
                      <w:b/>
                      <w:bCs/>
                      <w:i w:val="0"/>
                      <w:iCs w:val="0"/>
                      <w:color w:val="auto"/>
                      <w:kern w:val="0"/>
                      <w:sz w:val="21"/>
                      <w:szCs w:val="21"/>
                      <w:highlight w:val="none"/>
                      <w:u w:val="none"/>
                      <w:lang w:val="en-US" w:eastAsia="zh-CN"/>
                    </w:rPr>
                    <w:t>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rPr>
                    <w:t>3</w:t>
                  </w:r>
                  <w:r>
                    <w:rPr>
                      <w:rFonts w:hint="default" w:ascii="Times New Roman" w:hAnsi="Times New Roman" w:eastAsia="宋体" w:cs="Times New Roman"/>
                      <w:b/>
                      <w:bCs/>
                      <w:i w:val="0"/>
                      <w:iCs w:val="0"/>
                      <w:color w:val="auto"/>
                      <w:kern w:val="0"/>
                      <w:sz w:val="21"/>
                      <w:szCs w:val="21"/>
                      <w:highlight w:val="none"/>
                      <w:u w:val="none"/>
                      <w:lang w:val="en-US" w:eastAsia="zh-CN"/>
                    </w:rPr>
                    <w:t>/a</w:t>
                  </w:r>
                </w:p>
              </w:tc>
            </w:tr>
            <w:tr w14:paraId="54218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910" w:type="dxa"/>
                  <w:vMerge w:val="restart"/>
                  <w:tcBorders>
                    <w:top w:val="single" w:color="000000" w:sz="4" w:space="0"/>
                    <w:left w:val="single" w:color="000000" w:sz="4" w:space="0"/>
                    <w:right w:val="single" w:color="000000" w:sz="4" w:space="0"/>
                  </w:tcBorders>
                  <w:noWrap/>
                  <w:vAlign w:val="center"/>
                </w:tcPr>
                <w:p w14:paraId="470A758A">
                  <w:pPr>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前处理生产线</w:t>
                  </w:r>
                </w:p>
              </w:tc>
              <w:tc>
                <w:tcPr>
                  <w:tcW w:w="1184" w:type="dxa"/>
                  <w:tcBorders>
                    <w:top w:val="single" w:color="000000" w:sz="4" w:space="0"/>
                    <w:left w:val="single" w:color="000000" w:sz="4" w:space="0"/>
                    <w:bottom w:val="single" w:color="000000" w:sz="4" w:space="0"/>
                    <w:right w:val="single" w:color="000000" w:sz="4" w:space="0"/>
                  </w:tcBorders>
                  <w:vAlign w:val="center"/>
                </w:tcPr>
                <w:p w14:paraId="2B99B1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脱脂池</w:t>
                  </w:r>
                </w:p>
              </w:tc>
              <w:tc>
                <w:tcPr>
                  <w:tcW w:w="1077" w:type="dxa"/>
                  <w:tcBorders>
                    <w:top w:val="single" w:color="000000" w:sz="4" w:space="0"/>
                    <w:left w:val="single" w:color="000000" w:sz="4" w:space="0"/>
                    <w:bottom w:val="single" w:color="000000" w:sz="4" w:space="0"/>
                    <w:right w:val="single" w:color="000000" w:sz="4" w:space="0"/>
                  </w:tcBorders>
                  <w:vAlign w:val="center"/>
                </w:tcPr>
                <w:p w14:paraId="350B6E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9.6</w:t>
                  </w:r>
                </w:p>
              </w:tc>
              <w:tc>
                <w:tcPr>
                  <w:tcW w:w="961" w:type="dxa"/>
                  <w:tcBorders>
                    <w:top w:val="single" w:color="000000" w:sz="4" w:space="0"/>
                    <w:left w:val="single" w:color="000000" w:sz="4" w:space="0"/>
                    <w:bottom w:val="single" w:color="000000" w:sz="4" w:space="0"/>
                    <w:right w:val="single" w:color="000000" w:sz="4" w:space="0"/>
                  </w:tcBorders>
                  <w:noWrap/>
                  <w:vAlign w:val="center"/>
                </w:tcPr>
                <w:p w14:paraId="552913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10</w:t>
                  </w:r>
                </w:p>
              </w:tc>
              <w:tc>
                <w:tcPr>
                  <w:tcW w:w="1325" w:type="dxa"/>
                  <w:tcBorders>
                    <w:top w:val="single" w:color="000000" w:sz="4" w:space="0"/>
                    <w:left w:val="single" w:color="000000" w:sz="4" w:space="0"/>
                    <w:bottom w:val="single" w:color="000000" w:sz="4" w:space="0"/>
                    <w:right w:val="single" w:color="000000" w:sz="4" w:space="0"/>
                  </w:tcBorders>
                  <w:noWrap/>
                  <w:vAlign w:val="center"/>
                </w:tcPr>
                <w:p w14:paraId="3F7F54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rPr>
                    <w:t>28.8</w:t>
                  </w:r>
                </w:p>
              </w:tc>
              <w:tc>
                <w:tcPr>
                  <w:tcW w:w="1216" w:type="dxa"/>
                  <w:tcBorders>
                    <w:top w:val="single" w:color="000000" w:sz="4" w:space="0"/>
                    <w:left w:val="single" w:color="000000" w:sz="4" w:space="0"/>
                    <w:bottom w:val="single" w:color="000000" w:sz="4" w:space="0"/>
                    <w:right w:val="single" w:color="000000" w:sz="4" w:space="0"/>
                  </w:tcBorders>
                  <w:vAlign w:val="center"/>
                </w:tcPr>
                <w:p w14:paraId="01F8ED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288</w:t>
                  </w:r>
                </w:p>
              </w:tc>
              <w:tc>
                <w:tcPr>
                  <w:tcW w:w="1357" w:type="dxa"/>
                  <w:tcBorders>
                    <w:top w:val="single" w:color="000000" w:sz="4" w:space="0"/>
                    <w:left w:val="single" w:color="000000" w:sz="4" w:space="0"/>
                    <w:bottom w:val="single" w:color="000000" w:sz="4" w:space="0"/>
                    <w:right w:val="single" w:color="000000" w:sz="4" w:space="0"/>
                  </w:tcBorders>
                  <w:vAlign w:val="center"/>
                </w:tcPr>
                <w:p w14:paraId="7FF670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 xml:space="preserve">864.00 </w:t>
                  </w:r>
                </w:p>
              </w:tc>
            </w:tr>
            <w:tr w14:paraId="0FC11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14:paraId="0AD699DB">
                  <w:pPr>
                    <w:jc w:val="center"/>
                    <w:rPr>
                      <w:rFonts w:hint="default" w:ascii="Times New Roman" w:hAnsi="Times New Roman" w:eastAsia="宋体" w:cs="Times New Roman"/>
                      <w:i w:val="0"/>
                      <w:iCs w:val="0"/>
                      <w:color w:val="auto"/>
                      <w:sz w:val="21"/>
                      <w:szCs w:val="21"/>
                      <w:highlight w:val="none"/>
                      <w:u w:val="none"/>
                    </w:rPr>
                  </w:pPr>
                </w:p>
              </w:tc>
              <w:tc>
                <w:tcPr>
                  <w:tcW w:w="1184" w:type="dxa"/>
                  <w:tcBorders>
                    <w:top w:val="single" w:color="000000" w:sz="4" w:space="0"/>
                    <w:left w:val="single" w:color="000000" w:sz="4" w:space="0"/>
                    <w:bottom w:val="single" w:color="000000" w:sz="4" w:space="0"/>
                    <w:right w:val="single" w:color="000000" w:sz="4" w:space="0"/>
                  </w:tcBorders>
                  <w:vAlign w:val="center"/>
                </w:tcPr>
                <w:p w14:paraId="56541D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rPr>
                    <w:t>表调</w:t>
                  </w:r>
                  <w:r>
                    <w:rPr>
                      <w:rFonts w:hint="eastAsia" w:ascii="宋体" w:hAnsi="宋体" w:eastAsia="宋体" w:cs="宋体"/>
                      <w:i w:val="0"/>
                      <w:iCs w:val="0"/>
                      <w:color w:val="auto"/>
                      <w:kern w:val="0"/>
                      <w:sz w:val="21"/>
                      <w:szCs w:val="21"/>
                      <w:highlight w:val="none"/>
                      <w:u w:val="none"/>
                      <w:lang w:val="en-US" w:eastAsia="zh-CN"/>
                    </w:rPr>
                    <w:t>池</w:t>
                  </w:r>
                </w:p>
              </w:tc>
              <w:tc>
                <w:tcPr>
                  <w:tcW w:w="1077" w:type="dxa"/>
                  <w:tcBorders>
                    <w:top w:val="single" w:color="000000" w:sz="4" w:space="0"/>
                    <w:left w:val="single" w:color="000000" w:sz="4" w:space="0"/>
                    <w:bottom w:val="single" w:color="000000" w:sz="4" w:space="0"/>
                    <w:right w:val="single" w:color="000000" w:sz="4" w:space="0"/>
                  </w:tcBorders>
                  <w:vAlign w:val="center"/>
                </w:tcPr>
                <w:p w14:paraId="1F2601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rPr>
                    <w:t>9.6</w:t>
                  </w:r>
                </w:p>
              </w:tc>
              <w:tc>
                <w:tcPr>
                  <w:tcW w:w="961" w:type="dxa"/>
                  <w:tcBorders>
                    <w:top w:val="single" w:color="000000" w:sz="4" w:space="0"/>
                    <w:left w:val="single" w:color="000000" w:sz="4" w:space="0"/>
                    <w:bottom w:val="single" w:color="000000" w:sz="4" w:space="0"/>
                    <w:right w:val="single" w:color="000000" w:sz="4" w:space="0"/>
                  </w:tcBorders>
                  <w:noWrap/>
                  <w:vAlign w:val="center"/>
                </w:tcPr>
                <w:p w14:paraId="6E640B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10</w:t>
                  </w:r>
                </w:p>
              </w:tc>
              <w:tc>
                <w:tcPr>
                  <w:tcW w:w="1325" w:type="dxa"/>
                  <w:tcBorders>
                    <w:top w:val="single" w:color="000000" w:sz="4" w:space="0"/>
                    <w:left w:val="single" w:color="000000" w:sz="4" w:space="0"/>
                    <w:bottom w:val="single" w:color="000000" w:sz="4" w:space="0"/>
                    <w:right w:val="single" w:color="000000" w:sz="4" w:space="0"/>
                  </w:tcBorders>
                  <w:noWrap/>
                  <w:vAlign w:val="center"/>
                </w:tcPr>
                <w:p w14:paraId="3E737B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rPr>
                    <w:t>28.8</w:t>
                  </w:r>
                </w:p>
              </w:tc>
              <w:tc>
                <w:tcPr>
                  <w:tcW w:w="1216" w:type="dxa"/>
                  <w:tcBorders>
                    <w:top w:val="single" w:color="000000" w:sz="4" w:space="0"/>
                    <w:left w:val="single" w:color="000000" w:sz="4" w:space="0"/>
                    <w:bottom w:val="single" w:color="000000" w:sz="4" w:space="0"/>
                    <w:right w:val="single" w:color="000000" w:sz="4" w:space="0"/>
                  </w:tcBorders>
                  <w:vAlign w:val="center"/>
                </w:tcPr>
                <w:p w14:paraId="084817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rPr>
                    <w:t>288</w:t>
                  </w:r>
                </w:p>
              </w:tc>
              <w:tc>
                <w:tcPr>
                  <w:tcW w:w="1357" w:type="dxa"/>
                  <w:tcBorders>
                    <w:top w:val="single" w:color="000000" w:sz="4" w:space="0"/>
                    <w:left w:val="single" w:color="000000" w:sz="4" w:space="0"/>
                    <w:bottom w:val="single" w:color="000000" w:sz="4" w:space="0"/>
                    <w:right w:val="single" w:color="000000" w:sz="4" w:space="0"/>
                  </w:tcBorders>
                  <w:vAlign w:val="center"/>
                </w:tcPr>
                <w:p w14:paraId="5A0C1F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rPr>
                    <w:t xml:space="preserve">864.00 </w:t>
                  </w:r>
                </w:p>
              </w:tc>
            </w:tr>
            <w:tr w14:paraId="16B1C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14:paraId="01DF3214">
                  <w:pPr>
                    <w:jc w:val="center"/>
                    <w:rPr>
                      <w:rFonts w:hint="default" w:ascii="Times New Roman" w:hAnsi="Times New Roman" w:eastAsia="宋体" w:cs="Times New Roman"/>
                      <w:i w:val="0"/>
                      <w:iCs w:val="0"/>
                      <w:color w:val="auto"/>
                      <w:sz w:val="21"/>
                      <w:szCs w:val="21"/>
                      <w:highlight w:val="none"/>
                      <w:u w:val="none"/>
                    </w:rPr>
                  </w:pPr>
                </w:p>
              </w:tc>
              <w:tc>
                <w:tcPr>
                  <w:tcW w:w="1184" w:type="dxa"/>
                  <w:tcBorders>
                    <w:top w:val="single" w:color="000000" w:sz="4" w:space="0"/>
                    <w:left w:val="single" w:color="000000" w:sz="4" w:space="0"/>
                    <w:bottom w:val="single" w:color="000000" w:sz="4" w:space="0"/>
                    <w:right w:val="single" w:color="000000" w:sz="4" w:space="0"/>
                  </w:tcBorders>
                  <w:vAlign w:val="center"/>
                </w:tcPr>
                <w:p w14:paraId="3FDB41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w:t>
                  </w:r>
                  <w:r>
                    <w:rPr>
                      <w:rFonts w:hint="eastAsia" w:ascii="宋体" w:hAnsi="宋体" w:eastAsia="宋体" w:cs="宋体"/>
                      <w:i w:val="0"/>
                      <w:iCs w:val="0"/>
                      <w:color w:val="auto"/>
                      <w:kern w:val="0"/>
                      <w:sz w:val="21"/>
                      <w:szCs w:val="21"/>
                      <w:highlight w:val="none"/>
                      <w:u w:val="none"/>
                      <w:lang w:val="en-US" w:eastAsia="zh-CN"/>
                    </w:rPr>
                    <w:t>水洗池</w:t>
                  </w:r>
                </w:p>
              </w:tc>
              <w:tc>
                <w:tcPr>
                  <w:tcW w:w="1077" w:type="dxa"/>
                  <w:tcBorders>
                    <w:top w:val="single" w:color="000000" w:sz="4" w:space="0"/>
                    <w:left w:val="single" w:color="000000" w:sz="4" w:space="0"/>
                    <w:bottom w:val="single" w:color="000000" w:sz="4" w:space="0"/>
                    <w:right w:val="single" w:color="000000" w:sz="4" w:space="0"/>
                  </w:tcBorders>
                  <w:vAlign w:val="center"/>
                </w:tcPr>
                <w:p w14:paraId="3D85E1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6.4</w:t>
                  </w:r>
                </w:p>
              </w:tc>
              <w:tc>
                <w:tcPr>
                  <w:tcW w:w="961" w:type="dxa"/>
                  <w:tcBorders>
                    <w:top w:val="single" w:color="000000" w:sz="4" w:space="0"/>
                    <w:left w:val="single" w:color="000000" w:sz="4" w:space="0"/>
                    <w:bottom w:val="single" w:color="000000" w:sz="4" w:space="0"/>
                    <w:right w:val="single" w:color="000000" w:sz="4" w:space="0"/>
                  </w:tcBorders>
                  <w:noWrap/>
                  <w:vAlign w:val="center"/>
                </w:tcPr>
                <w:p w14:paraId="66CC26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10</w:t>
                  </w:r>
                </w:p>
              </w:tc>
              <w:tc>
                <w:tcPr>
                  <w:tcW w:w="1325" w:type="dxa"/>
                  <w:tcBorders>
                    <w:top w:val="single" w:color="000000" w:sz="4" w:space="0"/>
                    <w:left w:val="single" w:color="000000" w:sz="4" w:space="0"/>
                    <w:bottom w:val="single" w:color="000000" w:sz="4" w:space="0"/>
                    <w:right w:val="single" w:color="000000" w:sz="4" w:space="0"/>
                  </w:tcBorders>
                  <w:noWrap/>
                  <w:vAlign w:val="center"/>
                </w:tcPr>
                <w:p w14:paraId="5967EB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rPr>
                    <w:t>19.2</w:t>
                  </w:r>
                </w:p>
              </w:tc>
              <w:tc>
                <w:tcPr>
                  <w:tcW w:w="1216" w:type="dxa"/>
                  <w:tcBorders>
                    <w:top w:val="single" w:color="000000" w:sz="4" w:space="0"/>
                    <w:left w:val="single" w:color="000000" w:sz="4" w:space="0"/>
                    <w:bottom w:val="single" w:color="000000" w:sz="4" w:space="0"/>
                    <w:right w:val="single" w:color="000000" w:sz="4" w:space="0"/>
                  </w:tcBorders>
                  <w:vAlign w:val="center"/>
                </w:tcPr>
                <w:p w14:paraId="19220E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192</w:t>
                  </w:r>
                </w:p>
              </w:tc>
              <w:tc>
                <w:tcPr>
                  <w:tcW w:w="1357" w:type="dxa"/>
                  <w:tcBorders>
                    <w:top w:val="single" w:color="000000" w:sz="4" w:space="0"/>
                    <w:left w:val="single" w:color="000000" w:sz="4" w:space="0"/>
                    <w:bottom w:val="single" w:color="000000" w:sz="4" w:space="0"/>
                    <w:right w:val="single" w:color="000000" w:sz="4" w:space="0"/>
                  </w:tcBorders>
                  <w:vAlign w:val="center"/>
                </w:tcPr>
                <w:p w14:paraId="5EAD5E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 xml:space="preserve">576.00 </w:t>
                  </w:r>
                </w:p>
              </w:tc>
            </w:tr>
            <w:tr w14:paraId="72C7C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14:paraId="1298EC42">
                  <w:pPr>
                    <w:jc w:val="center"/>
                    <w:rPr>
                      <w:rFonts w:hint="default" w:ascii="Times New Roman" w:hAnsi="Times New Roman" w:eastAsia="宋体" w:cs="Times New Roman"/>
                      <w:i w:val="0"/>
                      <w:iCs w:val="0"/>
                      <w:color w:val="auto"/>
                      <w:sz w:val="21"/>
                      <w:szCs w:val="21"/>
                      <w:highlight w:val="none"/>
                      <w:u w:val="none"/>
                    </w:rPr>
                  </w:pPr>
                </w:p>
              </w:tc>
              <w:tc>
                <w:tcPr>
                  <w:tcW w:w="1184" w:type="dxa"/>
                  <w:tcBorders>
                    <w:top w:val="single" w:color="000000" w:sz="4" w:space="0"/>
                    <w:left w:val="single" w:color="000000" w:sz="4" w:space="0"/>
                    <w:bottom w:val="single" w:color="000000" w:sz="4" w:space="0"/>
                    <w:right w:val="single" w:color="000000" w:sz="4" w:space="0"/>
                  </w:tcBorders>
                  <w:vAlign w:val="center"/>
                </w:tcPr>
                <w:p w14:paraId="4EDB28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2#</w:t>
                  </w:r>
                  <w:r>
                    <w:rPr>
                      <w:rFonts w:hint="eastAsia" w:ascii="宋体" w:hAnsi="宋体" w:eastAsia="宋体" w:cs="宋体"/>
                      <w:i w:val="0"/>
                      <w:iCs w:val="0"/>
                      <w:color w:val="auto"/>
                      <w:kern w:val="0"/>
                      <w:sz w:val="21"/>
                      <w:szCs w:val="21"/>
                      <w:highlight w:val="none"/>
                      <w:u w:val="none"/>
                      <w:lang w:val="en-US" w:eastAsia="zh-CN"/>
                    </w:rPr>
                    <w:t>水洗池</w:t>
                  </w:r>
                </w:p>
              </w:tc>
              <w:tc>
                <w:tcPr>
                  <w:tcW w:w="1077" w:type="dxa"/>
                  <w:tcBorders>
                    <w:top w:val="single" w:color="000000" w:sz="4" w:space="0"/>
                    <w:left w:val="single" w:color="000000" w:sz="4" w:space="0"/>
                    <w:bottom w:val="single" w:color="000000" w:sz="4" w:space="0"/>
                    <w:right w:val="single" w:color="000000" w:sz="4" w:space="0"/>
                  </w:tcBorders>
                  <w:vAlign w:val="center"/>
                </w:tcPr>
                <w:p w14:paraId="145196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6.4</w:t>
                  </w:r>
                </w:p>
              </w:tc>
              <w:tc>
                <w:tcPr>
                  <w:tcW w:w="961" w:type="dxa"/>
                  <w:tcBorders>
                    <w:top w:val="single" w:color="000000" w:sz="4" w:space="0"/>
                    <w:left w:val="single" w:color="000000" w:sz="4" w:space="0"/>
                    <w:bottom w:val="single" w:color="000000" w:sz="4" w:space="0"/>
                    <w:right w:val="single" w:color="000000" w:sz="4" w:space="0"/>
                  </w:tcBorders>
                  <w:noWrap/>
                  <w:vAlign w:val="center"/>
                </w:tcPr>
                <w:p w14:paraId="09FAAB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10</w:t>
                  </w:r>
                </w:p>
              </w:tc>
              <w:tc>
                <w:tcPr>
                  <w:tcW w:w="1325" w:type="dxa"/>
                  <w:tcBorders>
                    <w:top w:val="single" w:color="000000" w:sz="4" w:space="0"/>
                    <w:left w:val="single" w:color="000000" w:sz="4" w:space="0"/>
                    <w:bottom w:val="single" w:color="000000" w:sz="4" w:space="0"/>
                    <w:right w:val="single" w:color="000000" w:sz="4" w:space="0"/>
                  </w:tcBorders>
                  <w:noWrap/>
                  <w:vAlign w:val="center"/>
                </w:tcPr>
                <w:p w14:paraId="020319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rPr>
                    <w:t>19.2</w:t>
                  </w:r>
                </w:p>
              </w:tc>
              <w:tc>
                <w:tcPr>
                  <w:tcW w:w="1216" w:type="dxa"/>
                  <w:tcBorders>
                    <w:top w:val="single" w:color="000000" w:sz="4" w:space="0"/>
                    <w:left w:val="single" w:color="000000" w:sz="4" w:space="0"/>
                    <w:bottom w:val="single" w:color="000000" w:sz="4" w:space="0"/>
                    <w:right w:val="single" w:color="000000" w:sz="4" w:space="0"/>
                  </w:tcBorders>
                  <w:vAlign w:val="center"/>
                </w:tcPr>
                <w:p w14:paraId="69A679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192</w:t>
                  </w:r>
                </w:p>
              </w:tc>
              <w:tc>
                <w:tcPr>
                  <w:tcW w:w="1357" w:type="dxa"/>
                  <w:tcBorders>
                    <w:top w:val="single" w:color="000000" w:sz="4" w:space="0"/>
                    <w:left w:val="single" w:color="000000" w:sz="4" w:space="0"/>
                    <w:bottom w:val="single" w:color="000000" w:sz="4" w:space="0"/>
                    <w:right w:val="single" w:color="000000" w:sz="4" w:space="0"/>
                  </w:tcBorders>
                  <w:vAlign w:val="center"/>
                </w:tcPr>
                <w:p w14:paraId="20CDC9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 xml:space="preserve">576.00 </w:t>
                  </w:r>
                </w:p>
              </w:tc>
            </w:tr>
            <w:tr w14:paraId="7C3A1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14:paraId="02456FD6">
                  <w:pPr>
                    <w:jc w:val="center"/>
                    <w:rPr>
                      <w:rFonts w:hint="default" w:ascii="Times New Roman" w:hAnsi="Times New Roman" w:eastAsia="宋体" w:cs="Times New Roman"/>
                      <w:i w:val="0"/>
                      <w:iCs w:val="0"/>
                      <w:color w:val="auto"/>
                      <w:sz w:val="21"/>
                      <w:szCs w:val="21"/>
                      <w:highlight w:val="none"/>
                      <w:u w:val="none"/>
                    </w:rPr>
                  </w:pPr>
                </w:p>
              </w:tc>
              <w:tc>
                <w:tcPr>
                  <w:tcW w:w="1184" w:type="dxa"/>
                  <w:tcBorders>
                    <w:top w:val="single" w:color="000000" w:sz="4" w:space="0"/>
                    <w:left w:val="single" w:color="000000" w:sz="4" w:space="0"/>
                    <w:bottom w:val="single" w:color="000000" w:sz="4" w:space="0"/>
                    <w:right w:val="single" w:color="000000" w:sz="4" w:space="0"/>
                  </w:tcBorders>
                  <w:vAlign w:val="center"/>
                </w:tcPr>
                <w:p w14:paraId="156365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rPr>
                    <w:t>酸</w:t>
                  </w:r>
                  <w:r>
                    <w:rPr>
                      <w:rFonts w:hint="eastAsia" w:ascii="宋体" w:hAnsi="宋体" w:eastAsia="宋体" w:cs="宋体"/>
                      <w:i w:val="0"/>
                      <w:iCs w:val="0"/>
                      <w:color w:val="auto"/>
                      <w:kern w:val="0"/>
                      <w:sz w:val="21"/>
                      <w:szCs w:val="21"/>
                      <w:highlight w:val="none"/>
                      <w:u w:val="none"/>
                      <w:lang w:val="en-US" w:eastAsia="zh-CN"/>
                    </w:rPr>
                    <w:t>洗池</w:t>
                  </w:r>
                </w:p>
              </w:tc>
              <w:tc>
                <w:tcPr>
                  <w:tcW w:w="1077" w:type="dxa"/>
                  <w:tcBorders>
                    <w:top w:val="single" w:color="000000" w:sz="4" w:space="0"/>
                    <w:left w:val="single" w:color="000000" w:sz="4" w:space="0"/>
                    <w:bottom w:val="single" w:color="000000" w:sz="4" w:space="0"/>
                    <w:right w:val="single" w:color="000000" w:sz="4" w:space="0"/>
                  </w:tcBorders>
                  <w:vAlign w:val="center"/>
                </w:tcPr>
                <w:p w14:paraId="3C5F5F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5.76</w:t>
                  </w:r>
                </w:p>
              </w:tc>
              <w:tc>
                <w:tcPr>
                  <w:tcW w:w="961" w:type="dxa"/>
                  <w:tcBorders>
                    <w:top w:val="single" w:color="000000" w:sz="4" w:space="0"/>
                    <w:left w:val="single" w:color="000000" w:sz="4" w:space="0"/>
                    <w:bottom w:val="single" w:color="000000" w:sz="4" w:space="0"/>
                    <w:right w:val="single" w:color="000000" w:sz="4" w:space="0"/>
                  </w:tcBorders>
                  <w:noWrap/>
                  <w:vAlign w:val="center"/>
                </w:tcPr>
                <w:p w14:paraId="2D841C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10</w:t>
                  </w:r>
                </w:p>
              </w:tc>
              <w:tc>
                <w:tcPr>
                  <w:tcW w:w="1325" w:type="dxa"/>
                  <w:tcBorders>
                    <w:top w:val="single" w:color="000000" w:sz="4" w:space="0"/>
                    <w:left w:val="single" w:color="000000" w:sz="4" w:space="0"/>
                    <w:bottom w:val="single" w:color="000000" w:sz="4" w:space="0"/>
                    <w:right w:val="single" w:color="000000" w:sz="4" w:space="0"/>
                  </w:tcBorders>
                  <w:noWrap/>
                  <w:vAlign w:val="center"/>
                </w:tcPr>
                <w:p w14:paraId="123E70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rPr>
                    <w:t>17.28</w:t>
                  </w:r>
                </w:p>
              </w:tc>
              <w:tc>
                <w:tcPr>
                  <w:tcW w:w="1216" w:type="dxa"/>
                  <w:tcBorders>
                    <w:top w:val="single" w:color="000000" w:sz="4" w:space="0"/>
                    <w:left w:val="single" w:color="000000" w:sz="4" w:space="0"/>
                    <w:bottom w:val="single" w:color="000000" w:sz="4" w:space="0"/>
                    <w:right w:val="single" w:color="000000" w:sz="4" w:space="0"/>
                  </w:tcBorders>
                  <w:vAlign w:val="center"/>
                </w:tcPr>
                <w:p w14:paraId="175912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172.8</w:t>
                  </w:r>
                </w:p>
              </w:tc>
              <w:tc>
                <w:tcPr>
                  <w:tcW w:w="1357" w:type="dxa"/>
                  <w:tcBorders>
                    <w:top w:val="single" w:color="000000" w:sz="4" w:space="0"/>
                    <w:left w:val="single" w:color="000000" w:sz="4" w:space="0"/>
                    <w:bottom w:val="single" w:color="000000" w:sz="4" w:space="0"/>
                    <w:right w:val="single" w:color="000000" w:sz="4" w:space="0"/>
                  </w:tcBorders>
                  <w:vAlign w:val="center"/>
                </w:tcPr>
                <w:p w14:paraId="4289E3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 xml:space="preserve">518.40 </w:t>
                  </w:r>
                </w:p>
              </w:tc>
            </w:tr>
            <w:tr w14:paraId="7B54F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14:paraId="6D8D4D64">
                  <w:pPr>
                    <w:jc w:val="center"/>
                    <w:rPr>
                      <w:rFonts w:hint="default" w:ascii="Times New Roman" w:hAnsi="Times New Roman" w:eastAsia="宋体" w:cs="Times New Roman"/>
                      <w:i w:val="0"/>
                      <w:iCs w:val="0"/>
                      <w:color w:val="auto"/>
                      <w:sz w:val="21"/>
                      <w:szCs w:val="21"/>
                      <w:highlight w:val="none"/>
                      <w:u w:val="none"/>
                    </w:rPr>
                  </w:pPr>
                </w:p>
              </w:tc>
              <w:tc>
                <w:tcPr>
                  <w:tcW w:w="1184" w:type="dxa"/>
                  <w:tcBorders>
                    <w:top w:val="single" w:color="000000" w:sz="4" w:space="0"/>
                    <w:left w:val="single" w:color="000000" w:sz="4" w:space="0"/>
                    <w:bottom w:val="single" w:color="000000" w:sz="4" w:space="0"/>
                    <w:right w:val="single" w:color="000000" w:sz="4" w:space="0"/>
                  </w:tcBorders>
                  <w:vAlign w:val="center"/>
                </w:tcPr>
                <w:p w14:paraId="4AE2B4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磷化池</w:t>
                  </w:r>
                </w:p>
              </w:tc>
              <w:tc>
                <w:tcPr>
                  <w:tcW w:w="1077" w:type="dxa"/>
                  <w:tcBorders>
                    <w:top w:val="single" w:color="000000" w:sz="4" w:space="0"/>
                    <w:left w:val="single" w:color="000000" w:sz="4" w:space="0"/>
                    <w:bottom w:val="single" w:color="000000" w:sz="4" w:space="0"/>
                    <w:right w:val="single" w:color="000000" w:sz="4" w:space="0"/>
                  </w:tcBorders>
                  <w:vAlign w:val="center"/>
                </w:tcPr>
                <w:p w14:paraId="5D5DB0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4.8</w:t>
                  </w:r>
                </w:p>
              </w:tc>
              <w:tc>
                <w:tcPr>
                  <w:tcW w:w="961" w:type="dxa"/>
                  <w:tcBorders>
                    <w:top w:val="single" w:color="000000" w:sz="4" w:space="0"/>
                    <w:left w:val="single" w:color="000000" w:sz="4" w:space="0"/>
                    <w:bottom w:val="single" w:color="000000" w:sz="4" w:space="0"/>
                    <w:right w:val="single" w:color="000000" w:sz="4" w:space="0"/>
                  </w:tcBorders>
                  <w:noWrap/>
                  <w:vAlign w:val="center"/>
                </w:tcPr>
                <w:p w14:paraId="677822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10</w:t>
                  </w:r>
                </w:p>
              </w:tc>
              <w:tc>
                <w:tcPr>
                  <w:tcW w:w="1325" w:type="dxa"/>
                  <w:tcBorders>
                    <w:top w:val="single" w:color="000000" w:sz="4" w:space="0"/>
                    <w:left w:val="single" w:color="000000" w:sz="4" w:space="0"/>
                    <w:bottom w:val="single" w:color="000000" w:sz="4" w:space="0"/>
                    <w:right w:val="single" w:color="000000" w:sz="4" w:space="0"/>
                  </w:tcBorders>
                  <w:noWrap/>
                  <w:vAlign w:val="center"/>
                </w:tcPr>
                <w:p w14:paraId="6B9BB6DF">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14.4</w:t>
                  </w:r>
                </w:p>
              </w:tc>
              <w:tc>
                <w:tcPr>
                  <w:tcW w:w="1216" w:type="dxa"/>
                  <w:tcBorders>
                    <w:top w:val="single" w:color="000000" w:sz="4" w:space="0"/>
                    <w:left w:val="single" w:color="000000" w:sz="4" w:space="0"/>
                    <w:bottom w:val="single" w:color="000000" w:sz="4" w:space="0"/>
                    <w:right w:val="single" w:color="000000" w:sz="4" w:space="0"/>
                  </w:tcBorders>
                  <w:vAlign w:val="center"/>
                </w:tcPr>
                <w:p w14:paraId="0A8333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144</w:t>
                  </w:r>
                </w:p>
              </w:tc>
              <w:tc>
                <w:tcPr>
                  <w:tcW w:w="1357" w:type="dxa"/>
                  <w:tcBorders>
                    <w:top w:val="single" w:color="000000" w:sz="4" w:space="0"/>
                    <w:left w:val="single" w:color="000000" w:sz="4" w:space="0"/>
                    <w:bottom w:val="single" w:color="000000" w:sz="4" w:space="0"/>
                    <w:right w:val="single" w:color="000000" w:sz="4" w:space="0"/>
                  </w:tcBorders>
                  <w:vAlign w:val="center"/>
                </w:tcPr>
                <w:p w14:paraId="25B03C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 xml:space="preserve">432.00 </w:t>
                  </w:r>
                </w:p>
              </w:tc>
            </w:tr>
            <w:tr w14:paraId="39FEE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910" w:type="dxa"/>
                  <w:vMerge w:val="continue"/>
                  <w:tcBorders>
                    <w:top w:val="single" w:color="000000" w:sz="4" w:space="0"/>
                    <w:left w:val="single" w:color="000000" w:sz="4" w:space="0"/>
                    <w:bottom w:val="single" w:color="000000" w:sz="4" w:space="0"/>
                    <w:right w:val="single" w:color="000000" w:sz="4" w:space="0"/>
                  </w:tcBorders>
                  <w:noWrap/>
                  <w:vAlign w:val="center"/>
                </w:tcPr>
                <w:p w14:paraId="61AB4F68">
                  <w:pPr>
                    <w:jc w:val="center"/>
                    <w:rPr>
                      <w:rFonts w:hint="default" w:ascii="Times New Roman" w:hAnsi="Times New Roman" w:eastAsia="宋体" w:cs="Times New Roman"/>
                      <w:i w:val="0"/>
                      <w:iCs w:val="0"/>
                      <w:color w:val="auto"/>
                      <w:sz w:val="21"/>
                      <w:szCs w:val="21"/>
                      <w:highlight w:val="none"/>
                      <w:u w:val="none"/>
                    </w:rPr>
                  </w:pPr>
                </w:p>
              </w:tc>
              <w:tc>
                <w:tcPr>
                  <w:tcW w:w="1184" w:type="dxa"/>
                  <w:tcBorders>
                    <w:top w:val="single" w:color="000000" w:sz="4" w:space="0"/>
                    <w:left w:val="single" w:color="000000" w:sz="4" w:space="0"/>
                    <w:bottom w:val="single" w:color="000000" w:sz="4" w:space="0"/>
                    <w:right w:val="single" w:color="000000" w:sz="4" w:space="0"/>
                  </w:tcBorders>
                  <w:vAlign w:val="center"/>
                </w:tcPr>
                <w:p w14:paraId="4D8441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3#</w:t>
                  </w:r>
                  <w:r>
                    <w:rPr>
                      <w:rFonts w:hint="eastAsia" w:ascii="宋体" w:hAnsi="宋体" w:eastAsia="宋体" w:cs="宋体"/>
                      <w:i w:val="0"/>
                      <w:iCs w:val="0"/>
                      <w:color w:val="auto"/>
                      <w:kern w:val="0"/>
                      <w:sz w:val="21"/>
                      <w:szCs w:val="21"/>
                      <w:highlight w:val="none"/>
                      <w:u w:val="none"/>
                      <w:lang w:val="en-US" w:eastAsia="zh-CN"/>
                    </w:rPr>
                    <w:t>水洗池</w:t>
                  </w:r>
                </w:p>
              </w:tc>
              <w:tc>
                <w:tcPr>
                  <w:tcW w:w="1077" w:type="dxa"/>
                  <w:tcBorders>
                    <w:top w:val="single" w:color="000000" w:sz="4" w:space="0"/>
                    <w:left w:val="single" w:color="000000" w:sz="4" w:space="0"/>
                    <w:bottom w:val="single" w:color="000000" w:sz="4" w:space="0"/>
                    <w:right w:val="single" w:color="000000" w:sz="4" w:space="0"/>
                  </w:tcBorders>
                  <w:vAlign w:val="center"/>
                </w:tcPr>
                <w:p w14:paraId="7B068A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5.6</w:t>
                  </w:r>
                </w:p>
              </w:tc>
              <w:tc>
                <w:tcPr>
                  <w:tcW w:w="961" w:type="dxa"/>
                  <w:tcBorders>
                    <w:top w:val="single" w:color="000000" w:sz="4" w:space="0"/>
                    <w:left w:val="single" w:color="000000" w:sz="4" w:space="0"/>
                    <w:bottom w:val="single" w:color="000000" w:sz="4" w:space="0"/>
                    <w:right w:val="single" w:color="000000" w:sz="4" w:space="0"/>
                  </w:tcBorders>
                  <w:noWrap/>
                  <w:vAlign w:val="center"/>
                </w:tcPr>
                <w:p w14:paraId="60B315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10</w:t>
                  </w:r>
                </w:p>
              </w:tc>
              <w:tc>
                <w:tcPr>
                  <w:tcW w:w="1325" w:type="dxa"/>
                  <w:tcBorders>
                    <w:top w:val="single" w:color="000000" w:sz="4" w:space="0"/>
                    <w:left w:val="single" w:color="000000" w:sz="4" w:space="0"/>
                    <w:bottom w:val="single" w:color="000000" w:sz="4" w:space="0"/>
                    <w:right w:val="single" w:color="000000" w:sz="4" w:space="0"/>
                  </w:tcBorders>
                  <w:noWrap/>
                  <w:vAlign w:val="center"/>
                </w:tcPr>
                <w:p w14:paraId="377A7E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rPr>
                    <w:t>16.8</w:t>
                  </w:r>
                </w:p>
              </w:tc>
              <w:tc>
                <w:tcPr>
                  <w:tcW w:w="1216" w:type="dxa"/>
                  <w:tcBorders>
                    <w:top w:val="single" w:color="000000" w:sz="4" w:space="0"/>
                    <w:left w:val="single" w:color="000000" w:sz="4" w:space="0"/>
                    <w:bottom w:val="single" w:color="000000" w:sz="4" w:space="0"/>
                    <w:right w:val="single" w:color="000000" w:sz="4" w:space="0"/>
                  </w:tcBorders>
                  <w:vAlign w:val="center"/>
                </w:tcPr>
                <w:p w14:paraId="2CAE0E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168</w:t>
                  </w:r>
                </w:p>
              </w:tc>
              <w:tc>
                <w:tcPr>
                  <w:tcW w:w="1357" w:type="dxa"/>
                  <w:tcBorders>
                    <w:top w:val="single" w:color="000000" w:sz="4" w:space="0"/>
                    <w:left w:val="single" w:color="000000" w:sz="4" w:space="0"/>
                    <w:bottom w:val="single" w:color="000000" w:sz="4" w:space="0"/>
                    <w:right w:val="single" w:color="000000" w:sz="4" w:space="0"/>
                  </w:tcBorders>
                  <w:vAlign w:val="center"/>
                </w:tcPr>
                <w:p w14:paraId="42FA45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 xml:space="preserve">504.00 </w:t>
                  </w:r>
                </w:p>
              </w:tc>
            </w:tr>
            <w:tr w14:paraId="28A59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094" w:type="dxa"/>
                  <w:gridSpan w:val="2"/>
                  <w:tcBorders>
                    <w:top w:val="single" w:color="000000" w:sz="4" w:space="0"/>
                    <w:left w:val="single" w:color="000000" w:sz="4" w:space="0"/>
                    <w:bottom w:val="single" w:color="000000" w:sz="4" w:space="0"/>
                    <w:right w:val="single" w:color="000000" w:sz="4" w:space="0"/>
                  </w:tcBorders>
                  <w:noWrap/>
                  <w:vAlign w:val="center"/>
                </w:tcPr>
                <w:p w14:paraId="5EDAA51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合计</w:t>
                  </w:r>
                </w:p>
              </w:tc>
              <w:tc>
                <w:tcPr>
                  <w:tcW w:w="1077" w:type="dxa"/>
                  <w:tcBorders>
                    <w:top w:val="single" w:color="000000" w:sz="4" w:space="0"/>
                    <w:left w:val="single" w:color="000000" w:sz="4" w:space="0"/>
                    <w:bottom w:val="single" w:color="000000" w:sz="4" w:space="0"/>
                    <w:right w:val="single" w:color="000000" w:sz="4" w:space="0"/>
                  </w:tcBorders>
                  <w:vAlign w:val="center"/>
                </w:tcPr>
                <w:p w14:paraId="6AFC7E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48.16</w:t>
                  </w:r>
                </w:p>
              </w:tc>
              <w:tc>
                <w:tcPr>
                  <w:tcW w:w="961" w:type="dxa"/>
                  <w:tcBorders>
                    <w:top w:val="single" w:color="000000" w:sz="4" w:space="0"/>
                    <w:left w:val="single" w:color="000000" w:sz="4" w:space="0"/>
                    <w:bottom w:val="single" w:color="000000" w:sz="4" w:space="0"/>
                    <w:right w:val="single" w:color="000000" w:sz="4" w:space="0"/>
                  </w:tcBorders>
                  <w:noWrap/>
                  <w:vAlign w:val="center"/>
                </w:tcPr>
                <w:p w14:paraId="287E60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w:t>
                  </w:r>
                </w:p>
              </w:tc>
              <w:tc>
                <w:tcPr>
                  <w:tcW w:w="1325" w:type="dxa"/>
                  <w:tcBorders>
                    <w:top w:val="single" w:color="000000" w:sz="4" w:space="0"/>
                    <w:left w:val="single" w:color="000000" w:sz="4" w:space="0"/>
                    <w:bottom w:val="single" w:color="000000" w:sz="4" w:space="0"/>
                    <w:right w:val="single" w:color="000000" w:sz="4" w:space="0"/>
                  </w:tcBorders>
                  <w:noWrap/>
                  <w:vAlign w:val="center"/>
                </w:tcPr>
                <w:p w14:paraId="490D1B06">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144.48</w:t>
                  </w:r>
                </w:p>
              </w:tc>
              <w:tc>
                <w:tcPr>
                  <w:tcW w:w="1216" w:type="dxa"/>
                  <w:tcBorders>
                    <w:top w:val="single" w:color="000000" w:sz="4" w:space="0"/>
                    <w:left w:val="single" w:color="000000" w:sz="4" w:space="0"/>
                    <w:bottom w:val="single" w:color="000000" w:sz="4" w:space="0"/>
                    <w:right w:val="single" w:color="000000" w:sz="4" w:space="0"/>
                  </w:tcBorders>
                  <w:vAlign w:val="center"/>
                </w:tcPr>
                <w:p w14:paraId="65C50D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1444.8</w:t>
                  </w:r>
                </w:p>
              </w:tc>
              <w:tc>
                <w:tcPr>
                  <w:tcW w:w="1357" w:type="dxa"/>
                  <w:tcBorders>
                    <w:top w:val="single" w:color="000000" w:sz="4" w:space="0"/>
                    <w:left w:val="single" w:color="000000" w:sz="4" w:space="0"/>
                    <w:bottom w:val="single" w:color="000000" w:sz="4" w:space="0"/>
                    <w:right w:val="single" w:color="000000" w:sz="4" w:space="0"/>
                  </w:tcBorders>
                  <w:vAlign w:val="center"/>
                </w:tcPr>
                <w:p w14:paraId="53BE33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 xml:space="preserve">4334.40 </w:t>
                  </w:r>
                </w:p>
              </w:tc>
            </w:tr>
            <w:tr w14:paraId="4DEBC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8030" w:type="dxa"/>
                  <w:gridSpan w:val="7"/>
                  <w:tcBorders>
                    <w:top w:val="single" w:color="000000" w:sz="4" w:space="0"/>
                    <w:left w:val="single" w:color="000000" w:sz="4" w:space="0"/>
                    <w:bottom w:val="single" w:color="000000" w:sz="4" w:space="0"/>
                    <w:right w:val="single" w:color="000000" w:sz="4" w:space="0"/>
                  </w:tcBorders>
                  <w:noWrap/>
                  <w:vAlign w:val="center"/>
                </w:tcPr>
                <w:p w14:paraId="7EF44544">
                  <w:pPr>
                    <w:keepNext w:val="0"/>
                    <w:keepLines w:val="0"/>
                    <w:widowControl/>
                    <w:suppressLineNumbers w:val="0"/>
                    <w:jc w:val="both"/>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备注：①根据设计资料，槽液每小时循环水量为池体水量的</w:t>
                  </w:r>
                  <w:r>
                    <w:rPr>
                      <w:rFonts w:hint="eastAsia" w:cs="Times New Roman"/>
                      <w:i w:val="0"/>
                      <w:iCs w:val="0"/>
                      <w:color w:val="auto"/>
                      <w:kern w:val="0"/>
                      <w:sz w:val="21"/>
                      <w:szCs w:val="21"/>
                      <w:highlight w:val="none"/>
                      <w:u w:val="none"/>
                      <w:lang w:val="en-US" w:eastAsia="zh-CN"/>
                    </w:rPr>
                    <w:t>3</w:t>
                  </w:r>
                  <w:r>
                    <w:rPr>
                      <w:rFonts w:hint="eastAsia" w:ascii="宋体" w:hAnsi="宋体" w:eastAsia="宋体" w:cs="宋体"/>
                      <w:i w:val="0"/>
                      <w:iCs w:val="0"/>
                      <w:color w:val="auto"/>
                      <w:kern w:val="0"/>
                      <w:sz w:val="21"/>
                      <w:szCs w:val="21"/>
                      <w:highlight w:val="none"/>
                      <w:u w:val="none"/>
                      <w:lang w:val="en-US" w:eastAsia="zh-CN"/>
                    </w:rPr>
                    <w:t>倍；②脱脂池、</w:t>
                  </w:r>
                  <w:r>
                    <w:rPr>
                      <w:rFonts w:hint="eastAsia" w:ascii="宋体" w:hAnsi="宋体" w:cs="宋体"/>
                      <w:i w:val="0"/>
                      <w:iCs w:val="0"/>
                      <w:color w:val="auto"/>
                      <w:kern w:val="0"/>
                      <w:sz w:val="21"/>
                      <w:szCs w:val="21"/>
                      <w:highlight w:val="none"/>
                      <w:u w:val="none"/>
                      <w:lang w:val="en-US" w:eastAsia="zh-CN"/>
                    </w:rPr>
                    <w:t>表调池酸洗池</w:t>
                  </w:r>
                  <w:r>
                    <w:rPr>
                      <w:rFonts w:hint="eastAsia" w:ascii="宋体" w:hAnsi="宋体" w:eastAsia="宋体" w:cs="宋体"/>
                      <w:i w:val="0"/>
                      <w:iCs w:val="0"/>
                      <w:color w:val="auto"/>
                      <w:kern w:val="0"/>
                      <w:sz w:val="21"/>
                      <w:szCs w:val="21"/>
                      <w:highlight w:val="none"/>
                      <w:u w:val="none"/>
                      <w:lang w:val="en-US" w:eastAsia="zh-CN"/>
                    </w:rPr>
                    <w:t>循环补充用水量中含脱脂剂</w:t>
                  </w:r>
                  <w:r>
                    <w:rPr>
                      <w:rFonts w:hint="eastAsia" w:ascii="宋体" w:hAnsi="宋体" w:cs="宋体"/>
                      <w:i w:val="0"/>
                      <w:iCs w:val="0"/>
                      <w:color w:val="auto"/>
                      <w:kern w:val="0"/>
                      <w:sz w:val="21"/>
                      <w:szCs w:val="21"/>
                      <w:highlight w:val="none"/>
                      <w:u w:val="none"/>
                      <w:lang w:val="en-US" w:eastAsia="zh-CN"/>
                    </w:rPr>
                    <w:t>、表调剂、除锈剂</w:t>
                  </w:r>
                  <w:r>
                    <w:rPr>
                      <w:rFonts w:hint="eastAsia" w:ascii="宋体" w:hAnsi="宋体" w:eastAsia="宋体" w:cs="宋体"/>
                      <w:i w:val="0"/>
                      <w:iCs w:val="0"/>
                      <w:color w:val="auto"/>
                      <w:kern w:val="0"/>
                      <w:sz w:val="21"/>
                      <w:szCs w:val="21"/>
                      <w:highlight w:val="none"/>
                      <w:u w:val="none"/>
                      <w:lang w:val="en-US" w:eastAsia="zh-CN"/>
                    </w:rPr>
                    <w:t>使用量，磷化池循环补充用水量中含磷化剂使用量，以上数据统一体现在水平衡图表内容中。</w:t>
                  </w:r>
                </w:p>
              </w:tc>
            </w:tr>
          </w:tbl>
          <w:p w14:paraId="609957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100" w:lineRule="exact"/>
              <w:ind w:left="0" w:right="0" w:firstLine="480" w:firstLineChars="200"/>
              <w:jc w:val="left"/>
              <w:textAlignment w:val="auto"/>
              <w:rPr>
                <w:rFonts w:hint="default" w:ascii="Times New Roman" w:hAnsi="Times New Roman" w:cs="Times New Roman"/>
                <w:color w:val="auto"/>
                <w:kern w:val="0"/>
                <w:sz w:val="24"/>
                <w:szCs w:val="24"/>
                <w:highlight w:val="none"/>
                <w:lang w:val="en-US" w:eastAsia="zh-CN"/>
              </w:rPr>
            </w:pPr>
          </w:p>
          <w:p w14:paraId="5B050980">
            <w:pPr>
              <w:pStyle w:val="28"/>
              <w:numPr>
                <w:ilvl w:val="0"/>
                <w:numId w:val="0"/>
              </w:numPr>
              <w:rPr>
                <w:rFonts w:hint="eastAsia" w:cs="Times New Roman"/>
                <w:color w:val="auto"/>
                <w:highlight w:val="none"/>
                <w:lang w:val="en-US" w:eastAsia="zh-CN"/>
              </w:rPr>
            </w:pPr>
            <w:r>
              <w:rPr>
                <w:rFonts w:hint="default" w:ascii="Times New Roman" w:hAnsi="Times New Roman" w:cs="Times New Roman"/>
                <w:color w:val="auto"/>
                <w:kern w:val="0"/>
                <w:sz w:val="24"/>
                <w:szCs w:val="24"/>
                <w:highlight w:val="none"/>
                <w:lang w:val="en-US" w:eastAsia="zh-CN"/>
              </w:rPr>
              <w:t>从上表计得前处理线</w:t>
            </w:r>
            <w:r>
              <w:rPr>
                <w:rFonts w:hint="eastAsia" w:cs="Times New Roman"/>
                <w:color w:val="auto"/>
                <w:kern w:val="0"/>
                <w:sz w:val="24"/>
                <w:szCs w:val="24"/>
                <w:highlight w:val="none"/>
                <w:lang w:val="en-US" w:eastAsia="zh-CN"/>
              </w:rPr>
              <w:t>循环</w:t>
            </w:r>
            <w:r>
              <w:rPr>
                <w:rFonts w:hint="default" w:ascii="Times New Roman" w:hAnsi="Times New Roman" w:cs="Times New Roman"/>
                <w:color w:val="auto"/>
                <w:kern w:val="0"/>
                <w:sz w:val="24"/>
                <w:szCs w:val="24"/>
                <w:highlight w:val="none"/>
                <w:lang w:val="en-US" w:eastAsia="zh-CN"/>
              </w:rPr>
              <w:t>补充水量为</w:t>
            </w:r>
            <w:r>
              <w:rPr>
                <w:rFonts w:hint="eastAsia" w:cs="Times New Roman"/>
                <w:color w:val="auto"/>
                <w:kern w:val="0"/>
                <w:sz w:val="24"/>
                <w:szCs w:val="24"/>
                <w:highlight w:val="none"/>
                <w:lang w:val="en-US" w:eastAsia="zh-CN"/>
              </w:rPr>
              <w:t>4334.4</w:t>
            </w:r>
            <w:r>
              <w:rPr>
                <w:rFonts w:hint="default" w:ascii="Times New Roman" w:hAnsi="Times New Roman" w:cs="Times New Roman"/>
                <w:color w:val="auto"/>
                <w:kern w:val="0"/>
                <w:sz w:val="24"/>
                <w:szCs w:val="24"/>
                <w:highlight w:val="none"/>
                <w:lang w:val="en-US" w:eastAsia="zh-CN"/>
              </w:rPr>
              <w:t>m</w:t>
            </w:r>
            <w:r>
              <w:rPr>
                <w:rFonts w:hint="default" w:ascii="Times New Roman" w:hAnsi="Times New Roman" w:cs="Times New Roman"/>
                <w:color w:val="auto"/>
                <w:kern w:val="0"/>
                <w:sz w:val="24"/>
                <w:szCs w:val="24"/>
                <w:highlight w:val="none"/>
                <w:vertAlign w:val="superscript"/>
                <w:lang w:val="en-US" w:eastAsia="zh-CN"/>
              </w:rPr>
              <w:t>3</w:t>
            </w:r>
            <w:r>
              <w:rPr>
                <w:rFonts w:hint="default" w:ascii="Times New Roman" w:hAnsi="Times New Roman" w:cs="Times New Roman"/>
                <w:color w:val="auto"/>
                <w:kern w:val="0"/>
                <w:sz w:val="24"/>
                <w:szCs w:val="24"/>
                <w:highlight w:val="none"/>
                <w:lang w:val="en-US" w:eastAsia="zh-CN"/>
              </w:rPr>
              <w:t>/a。</w:t>
            </w:r>
          </w:p>
          <w:p w14:paraId="26D46080">
            <w:pPr>
              <w:pStyle w:val="21"/>
              <w:keepNext w:val="0"/>
              <w:keepLines w:val="0"/>
              <w:pageBreakBefore w:val="0"/>
              <w:widowControl w:val="0"/>
              <w:suppressLineNumbers w:val="0"/>
              <w:kinsoku/>
              <w:wordWrap w:val="0"/>
              <w:overflowPunct w:val="0"/>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整槽更换用水、溢流用水</w:t>
            </w:r>
          </w:p>
          <w:p w14:paraId="1E63DBF5">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水洗池</w:t>
            </w:r>
            <w:r>
              <w:rPr>
                <w:rFonts w:hint="eastAsia" w:cs="Times New Roman"/>
                <w:color w:val="auto"/>
                <w:sz w:val="24"/>
                <w:szCs w:val="24"/>
                <w:highlight w:val="none"/>
                <w:lang w:val="en-US" w:eastAsia="zh-CN"/>
              </w:rPr>
              <w:t>1#~3#</w:t>
            </w:r>
            <w:r>
              <w:rPr>
                <w:rFonts w:hint="default" w:ascii="Times New Roman" w:hAnsi="Times New Roman" w:cs="Times New Roman"/>
                <w:color w:val="auto"/>
                <w:sz w:val="24"/>
                <w:szCs w:val="24"/>
                <w:highlight w:val="none"/>
                <w:lang w:val="en-US" w:eastAsia="zh-CN"/>
              </w:rPr>
              <w:t>水</w:t>
            </w:r>
            <w:r>
              <w:rPr>
                <w:rFonts w:hint="eastAsia" w:cs="Times New Roman"/>
                <w:color w:val="auto"/>
                <w:sz w:val="24"/>
                <w:szCs w:val="24"/>
                <w:highlight w:val="none"/>
                <w:lang w:val="en-US" w:eastAsia="zh-CN"/>
              </w:rPr>
              <w:t>体</w:t>
            </w:r>
            <w:r>
              <w:rPr>
                <w:rFonts w:hint="default" w:ascii="Times New Roman" w:hAnsi="Times New Roman" w:cs="Times New Roman"/>
                <w:color w:val="auto"/>
                <w:sz w:val="24"/>
                <w:szCs w:val="24"/>
                <w:highlight w:val="none"/>
                <w:lang w:val="en-US" w:eastAsia="zh-CN"/>
              </w:rPr>
              <w:t>循环使用，并适当补充新鲜水</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药剂，定期整池更换。其中为了保证水洗的清洗效果，水洗池同时采用连续溢流的排水方式，其余的</w:t>
            </w:r>
            <w:r>
              <w:rPr>
                <w:rFonts w:hint="eastAsia" w:ascii="Times New Roman" w:hAnsi="Times New Roman" w:cs="Times New Roman"/>
                <w:color w:val="auto"/>
                <w:sz w:val="24"/>
                <w:szCs w:val="24"/>
                <w:highlight w:val="none"/>
                <w:lang w:val="en-US" w:eastAsia="zh-CN"/>
              </w:rPr>
              <w:t>脱脂</w:t>
            </w:r>
            <w:r>
              <w:rPr>
                <w:rFonts w:hint="default" w:ascii="Times New Roman" w:hAnsi="Times New Roman" w:cs="Times New Roman"/>
                <w:color w:val="auto"/>
                <w:sz w:val="24"/>
                <w:szCs w:val="24"/>
                <w:highlight w:val="none"/>
                <w:lang w:val="en-US" w:eastAsia="zh-CN"/>
              </w:rPr>
              <w:t>池</w:t>
            </w:r>
            <w:r>
              <w:rPr>
                <w:rFonts w:hint="eastAsia" w:cs="Times New Roman"/>
                <w:color w:val="auto"/>
                <w:sz w:val="24"/>
                <w:szCs w:val="24"/>
                <w:highlight w:val="none"/>
                <w:lang w:val="en-US" w:eastAsia="zh-CN"/>
              </w:rPr>
              <w:t>、酸洗</w:t>
            </w:r>
            <w:r>
              <w:rPr>
                <w:rFonts w:hint="eastAsia" w:ascii="Times New Roman" w:hAnsi="Times New Roman" w:cs="Times New Roman"/>
                <w:color w:val="auto"/>
                <w:sz w:val="24"/>
                <w:szCs w:val="24"/>
                <w:highlight w:val="none"/>
                <w:lang w:val="en-US" w:eastAsia="zh-CN"/>
              </w:rPr>
              <w:t>池</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表调</w:t>
            </w:r>
            <w:r>
              <w:rPr>
                <w:rFonts w:hint="default" w:ascii="Times New Roman" w:hAnsi="Times New Roman" w:cs="Times New Roman"/>
                <w:color w:val="auto"/>
                <w:sz w:val="24"/>
                <w:szCs w:val="24"/>
                <w:highlight w:val="none"/>
                <w:lang w:val="en-US" w:eastAsia="zh-CN"/>
              </w:rPr>
              <w:t>池、</w:t>
            </w:r>
            <w:r>
              <w:rPr>
                <w:rFonts w:hint="eastAsia" w:ascii="Times New Roman" w:hAnsi="Times New Roman" w:cs="Times New Roman"/>
                <w:color w:val="auto"/>
                <w:sz w:val="24"/>
                <w:szCs w:val="24"/>
                <w:highlight w:val="none"/>
                <w:lang w:val="en-US" w:eastAsia="zh-CN"/>
              </w:rPr>
              <w:t>磷化</w:t>
            </w:r>
            <w:r>
              <w:rPr>
                <w:rFonts w:hint="default" w:ascii="Times New Roman" w:hAnsi="Times New Roman" w:cs="Times New Roman"/>
                <w:color w:val="auto"/>
                <w:sz w:val="24"/>
                <w:szCs w:val="24"/>
                <w:highlight w:val="none"/>
                <w:lang w:val="en-US" w:eastAsia="zh-CN"/>
              </w:rPr>
              <w:t>池仅定期整池更换。</w:t>
            </w:r>
          </w:p>
          <w:p w14:paraId="26AA9B2E">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color w:val="auto"/>
                <w:sz w:val="24"/>
                <w:szCs w:val="24"/>
                <w:highlight w:val="none"/>
              </w:rPr>
              <w:t>项目前处理整槽更换用水、溢流用水</w:t>
            </w:r>
            <w:r>
              <w:rPr>
                <w:rFonts w:hint="eastAsia" w:cs="Times New Roman"/>
                <w:color w:val="auto"/>
                <w:sz w:val="24"/>
                <w:szCs w:val="24"/>
                <w:highlight w:val="none"/>
                <w:lang w:val="en-US" w:eastAsia="zh-CN"/>
              </w:rPr>
              <w:t>量</w:t>
            </w:r>
            <w:r>
              <w:rPr>
                <w:rFonts w:hint="default" w:ascii="Times New Roman" w:hAnsi="Times New Roman" w:cs="Times New Roman"/>
                <w:color w:val="auto"/>
                <w:sz w:val="24"/>
                <w:szCs w:val="24"/>
                <w:highlight w:val="none"/>
              </w:rPr>
              <w:t>情况详见下表。</w:t>
            </w:r>
          </w:p>
          <w:p w14:paraId="46ED62DA">
            <w:pPr>
              <w:pStyle w:val="17"/>
              <w:pageBreakBefore w:val="0"/>
              <w:numPr>
                <w:ilvl w:val="0"/>
                <w:numId w:val="8"/>
              </w:numPr>
              <w:wordWrap w:val="0"/>
              <w:overflowPunct/>
              <w:bidi w:val="0"/>
              <w:spacing w:line="240" w:lineRule="auto"/>
              <w:ind w:left="0" w:leftChars="0" w:firstLine="40" w:firstLineChars="0"/>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kern w:val="2"/>
                <w:sz w:val="21"/>
                <w:szCs w:val="21"/>
                <w:highlight w:val="none"/>
                <w:lang w:val="en-US" w:eastAsia="zh-CN" w:bidi="ar-SA"/>
              </w:rPr>
              <w:t xml:space="preserve"> </w:t>
            </w:r>
            <w:r>
              <w:rPr>
                <w:rFonts w:hint="default" w:ascii="Times New Roman" w:hAnsi="Times New Roman" w:eastAsia="宋体" w:cs="Times New Roman"/>
                <w:b/>
                <w:bCs/>
                <w:color w:val="auto"/>
                <w:sz w:val="21"/>
                <w:szCs w:val="21"/>
                <w:highlight w:val="none"/>
                <w:lang w:val="en-US" w:eastAsia="zh-CN"/>
              </w:rPr>
              <w:t>整槽更换</w:t>
            </w:r>
            <w:r>
              <w:rPr>
                <w:rFonts w:hint="eastAsia" w:ascii="Times New Roman" w:hAnsi="Times New Roman" w:eastAsia="宋体" w:cs="Times New Roman"/>
                <w:b/>
                <w:bCs/>
                <w:color w:val="auto"/>
                <w:sz w:val="21"/>
                <w:szCs w:val="21"/>
                <w:highlight w:val="none"/>
                <w:lang w:val="en-US" w:eastAsia="zh-CN"/>
              </w:rPr>
              <w:t>用</w:t>
            </w:r>
            <w:r>
              <w:rPr>
                <w:rFonts w:hint="default" w:ascii="Times New Roman" w:hAnsi="Times New Roman" w:eastAsia="宋体" w:cs="Times New Roman"/>
                <w:b/>
                <w:bCs/>
                <w:color w:val="auto"/>
                <w:sz w:val="21"/>
                <w:szCs w:val="21"/>
                <w:highlight w:val="none"/>
                <w:lang w:val="en-US" w:eastAsia="zh-CN"/>
              </w:rPr>
              <w:t>水和溢流</w:t>
            </w:r>
            <w:r>
              <w:rPr>
                <w:rFonts w:hint="eastAsia" w:ascii="Times New Roman" w:hAnsi="Times New Roman" w:eastAsia="宋体" w:cs="Times New Roman"/>
                <w:b/>
                <w:bCs/>
                <w:color w:val="auto"/>
                <w:sz w:val="21"/>
                <w:szCs w:val="21"/>
                <w:highlight w:val="none"/>
                <w:lang w:val="en-US" w:eastAsia="zh-CN"/>
              </w:rPr>
              <w:t>用</w:t>
            </w:r>
            <w:r>
              <w:rPr>
                <w:rFonts w:hint="default" w:ascii="Times New Roman" w:hAnsi="Times New Roman" w:eastAsia="宋体" w:cs="Times New Roman"/>
                <w:b/>
                <w:bCs/>
                <w:color w:val="auto"/>
                <w:sz w:val="21"/>
                <w:szCs w:val="21"/>
                <w:highlight w:val="none"/>
                <w:lang w:val="en-US" w:eastAsia="zh-CN"/>
              </w:rPr>
              <w:t>水一览表 单位t/a</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
              <w:gridCol w:w="520"/>
              <w:gridCol w:w="396"/>
              <w:gridCol w:w="396"/>
              <w:gridCol w:w="402"/>
              <w:gridCol w:w="745"/>
              <w:gridCol w:w="545"/>
              <w:gridCol w:w="534"/>
              <w:gridCol w:w="577"/>
              <w:gridCol w:w="630"/>
              <w:gridCol w:w="405"/>
              <w:gridCol w:w="895"/>
              <w:gridCol w:w="816"/>
              <w:gridCol w:w="591"/>
            </w:tblGrid>
            <w:tr w14:paraId="46F96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2" w:type="pct"/>
                  <w:vMerge w:val="restart"/>
                  <w:tcMar>
                    <w:top w:w="0" w:type="dxa"/>
                    <w:left w:w="0" w:type="dxa"/>
                    <w:bottom w:w="0" w:type="dxa"/>
                    <w:right w:w="0" w:type="dxa"/>
                  </w:tcMar>
                  <w:vAlign w:val="center"/>
                </w:tcPr>
                <w:p w14:paraId="673F575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槽体名称</w:t>
                  </w:r>
                </w:p>
              </w:tc>
              <w:tc>
                <w:tcPr>
                  <w:tcW w:w="331" w:type="pct"/>
                  <w:vMerge w:val="restart"/>
                  <w:tcMar>
                    <w:top w:w="0" w:type="dxa"/>
                    <w:left w:w="0" w:type="dxa"/>
                    <w:bottom w:w="0" w:type="dxa"/>
                    <w:right w:w="0" w:type="dxa"/>
                  </w:tcMar>
                  <w:vAlign w:val="center"/>
                </w:tcPr>
                <w:p w14:paraId="25F5641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数量</w:t>
                  </w:r>
                  <w:r>
                    <w:rPr>
                      <w:rFonts w:hint="default" w:ascii="Times New Roman" w:hAnsi="Times New Roman" w:eastAsia="宋体" w:cs="Times New Roman"/>
                      <w:b/>
                      <w:bCs/>
                      <w:i w:val="0"/>
                      <w:iCs w:val="0"/>
                      <w:color w:val="auto"/>
                      <w:kern w:val="0"/>
                      <w:sz w:val="21"/>
                      <w:szCs w:val="21"/>
                      <w:highlight w:val="none"/>
                      <w:u w:val="none"/>
                      <w:lang w:val="en-US" w:eastAsia="zh-CN"/>
                    </w:rPr>
                    <w:br w:type="textWrapping"/>
                  </w:r>
                  <w:r>
                    <w:rPr>
                      <w:rFonts w:hint="default" w:ascii="Times New Roman" w:hAnsi="Times New Roman" w:eastAsia="宋体" w:cs="Times New Roman"/>
                      <w:b/>
                      <w:bCs/>
                      <w:i w:val="0"/>
                      <w:iCs w:val="0"/>
                      <w:color w:val="auto"/>
                      <w:kern w:val="0"/>
                      <w:sz w:val="21"/>
                      <w:szCs w:val="21"/>
                      <w:highlight w:val="none"/>
                      <w:u w:val="none"/>
                      <w:lang w:val="en-US" w:eastAsia="zh-CN"/>
                    </w:rPr>
                    <w:t>(个)</w:t>
                  </w:r>
                </w:p>
              </w:tc>
              <w:tc>
                <w:tcPr>
                  <w:tcW w:w="760" w:type="pct"/>
                  <w:gridSpan w:val="3"/>
                  <w:tcMar>
                    <w:top w:w="0" w:type="dxa"/>
                    <w:left w:w="0" w:type="dxa"/>
                    <w:bottom w:w="0" w:type="dxa"/>
                    <w:right w:w="0" w:type="dxa"/>
                  </w:tcMar>
                  <w:vAlign w:val="center"/>
                </w:tcPr>
                <w:p w14:paraId="2D44B0B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尺寸（m）</w:t>
                  </w:r>
                </w:p>
              </w:tc>
              <w:tc>
                <w:tcPr>
                  <w:tcW w:w="474" w:type="pct"/>
                  <w:vMerge w:val="restart"/>
                  <w:tcMar>
                    <w:top w:w="0" w:type="dxa"/>
                    <w:left w:w="0" w:type="dxa"/>
                    <w:bottom w:w="0" w:type="dxa"/>
                    <w:right w:w="0" w:type="dxa"/>
                  </w:tcMar>
                  <w:vAlign w:val="center"/>
                </w:tcPr>
                <w:p w14:paraId="034BACE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添加药剂名称</w:t>
                  </w:r>
                </w:p>
              </w:tc>
              <w:tc>
                <w:tcPr>
                  <w:tcW w:w="347" w:type="pct"/>
                  <w:vMerge w:val="restart"/>
                  <w:tcMar>
                    <w:top w:w="0" w:type="dxa"/>
                    <w:left w:w="0" w:type="dxa"/>
                    <w:bottom w:w="0" w:type="dxa"/>
                    <w:right w:w="0" w:type="dxa"/>
                  </w:tcMar>
                  <w:vAlign w:val="center"/>
                </w:tcPr>
                <w:p w14:paraId="0BB54D2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槽液量(m³)</w:t>
                  </w:r>
                </w:p>
              </w:tc>
              <w:tc>
                <w:tcPr>
                  <w:tcW w:w="340" w:type="pct"/>
                  <w:vMerge w:val="restart"/>
                  <w:tcMar>
                    <w:top w:w="0" w:type="dxa"/>
                    <w:left w:w="0" w:type="dxa"/>
                    <w:bottom w:w="0" w:type="dxa"/>
                    <w:right w:w="0" w:type="dxa"/>
                  </w:tcMar>
                  <w:vAlign w:val="center"/>
                </w:tcPr>
                <w:p w14:paraId="5159DC5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温度(℃)</w:t>
                  </w:r>
                </w:p>
              </w:tc>
              <w:tc>
                <w:tcPr>
                  <w:tcW w:w="768" w:type="pct"/>
                  <w:gridSpan w:val="2"/>
                  <w:tcMar>
                    <w:top w:w="0" w:type="dxa"/>
                    <w:left w:w="0" w:type="dxa"/>
                    <w:bottom w:w="0" w:type="dxa"/>
                    <w:right w:w="0" w:type="dxa"/>
                  </w:tcMar>
                  <w:vAlign w:val="center"/>
                </w:tcPr>
                <w:p w14:paraId="0FC8923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lang w:val="en-US" w:eastAsia="zh-CN"/>
                    </w:rPr>
                  </w:pPr>
                  <w:r>
                    <w:rPr>
                      <w:rFonts w:hint="default" w:ascii="Times New Roman" w:hAnsi="Times New Roman" w:cs="Times New Roman"/>
                      <w:b/>
                      <w:bCs/>
                      <w:i w:val="0"/>
                      <w:iCs w:val="0"/>
                      <w:color w:val="auto"/>
                      <w:sz w:val="21"/>
                      <w:szCs w:val="21"/>
                      <w:highlight w:val="none"/>
                      <w:u w:val="none"/>
                      <w:lang w:val="en-US" w:eastAsia="zh-CN"/>
                    </w:rPr>
                    <w:t>设计参数</w:t>
                  </w:r>
                </w:p>
              </w:tc>
              <w:tc>
                <w:tcPr>
                  <w:tcW w:w="258" w:type="pct"/>
                  <w:vMerge w:val="restart"/>
                  <w:tcMar>
                    <w:top w:w="0" w:type="dxa"/>
                    <w:left w:w="0" w:type="dxa"/>
                    <w:bottom w:w="0" w:type="dxa"/>
                    <w:right w:w="0" w:type="dxa"/>
                  </w:tcMar>
                  <w:vAlign w:val="center"/>
                </w:tcPr>
                <w:p w14:paraId="0573291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排水方式</w:t>
                  </w:r>
                </w:p>
              </w:tc>
              <w:tc>
                <w:tcPr>
                  <w:tcW w:w="569" w:type="pct"/>
                  <w:vMerge w:val="restart"/>
                  <w:tcMar>
                    <w:top w:w="0" w:type="dxa"/>
                    <w:left w:w="0" w:type="dxa"/>
                    <w:bottom w:w="0" w:type="dxa"/>
                    <w:right w:w="0" w:type="dxa"/>
                  </w:tcMar>
                  <w:vAlign w:val="center"/>
                </w:tcPr>
                <w:p w14:paraId="492B71D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更换频率</w:t>
                  </w:r>
                </w:p>
              </w:tc>
              <w:tc>
                <w:tcPr>
                  <w:tcW w:w="519" w:type="pct"/>
                  <w:vMerge w:val="restart"/>
                  <w:tcMar>
                    <w:top w:w="0" w:type="dxa"/>
                    <w:left w:w="0" w:type="dxa"/>
                    <w:bottom w:w="0" w:type="dxa"/>
                    <w:right w:w="0" w:type="dxa"/>
                  </w:tcMar>
                  <w:vAlign w:val="center"/>
                </w:tcPr>
                <w:p w14:paraId="7DD32B5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整槽更换用水量(m³/a)</w:t>
                  </w:r>
                </w:p>
              </w:tc>
              <w:tc>
                <w:tcPr>
                  <w:tcW w:w="376" w:type="pct"/>
                  <w:vMerge w:val="restart"/>
                  <w:tcMar>
                    <w:top w:w="0" w:type="dxa"/>
                    <w:left w:w="0" w:type="dxa"/>
                    <w:bottom w:w="0" w:type="dxa"/>
                    <w:right w:w="0" w:type="dxa"/>
                  </w:tcMar>
                  <w:vAlign w:val="center"/>
                </w:tcPr>
                <w:p w14:paraId="67F537D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溢流用水量(m³/</w:t>
                  </w:r>
                  <w:r>
                    <w:rPr>
                      <w:rFonts w:hint="default" w:ascii="Times New Roman" w:hAnsi="Times New Roman" w:cs="Times New Roman"/>
                      <w:b/>
                      <w:bCs/>
                      <w:i w:val="0"/>
                      <w:iCs w:val="0"/>
                      <w:color w:val="auto"/>
                      <w:kern w:val="0"/>
                      <w:sz w:val="21"/>
                      <w:szCs w:val="21"/>
                      <w:highlight w:val="none"/>
                      <w:u w:val="none"/>
                      <w:lang w:val="en-US" w:eastAsia="zh-CN"/>
                    </w:rPr>
                    <w:t>a</w:t>
                  </w:r>
                  <w:r>
                    <w:rPr>
                      <w:rFonts w:hint="default" w:ascii="Times New Roman" w:hAnsi="Times New Roman" w:eastAsia="宋体" w:cs="Times New Roman"/>
                      <w:b/>
                      <w:bCs/>
                      <w:i w:val="0"/>
                      <w:iCs w:val="0"/>
                      <w:color w:val="auto"/>
                      <w:kern w:val="0"/>
                      <w:sz w:val="21"/>
                      <w:szCs w:val="21"/>
                      <w:highlight w:val="none"/>
                      <w:u w:val="none"/>
                      <w:lang w:val="en-US" w:eastAsia="zh-CN"/>
                    </w:rPr>
                    <w:t>)</w:t>
                  </w:r>
                </w:p>
              </w:tc>
            </w:tr>
            <w:tr w14:paraId="3F22A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2" w:type="pct"/>
                  <w:vMerge w:val="continue"/>
                  <w:tcMar>
                    <w:top w:w="0" w:type="dxa"/>
                    <w:left w:w="0" w:type="dxa"/>
                    <w:bottom w:w="0" w:type="dxa"/>
                    <w:right w:w="0" w:type="dxa"/>
                  </w:tcMar>
                  <w:vAlign w:val="center"/>
                </w:tcPr>
                <w:p w14:paraId="0C52DDD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highlight w:val="none"/>
                      <w:u w:val="none"/>
                    </w:rPr>
                  </w:pPr>
                </w:p>
              </w:tc>
              <w:tc>
                <w:tcPr>
                  <w:tcW w:w="331" w:type="pct"/>
                  <w:vMerge w:val="continue"/>
                  <w:tcMar>
                    <w:top w:w="0" w:type="dxa"/>
                    <w:left w:w="0" w:type="dxa"/>
                    <w:bottom w:w="0" w:type="dxa"/>
                    <w:right w:w="0" w:type="dxa"/>
                  </w:tcMar>
                  <w:vAlign w:val="center"/>
                </w:tcPr>
                <w:p w14:paraId="626220F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highlight w:val="none"/>
                      <w:u w:val="none"/>
                    </w:rPr>
                  </w:pPr>
                </w:p>
              </w:tc>
              <w:tc>
                <w:tcPr>
                  <w:tcW w:w="252" w:type="pct"/>
                  <w:tcMar>
                    <w:top w:w="0" w:type="dxa"/>
                    <w:left w:w="0" w:type="dxa"/>
                    <w:bottom w:w="0" w:type="dxa"/>
                    <w:right w:w="0" w:type="dxa"/>
                  </w:tcMar>
                  <w:vAlign w:val="center"/>
                </w:tcPr>
                <w:p w14:paraId="7D2C2D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长</w:t>
                  </w:r>
                </w:p>
              </w:tc>
              <w:tc>
                <w:tcPr>
                  <w:tcW w:w="252" w:type="pct"/>
                  <w:tcMar>
                    <w:top w:w="0" w:type="dxa"/>
                    <w:left w:w="0" w:type="dxa"/>
                    <w:bottom w:w="0" w:type="dxa"/>
                    <w:right w:w="0" w:type="dxa"/>
                  </w:tcMar>
                  <w:vAlign w:val="center"/>
                </w:tcPr>
                <w:p w14:paraId="785A00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宽</w:t>
                  </w:r>
                </w:p>
              </w:tc>
              <w:tc>
                <w:tcPr>
                  <w:tcW w:w="254" w:type="pct"/>
                  <w:tcMar>
                    <w:top w:w="0" w:type="dxa"/>
                    <w:left w:w="0" w:type="dxa"/>
                    <w:bottom w:w="0" w:type="dxa"/>
                    <w:right w:w="0" w:type="dxa"/>
                  </w:tcMar>
                  <w:vAlign w:val="center"/>
                </w:tcPr>
                <w:p w14:paraId="6E881B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深</w:t>
                  </w:r>
                </w:p>
              </w:tc>
              <w:tc>
                <w:tcPr>
                  <w:tcW w:w="474" w:type="pct"/>
                  <w:vMerge w:val="continue"/>
                  <w:tcMar>
                    <w:top w:w="0" w:type="dxa"/>
                    <w:left w:w="0" w:type="dxa"/>
                    <w:bottom w:w="0" w:type="dxa"/>
                    <w:right w:w="0" w:type="dxa"/>
                  </w:tcMar>
                  <w:vAlign w:val="center"/>
                </w:tcPr>
                <w:p w14:paraId="281BC79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highlight w:val="none"/>
                      <w:u w:val="none"/>
                    </w:rPr>
                  </w:pPr>
                </w:p>
              </w:tc>
              <w:tc>
                <w:tcPr>
                  <w:tcW w:w="347" w:type="pct"/>
                  <w:vMerge w:val="continue"/>
                  <w:tcMar>
                    <w:top w:w="0" w:type="dxa"/>
                    <w:left w:w="0" w:type="dxa"/>
                    <w:bottom w:w="0" w:type="dxa"/>
                    <w:right w:w="0" w:type="dxa"/>
                  </w:tcMar>
                  <w:vAlign w:val="center"/>
                </w:tcPr>
                <w:p w14:paraId="5009932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highlight w:val="none"/>
                      <w:u w:val="none"/>
                    </w:rPr>
                  </w:pPr>
                </w:p>
              </w:tc>
              <w:tc>
                <w:tcPr>
                  <w:tcW w:w="340" w:type="pct"/>
                  <w:vMerge w:val="continue"/>
                  <w:tcMar>
                    <w:top w:w="0" w:type="dxa"/>
                    <w:left w:w="0" w:type="dxa"/>
                    <w:bottom w:w="0" w:type="dxa"/>
                    <w:right w:w="0" w:type="dxa"/>
                  </w:tcMar>
                  <w:vAlign w:val="center"/>
                </w:tcPr>
                <w:p w14:paraId="32E5446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highlight w:val="none"/>
                      <w:u w:val="none"/>
                    </w:rPr>
                  </w:pPr>
                </w:p>
              </w:tc>
              <w:tc>
                <w:tcPr>
                  <w:tcW w:w="367" w:type="pct"/>
                  <w:tcMar>
                    <w:top w:w="0" w:type="dxa"/>
                    <w:left w:w="0" w:type="dxa"/>
                    <w:bottom w:w="0" w:type="dxa"/>
                    <w:right w:w="0" w:type="dxa"/>
                  </w:tcMar>
                  <w:vAlign w:val="center"/>
                </w:tcPr>
                <w:p w14:paraId="62BDF4E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溢流速度(L/min)</w:t>
                  </w:r>
                </w:p>
              </w:tc>
              <w:tc>
                <w:tcPr>
                  <w:tcW w:w="401" w:type="pct"/>
                  <w:tcMar>
                    <w:top w:w="0" w:type="dxa"/>
                    <w:left w:w="0" w:type="dxa"/>
                    <w:bottom w:w="0" w:type="dxa"/>
                    <w:right w:w="0" w:type="dxa"/>
                  </w:tcMar>
                  <w:vAlign w:val="center"/>
                </w:tcPr>
                <w:p w14:paraId="0A9421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溢流用水量(m³/d)</w:t>
                  </w:r>
                </w:p>
              </w:tc>
              <w:tc>
                <w:tcPr>
                  <w:tcW w:w="258" w:type="pct"/>
                  <w:vMerge w:val="continue"/>
                  <w:tcMar>
                    <w:top w:w="0" w:type="dxa"/>
                    <w:left w:w="0" w:type="dxa"/>
                    <w:bottom w:w="0" w:type="dxa"/>
                    <w:right w:w="0" w:type="dxa"/>
                  </w:tcMar>
                  <w:vAlign w:val="center"/>
                </w:tcPr>
                <w:p w14:paraId="3777407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highlight w:val="none"/>
                      <w:u w:val="none"/>
                    </w:rPr>
                  </w:pPr>
                </w:p>
              </w:tc>
              <w:tc>
                <w:tcPr>
                  <w:tcW w:w="569" w:type="pct"/>
                  <w:vMerge w:val="continue"/>
                  <w:tcMar>
                    <w:top w:w="0" w:type="dxa"/>
                    <w:left w:w="0" w:type="dxa"/>
                    <w:bottom w:w="0" w:type="dxa"/>
                    <w:right w:w="0" w:type="dxa"/>
                  </w:tcMar>
                  <w:vAlign w:val="center"/>
                </w:tcPr>
                <w:p w14:paraId="331B848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highlight w:val="none"/>
                      <w:u w:val="none"/>
                    </w:rPr>
                  </w:pPr>
                </w:p>
              </w:tc>
              <w:tc>
                <w:tcPr>
                  <w:tcW w:w="519" w:type="pct"/>
                  <w:vMerge w:val="continue"/>
                  <w:tcMar>
                    <w:top w:w="0" w:type="dxa"/>
                    <w:left w:w="0" w:type="dxa"/>
                    <w:bottom w:w="0" w:type="dxa"/>
                    <w:right w:w="0" w:type="dxa"/>
                  </w:tcMar>
                  <w:vAlign w:val="center"/>
                </w:tcPr>
                <w:p w14:paraId="729723A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highlight w:val="none"/>
                      <w:u w:val="none"/>
                    </w:rPr>
                  </w:pPr>
                </w:p>
              </w:tc>
              <w:tc>
                <w:tcPr>
                  <w:tcW w:w="376" w:type="pct"/>
                  <w:vMerge w:val="continue"/>
                  <w:tcMar>
                    <w:top w:w="0" w:type="dxa"/>
                    <w:left w:w="0" w:type="dxa"/>
                    <w:bottom w:w="0" w:type="dxa"/>
                    <w:right w:w="0" w:type="dxa"/>
                  </w:tcMar>
                  <w:vAlign w:val="center"/>
                </w:tcPr>
                <w:p w14:paraId="00424B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highlight w:val="none"/>
                      <w:u w:val="none"/>
                    </w:rPr>
                  </w:pPr>
                </w:p>
              </w:tc>
            </w:tr>
            <w:tr w14:paraId="13231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7" w:type="dxa"/>
                  <w:tcMar>
                    <w:top w:w="0" w:type="dxa"/>
                    <w:left w:w="0" w:type="dxa"/>
                    <w:bottom w:w="0" w:type="dxa"/>
                    <w:right w:w="0" w:type="dxa"/>
                  </w:tcMar>
                  <w:vAlign w:val="center"/>
                </w:tcPr>
                <w:p w14:paraId="611AD39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脱脂池</w:t>
                  </w:r>
                </w:p>
              </w:tc>
              <w:tc>
                <w:tcPr>
                  <w:tcW w:w="521" w:type="dxa"/>
                  <w:tcMar>
                    <w:top w:w="0" w:type="dxa"/>
                    <w:left w:w="0" w:type="dxa"/>
                    <w:bottom w:w="0" w:type="dxa"/>
                    <w:right w:w="0" w:type="dxa"/>
                  </w:tcMar>
                  <w:vAlign w:val="center"/>
                </w:tcPr>
                <w:p w14:paraId="5A59BAD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w:t>
                  </w:r>
                </w:p>
              </w:tc>
              <w:tc>
                <w:tcPr>
                  <w:tcW w:w="397" w:type="dxa"/>
                  <w:tcMar>
                    <w:top w:w="0" w:type="dxa"/>
                    <w:left w:w="0" w:type="dxa"/>
                    <w:bottom w:w="0" w:type="dxa"/>
                    <w:right w:w="0" w:type="dxa"/>
                  </w:tcMar>
                  <w:vAlign w:val="center"/>
                </w:tcPr>
                <w:p w14:paraId="1FE03F8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6</w:t>
                  </w:r>
                </w:p>
              </w:tc>
              <w:tc>
                <w:tcPr>
                  <w:tcW w:w="397" w:type="dxa"/>
                  <w:tcMar>
                    <w:top w:w="0" w:type="dxa"/>
                    <w:left w:w="0" w:type="dxa"/>
                    <w:bottom w:w="0" w:type="dxa"/>
                    <w:right w:w="0" w:type="dxa"/>
                  </w:tcMar>
                  <w:vAlign w:val="center"/>
                </w:tcPr>
                <w:p w14:paraId="6356E0B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2</w:t>
                  </w:r>
                </w:p>
              </w:tc>
              <w:tc>
                <w:tcPr>
                  <w:tcW w:w="400" w:type="dxa"/>
                  <w:tcMar>
                    <w:top w:w="0" w:type="dxa"/>
                    <w:left w:w="0" w:type="dxa"/>
                    <w:bottom w:w="0" w:type="dxa"/>
                    <w:right w:w="0" w:type="dxa"/>
                  </w:tcMar>
                  <w:vAlign w:val="center"/>
                </w:tcPr>
                <w:p w14:paraId="07D09FE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w:t>
                  </w:r>
                </w:p>
              </w:tc>
              <w:tc>
                <w:tcPr>
                  <w:tcW w:w="744" w:type="dxa"/>
                  <w:tcMar>
                    <w:top w:w="0" w:type="dxa"/>
                    <w:left w:w="0" w:type="dxa"/>
                    <w:bottom w:w="0" w:type="dxa"/>
                    <w:right w:w="0" w:type="dxa"/>
                  </w:tcMar>
                  <w:vAlign w:val="center"/>
                </w:tcPr>
                <w:p w14:paraId="644B666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脱脂剂</w:t>
                  </w:r>
                  <w:r>
                    <w:rPr>
                      <w:rFonts w:hint="default" w:ascii="Times New Roman" w:hAnsi="Times New Roman" w:cs="Times New Roman"/>
                      <w:i w:val="0"/>
                      <w:iCs w:val="0"/>
                      <w:color w:val="auto"/>
                      <w:kern w:val="0"/>
                      <w:sz w:val="21"/>
                      <w:szCs w:val="21"/>
                      <w:highlight w:val="none"/>
                      <w:u w:val="none"/>
                      <w:lang w:val="en-US" w:eastAsia="zh-CN"/>
                    </w:rPr>
                    <w:t>47</w:t>
                  </w:r>
                  <w:r>
                    <w:rPr>
                      <w:rFonts w:hint="default" w:ascii="Times New Roman" w:hAnsi="Times New Roman" w:eastAsia="宋体" w:cs="Times New Roman"/>
                      <w:i w:val="0"/>
                      <w:iCs w:val="0"/>
                      <w:color w:val="auto"/>
                      <w:kern w:val="0"/>
                      <w:sz w:val="21"/>
                      <w:szCs w:val="21"/>
                      <w:highlight w:val="none"/>
                      <w:u w:val="none"/>
                      <w:lang w:val="en-US" w:eastAsia="zh-CN"/>
                    </w:rPr>
                    <w:t>g/L</w:t>
                  </w:r>
                </w:p>
              </w:tc>
              <w:tc>
                <w:tcPr>
                  <w:tcW w:w="545" w:type="dxa"/>
                  <w:tcMar>
                    <w:top w:w="0" w:type="dxa"/>
                    <w:left w:w="0" w:type="dxa"/>
                    <w:bottom w:w="0" w:type="dxa"/>
                    <w:right w:w="0" w:type="dxa"/>
                  </w:tcMar>
                  <w:vAlign w:val="center"/>
                </w:tcPr>
                <w:p w14:paraId="31911CA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9.6</w:t>
                  </w:r>
                </w:p>
              </w:tc>
              <w:tc>
                <w:tcPr>
                  <w:tcW w:w="534" w:type="dxa"/>
                  <w:tcMar>
                    <w:top w:w="0" w:type="dxa"/>
                    <w:left w:w="0" w:type="dxa"/>
                    <w:bottom w:w="0" w:type="dxa"/>
                    <w:right w:w="0" w:type="dxa"/>
                  </w:tcMar>
                  <w:vAlign w:val="center"/>
                </w:tcPr>
                <w:p w14:paraId="707C868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50</w:t>
                  </w:r>
                </w:p>
              </w:tc>
              <w:tc>
                <w:tcPr>
                  <w:tcW w:w="577" w:type="dxa"/>
                  <w:tcMar>
                    <w:top w:w="0" w:type="dxa"/>
                    <w:left w:w="0" w:type="dxa"/>
                    <w:bottom w:w="0" w:type="dxa"/>
                    <w:right w:w="0" w:type="dxa"/>
                  </w:tcMar>
                  <w:vAlign w:val="center"/>
                </w:tcPr>
                <w:p w14:paraId="2A3F337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w:t>
                  </w:r>
                </w:p>
              </w:tc>
              <w:tc>
                <w:tcPr>
                  <w:tcW w:w="630" w:type="dxa"/>
                  <w:tcMar>
                    <w:top w:w="0" w:type="dxa"/>
                    <w:left w:w="0" w:type="dxa"/>
                    <w:bottom w:w="0" w:type="dxa"/>
                    <w:right w:w="0" w:type="dxa"/>
                  </w:tcMar>
                  <w:vAlign w:val="center"/>
                </w:tcPr>
                <w:p w14:paraId="73564D0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w:t>
                  </w:r>
                </w:p>
              </w:tc>
              <w:tc>
                <w:tcPr>
                  <w:tcW w:w="405" w:type="dxa"/>
                  <w:tcMar>
                    <w:top w:w="0" w:type="dxa"/>
                    <w:left w:w="0" w:type="dxa"/>
                    <w:bottom w:w="0" w:type="dxa"/>
                    <w:right w:w="0" w:type="dxa"/>
                  </w:tcMar>
                  <w:vAlign w:val="center"/>
                </w:tcPr>
                <w:p w14:paraId="417DAA0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w:t>
                  </w:r>
                </w:p>
              </w:tc>
              <w:tc>
                <w:tcPr>
                  <w:tcW w:w="894" w:type="dxa"/>
                  <w:tcMar>
                    <w:top w:w="0" w:type="dxa"/>
                    <w:left w:w="0" w:type="dxa"/>
                    <w:bottom w:w="0" w:type="dxa"/>
                    <w:right w:w="0" w:type="dxa"/>
                  </w:tcMar>
                  <w:vAlign w:val="center"/>
                </w:tcPr>
                <w:p w14:paraId="4A502B7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整槽更换槽液，每季度一次</w:t>
                  </w:r>
                </w:p>
              </w:tc>
              <w:tc>
                <w:tcPr>
                  <w:tcW w:w="816" w:type="dxa"/>
                  <w:noWrap/>
                  <w:tcMar>
                    <w:top w:w="0" w:type="dxa"/>
                    <w:left w:w="0" w:type="dxa"/>
                    <w:bottom w:w="0" w:type="dxa"/>
                    <w:right w:w="0" w:type="dxa"/>
                  </w:tcMar>
                  <w:vAlign w:val="center"/>
                </w:tcPr>
                <w:p w14:paraId="7358D5E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38.4</w:t>
                  </w:r>
                </w:p>
              </w:tc>
              <w:tc>
                <w:tcPr>
                  <w:tcW w:w="591" w:type="dxa"/>
                  <w:tcMar>
                    <w:top w:w="0" w:type="dxa"/>
                    <w:left w:w="0" w:type="dxa"/>
                    <w:bottom w:w="0" w:type="dxa"/>
                    <w:right w:w="0" w:type="dxa"/>
                  </w:tcMar>
                  <w:vAlign w:val="center"/>
                </w:tcPr>
                <w:p w14:paraId="052739E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w:t>
                  </w:r>
                </w:p>
              </w:tc>
            </w:tr>
            <w:tr w14:paraId="4784F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7" w:type="dxa"/>
                  <w:tcMar>
                    <w:top w:w="0" w:type="dxa"/>
                    <w:left w:w="0" w:type="dxa"/>
                    <w:bottom w:w="0" w:type="dxa"/>
                    <w:right w:w="0" w:type="dxa"/>
                  </w:tcMar>
                  <w:vAlign w:val="center"/>
                </w:tcPr>
                <w:p w14:paraId="7D44BB0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表调池</w:t>
                  </w:r>
                </w:p>
              </w:tc>
              <w:tc>
                <w:tcPr>
                  <w:tcW w:w="521" w:type="dxa"/>
                  <w:tcMar>
                    <w:top w:w="0" w:type="dxa"/>
                    <w:left w:w="0" w:type="dxa"/>
                    <w:bottom w:w="0" w:type="dxa"/>
                    <w:right w:w="0" w:type="dxa"/>
                  </w:tcMar>
                  <w:vAlign w:val="center"/>
                </w:tcPr>
                <w:p w14:paraId="28D2CF6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w:t>
                  </w:r>
                </w:p>
              </w:tc>
              <w:tc>
                <w:tcPr>
                  <w:tcW w:w="397" w:type="dxa"/>
                  <w:tcMar>
                    <w:top w:w="0" w:type="dxa"/>
                    <w:left w:w="0" w:type="dxa"/>
                    <w:bottom w:w="0" w:type="dxa"/>
                    <w:right w:w="0" w:type="dxa"/>
                  </w:tcMar>
                  <w:vAlign w:val="center"/>
                </w:tcPr>
                <w:p w14:paraId="2E822A3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rPr>
                    <w:t>6</w:t>
                  </w:r>
                </w:p>
              </w:tc>
              <w:tc>
                <w:tcPr>
                  <w:tcW w:w="397" w:type="dxa"/>
                  <w:tcMar>
                    <w:top w:w="0" w:type="dxa"/>
                    <w:left w:w="0" w:type="dxa"/>
                    <w:bottom w:w="0" w:type="dxa"/>
                    <w:right w:w="0" w:type="dxa"/>
                  </w:tcMar>
                  <w:vAlign w:val="center"/>
                </w:tcPr>
                <w:p w14:paraId="25F0BFE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2</w:t>
                  </w:r>
                </w:p>
              </w:tc>
              <w:tc>
                <w:tcPr>
                  <w:tcW w:w="400" w:type="dxa"/>
                  <w:tcMar>
                    <w:top w:w="0" w:type="dxa"/>
                    <w:left w:w="0" w:type="dxa"/>
                    <w:bottom w:w="0" w:type="dxa"/>
                    <w:right w:w="0" w:type="dxa"/>
                  </w:tcMar>
                  <w:vAlign w:val="center"/>
                </w:tcPr>
                <w:p w14:paraId="600FE97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w:t>
                  </w:r>
                </w:p>
              </w:tc>
              <w:tc>
                <w:tcPr>
                  <w:tcW w:w="744" w:type="dxa"/>
                  <w:tcMar>
                    <w:top w:w="0" w:type="dxa"/>
                    <w:left w:w="0" w:type="dxa"/>
                    <w:bottom w:w="0" w:type="dxa"/>
                    <w:right w:w="0" w:type="dxa"/>
                  </w:tcMar>
                  <w:vAlign w:val="center"/>
                </w:tcPr>
                <w:p w14:paraId="5BD1BDC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表调剂1</w:t>
                  </w:r>
                  <w:r>
                    <w:rPr>
                      <w:rFonts w:hint="default" w:ascii="Times New Roman" w:hAnsi="Times New Roman" w:cs="Times New Roman"/>
                      <w:i w:val="0"/>
                      <w:iCs w:val="0"/>
                      <w:color w:val="auto"/>
                      <w:kern w:val="0"/>
                      <w:sz w:val="21"/>
                      <w:szCs w:val="21"/>
                      <w:highlight w:val="none"/>
                      <w:u w:val="none"/>
                      <w:lang w:val="en-US" w:eastAsia="zh-CN"/>
                    </w:rPr>
                    <w:t>3</w:t>
                  </w:r>
                  <w:r>
                    <w:rPr>
                      <w:rFonts w:hint="default" w:ascii="Times New Roman" w:hAnsi="Times New Roman" w:eastAsia="宋体" w:cs="Times New Roman"/>
                      <w:i w:val="0"/>
                      <w:iCs w:val="0"/>
                      <w:color w:val="auto"/>
                      <w:kern w:val="0"/>
                      <w:sz w:val="21"/>
                      <w:szCs w:val="21"/>
                      <w:highlight w:val="none"/>
                      <w:u w:val="none"/>
                      <w:lang w:val="en-US" w:eastAsia="zh-CN"/>
                    </w:rPr>
                    <w:t>g/L</w:t>
                  </w:r>
                </w:p>
              </w:tc>
              <w:tc>
                <w:tcPr>
                  <w:tcW w:w="545" w:type="dxa"/>
                  <w:tcMar>
                    <w:top w:w="0" w:type="dxa"/>
                    <w:left w:w="0" w:type="dxa"/>
                    <w:bottom w:w="0" w:type="dxa"/>
                    <w:right w:w="0" w:type="dxa"/>
                  </w:tcMar>
                  <w:vAlign w:val="center"/>
                </w:tcPr>
                <w:p w14:paraId="57E491B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rPr>
                    <w:t>9.6</w:t>
                  </w:r>
                </w:p>
              </w:tc>
              <w:tc>
                <w:tcPr>
                  <w:tcW w:w="534" w:type="dxa"/>
                  <w:tcMar>
                    <w:top w:w="0" w:type="dxa"/>
                    <w:left w:w="0" w:type="dxa"/>
                    <w:bottom w:w="0" w:type="dxa"/>
                    <w:right w:w="0" w:type="dxa"/>
                  </w:tcMar>
                  <w:vAlign w:val="center"/>
                </w:tcPr>
                <w:p w14:paraId="31DF478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50</w:t>
                  </w:r>
                </w:p>
              </w:tc>
              <w:tc>
                <w:tcPr>
                  <w:tcW w:w="577" w:type="dxa"/>
                  <w:tcMar>
                    <w:top w:w="0" w:type="dxa"/>
                    <w:left w:w="0" w:type="dxa"/>
                    <w:bottom w:w="0" w:type="dxa"/>
                    <w:right w:w="0" w:type="dxa"/>
                  </w:tcMar>
                  <w:vAlign w:val="center"/>
                </w:tcPr>
                <w:p w14:paraId="111DA70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w:t>
                  </w:r>
                </w:p>
              </w:tc>
              <w:tc>
                <w:tcPr>
                  <w:tcW w:w="630" w:type="dxa"/>
                  <w:tcMar>
                    <w:top w:w="0" w:type="dxa"/>
                    <w:left w:w="0" w:type="dxa"/>
                    <w:bottom w:w="0" w:type="dxa"/>
                    <w:right w:w="0" w:type="dxa"/>
                  </w:tcMar>
                  <w:vAlign w:val="center"/>
                </w:tcPr>
                <w:p w14:paraId="5D25283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w:t>
                  </w:r>
                </w:p>
              </w:tc>
              <w:tc>
                <w:tcPr>
                  <w:tcW w:w="405" w:type="dxa"/>
                  <w:tcMar>
                    <w:top w:w="0" w:type="dxa"/>
                    <w:left w:w="0" w:type="dxa"/>
                    <w:bottom w:w="0" w:type="dxa"/>
                    <w:right w:w="0" w:type="dxa"/>
                  </w:tcMar>
                  <w:vAlign w:val="center"/>
                </w:tcPr>
                <w:p w14:paraId="7BE6838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w:t>
                  </w:r>
                </w:p>
              </w:tc>
              <w:tc>
                <w:tcPr>
                  <w:tcW w:w="894" w:type="dxa"/>
                  <w:tcMar>
                    <w:top w:w="0" w:type="dxa"/>
                    <w:left w:w="0" w:type="dxa"/>
                    <w:bottom w:w="0" w:type="dxa"/>
                    <w:right w:w="0" w:type="dxa"/>
                  </w:tcMar>
                  <w:vAlign w:val="center"/>
                </w:tcPr>
                <w:p w14:paraId="6E13C9A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整槽更换槽液，每季度一次</w:t>
                  </w:r>
                </w:p>
              </w:tc>
              <w:tc>
                <w:tcPr>
                  <w:tcW w:w="816" w:type="dxa"/>
                  <w:noWrap/>
                  <w:tcMar>
                    <w:top w:w="0" w:type="dxa"/>
                    <w:left w:w="0" w:type="dxa"/>
                    <w:bottom w:w="0" w:type="dxa"/>
                    <w:right w:w="0" w:type="dxa"/>
                  </w:tcMar>
                  <w:vAlign w:val="center"/>
                </w:tcPr>
                <w:p w14:paraId="3F5B40A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38.4</w:t>
                  </w:r>
                </w:p>
              </w:tc>
              <w:tc>
                <w:tcPr>
                  <w:tcW w:w="591" w:type="dxa"/>
                  <w:tcMar>
                    <w:top w:w="0" w:type="dxa"/>
                    <w:left w:w="0" w:type="dxa"/>
                    <w:bottom w:w="0" w:type="dxa"/>
                    <w:right w:w="0" w:type="dxa"/>
                  </w:tcMar>
                  <w:vAlign w:val="center"/>
                </w:tcPr>
                <w:p w14:paraId="6518251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w:t>
                  </w:r>
                </w:p>
              </w:tc>
            </w:tr>
            <w:tr w14:paraId="1C456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7" w:type="dxa"/>
                  <w:tcMar>
                    <w:top w:w="0" w:type="dxa"/>
                    <w:left w:w="0" w:type="dxa"/>
                    <w:bottom w:w="0" w:type="dxa"/>
                    <w:right w:w="0" w:type="dxa"/>
                  </w:tcMar>
                  <w:vAlign w:val="center"/>
                </w:tcPr>
                <w:p w14:paraId="34C1F2C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w:t>
                  </w:r>
                  <w:r>
                    <w:rPr>
                      <w:rFonts w:hint="eastAsia" w:ascii="宋体" w:hAnsi="宋体" w:eastAsia="宋体" w:cs="宋体"/>
                      <w:i w:val="0"/>
                      <w:iCs w:val="0"/>
                      <w:color w:val="auto"/>
                      <w:kern w:val="0"/>
                      <w:sz w:val="21"/>
                      <w:szCs w:val="21"/>
                      <w:highlight w:val="none"/>
                      <w:u w:val="none"/>
                      <w:lang w:val="en-US" w:eastAsia="zh-CN"/>
                    </w:rPr>
                    <w:t>水洗池</w:t>
                  </w:r>
                </w:p>
              </w:tc>
              <w:tc>
                <w:tcPr>
                  <w:tcW w:w="521" w:type="dxa"/>
                  <w:tcMar>
                    <w:top w:w="0" w:type="dxa"/>
                    <w:left w:w="0" w:type="dxa"/>
                    <w:bottom w:w="0" w:type="dxa"/>
                    <w:right w:w="0" w:type="dxa"/>
                  </w:tcMar>
                  <w:vAlign w:val="center"/>
                </w:tcPr>
                <w:p w14:paraId="664EAB3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w:t>
                  </w:r>
                </w:p>
              </w:tc>
              <w:tc>
                <w:tcPr>
                  <w:tcW w:w="397" w:type="dxa"/>
                  <w:tcMar>
                    <w:top w:w="0" w:type="dxa"/>
                    <w:left w:w="0" w:type="dxa"/>
                    <w:bottom w:w="0" w:type="dxa"/>
                    <w:right w:w="0" w:type="dxa"/>
                  </w:tcMar>
                  <w:vAlign w:val="center"/>
                </w:tcPr>
                <w:p w14:paraId="1CEA13E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4</w:t>
                  </w:r>
                </w:p>
              </w:tc>
              <w:tc>
                <w:tcPr>
                  <w:tcW w:w="397" w:type="dxa"/>
                  <w:tcMar>
                    <w:top w:w="0" w:type="dxa"/>
                    <w:left w:w="0" w:type="dxa"/>
                    <w:bottom w:w="0" w:type="dxa"/>
                    <w:right w:w="0" w:type="dxa"/>
                  </w:tcMar>
                  <w:vAlign w:val="center"/>
                </w:tcPr>
                <w:p w14:paraId="3442216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2</w:t>
                  </w:r>
                </w:p>
              </w:tc>
              <w:tc>
                <w:tcPr>
                  <w:tcW w:w="400" w:type="dxa"/>
                  <w:tcMar>
                    <w:top w:w="0" w:type="dxa"/>
                    <w:left w:w="0" w:type="dxa"/>
                    <w:bottom w:w="0" w:type="dxa"/>
                    <w:right w:w="0" w:type="dxa"/>
                  </w:tcMar>
                  <w:vAlign w:val="center"/>
                </w:tcPr>
                <w:p w14:paraId="1B78B89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w:t>
                  </w:r>
                </w:p>
              </w:tc>
              <w:tc>
                <w:tcPr>
                  <w:tcW w:w="744" w:type="dxa"/>
                  <w:tcMar>
                    <w:top w:w="0" w:type="dxa"/>
                    <w:left w:w="0" w:type="dxa"/>
                    <w:bottom w:w="0" w:type="dxa"/>
                    <w:right w:w="0" w:type="dxa"/>
                  </w:tcMar>
                  <w:vAlign w:val="center"/>
                </w:tcPr>
                <w:p w14:paraId="4B7A5B8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w:t>
                  </w:r>
                </w:p>
              </w:tc>
              <w:tc>
                <w:tcPr>
                  <w:tcW w:w="545" w:type="dxa"/>
                  <w:tcMar>
                    <w:top w:w="0" w:type="dxa"/>
                    <w:left w:w="0" w:type="dxa"/>
                    <w:bottom w:w="0" w:type="dxa"/>
                    <w:right w:w="0" w:type="dxa"/>
                  </w:tcMar>
                  <w:vAlign w:val="center"/>
                </w:tcPr>
                <w:p w14:paraId="585DF06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6.4</w:t>
                  </w:r>
                </w:p>
              </w:tc>
              <w:tc>
                <w:tcPr>
                  <w:tcW w:w="534" w:type="dxa"/>
                  <w:tcMar>
                    <w:top w:w="0" w:type="dxa"/>
                    <w:left w:w="0" w:type="dxa"/>
                    <w:bottom w:w="0" w:type="dxa"/>
                    <w:right w:w="0" w:type="dxa"/>
                  </w:tcMar>
                  <w:vAlign w:val="center"/>
                </w:tcPr>
                <w:p w14:paraId="1E5A3A9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常温</w:t>
                  </w:r>
                </w:p>
              </w:tc>
              <w:tc>
                <w:tcPr>
                  <w:tcW w:w="577" w:type="dxa"/>
                  <w:tcMar>
                    <w:top w:w="0" w:type="dxa"/>
                    <w:left w:w="0" w:type="dxa"/>
                    <w:bottom w:w="0" w:type="dxa"/>
                    <w:right w:w="0" w:type="dxa"/>
                  </w:tcMar>
                  <w:vAlign w:val="center"/>
                </w:tcPr>
                <w:p w14:paraId="326C899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4.5</w:t>
                  </w:r>
                </w:p>
              </w:tc>
              <w:tc>
                <w:tcPr>
                  <w:tcW w:w="630" w:type="dxa"/>
                  <w:tcMar>
                    <w:top w:w="0" w:type="dxa"/>
                    <w:left w:w="0" w:type="dxa"/>
                    <w:bottom w:w="0" w:type="dxa"/>
                    <w:right w:w="0" w:type="dxa"/>
                  </w:tcMar>
                  <w:vAlign w:val="center"/>
                </w:tcPr>
                <w:p w14:paraId="50CD326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2.7</w:t>
                  </w:r>
                </w:p>
              </w:tc>
              <w:tc>
                <w:tcPr>
                  <w:tcW w:w="405" w:type="dxa"/>
                  <w:tcMar>
                    <w:top w:w="0" w:type="dxa"/>
                    <w:left w:w="0" w:type="dxa"/>
                    <w:bottom w:w="0" w:type="dxa"/>
                    <w:right w:w="0" w:type="dxa"/>
                  </w:tcMar>
                  <w:vAlign w:val="center"/>
                </w:tcPr>
                <w:p w14:paraId="788376E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连续溢流</w:t>
                  </w:r>
                </w:p>
              </w:tc>
              <w:tc>
                <w:tcPr>
                  <w:tcW w:w="894" w:type="dxa"/>
                  <w:tcMar>
                    <w:top w:w="0" w:type="dxa"/>
                    <w:left w:w="0" w:type="dxa"/>
                    <w:bottom w:w="0" w:type="dxa"/>
                    <w:right w:w="0" w:type="dxa"/>
                  </w:tcMar>
                  <w:vAlign w:val="center"/>
                </w:tcPr>
                <w:p w14:paraId="22D27DA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整槽更换槽液，每月一次</w:t>
                  </w:r>
                </w:p>
              </w:tc>
              <w:tc>
                <w:tcPr>
                  <w:tcW w:w="816" w:type="dxa"/>
                  <w:noWrap/>
                  <w:tcMar>
                    <w:top w:w="0" w:type="dxa"/>
                    <w:left w:w="0" w:type="dxa"/>
                    <w:bottom w:w="0" w:type="dxa"/>
                    <w:right w:w="0" w:type="dxa"/>
                  </w:tcMar>
                  <w:vAlign w:val="center"/>
                </w:tcPr>
                <w:p w14:paraId="53B5D2D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76.8</w:t>
                  </w:r>
                </w:p>
              </w:tc>
              <w:tc>
                <w:tcPr>
                  <w:tcW w:w="591" w:type="dxa"/>
                  <w:tcMar>
                    <w:top w:w="0" w:type="dxa"/>
                    <w:left w:w="0" w:type="dxa"/>
                    <w:bottom w:w="0" w:type="dxa"/>
                    <w:right w:w="0" w:type="dxa"/>
                  </w:tcMar>
                  <w:vAlign w:val="center"/>
                </w:tcPr>
                <w:p w14:paraId="6256CB1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810</w:t>
                  </w:r>
                </w:p>
              </w:tc>
            </w:tr>
            <w:tr w14:paraId="195C2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7" w:type="dxa"/>
                  <w:tcMar>
                    <w:top w:w="0" w:type="dxa"/>
                    <w:left w:w="0" w:type="dxa"/>
                    <w:bottom w:w="0" w:type="dxa"/>
                    <w:right w:w="0" w:type="dxa"/>
                  </w:tcMar>
                  <w:vAlign w:val="center"/>
                </w:tcPr>
                <w:p w14:paraId="3449EE3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2#</w:t>
                  </w:r>
                  <w:r>
                    <w:rPr>
                      <w:rFonts w:hint="eastAsia" w:ascii="宋体" w:hAnsi="宋体" w:eastAsia="宋体" w:cs="宋体"/>
                      <w:i w:val="0"/>
                      <w:iCs w:val="0"/>
                      <w:color w:val="auto"/>
                      <w:kern w:val="0"/>
                      <w:sz w:val="21"/>
                      <w:szCs w:val="21"/>
                      <w:highlight w:val="none"/>
                      <w:u w:val="none"/>
                      <w:lang w:val="en-US" w:eastAsia="zh-CN"/>
                    </w:rPr>
                    <w:t>水洗池</w:t>
                  </w:r>
                </w:p>
              </w:tc>
              <w:tc>
                <w:tcPr>
                  <w:tcW w:w="521" w:type="dxa"/>
                  <w:tcMar>
                    <w:top w:w="0" w:type="dxa"/>
                    <w:left w:w="0" w:type="dxa"/>
                    <w:bottom w:w="0" w:type="dxa"/>
                    <w:right w:w="0" w:type="dxa"/>
                  </w:tcMar>
                  <w:vAlign w:val="center"/>
                </w:tcPr>
                <w:p w14:paraId="4ED64F0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w:t>
                  </w:r>
                </w:p>
              </w:tc>
              <w:tc>
                <w:tcPr>
                  <w:tcW w:w="397" w:type="dxa"/>
                  <w:tcMar>
                    <w:top w:w="0" w:type="dxa"/>
                    <w:left w:w="0" w:type="dxa"/>
                    <w:bottom w:w="0" w:type="dxa"/>
                    <w:right w:w="0" w:type="dxa"/>
                  </w:tcMar>
                  <w:vAlign w:val="center"/>
                </w:tcPr>
                <w:p w14:paraId="24D9088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4</w:t>
                  </w:r>
                </w:p>
              </w:tc>
              <w:tc>
                <w:tcPr>
                  <w:tcW w:w="397" w:type="dxa"/>
                  <w:tcMar>
                    <w:top w:w="0" w:type="dxa"/>
                    <w:left w:w="0" w:type="dxa"/>
                    <w:bottom w:w="0" w:type="dxa"/>
                    <w:right w:w="0" w:type="dxa"/>
                  </w:tcMar>
                  <w:vAlign w:val="center"/>
                </w:tcPr>
                <w:p w14:paraId="7411116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2</w:t>
                  </w:r>
                </w:p>
              </w:tc>
              <w:tc>
                <w:tcPr>
                  <w:tcW w:w="400" w:type="dxa"/>
                  <w:tcMar>
                    <w:top w:w="0" w:type="dxa"/>
                    <w:left w:w="0" w:type="dxa"/>
                    <w:bottom w:w="0" w:type="dxa"/>
                    <w:right w:w="0" w:type="dxa"/>
                  </w:tcMar>
                  <w:vAlign w:val="center"/>
                </w:tcPr>
                <w:p w14:paraId="0A31225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w:t>
                  </w:r>
                </w:p>
              </w:tc>
              <w:tc>
                <w:tcPr>
                  <w:tcW w:w="744" w:type="dxa"/>
                  <w:tcMar>
                    <w:top w:w="0" w:type="dxa"/>
                    <w:left w:w="0" w:type="dxa"/>
                    <w:bottom w:w="0" w:type="dxa"/>
                    <w:right w:w="0" w:type="dxa"/>
                  </w:tcMar>
                  <w:vAlign w:val="center"/>
                </w:tcPr>
                <w:p w14:paraId="10364CB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w:t>
                  </w:r>
                </w:p>
              </w:tc>
              <w:tc>
                <w:tcPr>
                  <w:tcW w:w="545" w:type="dxa"/>
                  <w:tcMar>
                    <w:top w:w="0" w:type="dxa"/>
                    <w:left w:w="0" w:type="dxa"/>
                    <w:bottom w:w="0" w:type="dxa"/>
                    <w:right w:w="0" w:type="dxa"/>
                  </w:tcMar>
                  <w:vAlign w:val="center"/>
                </w:tcPr>
                <w:p w14:paraId="3A57B5F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6.4</w:t>
                  </w:r>
                </w:p>
              </w:tc>
              <w:tc>
                <w:tcPr>
                  <w:tcW w:w="534" w:type="dxa"/>
                  <w:tcMar>
                    <w:top w:w="0" w:type="dxa"/>
                    <w:left w:w="0" w:type="dxa"/>
                    <w:bottom w:w="0" w:type="dxa"/>
                    <w:right w:w="0" w:type="dxa"/>
                  </w:tcMar>
                  <w:vAlign w:val="center"/>
                </w:tcPr>
                <w:p w14:paraId="4F31ED3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常温</w:t>
                  </w:r>
                </w:p>
              </w:tc>
              <w:tc>
                <w:tcPr>
                  <w:tcW w:w="577" w:type="dxa"/>
                  <w:tcMar>
                    <w:top w:w="0" w:type="dxa"/>
                    <w:left w:w="0" w:type="dxa"/>
                    <w:bottom w:w="0" w:type="dxa"/>
                    <w:right w:w="0" w:type="dxa"/>
                  </w:tcMar>
                  <w:vAlign w:val="center"/>
                </w:tcPr>
                <w:p w14:paraId="26338C4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3.5</w:t>
                  </w:r>
                </w:p>
              </w:tc>
              <w:tc>
                <w:tcPr>
                  <w:tcW w:w="630" w:type="dxa"/>
                  <w:tcMar>
                    <w:top w:w="0" w:type="dxa"/>
                    <w:left w:w="0" w:type="dxa"/>
                    <w:bottom w:w="0" w:type="dxa"/>
                    <w:right w:w="0" w:type="dxa"/>
                  </w:tcMar>
                  <w:vAlign w:val="center"/>
                </w:tcPr>
                <w:p w14:paraId="6B384BC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2.1</w:t>
                  </w:r>
                </w:p>
              </w:tc>
              <w:tc>
                <w:tcPr>
                  <w:tcW w:w="405" w:type="dxa"/>
                  <w:tcMar>
                    <w:top w:w="0" w:type="dxa"/>
                    <w:left w:w="0" w:type="dxa"/>
                    <w:bottom w:w="0" w:type="dxa"/>
                    <w:right w:w="0" w:type="dxa"/>
                  </w:tcMar>
                  <w:vAlign w:val="center"/>
                </w:tcPr>
                <w:p w14:paraId="7F29656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连续溢流</w:t>
                  </w:r>
                </w:p>
              </w:tc>
              <w:tc>
                <w:tcPr>
                  <w:tcW w:w="894" w:type="dxa"/>
                  <w:tcMar>
                    <w:top w:w="0" w:type="dxa"/>
                    <w:left w:w="0" w:type="dxa"/>
                    <w:bottom w:w="0" w:type="dxa"/>
                    <w:right w:w="0" w:type="dxa"/>
                  </w:tcMar>
                  <w:vAlign w:val="center"/>
                </w:tcPr>
                <w:p w14:paraId="25C79D9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整槽更换槽液，每月一次</w:t>
                  </w:r>
                </w:p>
              </w:tc>
              <w:tc>
                <w:tcPr>
                  <w:tcW w:w="816" w:type="dxa"/>
                  <w:noWrap/>
                  <w:tcMar>
                    <w:top w:w="0" w:type="dxa"/>
                    <w:left w:w="0" w:type="dxa"/>
                    <w:bottom w:w="0" w:type="dxa"/>
                    <w:right w:w="0" w:type="dxa"/>
                  </w:tcMar>
                  <w:vAlign w:val="center"/>
                </w:tcPr>
                <w:p w14:paraId="37F0869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76.8</w:t>
                  </w:r>
                </w:p>
              </w:tc>
              <w:tc>
                <w:tcPr>
                  <w:tcW w:w="591" w:type="dxa"/>
                  <w:tcMar>
                    <w:top w:w="0" w:type="dxa"/>
                    <w:left w:w="0" w:type="dxa"/>
                    <w:bottom w:w="0" w:type="dxa"/>
                    <w:right w:w="0" w:type="dxa"/>
                  </w:tcMar>
                  <w:vAlign w:val="center"/>
                </w:tcPr>
                <w:p w14:paraId="3A7D593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630</w:t>
                  </w:r>
                </w:p>
              </w:tc>
            </w:tr>
            <w:tr w14:paraId="31F25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7" w:type="dxa"/>
                  <w:tcMar>
                    <w:top w:w="0" w:type="dxa"/>
                    <w:left w:w="0" w:type="dxa"/>
                    <w:bottom w:w="0" w:type="dxa"/>
                    <w:right w:w="0" w:type="dxa"/>
                  </w:tcMar>
                  <w:vAlign w:val="center"/>
                </w:tcPr>
                <w:p w14:paraId="4AADA28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酸洗池</w:t>
                  </w:r>
                </w:p>
              </w:tc>
              <w:tc>
                <w:tcPr>
                  <w:tcW w:w="521" w:type="dxa"/>
                  <w:tcMar>
                    <w:top w:w="0" w:type="dxa"/>
                    <w:left w:w="0" w:type="dxa"/>
                    <w:bottom w:w="0" w:type="dxa"/>
                    <w:right w:w="0" w:type="dxa"/>
                  </w:tcMar>
                  <w:vAlign w:val="center"/>
                </w:tcPr>
                <w:p w14:paraId="186858C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w:t>
                  </w:r>
                </w:p>
              </w:tc>
              <w:tc>
                <w:tcPr>
                  <w:tcW w:w="397" w:type="dxa"/>
                  <w:tcMar>
                    <w:top w:w="0" w:type="dxa"/>
                    <w:left w:w="0" w:type="dxa"/>
                    <w:bottom w:w="0" w:type="dxa"/>
                    <w:right w:w="0" w:type="dxa"/>
                  </w:tcMar>
                  <w:vAlign w:val="center"/>
                </w:tcPr>
                <w:p w14:paraId="7F49137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3.6</w:t>
                  </w:r>
                </w:p>
              </w:tc>
              <w:tc>
                <w:tcPr>
                  <w:tcW w:w="397" w:type="dxa"/>
                  <w:tcMar>
                    <w:top w:w="0" w:type="dxa"/>
                    <w:left w:w="0" w:type="dxa"/>
                    <w:bottom w:w="0" w:type="dxa"/>
                    <w:right w:w="0" w:type="dxa"/>
                  </w:tcMar>
                  <w:vAlign w:val="center"/>
                </w:tcPr>
                <w:p w14:paraId="2B24380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2</w:t>
                  </w:r>
                </w:p>
              </w:tc>
              <w:tc>
                <w:tcPr>
                  <w:tcW w:w="400" w:type="dxa"/>
                  <w:tcMar>
                    <w:top w:w="0" w:type="dxa"/>
                    <w:left w:w="0" w:type="dxa"/>
                    <w:bottom w:w="0" w:type="dxa"/>
                    <w:right w:w="0" w:type="dxa"/>
                  </w:tcMar>
                  <w:vAlign w:val="center"/>
                </w:tcPr>
                <w:p w14:paraId="7D43291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w:t>
                  </w:r>
                </w:p>
              </w:tc>
              <w:tc>
                <w:tcPr>
                  <w:tcW w:w="744" w:type="dxa"/>
                  <w:tcMar>
                    <w:top w:w="0" w:type="dxa"/>
                    <w:left w:w="0" w:type="dxa"/>
                    <w:bottom w:w="0" w:type="dxa"/>
                    <w:right w:w="0" w:type="dxa"/>
                  </w:tcMar>
                  <w:vAlign w:val="center"/>
                </w:tcPr>
                <w:p w14:paraId="2C023FD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除锈剂</w:t>
                  </w:r>
                  <w:r>
                    <w:rPr>
                      <w:rFonts w:hint="default" w:ascii="Times New Roman" w:hAnsi="Times New Roman" w:cs="Times New Roman"/>
                      <w:i w:val="0"/>
                      <w:iCs w:val="0"/>
                      <w:color w:val="auto"/>
                      <w:kern w:val="0"/>
                      <w:sz w:val="21"/>
                      <w:szCs w:val="21"/>
                      <w:highlight w:val="none"/>
                      <w:u w:val="none"/>
                      <w:lang w:val="en-US" w:eastAsia="zh-CN"/>
                    </w:rPr>
                    <w:t>17</w:t>
                  </w:r>
                  <w:r>
                    <w:rPr>
                      <w:rFonts w:hint="default" w:ascii="Times New Roman" w:hAnsi="Times New Roman" w:eastAsia="宋体" w:cs="Times New Roman"/>
                      <w:i w:val="0"/>
                      <w:iCs w:val="0"/>
                      <w:color w:val="auto"/>
                      <w:kern w:val="0"/>
                      <w:sz w:val="21"/>
                      <w:szCs w:val="21"/>
                      <w:highlight w:val="none"/>
                      <w:u w:val="none"/>
                      <w:lang w:val="en-US" w:eastAsia="zh-CN"/>
                    </w:rPr>
                    <w:t>g/L</w:t>
                  </w:r>
                </w:p>
              </w:tc>
              <w:tc>
                <w:tcPr>
                  <w:tcW w:w="545" w:type="dxa"/>
                  <w:tcMar>
                    <w:top w:w="0" w:type="dxa"/>
                    <w:left w:w="0" w:type="dxa"/>
                    <w:bottom w:w="0" w:type="dxa"/>
                    <w:right w:w="0" w:type="dxa"/>
                  </w:tcMar>
                  <w:vAlign w:val="center"/>
                </w:tcPr>
                <w:p w14:paraId="52D31FD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5.76</w:t>
                  </w:r>
                </w:p>
              </w:tc>
              <w:tc>
                <w:tcPr>
                  <w:tcW w:w="534" w:type="dxa"/>
                  <w:tcMar>
                    <w:top w:w="0" w:type="dxa"/>
                    <w:left w:w="0" w:type="dxa"/>
                    <w:bottom w:w="0" w:type="dxa"/>
                    <w:right w:w="0" w:type="dxa"/>
                  </w:tcMar>
                  <w:vAlign w:val="center"/>
                </w:tcPr>
                <w:p w14:paraId="76CFD02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常温</w:t>
                  </w:r>
                </w:p>
              </w:tc>
              <w:tc>
                <w:tcPr>
                  <w:tcW w:w="577" w:type="dxa"/>
                  <w:tcMar>
                    <w:top w:w="0" w:type="dxa"/>
                    <w:left w:w="0" w:type="dxa"/>
                    <w:bottom w:w="0" w:type="dxa"/>
                    <w:right w:w="0" w:type="dxa"/>
                  </w:tcMar>
                  <w:vAlign w:val="center"/>
                </w:tcPr>
                <w:p w14:paraId="6A3D959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w:t>
                  </w:r>
                </w:p>
              </w:tc>
              <w:tc>
                <w:tcPr>
                  <w:tcW w:w="630" w:type="dxa"/>
                  <w:tcMar>
                    <w:top w:w="0" w:type="dxa"/>
                    <w:left w:w="0" w:type="dxa"/>
                    <w:bottom w:w="0" w:type="dxa"/>
                    <w:right w:w="0" w:type="dxa"/>
                  </w:tcMar>
                  <w:vAlign w:val="center"/>
                </w:tcPr>
                <w:p w14:paraId="6865522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w:t>
                  </w:r>
                </w:p>
              </w:tc>
              <w:tc>
                <w:tcPr>
                  <w:tcW w:w="405" w:type="dxa"/>
                  <w:tcMar>
                    <w:top w:w="0" w:type="dxa"/>
                    <w:left w:w="0" w:type="dxa"/>
                    <w:bottom w:w="0" w:type="dxa"/>
                    <w:right w:w="0" w:type="dxa"/>
                  </w:tcMar>
                  <w:vAlign w:val="center"/>
                </w:tcPr>
                <w:p w14:paraId="0C5DEAE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w:t>
                  </w:r>
                </w:p>
              </w:tc>
              <w:tc>
                <w:tcPr>
                  <w:tcW w:w="894" w:type="dxa"/>
                  <w:tcMar>
                    <w:top w:w="0" w:type="dxa"/>
                    <w:left w:w="0" w:type="dxa"/>
                    <w:bottom w:w="0" w:type="dxa"/>
                    <w:right w:w="0" w:type="dxa"/>
                  </w:tcMar>
                  <w:vAlign w:val="center"/>
                </w:tcPr>
                <w:p w14:paraId="38181B2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整槽更换槽液，每季度一次</w:t>
                  </w:r>
                </w:p>
              </w:tc>
              <w:tc>
                <w:tcPr>
                  <w:tcW w:w="816" w:type="dxa"/>
                  <w:noWrap/>
                  <w:tcMar>
                    <w:top w:w="0" w:type="dxa"/>
                    <w:left w:w="0" w:type="dxa"/>
                    <w:bottom w:w="0" w:type="dxa"/>
                    <w:right w:w="0" w:type="dxa"/>
                  </w:tcMar>
                  <w:vAlign w:val="center"/>
                </w:tcPr>
                <w:p w14:paraId="4254066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69.12</w:t>
                  </w:r>
                </w:p>
              </w:tc>
              <w:tc>
                <w:tcPr>
                  <w:tcW w:w="591" w:type="dxa"/>
                  <w:tcMar>
                    <w:top w:w="0" w:type="dxa"/>
                    <w:left w:w="0" w:type="dxa"/>
                    <w:bottom w:w="0" w:type="dxa"/>
                    <w:right w:w="0" w:type="dxa"/>
                  </w:tcMar>
                  <w:vAlign w:val="center"/>
                </w:tcPr>
                <w:p w14:paraId="6B5F8C0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w:t>
                  </w:r>
                </w:p>
              </w:tc>
            </w:tr>
            <w:tr w14:paraId="77FC0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7" w:type="dxa"/>
                  <w:tcMar>
                    <w:top w:w="0" w:type="dxa"/>
                    <w:left w:w="0" w:type="dxa"/>
                    <w:bottom w:w="0" w:type="dxa"/>
                    <w:right w:w="0" w:type="dxa"/>
                  </w:tcMar>
                  <w:vAlign w:val="center"/>
                </w:tcPr>
                <w:p w14:paraId="5D25C40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磷化池</w:t>
                  </w:r>
                </w:p>
              </w:tc>
              <w:tc>
                <w:tcPr>
                  <w:tcW w:w="521" w:type="dxa"/>
                  <w:tcMar>
                    <w:top w:w="0" w:type="dxa"/>
                    <w:left w:w="0" w:type="dxa"/>
                    <w:bottom w:w="0" w:type="dxa"/>
                    <w:right w:w="0" w:type="dxa"/>
                  </w:tcMar>
                  <w:vAlign w:val="center"/>
                </w:tcPr>
                <w:p w14:paraId="310A7F3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w:t>
                  </w:r>
                </w:p>
              </w:tc>
              <w:tc>
                <w:tcPr>
                  <w:tcW w:w="397" w:type="dxa"/>
                  <w:tcMar>
                    <w:top w:w="0" w:type="dxa"/>
                    <w:left w:w="0" w:type="dxa"/>
                    <w:bottom w:w="0" w:type="dxa"/>
                    <w:right w:w="0" w:type="dxa"/>
                  </w:tcMar>
                  <w:vAlign w:val="center"/>
                </w:tcPr>
                <w:p w14:paraId="6838570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w:t>
                  </w:r>
                </w:p>
              </w:tc>
              <w:tc>
                <w:tcPr>
                  <w:tcW w:w="397" w:type="dxa"/>
                  <w:tcMar>
                    <w:top w:w="0" w:type="dxa"/>
                    <w:left w:w="0" w:type="dxa"/>
                    <w:bottom w:w="0" w:type="dxa"/>
                    <w:right w:w="0" w:type="dxa"/>
                  </w:tcMar>
                  <w:vAlign w:val="center"/>
                </w:tcPr>
                <w:p w14:paraId="647AD37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w:t>
                  </w:r>
                </w:p>
              </w:tc>
              <w:tc>
                <w:tcPr>
                  <w:tcW w:w="400" w:type="dxa"/>
                  <w:tcMar>
                    <w:top w:w="0" w:type="dxa"/>
                    <w:left w:w="0" w:type="dxa"/>
                    <w:bottom w:w="0" w:type="dxa"/>
                    <w:right w:w="0" w:type="dxa"/>
                  </w:tcMar>
                  <w:vAlign w:val="center"/>
                </w:tcPr>
                <w:p w14:paraId="68E611F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w:t>
                  </w:r>
                </w:p>
              </w:tc>
              <w:tc>
                <w:tcPr>
                  <w:tcW w:w="744" w:type="dxa"/>
                  <w:tcMar>
                    <w:top w:w="0" w:type="dxa"/>
                    <w:left w:w="0" w:type="dxa"/>
                    <w:bottom w:w="0" w:type="dxa"/>
                    <w:right w:w="0" w:type="dxa"/>
                  </w:tcMar>
                  <w:vAlign w:val="center"/>
                </w:tcPr>
                <w:p w14:paraId="1F1A12A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磷化剂</w:t>
                  </w:r>
                  <w:r>
                    <w:rPr>
                      <w:rFonts w:hint="default" w:ascii="Times New Roman" w:hAnsi="Times New Roman" w:cs="Times New Roman"/>
                      <w:i w:val="0"/>
                      <w:iCs w:val="0"/>
                      <w:color w:val="auto"/>
                      <w:kern w:val="0"/>
                      <w:sz w:val="21"/>
                      <w:szCs w:val="21"/>
                      <w:highlight w:val="none"/>
                      <w:u w:val="none"/>
                      <w:lang w:val="en-US" w:eastAsia="zh-CN"/>
                    </w:rPr>
                    <w:t>78</w:t>
                  </w:r>
                  <w:r>
                    <w:rPr>
                      <w:rFonts w:hint="default" w:ascii="Times New Roman" w:hAnsi="Times New Roman" w:eastAsia="宋体" w:cs="Times New Roman"/>
                      <w:i w:val="0"/>
                      <w:iCs w:val="0"/>
                      <w:color w:val="auto"/>
                      <w:kern w:val="0"/>
                      <w:sz w:val="21"/>
                      <w:szCs w:val="21"/>
                      <w:highlight w:val="none"/>
                      <w:u w:val="none"/>
                      <w:lang w:val="en-US" w:eastAsia="zh-CN"/>
                    </w:rPr>
                    <w:t>g/L</w:t>
                  </w:r>
                </w:p>
              </w:tc>
              <w:tc>
                <w:tcPr>
                  <w:tcW w:w="545" w:type="dxa"/>
                  <w:tcMar>
                    <w:top w:w="0" w:type="dxa"/>
                    <w:left w:w="0" w:type="dxa"/>
                    <w:bottom w:w="0" w:type="dxa"/>
                    <w:right w:w="0" w:type="dxa"/>
                  </w:tcMar>
                  <w:vAlign w:val="center"/>
                </w:tcPr>
                <w:p w14:paraId="689D698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4.8</w:t>
                  </w:r>
                </w:p>
              </w:tc>
              <w:tc>
                <w:tcPr>
                  <w:tcW w:w="534" w:type="dxa"/>
                  <w:tcMar>
                    <w:top w:w="0" w:type="dxa"/>
                    <w:left w:w="0" w:type="dxa"/>
                    <w:bottom w:w="0" w:type="dxa"/>
                    <w:right w:w="0" w:type="dxa"/>
                  </w:tcMar>
                  <w:vAlign w:val="center"/>
                </w:tcPr>
                <w:p w14:paraId="1F03D0D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常温</w:t>
                  </w:r>
                </w:p>
              </w:tc>
              <w:tc>
                <w:tcPr>
                  <w:tcW w:w="577" w:type="dxa"/>
                  <w:tcMar>
                    <w:top w:w="0" w:type="dxa"/>
                    <w:left w:w="0" w:type="dxa"/>
                    <w:bottom w:w="0" w:type="dxa"/>
                    <w:right w:w="0" w:type="dxa"/>
                  </w:tcMar>
                  <w:vAlign w:val="center"/>
                </w:tcPr>
                <w:p w14:paraId="13F2311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w:t>
                  </w:r>
                </w:p>
              </w:tc>
              <w:tc>
                <w:tcPr>
                  <w:tcW w:w="630" w:type="dxa"/>
                  <w:tcMar>
                    <w:top w:w="0" w:type="dxa"/>
                    <w:left w:w="0" w:type="dxa"/>
                    <w:bottom w:w="0" w:type="dxa"/>
                    <w:right w:w="0" w:type="dxa"/>
                  </w:tcMar>
                  <w:vAlign w:val="center"/>
                </w:tcPr>
                <w:p w14:paraId="090C3A3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w:t>
                  </w:r>
                </w:p>
              </w:tc>
              <w:tc>
                <w:tcPr>
                  <w:tcW w:w="405" w:type="dxa"/>
                  <w:tcMar>
                    <w:top w:w="0" w:type="dxa"/>
                    <w:left w:w="0" w:type="dxa"/>
                    <w:bottom w:w="0" w:type="dxa"/>
                    <w:right w:w="0" w:type="dxa"/>
                  </w:tcMar>
                  <w:vAlign w:val="center"/>
                </w:tcPr>
                <w:p w14:paraId="7E8446B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w:t>
                  </w:r>
                </w:p>
              </w:tc>
              <w:tc>
                <w:tcPr>
                  <w:tcW w:w="894" w:type="dxa"/>
                  <w:tcMar>
                    <w:top w:w="0" w:type="dxa"/>
                    <w:left w:w="0" w:type="dxa"/>
                    <w:bottom w:w="0" w:type="dxa"/>
                    <w:right w:w="0" w:type="dxa"/>
                  </w:tcMar>
                  <w:vAlign w:val="center"/>
                </w:tcPr>
                <w:p w14:paraId="1DB326A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整槽更换槽液，每季度一次</w:t>
                  </w:r>
                </w:p>
              </w:tc>
              <w:tc>
                <w:tcPr>
                  <w:tcW w:w="816" w:type="dxa"/>
                  <w:noWrap/>
                  <w:tcMar>
                    <w:top w:w="0" w:type="dxa"/>
                    <w:left w:w="0" w:type="dxa"/>
                    <w:bottom w:w="0" w:type="dxa"/>
                    <w:right w:w="0" w:type="dxa"/>
                  </w:tcMar>
                  <w:vAlign w:val="center"/>
                </w:tcPr>
                <w:p w14:paraId="62E27C2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19.2</w:t>
                  </w:r>
                </w:p>
              </w:tc>
              <w:tc>
                <w:tcPr>
                  <w:tcW w:w="591" w:type="dxa"/>
                  <w:tcMar>
                    <w:top w:w="0" w:type="dxa"/>
                    <w:left w:w="0" w:type="dxa"/>
                    <w:bottom w:w="0" w:type="dxa"/>
                    <w:right w:w="0" w:type="dxa"/>
                  </w:tcMar>
                  <w:vAlign w:val="center"/>
                </w:tcPr>
                <w:p w14:paraId="04CFB0F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w:t>
                  </w:r>
                </w:p>
              </w:tc>
            </w:tr>
            <w:tr w14:paraId="2F8FD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7" w:type="dxa"/>
                  <w:tcMar>
                    <w:top w:w="0" w:type="dxa"/>
                    <w:left w:w="0" w:type="dxa"/>
                    <w:bottom w:w="0" w:type="dxa"/>
                    <w:right w:w="0" w:type="dxa"/>
                  </w:tcMar>
                  <w:vAlign w:val="center"/>
                </w:tcPr>
                <w:p w14:paraId="4BEDA8E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3#</w:t>
                  </w:r>
                  <w:r>
                    <w:rPr>
                      <w:rFonts w:hint="eastAsia" w:ascii="宋体" w:hAnsi="宋体" w:eastAsia="宋体" w:cs="宋体"/>
                      <w:i w:val="0"/>
                      <w:iCs w:val="0"/>
                      <w:color w:val="auto"/>
                      <w:kern w:val="0"/>
                      <w:sz w:val="21"/>
                      <w:szCs w:val="21"/>
                      <w:highlight w:val="none"/>
                      <w:u w:val="none"/>
                      <w:lang w:val="en-US" w:eastAsia="zh-CN"/>
                    </w:rPr>
                    <w:t>水洗池</w:t>
                  </w:r>
                </w:p>
              </w:tc>
              <w:tc>
                <w:tcPr>
                  <w:tcW w:w="521" w:type="dxa"/>
                  <w:tcMar>
                    <w:top w:w="0" w:type="dxa"/>
                    <w:left w:w="0" w:type="dxa"/>
                    <w:bottom w:w="0" w:type="dxa"/>
                    <w:right w:w="0" w:type="dxa"/>
                  </w:tcMar>
                  <w:vAlign w:val="center"/>
                </w:tcPr>
                <w:p w14:paraId="5F98FBC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w:t>
                  </w:r>
                </w:p>
              </w:tc>
              <w:tc>
                <w:tcPr>
                  <w:tcW w:w="397" w:type="dxa"/>
                  <w:tcMar>
                    <w:top w:w="0" w:type="dxa"/>
                    <w:left w:w="0" w:type="dxa"/>
                    <w:bottom w:w="0" w:type="dxa"/>
                    <w:right w:w="0" w:type="dxa"/>
                  </w:tcMar>
                  <w:vAlign w:val="center"/>
                </w:tcPr>
                <w:p w14:paraId="7B995FC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3.5</w:t>
                  </w:r>
                </w:p>
              </w:tc>
              <w:tc>
                <w:tcPr>
                  <w:tcW w:w="397" w:type="dxa"/>
                  <w:tcMar>
                    <w:top w:w="0" w:type="dxa"/>
                    <w:left w:w="0" w:type="dxa"/>
                    <w:bottom w:w="0" w:type="dxa"/>
                    <w:right w:w="0" w:type="dxa"/>
                  </w:tcMar>
                  <w:vAlign w:val="center"/>
                </w:tcPr>
                <w:p w14:paraId="54AEA5C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2</w:t>
                  </w:r>
                </w:p>
              </w:tc>
              <w:tc>
                <w:tcPr>
                  <w:tcW w:w="400" w:type="dxa"/>
                  <w:tcMar>
                    <w:top w:w="0" w:type="dxa"/>
                    <w:left w:w="0" w:type="dxa"/>
                    <w:bottom w:w="0" w:type="dxa"/>
                    <w:right w:w="0" w:type="dxa"/>
                  </w:tcMar>
                  <w:vAlign w:val="center"/>
                </w:tcPr>
                <w:p w14:paraId="2FEF5B2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w:t>
                  </w:r>
                </w:p>
              </w:tc>
              <w:tc>
                <w:tcPr>
                  <w:tcW w:w="744" w:type="dxa"/>
                  <w:tcMar>
                    <w:top w:w="0" w:type="dxa"/>
                    <w:left w:w="0" w:type="dxa"/>
                    <w:bottom w:w="0" w:type="dxa"/>
                    <w:right w:w="0" w:type="dxa"/>
                  </w:tcMar>
                  <w:vAlign w:val="center"/>
                </w:tcPr>
                <w:p w14:paraId="1AB5FD6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w:t>
                  </w:r>
                </w:p>
              </w:tc>
              <w:tc>
                <w:tcPr>
                  <w:tcW w:w="545" w:type="dxa"/>
                  <w:tcMar>
                    <w:top w:w="0" w:type="dxa"/>
                    <w:left w:w="0" w:type="dxa"/>
                    <w:bottom w:w="0" w:type="dxa"/>
                    <w:right w:w="0" w:type="dxa"/>
                  </w:tcMar>
                  <w:vAlign w:val="center"/>
                </w:tcPr>
                <w:p w14:paraId="5EB48AD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5.6</w:t>
                  </w:r>
                </w:p>
              </w:tc>
              <w:tc>
                <w:tcPr>
                  <w:tcW w:w="534" w:type="dxa"/>
                  <w:tcMar>
                    <w:top w:w="0" w:type="dxa"/>
                    <w:left w:w="0" w:type="dxa"/>
                    <w:bottom w:w="0" w:type="dxa"/>
                    <w:right w:w="0" w:type="dxa"/>
                  </w:tcMar>
                  <w:vAlign w:val="center"/>
                </w:tcPr>
                <w:p w14:paraId="2BACF9E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常温</w:t>
                  </w:r>
                </w:p>
              </w:tc>
              <w:tc>
                <w:tcPr>
                  <w:tcW w:w="577" w:type="dxa"/>
                  <w:tcMar>
                    <w:top w:w="0" w:type="dxa"/>
                    <w:left w:w="0" w:type="dxa"/>
                    <w:bottom w:w="0" w:type="dxa"/>
                    <w:right w:w="0" w:type="dxa"/>
                  </w:tcMar>
                  <w:vAlign w:val="center"/>
                </w:tcPr>
                <w:p w14:paraId="4D4FD21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4</w:t>
                  </w:r>
                </w:p>
              </w:tc>
              <w:tc>
                <w:tcPr>
                  <w:tcW w:w="630" w:type="dxa"/>
                  <w:tcMar>
                    <w:top w:w="0" w:type="dxa"/>
                    <w:left w:w="0" w:type="dxa"/>
                    <w:bottom w:w="0" w:type="dxa"/>
                    <w:right w:w="0" w:type="dxa"/>
                  </w:tcMar>
                  <w:vAlign w:val="center"/>
                </w:tcPr>
                <w:p w14:paraId="3DAD786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2.4</w:t>
                  </w:r>
                </w:p>
              </w:tc>
              <w:tc>
                <w:tcPr>
                  <w:tcW w:w="405" w:type="dxa"/>
                  <w:tcMar>
                    <w:top w:w="0" w:type="dxa"/>
                    <w:left w:w="0" w:type="dxa"/>
                    <w:bottom w:w="0" w:type="dxa"/>
                    <w:right w:w="0" w:type="dxa"/>
                  </w:tcMar>
                  <w:vAlign w:val="center"/>
                </w:tcPr>
                <w:p w14:paraId="50FF400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连续溢流</w:t>
                  </w:r>
                </w:p>
              </w:tc>
              <w:tc>
                <w:tcPr>
                  <w:tcW w:w="894" w:type="dxa"/>
                  <w:tcMar>
                    <w:top w:w="0" w:type="dxa"/>
                    <w:left w:w="0" w:type="dxa"/>
                    <w:bottom w:w="0" w:type="dxa"/>
                    <w:right w:w="0" w:type="dxa"/>
                  </w:tcMar>
                  <w:vAlign w:val="center"/>
                </w:tcPr>
                <w:p w14:paraId="10746FB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整槽更换槽液，每月一次</w:t>
                  </w:r>
                </w:p>
              </w:tc>
              <w:tc>
                <w:tcPr>
                  <w:tcW w:w="816" w:type="dxa"/>
                  <w:noWrap/>
                  <w:tcMar>
                    <w:top w:w="0" w:type="dxa"/>
                    <w:left w:w="0" w:type="dxa"/>
                    <w:bottom w:w="0" w:type="dxa"/>
                    <w:right w:w="0" w:type="dxa"/>
                  </w:tcMar>
                  <w:vAlign w:val="center"/>
                </w:tcPr>
                <w:p w14:paraId="02A188E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67.2</w:t>
                  </w:r>
                </w:p>
              </w:tc>
              <w:tc>
                <w:tcPr>
                  <w:tcW w:w="591" w:type="dxa"/>
                  <w:tcMar>
                    <w:top w:w="0" w:type="dxa"/>
                    <w:left w:w="0" w:type="dxa"/>
                    <w:bottom w:w="0" w:type="dxa"/>
                    <w:right w:w="0" w:type="dxa"/>
                  </w:tcMar>
                  <w:vAlign w:val="center"/>
                </w:tcPr>
                <w:p w14:paraId="457CC77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720</w:t>
                  </w:r>
                </w:p>
              </w:tc>
            </w:tr>
            <w:tr w14:paraId="1E7DA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441" w:type="dxa"/>
                  <w:gridSpan w:val="12"/>
                  <w:noWrap/>
                  <w:tcMar>
                    <w:top w:w="0" w:type="dxa"/>
                    <w:left w:w="0" w:type="dxa"/>
                    <w:bottom w:w="0" w:type="dxa"/>
                    <w:right w:w="0" w:type="dxa"/>
                  </w:tcMar>
                  <w:vAlign w:val="center"/>
                </w:tcPr>
                <w:p w14:paraId="7E9B7EC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合计</w:t>
                  </w:r>
                </w:p>
              </w:tc>
              <w:tc>
                <w:tcPr>
                  <w:tcW w:w="816" w:type="dxa"/>
                  <w:noWrap/>
                  <w:tcMar>
                    <w:top w:w="0" w:type="dxa"/>
                    <w:left w:w="0" w:type="dxa"/>
                    <w:bottom w:w="0" w:type="dxa"/>
                    <w:right w:w="0" w:type="dxa"/>
                  </w:tcMar>
                  <w:vAlign w:val="center"/>
                </w:tcPr>
                <w:p w14:paraId="63081BF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 xml:space="preserve">366.7 </w:t>
                  </w:r>
                </w:p>
              </w:tc>
              <w:tc>
                <w:tcPr>
                  <w:tcW w:w="591" w:type="dxa"/>
                  <w:tcMar>
                    <w:top w:w="0" w:type="dxa"/>
                    <w:left w:w="0" w:type="dxa"/>
                    <w:bottom w:w="0" w:type="dxa"/>
                    <w:right w:w="0" w:type="dxa"/>
                  </w:tcMar>
                  <w:vAlign w:val="center"/>
                </w:tcPr>
                <w:p w14:paraId="4F63F5A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 xml:space="preserve">2160.0 </w:t>
                  </w:r>
                </w:p>
              </w:tc>
            </w:tr>
          </w:tbl>
          <w:p w14:paraId="5FACA914">
            <w:pPr>
              <w:pStyle w:val="21"/>
              <w:keepNext w:val="0"/>
              <w:keepLines w:val="0"/>
              <w:pageBreakBefore w:val="0"/>
              <w:widowControl w:val="0"/>
              <w:suppressLineNumbers w:val="0"/>
              <w:kinsoku/>
              <w:wordWrap w:val="0"/>
              <w:overflowPunct w:val="0"/>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cs="Times New Roman"/>
                <w:color w:val="auto"/>
                <w:sz w:val="24"/>
                <w:szCs w:val="24"/>
                <w:highlight w:val="none"/>
                <w:lang w:val="en-US" w:eastAsia="zh-CN"/>
              </w:rPr>
            </w:pPr>
            <w:r>
              <w:rPr>
                <w:rFonts w:hint="default" w:cs="Times New Roman"/>
                <w:color w:val="auto"/>
                <w:sz w:val="24"/>
                <w:szCs w:val="24"/>
                <w:highlight w:val="none"/>
                <w:lang w:val="en-US" w:eastAsia="zh-CN"/>
              </w:rPr>
              <w:t>从上表</w:t>
            </w:r>
            <w:r>
              <w:rPr>
                <w:rFonts w:hint="eastAsia" w:cs="Times New Roman"/>
                <w:color w:val="auto"/>
                <w:sz w:val="24"/>
                <w:szCs w:val="24"/>
                <w:highlight w:val="none"/>
                <w:lang w:val="en-US" w:eastAsia="zh-CN"/>
              </w:rPr>
              <w:t>计算</w:t>
            </w:r>
            <w:r>
              <w:rPr>
                <w:rFonts w:hint="default" w:cs="Times New Roman"/>
                <w:color w:val="auto"/>
                <w:sz w:val="24"/>
                <w:szCs w:val="24"/>
                <w:highlight w:val="none"/>
                <w:lang w:val="en-US" w:eastAsia="zh-CN"/>
              </w:rPr>
              <w:t>得前处理线整槽更换用水和溢流用水为</w:t>
            </w:r>
            <w:r>
              <w:rPr>
                <w:rFonts w:hint="eastAsia" w:cs="Times New Roman"/>
                <w:color w:val="auto"/>
                <w:sz w:val="24"/>
                <w:szCs w:val="24"/>
                <w:highlight w:val="none"/>
                <w:lang w:val="en-US" w:eastAsia="zh-CN"/>
              </w:rPr>
              <w:t>366.7</w:t>
            </w:r>
            <w:r>
              <w:rPr>
                <w:rFonts w:hint="default" w:cs="Times New Roman"/>
                <w:color w:val="auto"/>
                <w:sz w:val="24"/>
                <w:szCs w:val="24"/>
                <w:highlight w:val="none"/>
                <w:lang w:val="en-US" w:eastAsia="zh-CN"/>
              </w:rPr>
              <w:t>m</w:t>
            </w:r>
            <w:r>
              <w:rPr>
                <w:rFonts w:hint="default" w:cs="Times New Roman"/>
                <w:color w:val="auto"/>
                <w:sz w:val="24"/>
                <w:szCs w:val="24"/>
                <w:highlight w:val="none"/>
                <w:vertAlign w:val="superscript"/>
                <w:lang w:val="en-US" w:eastAsia="zh-CN"/>
              </w:rPr>
              <w:t>3</w:t>
            </w:r>
            <w:r>
              <w:rPr>
                <w:rFonts w:hint="default" w:cs="Times New Roman"/>
                <w:color w:val="auto"/>
                <w:sz w:val="24"/>
                <w:szCs w:val="24"/>
                <w:highlight w:val="none"/>
                <w:lang w:val="en-US" w:eastAsia="zh-CN"/>
              </w:rPr>
              <w:t>/a</w:t>
            </w:r>
            <w:r>
              <w:rPr>
                <w:rFonts w:hint="eastAsia" w:cs="Times New Roman"/>
                <w:color w:val="auto"/>
                <w:sz w:val="24"/>
                <w:szCs w:val="24"/>
                <w:highlight w:val="none"/>
                <w:lang w:val="en-US" w:eastAsia="zh-CN"/>
              </w:rPr>
              <w:t>+2160</w:t>
            </w:r>
            <w:r>
              <w:rPr>
                <w:rFonts w:hint="default" w:cs="Times New Roman"/>
                <w:color w:val="auto"/>
                <w:sz w:val="24"/>
                <w:szCs w:val="24"/>
                <w:highlight w:val="none"/>
                <w:lang w:val="en-US" w:eastAsia="zh-CN"/>
              </w:rPr>
              <w:t>m</w:t>
            </w:r>
            <w:r>
              <w:rPr>
                <w:rFonts w:hint="default" w:cs="Times New Roman"/>
                <w:color w:val="auto"/>
                <w:sz w:val="24"/>
                <w:szCs w:val="24"/>
                <w:highlight w:val="none"/>
                <w:vertAlign w:val="superscript"/>
                <w:lang w:val="en-US" w:eastAsia="zh-CN"/>
              </w:rPr>
              <w:t>3</w:t>
            </w:r>
            <w:r>
              <w:rPr>
                <w:rFonts w:hint="default" w:cs="Times New Roman"/>
                <w:color w:val="auto"/>
                <w:sz w:val="24"/>
                <w:szCs w:val="24"/>
                <w:highlight w:val="none"/>
                <w:lang w:val="en-US" w:eastAsia="zh-CN"/>
              </w:rPr>
              <w:t>/a</w:t>
            </w:r>
            <w:r>
              <w:rPr>
                <w:rFonts w:hint="eastAsia" w:cs="Times New Roman"/>
                <w:color w:val="auto"/>
                <w:sz w:val="24"/>
                <w:szCs w:val="24"/>
                <w:highlight w:val="none"/>
                <w:lang w:val="en-US" w:eastAsia="zh-CN"/>
              </w:rPr>
              <w:t>=2526.72</w:t>
            </w:r>
            <w:r>
              <w:rPr>
                <w:rFonts w:hint="default" w:cs="Times New Roman"/>
                <w:color w:val="auto"/>
                <w:sz w:val="24"/>
                <w:szCs w:val="24"/>
                <w:highlight w:val="none"/>
                <w:lang w:val="en-US" w:eastAsia="zh-CN"/>
              </w:rPr>
              <w:t>m</w:t>
            </w:r>
            <w:r>
              <w:rPr>
                <w:rFonts w:hint="default" w:cs="Times New Roman"/>
                <w:color w:val="auto"/>
                <w:sz w:val="24"/>
                <w:szCs w:val="24"/>
                <w:highlight w:val="none"/>
                <w:vertAlign w:val="superscript"/>
                <w:lang w:val="en-US" w:eastAsia="zh-CN"/>
              </w:rPr>
              <w:t>3</w:t>
            </w:r>
            <w:r>
              <w:rPr>
                <w:rFonts w:hint="default" w:cs="Times New Roman"/>
                <w:color w:val="auto"/>
                <w:sz w:val="24"/>
                <w:szCs w:val="24"/>
                <w:highlight w:val="none"/>
                <w:lang w:val="en-US" w:eastAsia="zh-CN"/>
              </w:rPr>
              <w:t>/a。</w:t>
            </w:r>
          </w:p>
          <w:p w14:paraId="725991DE">
            <w:pPr>
              <w:pStyle w:val="17"/>
              <w:pageBreakBefore w:val="0"/>
              <w:numPr>
                <w:ilvl w:val="0"/>
                <w:numId w:val="8"/>
              </w:numPr>
              <w:wordWrap w:val="0"/>
              <w:overflowPunct/>
              <w:bidi w:val="0"/>
              <w:spacing w:line="240" w:lineRule="auto"/>
              <w:ind w:left="0" w:leftChars="0" w:firstLine="40" w:firstLineChars="0"/>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val="en-US" w:eastAsia="zh-CN"/>
              </w:rPr>
              <w:t>用水量一览表</w:t>
            </w:r>
          </w:p>
          <w:tbl>
            <w:tblPr>
              <w:tblStyle w:val="4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26"/>
              <w:gridCol w:w="1300"/>
              <w:gridCol w:w="4219"/>
            </w:tblGrid>
            <w:tr w14:paraId="394141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482" w:type="pct"/>
                  <w:vAlign w:val="center"/>
                </w:tcPr>
                <w:p w14:paraId="1F0E9339">
                  <w:pPr>
                    <w:pStyle w:val="61"/>
                    <w:keepNext w:val="0"/>
                    <w:keepLines w:val="0"/>
                    <w:pageBreakBefore w:val="0"/>
                    <w:widowControl/>
                    <w:suppressLineNumbers w:val="0"/>
                    <w:kinsoku/>
                    <w:overflowPunct/>
                    <w:topLinePunct w:val="0"/>
                    <w:bidi w:val="0"/>
                    <w:adjustRightInd/>
                    <w:snapToGrid/>
                    <w:spacing w:before="0" w:beforeAutospacing="0" w:after="0" w:afterAutospacing="0" w:line="240" w:lineRule="auto"/>
                    <w:ind w:left="0" w:right="0"/>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rPr>
                    <w:t>用水情形</w:t>
                  </w:r>
                </w:p>
              </w:tc>
              <w:tc>
                <w:tcPr>
                  <w:tcW w:w="828" w:type="pct"/>
                  <w:vAlign w:val="center"/>
                </w:tcPr>
                <w:p w14:paraId="79636CE0">
                  <w:pPr>
                    <w:pStyle w:val="61"/>
                    <w:keepNext w:val="0"/>
                    <w:keepLines w:val="0"/>
                    <w:pageBreakBefore w:val="0"/>
                    <w:widowControl/>
                    <w:suppressLineNumbers w:val="0"/>
                    <w:kinsoku/>
                    <w:overflowPunct/>
                    <w:topLinePunct w:val="0"/>
                    <w:bidi w:val="0"/>
                    <w:adjustRightInd/>
                    <w:snapToGrid/>
                    <w:spacing w:before="0" w:beforeAutospacing="0" w:after="0" w:afterAutospacing="0" w:line="240" w:lineRule="auto"/>
                    <w:ind w:left="0" w:right="0"/>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rPr>
                    <w:t>用量m</w:t>
                  </w:r>
                  <w:r>
                    <w:rPr>
                      <w:rFonts w:hint="default" w:ascii="Times New Roman" w:hAnsi="Times New Roman" w:cs="Times New Roman"/>
                      <w:b/>
                      <w:bCs/>
                      <w:color w:val="auto"/>
                      <w:kern w:val="2"/>
                      <w:sz w:val="21"/>
                      <w:szCs w:val="21"/>
                      <w:highlight w:val="none"/>
                      <w:vertAlign w:val="superscript"/>
                    </w:rPr>
                    <w:t>3</w:t>
                  </w:r>
                  <w:r>
                    <w:rPr>
                      <w:rFonts w:hint="default" w:ascii="Times New Roman" w:hAnsi="Times New Roman" w:cs="Times New Roman"/>
                      <w:b/>
                      <w:bCs/>
                      <w:color w:val="auto"/>
                      <w:kern w:val="2"/>
                      <w:sz w:val="21"/>
                      <w:szCs w:val="21"/>
                      <w:highlight w:val="none"/>
                    </w:rPr>
                    <w:t>/a</w:t>
                  </w:r>
                </w:p>
              </w:tc>
              <w:tc>
                <w:tcPr>
                  <w:tcW w:w="2688" w:type="pct"/>
                  <w:vAlign w:val="center"/>
                </w:tcPr>
                <w:p w14:paraId="0AAF92C8">
                  <w:pPr>
                    <w:pStyle w:val="61"/>
                    <w:keepNext w:val="0"/>
                    <w:keepLines w:val="0"/>
                    <w:pageBreakBefore w:val="0"/>
                    <w:widowControl/>
                    <w:suppressLineNumbers w:val="0"/>
                    <w:kinsoku/>
                    <w:overflowPunct/>
                    <w:topLinePunct w:val="0"/>
                    <w:bidi w:val="0"/>
                    <w:adjustRightInd/>
                    <w:snapToGrid/>
                    <w:spacing w:before="0" w:beforeAutospacing="0" w:after="0" w:afterAutospacing="0" w:line="240" w:lineRule="auto"/>
                    <w:ind w:left="0" w:right="0"/>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rPr>
                    <w:t>说明</w:t>
                  </w:r>
                </w:p>
              </w:tc>
            </w:tr>
            <w:tr w14:paraId="20350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482" w:type="pct"/>
                  <w:vAlign w:val="center"/>
                </w:tcPr>
                <w:p w14:paraId="6E3592C6">
                  <w:pPr>
                    <w:keepNext w:val="0"/>
                    <w:keepLines w:val="0"/>
                    <w:widowControl/>
                    <w:suppressLineNumbers w:val="0"/>
                    <w:jc w:val="center"/>
                    <w:textAlignment w:val="center"/>
                    <w:rPr>
                      <w:rFonts w:hint="default" w:ascii="Times New Roman" w:hAnsi="Times New Roman" w:eastAsia="宋体" w:cs="Times New Roman"/>
                      <w:color w:val="auto"/>
                      <w:kern w:val="2"/>
                      <w:position w:val="-10"/>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rPr>
                    <w:t>生活用水</w:t>
                  </w:r>
                </w:p>
              </w:tc>
              <w:tc>
                <w:tcPr>
                  <w:tcW w:w="1300" w:type="dxa"/>
                  <w:vAlign w:val="center"/>
                </w:tcPr>
                <w:p w14:paraId="4211FB75">
                  <w:pPr>
                    <w:keepNext w:val="0"/>
                    <w:keepLines w:val="0"/>
                    <w:widowControl/>
                    <w:suppressLineNumbers w:val="0"/>
                    <w:jc w:val="center"/>
                    <w:textAlignment w:val="center"/>
                    <w:rPr>
                      <w:rFonts w:hint="default" w:ascii="Times New Roman" w:hAnsi="Times New Roman" w:eastAsia="宋体" w:cs="Times New Roman"/>
                      <w:color w:val="auto"/>
                      <w:kern w:val="2"/>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rPr>
                    <w:t>840</w:t>
                  </w:r>
                </w:p>
              </w:tc>
              <w:tc>
                <w:tcPr>
                  <w:tcW w:w="4219" w:type="dxa"/>
                  <w:vAlign w:val="center"/>
                </w:tcPr>
                <w:p w14:paraId="4CE01E3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rPr>
                    <w:t>30人，不设食</w:t>
                  </w:r>
                  <w:r>
                    <w:rPr>
                      <w:rFonts w:hint="eastAsia" w:ascii="宋体" w:hAnsi="宋体" w:eastAsia="宋体" w:cs="宋体"/>
                      <w:i w:val="0"/>
                      <w:iCs w:val="0"/>
                      <w:color w:val="auto"/>
                      <w:kern w:val="0"/>
                      <w:sz w:val="21"/>
                      <w:szCs w:val="21"/>
                      <w:highlight w:val="none"/>
                      <w:u w:val="none"/>
                      <w:lang w:val="en-US" w:eastAsia="zh-CN"/>
                    </w:rPr>
                    <w:t>宿</w:t>
                  </w:r>
                </w:p>
              </w:tc>
            </w:tr>
            <w:tr w14:paraId="03BB39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482" w:type="pct"/>
                  <w:vAlign w:val="center"/>
                </w:tcPr>
                <w:p w14:paraId="1EEC040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rPr>
                    <w:t>前处理用水</w:t>
                  </w:r>
                </w:p>
              </w:tc>
              <w:tc>
                <w:tcPr>
                  <w:tcW w:w="1300" w:type="dxa"/>
                  <w:vAlign w:val="center"/>
                </w:tcPr>
                <w:p w14:paraId="03B437BD">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rPr>
                    <w:t xml:space="preserve">6856.12 </w:t>
                  </w:r>
                </w:p>
              </w:tc>
              <w:tc>
                <w:tcPr>
                  <w:tcW w:w="2688" w:type="pct"/>
                  <w:vAlign w:val="center"/>
                </w:tcPr>
                <w:p w14:paraId="18D08142">
                  <w:pPr>
                    <w:keepNext w:val="0"/>
                    <w:keepLines w:val="0"/>
                    <w:pageBreakBefore w:val="0"/>
                    <w:suppressLineNumbers w:val="0"/>
                    <w:kinsoku/>
                    <w:overflowPunct/>
                    <w:topLinePunct w:val="0"/>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生产用水量（新鲜用水）=</w:t>
                  </w:r>
                  <w:r>
                    <w:rPr>
                      <w:rFonts w:hint="default" w:ascii="Times New Roman" w:hAnsi="Times New Roman" w:cs="Times New Roman"/>
                      <w:color w:val="auto"/>
                      <w:sz w:val="21"/>
                      <w:szCs w:val="21"/>
                      <w:highlight w:val="none"/>
                      <w:lang w:val="en-US" w:eastAsia="zh-CN"/>
                    </w:rPr>
                    <w:t>前处理线用水</w:t>
                  </w:r>
                  <w:r>
                    <w:rPr>
                      <w:rFonts w:hint="eastAsia" w:cs="Times New Roman"/>
                      <w:color w:val="auto"/>
                      <w:sz w:val="21"/>
                      <w:szCs w:val="21"/>
                      <w:highlight w:val="none"/>
                      <w:lang w:val="en-US" w:eastAsia="zh-CN"/>
                    </w:rPr>
                    <w:t>量-（脱脂剂年用量+表调剂年用量+除锈剂年用量+磷化剂年用量）=</w:t>
                  </w:r>
                  <w:r>
                    <w:rPr>
                      <w:rFonts w:hint="eastAsia" w:cs="Times New Roman"/>
                      <w:color w:val="auto"/>
                      <w:kern w:val="2"/>
                      <w:sz w:val="21"/>
                      <w:szCs w:val="21"/>
                      <w:highlight w:val="none"/>
                      <w:lang w:val="en-US" w:eastAsia="zh-CN"/>
                    </w:rPr>
                    <w:t>4334.4+2526.72</w:t>
                  </w:r>
                  <w:r>
                    <w:rPr>
                      <w:rFonts w:hint="eastAsia" w:cs="Times New Roman"/>
                      <w:color w:val="auto"/>
                      <w:sz w:val="21"/>
                      <w:szCs w:val="21"/>
                      <w:highlight w:val="none"/>
                      <w:lang w:val="en-US" w:eastAsia="zh-CN"/>
                    </w:rPr>
                    <w:t>-（1.8+1.2+0.5+1.5）=6856.12</w:t>
                  </w:r>
                </w:p>
              </w:tc>
            </w:tr>
            <w:tr w14:paraId="78143D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482" w:type="pct"/>
                  <w:vAlign w:val="center"/>
                </w:tcPr>
                <w:p w14:paraId="2D167A8B">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rPr>
                    <w:t>水帘柜用水</w:t>
                  </w:r>
                </w:p>
              </w:tc>
              <w:tc>
                <w:tcPr>
                  <w:tcW w:w="1300" w:type="dxa"/>
                  <w:vAlign w:val="center"/>
                </w:tcPr>
                <w:p w14:paraId="00533857">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 xml:space="preserve">285.00 </w:t>
                  </w:r>
                </w:p>
              </w:tc>
              <w:tc>
                <w:tcPr>
                  <w:tcW w:w="2688" w:type="pct"/>
                  <w:vAlign w:val="center"/>
                </w:tcPr>
                <w:p w14:paraId="1DF1A207">
                  <w:pPr>
                    <w:keepNext w:val="0"/>
                    <w:keepLines w:val="0"/>
                    <w:pageBreakBefore w:val="0"/>
                    <w:suppressLineNumbers w:val="0"/>
                    <w:kinsoku/>
                    <w:overflowPunct/>
                    <w:topLinePunct w:val="0"/>
                    <w:bidi w:val="0"/>
                    <w:adjustRightInd/>
                    <w:snapToGrid/>
                    <w:spacing w:before="0" w:beforeAutospacing="0" w:after="0" w:afterAutospacing="0" w:line="240" w:lineRule="auto"/>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40577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482" w:type="pct"/>
                  <w:vAlign w:val="center"/>
                </w:tcPr>
                <w:p w14:paraId="5AB2C6B4">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rPr>
                    <w:t>喷淋塔用水</w:t>
                  </w:r>
                </w:p>
              </w:tc>
              <w:tc>
                <w:tcPr>
                  <w:tcW w:w="1300" w:type="dxa"/>
                  <w:vAlign w:val="center"/>
                </w:tcPr>
                <w:p w14:paraId="5E4BD451">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 xml:space="preserve">469.20 </w:t>
                  </w:r>
                </w:p>
              </w:tc>
              <w:tc>
                <w:tcPr>
                  <w:tcW w:w="2688" w:type="pct"/>
                  <w:vAlign w:val="center"/>
                </w:tcPr>
                <w:p w14:paraId="602E75C9">
                  <w:pPr>
                    <w:keepNext w:val="0"/>
                    <w:keepLines w:val="0"/>
                    <w:pageBreakBefore w:val="0"/>
                    <w:suppressLineNumbers w:val="0"/>
                    <w:kinsoku/>
                    <w:overflowPunct/>
                    <w:topLinePunct w:val="0"/>
                    <w:bidi w:val="0"/>
                    <w:adjustRightInd/>
                    <w:snapToGrid/>
                    <w:spacing w:before="0" w:beforeAutospacing="0" w:after="0" w:afterAutospacing="0" w:line="240" w:lineRule="auto"/>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2E7AC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347" w:type="dxa"/>
                  <w:vAlign w:val="center"/>
                </w:tcPr>
                <w:p w14:paraId="3724F9B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水性喷枪清洗用水</w:t>
                  </w:r>
                </w:p>
              </w:tc>
              <w:tc>
                <w:tcPr>
                  <w:tcW w:w="1300" w:type="dxa"/>
                  <w:vAlign w:val="center"/>
                </w:tcPr>
                <w:p w14:paraId="7ECBF8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1.5</w:t>
                  </w:r>
                </w:p>
              </w:tc>
              <w:tc>
                <w:tcPr>
                  <w:tcW w:w="2688" w:type="pct"/>
                  <w:vAlign w:val="center"/>
                </w:tcPr>
                <w:p w14:paraId="3F300D55">
                  <w:pPr>
                    <w:keepNext w:val="0"/>
                    <w:keepLines w:val="0"/>
                    <w:pageBreakBefore w:val="0"/>
                    <w:suppressLineNumbers w:val="0"/>
                    <w:kinsoku/>
                    <w:overflowPunct/>
                    <w:topLinePunct w:val="0"/>
                    <w:bidi w:val="0"/>
                    <w:adjustRightInd/>
                    <w:snapToGrid/>
                    <w:spacing w:before="0" w:beforeAutospacing="0" w:after="0" w:afterAutospacing="0" w:line="240" w:lineRule="auto"/>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1E022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347" w:type="dxa"/>
                  <w:vAlign w:val="center"/>
                </w:tcPr>
                <w:p w14:paraId="4F1C58C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rPr>
                    <w:t>生产用水合计</w:t>
                  </w:r>
                </w:p>
              </w:tc>
              <w:tc>
                <w:tcPr>
                  <w:tcW w:w="1300" w:type="dxa"/>
                  <w:vAlign w:val="center"/>
                </w:tcPr>
                <w:p w14:paraId="4F67B170">
                  <w:pPr>
                    <w:keepNext w:val="0"/>
                    <w:keepLines w:val="0"/>
                    <w:widowControl/>
                    <w:suppressLineNumbers w:val="0"/>
                    <w:jc w:val="center"/>
                    <w:textAlignment w:val="center"/>
                    <w:rPr>
                      <w:rFonts w:hint="eastAsia"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 xml:space="preserve">7611.82 </w:t>
                  </w:r>
                </w:p>
              </w:tc>
              <w:tc>
                <w:tcPr>
                  <w:tcW w:w="2688" w:type="pct"/>
                  <w:vAlign w:val="center"/>
                </w:tcPr>
                <w:p w14:paraId="1D1EB236">
                  <w:pPr>
                    <w:keepNext w:val="0"/>
                    <w:keepLines w:val="0"/>
                    <w:pageBreakBefore w:val="0"/>
                    <w:suppressLineNumbers w:val="0"/>
                    <w:kinsoku/>
                    <w:overflowPunct/>
                    <w:topLinePunct w:val="0"/>
                    <w:bidi w:val="0"/>
                    <w:adjustRightInd/>
                    <w:snapToGrid/>
                    <w:spacing w:before="0" w:beforeAutospacing="0" w:after="0" w:afterAutospacing="0" w:line="240" w:lineRule="auto"/>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015F5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347" w:type="dxa"/>
                  <w:vAlign w:val="center"/>
                </w:tcPr>
                <w:p w14:paraId="3AC6C83E">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rPr>
                    <w:t>总用水</w:t>
                  </w:r>
                </w:p>
              </w:tc>
              <w:tc>
                <w:tcPr>
                  <w:tcW w:w="1300" w:type="dxa"/>
                  <w:vAlign w:val="center"/>
                </w:tcPr>
                <w:p w14:paraId="723495D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 xml:space="preserve">8451.82 </w:t>
                  </w:r>
                </w:p>
              </w:tc>
              <w:tc>
                <w:tcPr>
                  <w:tcW w:w="2688" w:type="pct"/>
                  <w:vAlign w:val="center"/>
                </w:tcPr>
                <w:p w14:paraId="3B0CEF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14:paraId="0CF8945B">
            <w:pPr>
              <w:pStyle w:val="11"/>
              <w:pageBreakBefore w:val="0"/>
              <w:numPr>
                <w:ilvl w:val="4"/>
                <w:numId w:val="0"/>
              </w:numPr>
              <w:wordWrap w:val="0"/>
              <w:overflowPunct/>
              <w:bidi w:val="0"/>
              <w:ind w:left="-960" w:firstLine="1440"/>
              <w:rPr>
                <w:rFonts w:hint="default" w:ascii="Times New Roman" w:hAnsi="Times New Roman" w:cs="Times New Roman"/>
                <w:color w:val="auto"/>
                <w:highlight w:val="none"/>
              </w:rPr>
            </w:pPr>
            <w:r>
              <w:rPr>
                <w:rFonts w:hint="default" w:ascii="Times New Roman" w:hAnsi="Times New Roman" w:cs="Times New Roman"/>
                <w:color w:val="auto"/>
                <w:highlight w:val="none"/>
              </w:rPr>
              <w:t>（3）排水</w:t>
            </w:r>
          </w:p>
          <w:p w14:paraId="71625921">
            <w:pPr>
              <w:pageBreakBefore w:val="0"/>
              <w:wordWrap w:val="0"/>
              <w:overflowPunct/>
              <w:bidi w:val="0"/>
              <w:adjustRightInd w:val="0"/>
              <w:ind w:firstLine="480" w:firstLineChars="20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本项目实行雨污分流制的排水体制</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雨水经厂区雨水管网收集后，排入市政雨水管网</w:t>
            </w:r>
            <w:r>
              <w:rPr>
                <w:rFonts w:hint="default" w:ascii="Times New Roman" w:hAnsi="Times New Roman" w:cs="Times New Roman"/>
                <w:color w:val="auto"/>
                <w:highlight w:val="none"/>
                <w:lang w:eastAsia="zh-CN"/>
              </w:rPr>
              <w:t>。</w:t>
            </w:r>
          </w:p>
          <w:p w14:paraId="1986BED8">
            <w:pPr>
              <w:pStyle w:val="21"/>
              <w:pageBreakBefore w:val="0"/>
              <w:wordWrap w:val="0"/>
              <w:overflowPunct/>
              <w:bidi w:val="0"/>
              <w:ind w:firstLine="48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①</w:t>
            </w:r>
            <w:r>
              <w:rPr>
                <w:rFonts w:hint="default" w:ascii="Times New Roman" w:hAnsi="Times New Roman" w:cs="Times New Roman"/>
                <w:color w:val="auto"/>
                <w:highlight w:val="none"/>
              </w:rPr>
              <w:t>生活污水：本项目生活污水排放</w:t>
            </w:r>
            <w:r>
              <w:rPr>
                <w:rFonts w:hint="eastAsia" w:cs="Times New Roman"/>
                <w:color w:val="auto"/>
                <w:highlight w:val="none"/>
                <w:lang w:val="en-US" w:eastAsia="zh-CN"/>
              </w:rPr>
              <w:t>系数取0.9，则对应生活污水排放</w:t>
            </w:r>
            <w:r>
              <w:rPr>
                <w:rFonts w:hint="default" w:ascii="Times New Roman" w:hAnsi="Times New Roman" w:cs="Times New Roman"/>
                <w:color w:val="auto"/>
                <w:highlight w:val="none"/>
              </w:rPr>
              <w:t>量</w:t>
            </w:r>
            <w:r>
              <w:rPr>
                <w:rFonts w:hint="eastAsia" w:cs="Times New Roman"/>
                <w:color w:val="auto"/>
                <w:highlight w:val="none"/>
                <w:lang w:val="en-US" w:eastAsia="zh-CN"/>
              </w:rPr>
              <w:t>=</w:t>
            </w:r>
            <w:r>
              <w:rPr>
                <w:rFonts w:hint="eastAsia" w:cs="Times New Roman"/>
                <w:color w:val="auto"/>
                <w:kern w:val="0"/>
                <w:sz w:val="24"/>
                <w:szCs w:val="24"/>
                <w:highlight w:val="none"/>
                <w:lang w:val="en-US" w:eastAsia="zh-CN"/>
              </w:rPr>
              <w:t>84</w:t>
            </w:r>
            <w:r>
              <w:rPr>
                <w:rFonts w:hint="eastAsia" w:ascii="Times New Roman" w:hAnsi="Times New Roman" w:eastAsia="宋体" w:cs="Times New Roman"/>
                <w:color w:val="auto"/>
                <w:kern w:val="0"/>
                <w:sz w:val="24"/>
                <w:szCs w:val="24"/>
                <w:highlight w:val="none"/>
                <w:lang w:val="en-US" w:eastAsia="zh-CN"/>
              </w:rPr>
              <w:t>0m</w:t>
            </w:r>
            <w:r>
              <w:rPr>
                <w:rFonts w:hint="eastAsia"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sz w:val="24"/>
                <w:highlight w:val="none"/>
                <w:vertAlign w:val="baseline"/>
                <w:lang w:val="en-US" w:eastAsia="zh-CN"/>
              </w:rPr>
              <w:t>/</w:t>
            </w:r>
            <w:r>
              <w:rPr>
                <w:rFonts w:hint="default" w:ascii="Times New Roman" w:hAnsi="Times New Roman" w:cs="Times New Roman"/>
                <w:color w:val="auto"/>
                <w:highlight w:val="none"/>
              </w:rPr>
              <w:t>a</w:t>
            </w:r>
            <w:r>
              <w:rPr>
                <w:rFonts w:hint="eastAsia" w:ascii="Times New Roman" w:hAnsi="Times New Roman" w:cs="Times New Roman"/>
                <w:color w:val="auto"/>
                <w:highlight w:val="none"/>
                <w:lang w:val="en-US" w:eastAsia="zh-CN"/>
              </w:rPr>
              <w:t>×0.9=</w:t>
            </w:r>
            <w:r>
              <w:rPr>
                <w:rFonts w:hint="eastAsia" w:cs="Times New Roman"/>
                <w:color w:val="auto"/>
                <w:highlight w:val="none"/>
                <w:lang w:val="en-US" w:eastAsia="zh-CN"/>
              </w:rPr>
              <w:t>756</w:t>
            </w:r>
            <w:r>
              <w:rPr>
                <w:rFonts w:hint="eastAsia" w:ascii="Times New Roman" w:hAnsi="Times New Roman" w:eastAsia="宋体" w:cs="Times New Roman"/>
                <w:color w:val="auto"/>
                <w:kern w:val="0"/>
                <w:sz w:val="24"/>
                <w:szCs w:val="24"/>
                <w:highlight w:val="none"/>
                <w:lang w:val="en-US" w:eastAsia="zh-CN"/>
              </w:rPr>
              <w:t>m</w:t>
            </w:r>
            <w:r>
              <w:rPr>
                <w:rFonts w:hint="eastAsia"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cs="Times New Roman"/>
                <w:color w:val="auto"/>
                <w:highlight w:val="none"/>
              </w:rPr>
              <w:t>/a，</w:t>
            </w:r>
            <w:r>
              <w:rPr>
                <w:rFonts w:hint="eastAsia" w:cs="Times New Roman"/>
                <w:color w:val="auto"/>
                <w:highlight w:val="none"/>
                <w:lang w:val="en-US" w:eastAsia="zh-CN"/>
              </w:rPr>
              <w:t>生活污水</w:t>
            </w:r>
            <w:r>
              <w:rPr>
                <w:rFonts w:hint="default" w:ascii="Times New Roman" w:hAnsi="Times New Roman" w:cs="Times New Roman"/>
                <w:color w:val="auto"/>
                <w:highlight w:val="none"/>
              </w:rPr>
              <w:t>经</w:t>
            </w:r>
            <w:r>
              <w:rPr>
                <w:rFonts w:hint="eastAsia" w:cs="Times New Roman"/>
                <w:color w:val="auto"/>
                <w:highlight w:val="none"/>
                <w:lang w:val="en-US" w:eastAsia="zh-CN"/>
              </w:rPr>
              <w:t>厂区自建</w:t>
            </w:r>
            <w:r>
              <w:rPr>
                <w:rFonts w:hint="default" w:ascii="Times New Roman" w:hAnsi="Times New Roman" w:cs="Times New Roman"/>
                <w:color w:val="auto"/>
                <w:highlight w:val="none"/>
              </w:rPr>
              <w:t>三级化粪池预处理后，排入园区污水处理厂进一步处理，达标后排放至武江（乐昌城-犁市河段）</w:t>
            </w:r>
            <w:r>
              <w:rPr>
                <w:rFonts w:hint="eastAsia" w:cs="Times New Roman"/>
                <w:color w:val="auto"/>
                <w:highlight w:val="none"/>
                <w:lang w:eastAsia="zh-CN"/>
              </w:rPr>
              <w:t>。</w:t>
            </w:r>
          </w:p>
          <w:p w14:paraId="789F905E">
            <w:pPr>
              <w:pageBreakBefore w:val="0"/>
              <w:wordWrap w:val="0"/>
              <w:overflowPunct/>
              <w:bidi w:val="0"/>
              <w:adjustRightInd w:val="0"/>
              <w:ind w:firstLine="480" w:firstLineChars="200"/>
              <w:rPr>
                <w:rFonts w:hint="default" w:eastAsia="宋体" w:cs="Times New Roman"/>
                <w:color w:val="auto"/>
                <w:highlight w:val="none"/>
                <w:vertAlign w:val="baseline"/>
                <w:lang w:val="en-US" w:eastAsia="zh-CN"/>
              </w:rPr>
            </w:pPr>
            <w:r>
              <w:rPr>
                <w:rFonts w:hint="default" w:ascii="Times New Roman" w:hAnsi="Times New Roman" w:cs="Times New Roman"/>
                <w:color w:val="auto"/>
                <w:highlight w:val="none"/>
                <w:lang w:val="en-US" w:eastAsia="zh-CN"/>
              </w:rPr>
              <w:t>②</w:t>
            </w:r>
            <w:r>
              <w:rPr>
                <w:rFonts w:hint="eastAsia" w:cs="Times New Roman"/>
                <w:color w:val="auto"/>
                <w:highlight w:val="none"/>
                <w:lang w:val="en-US" w:eastAsia="zh-CN"/>
              </w:rPr>
              <w:t>前处理废水：</w:t>
            </w:r>
            <w:r>
              <w:rPr>
                <w:rFonts w:hint="default" w:ascii="Times New Roman" w:hAnsi="Times New Roman" w:cs="Times New Roman"/>
                <w:color w:val="auto"/>
                <w:sz w:val="24"/>
                <w:szCs w:val="24"/>
                <w:highlight w:val="none"/>
              </w:rPr>
              <w:t>废水排放量为</w:t>
            </w:r>
            <w:r>
              <w:rPr>
                <w:rFonts w:hint="eastAsia" w:cs="Times New Roman"/>
                <w:color w:val="auto"/>
                <w:sz w:val="24"/>
                <w:szCs w:val="24"/>
                <w:highlight w:val="none"/>
                <w:lang w:val="en-US" w:eastAsia="zh-CN"/>
              </w:rPr>
              <w:t>2507.52</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/a，折算为</w:t>
            </w:r>
            <w:r>
              <w:rPr>
                <w:rFonts w:hint="eastAsia" w:cs="Times New Roman"/>
                <w:color w:val="auto"/>
                <w:sz w:val="24"/>
                <w:szCs w:val="24"/>
                <w:highlight w:val="none"/>
                <w:lang w:val="en-US" w:eastAsia="zh-CN"/>
              </w:rPr>
              <w:t>8.36</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/d。经自建污水处理站（工艺为“</w:t>
            </w:r>
            <w:r>
              <w:rPr>
                <w:rFonts w:hint="eastAsia" w:cs="Times New Roman"/>
                <w:color w:val="auto"/>
                <w:highlight w:val="none"/>
                <w:lang w:eastAsia="zh-CN"/>
              </w:rPr>
              <w:t>中和调节+混凝沉淀+二级除磷+水解酸化+接触氧化+MBR膜池</w:t>
            </w:r>
            <w:r>
              <w:rPr>
                <w:rFonts w:hint="default" w:ascii="Times New Roman" w:hAnsi="Times New Roman" w:cs="Times New Roman"/>
                <w:color w:val="auto"/>
                <w:sz w:val="24"/>
                <w:szCs w:val="24"/>
                <w:highlight w:val="none"/>
              </w:rPr>
              <w:t>”）处理后，排入园区污水处理厂进一步处理，处理达标后排放至武江</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磷化槽废液年更换量为19.2m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vertAlign w:val="baseline"/>
                <w:lang w:val="en-US" w:eastAsia="zh-CN"/>
              </w:rPr>
              <w:t>/a，交由有危险废物处置资质的单位处置。</w:t>
            </w:r>
          </w:p>
          <w:p w14:paraId="6DC4C170">
            <w:pPr>
              <w:pageBreakBefore w:val="0"/>
              <w:wordWrap w:val="0"/>
              <w:overflowPunct/>
              <w:bidi w:val="0"/>
              <w:adjustRightInd w:val="0"/>
              <w:ind w:firstLine="480" w:firstLineChars="20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③水帘柜及喷淋塔</w:t>
            </w:r>
            <w:r>
              <w:rPr>
                <w:rFonts w:hint="default" w:ascii="Times New Roman" w:hAnsi="Times New Roman" w:cs="Times New Roman"/>
                <w:color w:val="auto"/>
                <w:highlight w:val="none"/>
                <w:lang w:val="en-US" w:eastAsia="zh-CN"/>
              </w:rPr>
              <w:t>喷淋</w:t>
            </w:r>
            <w:r>
              <w:rPr>
                <w:rFonts w:hint="eastAsia" w:cs="Times New Roman"/>
                <w:color w:val="auto"/>
                <w:highlight w:val="none"/>
                <w:lang w:val="en-US" w:eastAsia="zh-CN"/>
              </w:rPr>
              <w:t>废</w:t>
            </w:r>
            <w:r>
              <w:rPr>
                <w:rFonts w:hint="default" w:ascii="Times New Roman" w:hAnsi="Times New Roman" w:cs="Times New Roman"/>
                <w:color w:val="auto"/>
                <w:highlight w:val="none"/>
                <w:lang w:val="en-US" w:eastAsia="zh-CN"/>
              </w:rPr>
              <w:t>水：</w:t>
            </w:r>
            <w:r>
              <w:rPr>
                <w:rFonts w:hint="eastAsia" w:cs="Times New Roman"/>
                <w:color w:val="auto"/>
                <w:highlight w:val="none"/>
                <w:lang w:val="en-US" w:eastAsia="zh-CN"/>
              </w:rPr>
              <w:t>循环过程补充新鲜用水、定期捞渣，不外排，定期更换水帘柜内喷淋用水，每年产生的水帘柜</w:t>
            </w:r>
            <w:r>
              <w:rPr>
                <w:rFonts w:hint="default" w:ascii="Times New Roman" w:hAnsi="Times New Roman" w:cs="Times New Roman"/>
                <w:color w:val="auto"/>
                <w:highlight w:val="none"/>
                <w:lang w:val="en-US" w:eastAsia="zh-CN"/>
              </w:rPr>
              <w:t>喷淋</w:t>
            </w:r>
            <w:r>
              <w:rPr>
                <w:rFonts w:hint="eastAsia" w:cs="Times New Roman"/>
                <w:color w:val="auto"/>
                <w:highlight w:val="none"/>
                <w:lang w:val="en-US" w:eastAsia="zh-CN"/>
              </w:rPr>
              <w:t>废</w:t>
            </w:r>
            <w:r>
              <w:rPr>
                <w:rFonts w:hint="default" w:ascii="Times New Roman" w:hAnsi="Times New Roman" w:cs="Times New Roman"/>
                <w:color w:val="auto"/>
                <w:highlight w:val="none"/>
                <w:lang w:val="en-US" w:eastAsia="zh-CN"/>
              </w:rPr>
              <w:t>水</w:t>
            </w:r>
            <w:r>
              <w:rPr>
                <w:rFonts w:hint="eastAsia" w:cs="Times New Roman"/>
                <w:color w:val="auto"/>
                <w:highlight w:val="none"/>
                <w:lang w:val="en-US" w:eastAsia="zh-CN"/>
              </w:rPr>
              <w:t>为60</w:t>
            </w:r>
            <w:r>
              <w:rPr>
                <w:rFonts w:hint="eastAsia" w:ascii="Times New Roman" w:hAnsi="Times New Roman" w:eastAsia="宋体" w:cs="Times New Roman"/>
                <w:color w:val="auto"/>
                <w:kern w:val="0"/>
                <w:sz w:val="24"/>
                <w:szCs w:val="24"/>
                <w:highlight w:val="none"/>
                <w:lang w:val="en-US" w:eastAsia="zh-CN"/>
              </w:rPr>
              <w:t>m</w:t>
            </w:r>
            <w:r>
              <w:rPr>
                <w:rFonts w:hint="eastAsia" w:ascii="Times New Roman" w:hAnsi="Times New Roman" w:eastAsia="宋体" w:cs="Times New Roman"/>
                <w:color w:val="auto"/>
                <w:kern w:val="0"/>
                <w:sz w:val="24"/>
                <w:szCs w:val="24"/>
                <w:highlight w:val="none"/>
                <w:vertAlign w:val="superscript"/>
                <w:lang w:val="en-US" w:eastAsia="zh-CN"/>
              </w:rPr>
              <w:t>3</w:t>
            </w:r>
            <w:r>
              <w:rPr>
                <w:rFonts w:hint="eastAsia" w:cs="Times New Roman"/>
                <w:color w:val="auto"/>
                <w:highlight w:val="none"/>
                <w:lang w:val="en-US" w:eastAsia="zh-CN"/>
              </w:rPr>
              <w:t>，喷淋塔废水19.2m</w:t>
            </w:r>
            <w:r>
              <w:rPr>
                <w:rFonts w:hint="eastAsia" w:cs="Times New Roman"/>
                <w:color w:val="auto"/>
                <w:highlight w:val="none"/>
                <w:vertAlign w:val="superscript"/>
                <w:lang w:val="en-US" w:eastAsia="zh-CN"/>
              </w:rPr>
              <w:t>3</w:t>
            </w:r>
            <w:r>
              <w:rPr>
                <w:rFonts w:hint="eastAsia" w:cs="Times New Roman"/>
                <w:color w:val="auto"/>
                <w:highlight w:val="none"/>
                <w:vertAlign w:val="baseline"/>
                <w:lang w:val="en-US" w:eastAsia="zh-CN"/>
              </w:rPr>
              <w:t>，以下合计称为喷淋废液，产生量约为79.2t/a，</w:t>
            </w:r>
            <w:r>
              <w:rPr>
                <w:rFonts w:hint="eastAsia" w:cs="Times New Roman"/>
                <w:color w:val="auto"/>
                <w:sz w:val="24"/>
                <w:szCs w:val="24"/>
                <w:highlight w:val="none"/>
                <w:vertAlign w:val="baseline"/>
                <w:lang w:val="en-US" w:eastAsia="zh-CN"/>
              </w:rPr>
              <w:t>交由有危险废物处置单位处置</w:t>
            </w:r>
            <w:r>
              <w:rPr>
                <w:rFonts w:hint="eastAsia" w:cs="Times New Roman"/>
                <w:color w:val="auto"/>
                <w:highlight w:val="none"/>
                <w:lang w:val="en-US" w:eastAsia="zh-CN"/>
              </w:rPr>
              <w:t>。</w:t>
            </w:r>
          </w:p>
          <w:p w14:paraId="642F3C03">
            <w:pPr>
              <w:pStyle w:val="17"/>
              <w:pageBreakBefore w:val="0"/>
              <w:wordWrap w:val="0"/>
              <w:overflowPunct/>
              <w:bidi w:val="0"/>
              <w:spacing w:line="240" w:lineRule="auto"/>
              <w:rPr>
                <w:rFonts w:hint="default" w:cs="Times New Roman"/>
                <w:color w:val="auto"/>
                <w:highlight w:val="none"/>
                <w:lang w:val="en-US" w:eastAsia="zh-CN"/>
              </w:rPr>
            </w:pPr>
            <w:r>
              <w:rPr>
                <w:color w:val="auto"/>
                <w:sz w:val="21"/>
                <w:highlight w:val="none"/>
              </w:rPr>
              <mc:AlternateContent>
                <mc:Choice Requires="wps">
                  <w:drawing>
                    <wp:anchor distT="0" distB="0" distL="0" distR="0" simplePos="0" relativeHeight="251660288" behindDoc="0" locked="0" layoutInCell="1" allowOverlap="1">
                      <wp:simplePos x="0" y="0"/>
                      <wp:positionH relativeFrom="column">
                        <wp:posOffset>2329180</wp:posOffset>
                      </wp:positionH>
                      <wp:positionV relativeFrom="paragraph">
                        <wp:posOffset>3980815</wp:posOffset>
                      </wp:positionV>
                      <wp:extent cx="588010" cy="336550"/>
                      <wp:effectExtent l="4445" t="5080" r="17145" b="20320"/>
                      <wp:wrapNone/>
                      <wp:docPr id="1027" name="文本框 39"/>
                      <wp:cNvGraphicFramePr/>
                      <a:graphic xmlns:a="http://schemas.openxmlformats.org/drawingml/2006/main">
                        <a:graphicData uri="http://schemas.microsoft.com/office/word/2010/wordprocessingShape">
                          <wps:wsp>
                            <wps:cNvSpPr/>
                            <wps:spPr>
                              <a:xfrm>
                                <a:off x="0" y="0"/>
                                <a:ext cx="588010" cy="336550"/>
                              </a:xfrm>
                              <a:prstGeom prst="rect">
                                <a:avLst/>
                              </a:prstGeom>
                              <a:solidFill>
                                <a:srgbClr val="FFFFFF"/>
                              </a:solidFill>
                              <a:ln w="6350" cap="flat" cmpd="sng">
                                <a:solidFill>
                                  <a:srgbClr val="000000"/>
                                </a:solidFill>
                                <a:prstDash val="solid"/>
                                <a:round/>
                              </a:ln>
                            </wps:spPr>
                            <wps:txbx>
                              <w:txbxContent>
                                <w:p w14:paraId="03EE1971">
                                  <w:pPr>
                                    <w:spacing w:line="240" w:lineRule="auto"/>
                                    <w:rPr>
                                      <w:rFonts w:hint="eastAsia"/>
                                      <w:sz w:val="13"/>
                                      <w:szCs w:val="13"/>
                                      <w:lang w:val="en-US" w:eastAsia="zh-CN"/>
                                    </w:rPr>
                                  </w:pPr>
                                  <w:r>
                                    <w:rPr>
                                      <w:rFonts w:hint="eastAsia"/>
                                      <w:sz w:val="13"/>
                                      <w:szCs w:val="13"/>
                                      <w:lang w:val="en-US" w:eastAsia="zh-CN"/>
                                    </w:rPr>
                                    <w:t>喷枪清洗废水</w:t>
                                  </w:r>
                                </w:p>
                                <w:p w14:paraId="3575A924">
                                  <w:pPr>
                                    <w:spacing w:line="240" w:lineRule="auto"/>
                                    <w:jc w:val="center"/>
                                    <w:rPr>
                                      <w:rFonts w:hint="default"/>
                                      <w:sz w:val="13"/>
                                      <w:szCs w:val="13"/>
                                      <w:lang w:val="en-US" w:eastAsia="zh-CN"/>
                                    </w:rPr>
                                  </w:pPr>
                                  <w:r>
                                    <w:rPr>
                                      <w:rFonts w:hint="eastAsia"/>
                                      <w:sz w:val="13"/>
                                      <w:szCs w:val="13"/>
                                      <w:lang w:val="en-US" w:eastAsia="zh-CN"/>
                                    </w:rPr>
                                    <w:t>1.35</w:t>
                                  </w:r>
                                </w:p>
                              </w:txbxContent>
                            </wps:txbx>
                            <wps:bodyPr vert="horz" wrap="square" lIns="0" tIns="0" rIns="0" bIns="0" anchor="t">
                              <a:noAutofit/>
                            </wps:bodyPr>
                          </wps:wsp>
                        </a:graphicData>
                      </a:graphic>
                    </wp:anchor>
                  </w:drawing>
                </mc:Choice>
                <mc:Fallback>
                  <w:pict>
                    <v:rect id="文本框 39" o:spid="_x0000_s1026" o:spt="1" style="position:absolute;left:0pt;margin-left:183.4pt;margin-top:313.45pt;height:26.5pt;width:46.3pt;z-index:251660288;mso-width-relative:page;mso-height-relative:page;" fillcolor="#FFFFFF" filled="t" stroked="t" coordsize="21600,21600" o:gfxdata="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UKQK2wAAAAsBAAAPAAAA&#10;AAAAAAEAIAAAACIAAABkcnMvZG93bnJldi54bWxQSwECFAAUAAAACACHTuJAPDgTOhICAAAyBAAA&#10;DgAAAAAAAAABACAAAAAqAQAAZHJzL2Uyb0RvYy54bWxQSwUGAAAAAAYABgBZAQAArgUAAAAA&#10;">
                      <v:fill on="t" focussize="0,0"/>
                      <v:stroke weight="0.5pt" color="#000000" joinstyle="round"/>
                      <v:imagedata o:title=""/>
                      <o:lock v:ext="edit" aspectratio="f"/>
                      <v:textbox inset="0mm,0mm,0mm,0mm">
                        <w:txbxContent>
                          <w:p w14:paraId="03EE1971">
                            <w:pPr>
                              <w:spacing w:line="240" w:lineRule="auto"/>
                              <w:rPr>
                                <w:rFonts w:hint="eastAsia"/>
                                <w:sz w:val="13"/>
                                <w:szCs w:val="13"/>
                                <w:lang w:val="en-US" w:eastAsia="zh-CN"/>
                              </w:rPr>
                            </w:pPr>
                            <w:r>
                              <w:rPr>
                                <w:rFonts w:hint="eastAsia"/>
                                <w:sz w:val="13"/>
                                <w:szCs w:val="13"/>
                                <w:lang w:val="en-US" w:eastAsia="zh-CN"/>
                              </w:rPr>
                              <w:t>喷枪清洗废水</w:t>
                            </w:r>
                          </w:p>
                          <w:p w14:paraId="3575A924">
                            <w:pPr>
                              <w:spacing w:line="240" w:lineRule="auto"/>
                              <w:jc w:val="center"/>
                              <w:rPr>
                                <w:rFonts w:hint="default"/>
                                <w:sz w:val="13"/>
                                <w:szCs w:val="13"/>
                                <w:lang w:val="en-US" w:eastAsia="zh-CN"/>
                              </w:rPr>
                            </w:pPr>
                            <w:r>
                              <w:rPr>
                                <w:rFonts w:hint="eastAsia"/>
                                <w:sz w:val="13"/>
                                <w:szCs w:val="13"/>
                                <w:lang w:val="en-US" w:eastAsia="zh-CN"/>
                              </w:rPr>
                              <w:t>1.35</w:t>
                            </w:r>
                          </w:p>
                        </w:txbxContent>
                      </v:textbox>
                    </v:rect>
                  </w:pict>
                </mc:Fallback>
              </mc:AlternateContent>
            </w:r>
            <w:r>
              <w:rPr>
                <w:color w:val="auto"/>
                <w:sz w:val="21"/>
                <w:highlight w:val="none"/>
              </w:rPr>
              <mc:AlternateContent>
                <mc:Choice Requires="wps">
                  <w:drawing>
                    <wp:anchor distT="0" distB="0" distL="0" distR="0" simplePos="0" relativeHeight="251660288" behindDoc="0" locked="0" layoutInCell="1" allowOverlap="1">
                      <wp:simplePos x="0" y="0"/>
                      <wp:positionH relativeFrom="column">
                        <wp:posOffset>1172845</wp:posOffset>
                      </wp:positionH>
                      <wp:positionV relativeFrom="paragraph">
                        <wp:posOffset>4053840</wp:posOffset>
                      </wp:positionV>
                      <wp:extent cx="588010" cy="259715"/>
                      <wp:effectExtent l="5080" t="5080" r="16510" b="20955"/>
                      <wp:wrapNone/>
                      <wp:docPr id="1028" name="文本框 38"/>
                      <wp:cNvGraphicFramePr/>
                      <a:graphic xmlns:a="http://schemas.openxmlformats.org/drawingml/2006/main">
                        <a:graphicData uri="http://schemas.microsoft.com/office/word/2010/wordprocessingShape">
                          <wps:wsp>
                            <wps:cNvSpPr/>
                            <wps:spPr>
                              <a:xfrm>
                                <a:off x="0" y="0"/>
                                <a:ext cx="588009" cy="259715"/>
                              </a:xfrm>
                              <a:prstGeom prst="rect">
                                <a:avLst/>
                              </a:prstGeom>
                              <a:solidFill>
                                <a:srgbClr val="FFFFFF"/>
                              </a:solidFill>
                              <a:ln w="6350" cap="flat" cmpd="sng">
                                <a:solidFill>
                                  <a:srgbClr val="000000"/>
                                </a:solidFill>
                                <a:prstDash val="solid"/>
                                <a:round/>
                              </a:ln>
                            </wps:spPr>
                            <wps:txbx>
                              <w:txbxContent>
                                <w:p w14:paraId="4B954EF1">
                                  <w:pPr>
                                    <w:rPr>
                                      <w:rFonts w:hint="default" w:eastAsia="宋体"/>
                                      <w:sz w:val="13"/>
                                      <w:szCs w:val="13"/>
                                      <w:lang w:val="en-US" w:eastAsia="zh-CN"/>
                                    </w:rPr>
                                  </w:pPr>
                                  <w:r>
                                    <w:rPr>
                                      <w:rFonts w:hint="eastAsia"/>
                                      <w:sz w:val="13"/>
                                      <w:szCs w:val="13"/>
                                      <w:lang w:val="en-US" w:eastAsia="zh-CN"/>
                                    </w:rPr>
                                    <w:t>喷枪清洗用水</w:t>
                                  </w:r>
                                </w:p>
                              </w:txbxContent>
                            </wps:txbx>
                            <wps:bodyPr vert="horz" wrap="square" lIns="0" tIns="0" rIns="0" bIns="0" anchor="t">
                              <a:noAutofit/>
                            </wps:bodyPr>
                          </wps:wsp>
                        </a:graphicData>
                      </a:graphic>
                    </wp:anchor>
                  </w:drawing>
                </mc:Choice>
                <mc:Fallback>
                  <w:pict>
                    <v:rect id="文本框 38" o:spid="_x0000_s1026" o:spt="1" style="position:absolute;left:0pt;margin-left:92.35pt;margin-top:319.2pt;height:20.45pt;width:46.3pt;z-index:251660288;mso-width-relative:page;mso-height-relative:page;" fillcolor="#FFFFFF" filled="t" stroked="t" coordsize="21600,21600" o:gfxdata="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dVGMC2wAAAAsBAAAPAAAA&#10;AAAAAAEAIAAAACIAAABkcnMvZG93bnJldi54bWxQSwECFAAUAAAACACHTuJA9wFioBICAAAyBAAA&#10;DgAAAAAAAAABACAAAAAqAQAAZHJzL2Uyb0RvYy54bWxQSwUGAAAAAAYABgBZAQAArgUAAAAA&#10;">
                      <v:fill on="t" focussize="0,0"/>
                      <v:stroke weight="0.5pt" color="#000000" joinstyle="round"/>
                      <v:imagedata o:title=""/>
                      <o:lock v:ext="edit" aspectratio="f"/>
                      <v:textbox inset="0mm,0mm,0mm,0mm">
                        <w:txbxContent>
                          <w:p w14:paraId="4B954EF1">
                            <w:pPr>
                              <w:rPr>
                                <w:rFonts w:hint="default" w:eastAsia="宋体"/>
                                <w:sz w:val="13"/>
                                <w:szCs w:val="13"/>
                                <w:lang w:val="en-US" w:eastAsia="zh-CN"/>
                              </w:rPr>
                            </w:pPr>
                            <w:r>
                              <w:rPr>
                                <w:rFonts w:hint="eastAsia"/>
                                <w:sz w:val="13"/>
                                <w:szCs w:val="13"/>
                                <w:lang w:val="en-US" w:eastAsia="zh-CN"/>
                              </w:rPr>
                              <w:t>喷枪清洗用水</w:t>
                            </w:r>
                          </w:p>
                        </w:txbxContent>
                      </v:textbox>
                    </v:rect>
                  </w:pict>
                </mc:Fallback>
              </mc:AlternateContent>
            </w:r>
            <w:r>
              <w:rPr>
                <w:rFonts w:hint="default"/>
                <w:color w:val="auto"/>
                <w:highlight w:val="none"/>
                <w:lang w:val="en-US" w:eastAsia="zh-CN"/>
              </w:rPr>
              <w:object>
                <v:shape id="_x0000_i1025" o:spt="75" type="#_x0000_t75" style="height:338.55pt;width:398.95pt;" o:ole="t" filled="f" stroked="f" coordsize="21600,21600">
                  <v:path/>
                  <v:fill on="f" focussize="0,0"/>
                  <v:stroke on="f"/>
                  <v:imagedata r:id="rId13" embosscolor="#FFFFFF" o:title=""/>
                  <o:lock v:ext="edit" aspectratio="t"/>
                  <w10:wrap type="none"/>
                  <w10:anchorlock/>
                </v:shape>
                <o:OLEObject Type="Embed" ProgID="Visio.Drawing.15" ShapeID="_x0000_i1025" DrawAspect="Content" ObjectID="_1468075725" r:id="rId12">
                  <o:LockedField>false</o:LockedField>
                </o:OLEObject>
              </w:object>
            </w:r>
            <w:r>
              <w:rPr>
                <w:rFonts w:hint="eastAsia" w:cs="Times New Roman"/>
                <w:color w:val="auto"/>
                <w:highlight w:val="none"/>
                <w:lang w:val="en-US" w:eastAsia="zh-CN"/>
              </w:rPr>
              <w:t>图2-1 项目用水平衡图 （m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/a）</w:t>
            </w:r>
          </w:p>
          <w:p w14:paraId="5969D46E">
            <w:pPr>
              <w:pStyle w:val="17"/>
              <w:pageBreakBefore w:val="0"/>
              <w:numPr>
                <w:ilvl w:val="0"/>
                <w:numId w:val="8"/>
              </w:numPr>
              <w:wordWrap w:val="0"/>
              <w:overflowPunct/>
              <w:bidi w:val="0"/>
              <w:spacing w:line="240" w:lineRule="auto"/>
              <w:ind w:left="0" w:leftChars="0" w:firstLine="4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 xml:space="preserve"> </w:t>
            </w:r>
            <w:r>
              <w:rPr>
                <w:rFonts w:hint="default" w:ascii="Times New Roman" w:hAnsi="Times New Roman" w:cs="Times New Roman"/>
                <w:color w:val="auto"/>
                <w:highlight w:val="none"/>
                <w:lang w:val="en-US" w:eastAsia="zh-CN"/>
              </w:rPr>
              <w:t>项目</w:t>
            </w:r>
            <w:r>
              <w:rPr>
                <w:rFonts w:hint="eastAsia" w:cs="Times New Roman"/>
                <w:color w:val="auto"/>
                <w:highlight w:val="none"/>
                <w:lang w:val="en-US" w:eastAsia="zh-CN"/>
              </w:rPr>
              <w:t>用水</w:t>
            </w:r>
            <w:r>
              <w:rPr>
                <w:rFonts w:hint="default" w:ascii="Times New Roman" w:hAnsi="Times New Roman" w:cs="Times New Roman"/>
                <w:color w:val="auto"/>
                <w:highlight w:val="none"/>
              </w:rPr>
              <w:t>用量</w:t>
            </w:r>
            <w:r>
              <w:rPr>
                <w:rFonts w:hint="default" w:ascii="Times New Roman" w:hAnsi="Times New Roman" w:cs="Times New Roman"/>
                <w:color w:val="auto"/>
                <w:highlight w:val="none"/>
                <w:lang w:val="en-US" w:eastAsia="zh-CN"/>
              </w:rPr>
              <w:t>情况</w:t>
            </w:r>
            <w:r>
              <w:rPr>
                <w:rFonts w:hint="default" w:ascii="Times New Roman" w:hAnsi="Times New Roman" w:cs="Times New Roman"/>
                <w:color w:val="auto"/>
                <w:highlight w:val="none"/>
              </w:rPr>
              <w:t>一览表</w:t>
            </w:r>
            <w:r>
              <w:rPr>
                <w:rFonts w:hint="default" w:ascii="Times New Roman" w:hAnsi="Times New Roman" w:cs="Times New Roman"/>
                <w:color w:val="auto"/>
                <w:highlight w:val="none"/>
                <w:lang w:val="en-US" w:eastAsia="zh-CN"/>
              </w:rPr>
              <w:t xml:space="preserve">  单位：t/a</w:t>
            </w:r>
          </w:p>
          <w:tbl>
            <w:tblPr>
              <w:tblStyle w:val="43"/>
              <w:tblW w:w="77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94"/>
              <w:gridCol w:w="1077"/>
              <w:gridCol w:w="972"/>
              <w:gridCol w:w="1003"/>
              <w:gridCol w:w="1311"/>
              <w:gridCol w:w="2239"/>
            </w:tblGrid>
            <w:tr w14:paraId="46208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7D67F">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用水单元</w:t>
                  </w:r>
                </w:p>
              </w:tc>
              <w:tc>
                <w:tcPr>
                  <w:tcW w:w="6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3F589">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新鲜用水量</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A2097">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损耗量</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7ADB8">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循环用水量</w:t>
                  </w:r>
                </w:p>
              </w:tc>
              <w:tc>
                <w:tcPr>
                  <w:tcW w:w="8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E40BC">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废水排放量</w:t>
                  </w:r>
                </w:p>
              </w:tc>
              <w:tc>
                <w:tcPr>
                  <w:tcW w:w="1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8F39C">
                  <w:pPr>
                    <w:keepNext w:val="0"/>
                    <w:keepLines w:val="0"/>
                    <w:widowControl/>
                    <w:suppressLineNumbers w:val="0"/>
                    <w:spacing w:line="240" w:lineRule="auto"/>
                    <w:jc w:val="center"/>
                    <w:textAlignment w:val="center"/>
                    <w:rPr>
                      <w:rFonts w:hint="default" w:ascii="宋体" w:hAnsi="宋体" w:eastAsia="宋体" w:cs="宋体"/>
                      <w:b/>
                      <w:bCs/>
                      <w:i w:val="0"/>
                      <w:iCs w:val="0"/>
                      <w:color w:val="auto"/>
                      <w:kern w:val="0"/>
                      <w:sz w:val="21"/>
                      <w:szCs w:val="21"/>
                      <w:highlight w:val="none"/>
                      <w:u w:val="none"/>
                      <w:lang w:val="en-US" w:eastAsia="zh-CN"/>
                    </w:rPr>
                  </w:pPr>
                  <w:r>
                    <w:rPr>
                      <w:rFonts w:hint="eastAsia" w:ascii="宋体" w:hAnsi="宋体" w:cs="宋体"/>
                      <w:b/>
                      <w:bCs/>
                      <w:i w:val="0"/>
                      <w:iCs w:val="0"/>
                      <w:color w:val="auto"/>
                      <w:kern w:val="0"/>
                      <w:sz w:val="21"/>
                      <w:szCs w:val="21"/>
                      <w:highlight w:val="none"/>
                      <w:u w:val="none"/>
                      <w:lang w:val="en-US" w:eastAsia="zh-CN"/>
                    </w:rPr>
                    <w:t>备注</w:t>
                  </w:r>
                </w:p>
              </w:tc>
            </w:tr>
            <w:tr w14:paraId="2E7B4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3B028">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生活用水</w:t>
                  </w:r>
                </w:p>
              </w:tc>
              <w:tc>
                <w:tcPr>
                  <w:tcW w:w="6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1BF2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840</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3A10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84</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B5D2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4CC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756</w:t>
                  </w:r>
                </w:p>
              </w:tc>
              <w:tc>
                <w:tcPr>
                  <w:tcW w:w="1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F6B5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w:t>
                  </w:r>
                </w:p>
              </w:tc>
            </w:tr>
            <w:tr w14:paraId="400F2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4E6EB">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前处理清洗用水</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BE4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6856.12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84F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4334.4</w:t>
                  </w: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D03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433440</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0A3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rPr>
                    <w:t>2507.52</w:t>
                  </w:r>
                </w:p>
              </w:tc>
              <w:tc>
                <w:tcPr>
                  <w:tcW w:w="1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E188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19.2t/a交由有危险废物处理资质单位处置</w:t>
                  </w:r>
                </w:p>
              </w:tc>
            </w:tr>
            <w:tr w14:paraId="6E61B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7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D9688">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水帘柜用水</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D68C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285</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D98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225</w:t>
                  </w: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049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15000</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CA6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w:t>
                  </w:r>
                </w:p>
              </w:tc>
              <w:tc>
                <w:tcPr>
                  <w:tcW w:w="1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F51A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60t/a交由有危险废物处理资质单位处置</w:t>
                  </w:r>
                </w:p>
              </w:tc>
            </w:tr>
            <w:tr w14:paraId="1F9AF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7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22C06">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喷淋塔用水</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0B0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469.2</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BC1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450</w:t>
                  </w: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061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30000</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54944">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highlight w:val="none"/>
                      <w:u w:val="none"/>
                      <w:lang w:val="en-US" w:eastAsia="zh-CN"/>
                    </w:rPr>
                  </w:pPr>
                  <w:r>
                    <w:rPr>
                      <w:rFonts w:hint="eastAsia" w:cs="Times New Roman"/>
                      <w:i w:val="0"/>
                      <w:iCs w:val="0"/>
                      <w:color w:val="auto"/>
                      <w:sz w:val="21"/>
                      <w:szCs w:val="21"/>
                      <w:highlight w:val="none"/>
                      <w:u w:val="none"/>
                      <w:lang w:val="en-US" w:eastAsia="zh-CN"/>
                    </w:rPr>
                    <w:t>/</w:t>
                  </w:r>
                </w:p>
              </w:tc>
              <w:tc>
                <w:tcPr>
                  <w:tcW w:w="1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74D6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19.2t/a交由有危险废物处理资质单位处置</w:t>
                  </w:r>
                </w:p>
              </w:tc>
            </w:tr>
            <w:tr w14:paraId="669D4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7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6BF9C">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水性喷枪</w:t>
                  </w:r>
                  <w:r>
                    <w:rPr>
                      <w:rFonts w:hint="default" w:ascii="Times New Roman" w:hAnsi="Times New Roman" w:eastAsia="宋体" w:cs="Times New Roman"/>
                      <w:i w:val="0"/>
                      <w:iCs w:val="0"/>
                      <w:color w:val="auto"/>
                      <w:kern w:val="0"/>
                      <w:sz w:val="21"/>
                      <w:szCs w:val="21"/>
                      <w:highlight w:val="none"/>
                      <w:u w:val="none"/>
                      <w:lang w:val="en-US" w:eastAsia="zh-CN"/>
                    </w:rPr>
                    <w:t>清洗用水</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7B0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1.5</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94D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0.15</w:t>
                  </w: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5EE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C65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w:t>
                  </w:r>
                </w:p>
              </w:tc>
              <w:tc>
                <w:tcPr>
                  <w:tcW w:w="1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569D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1.35t/a交由有危险废物处理资质单位处置</w:t>
                  </w:r>
                </w:p>
              </w:tc>
            </w:tr>
            <w:tr w14:paraId="43D9D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74DDA">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生产用水合计</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F5B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7611.82</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FB3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5009.4</w:t>
                  </w: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E8E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478440</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243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rPr>
                    <w:t xml:space="preserve">2507.52 </w:t>
                  </w:r>
                </w:p>
              </w:tc>
              <w:tc>
                <w:tcPr>
                  <w:tcW w:w="1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1DF7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w:t>
                  </w:r>
                </w:p>
              </w:tc>
            </w:tr>
            <w:tr w14:paraId="4C202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C4FD5">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合计</w:t>
                  </w:r>
                </w:p>
              </w:tc>
              <w:tc>
                <w:tcPr>
                  <w:tcW w:w="10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35E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rPr>
                    <w:t>8451.82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0B0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5093.4</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0D3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478440</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EB1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 xml:space="preserve">3263.52 </w:t>
                  </w:r>
                </w:p>
              </w:tc>
              <w:tc>
                <w:tcPr>
                  <w:tcW w:w="1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7793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w:t>
                  </w:r>
                </w:p>
              </w:tc>
            </w:tr>
          </w:tbl>
          <w:p w14:paraId="6C70910F">
            <w:pPr>
              <w:pStyle w:val="11"/>
              <w:pageBreakBefore w:val="0"/>
              <w:numPr>
                <w:ilvl w:val="4"/>
                <w:numId w:val="0"/>
              </w:numPr>
              <w:wordWrap w:val="0"/>
              <w:overflowPunct/>
              <w:bidi w:val="0"/>
              <w:ind w:left="-960" w:firstLine="1440"/>
              <w:rPr>
                <w:rFonts w:hint="default" w:ascii="Times New Roman" w:hAnsi="Times New Roman" w:cs="Times New Roman"/>
                <w:color w:val="auto"/>
                <w:highlight w:val="none"/>
              </w:rPr>
            </w:pPr>
            <w:r>
              <w:rPr>
                <w:rFonts w:hint="default" w:ascii="Times New Roman" w:hAnsi="Times New Roman" w:cs="Times New Roman"/>
                <w:color w:val="auto"/>
                <w:highlight w:val="none"/>
              </w:rPr>
              <w:t>（4）通风系统</w:t>
            </w:r>
          </w:p>
          <w:p w14:paraId="49EF7644">
            <w:pPr>
              <w:pageBreakBefore w:val="0"/>
              <w:wordWrap w:val="0"/>
              <w:overflowPunct/>
              <w:bidi w:val="0"/>
              <w:adjustRightInd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本项目主要采用自然通风或设置抽排风机进行通风，不设中央空调。</w:t>
            </w:r>
          </w:p>
          <w:p w14:paraId="43F7A5CD">
            <w:pPr>
              <w:pStyle w:val="9"/>
              <w:pageBreakBefore w:val="0"/>
              <w:numPr>
                <w:ilvl w:val="2"/>
                <w:numId w:val="0"/>
              </w:numPr>
              <w:wordWrap w:val="0"/>
              <w:overflowPunct/>
              <w:bidi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三、总平面布局合理性分析</w:t>
            </w:r>
          </w:p>
          <w:p w14:paraId="6E1A10C3">
            <w:pPr>
              <w:pStyle w:val="10"/>
              <w:pageBreakBefore w:val="0"/>
              <w:numPr>
                <w:ilvl w:val="3"/>
                <w:numId w:val="0"/>
              </w:numPr>
              <w:wordWrap w:val="0"/>
              <w:overflowPunct/>
              <w:bidi w:val="0"/>
              <w:ind w:left="480" w:leftChars="200"/>
              <w:rPr>
                <w:rFonts w:hint="default" w:ascii="Times New Roman" w:hAnsi="Times New Roman" w:cs="Times New Roman"/>
                <w:color w:val="auto"/>
                <w:highlight w:val="none"/>
              </w:rPr>
            </w:pPr>
            <w:r>
              <w:rPr>
                <w:rFonts w:hint="default" w:ascii="Times New Roman" w:hAnsi="Times New Roman" w:cs="Times New Roman"/>
                <w:color w:val="auto"/>
                <w:highlight w:val="none"/>
              </w:rPr>
              <w:t>1、用地合理、合法性分析</w:t>
            </w:r>
          </w:p>
          <w:p w14:paraId="68F569BB">
            <w:pPr>
              <w:pStyle w:val="10"/>
              <w:pageBreakBefore w:val="0"/>
              <w:numPr>
                <w:ilvl w:val="3"/>
                <w:numId w:val="0"/>
              </w:numPr>
              <w:wordWrap w:val="0"/>
              <w:overflowPunct/>
              <w:bidi w:val="0"/>
              <w:ind w:firstLine="480" w:firstLineChars="200"/>
              <w:rPr>
                <w:rFonts w:hint="default" w:ascii="Times New Roman" w:hAnsi="Times New Roman" w:cs="Times New Roman"/>
                <w:b w:val="0"/>
                <w:color w:val="auto"/>
                <w:szCs w:val="24"/>
                <w:highlight w:val="none"/>
              </w:rPr>
            </w:pPr>
            <w:r>
              <w:rPr>
                <w:rFonts w:hint="default" w:ascii="Times New Roman" w:hAnsi="Times New Roman" w:cs="Times New Roman"/>
                <w:b w:val="0"/>
                <w:color w:val="auto"/>
                <w:szCs w:val="24"/>
                <w:highlight w:val="none"/>
              </w:rPr>
              <w:t>建设单位拟于</w:t>
            </w:r>
            <w:r>
              <w:rPr>
                <w:rFonts w:hint="eastAsia" w:cs="Times New Roman"/>
                <w:b w:val="0"/>
                <w:color w:val="auto"/>
                <w:szCs w:val="24"/>
                <w:highlight w:val="none"/>
                <w:lang w:eastAsia="zh-CN"/>
              </w:rPr>
              <w:t>韶关市乐昌市乐昌产业转移工业园乐园大道33号（1号厂房）</w:t>
            </w:r>
            <w:r>
              <w:rPr>
                <w:rFonts w:hint="default" w:ascii="Times New Roman" w:hAnsi="Times New Roman" w:cs="Times New Roman"/>
                <w:b w:val="0"/>
                <w:color w:val="auto"/>
                <w:szCs w:val="24"/>
                <w:highlight w:val="none"/>
              </w:rPr>
              <w:t>进行生产，根据中华人民共和国不动产权证书（详见附件</w:t>
            </w:r>
            <w:r>
              <w:rPr>
                <w:rFonts w:hint="eastAsia" w:cs="Times New Roman"/>
                <w:b w:val="0"/>
                <w:color w:val="auto"/>
                <w:szCs w:val="24"/>
                <w:highlight w:val="none"/>
                <w:lang w:val="en-US" w:eastAsia="zh-CN"/>
              </w:rPr>
              <w:t>3</w:t>
            </w:r>
            <w:r>
              <w:rPr>
                <w:rFonts w:hint="default" w:ascii="Times New Roman" w:hAnsi="Times New Roman" w:cs="Times New Roman"/>
                <w:b w:val="0"/>
                <w:color w:val="auto"/>
                <w:szCs w:val="24"/>
                <w:highlight w:val="none"/>
              </w:rPr>
              <w:t>）可知，项目用地用途为工业用地。</w:t>
            </w:r>
          </w:p>
          <w:p w14:paraId="7563EAC3">
            <w:pPr>
              <w:pStyle w:val="10"/>
              <w:pageBreakBefore w:val="0"/>
              <w:numPr>
                <w:ilvl w:val="3"/>
                <w:numId w:val="0"/>
              </w:numPr>
              <w:wordWrap w:val="0"/>
              <w:overflowPunct/>
              <w:bidi w:val="0"/>
              <w:ind w:left="480" w:left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2、四至分析</w:t>
            </w:r>
          </w:p>
          <w:p w14:paraId="0EDBC5A9">
            <w:pPr>
              <w:pageBreakBefore w:val="0"/>
              <w:wordWrap w:val="0"/>
              <w:overflowPunct/>
              <w:bidi w:val="0"/>
              <w:adjustRightInd w:val="0"/>
              <w:ind w:firstLine="480" w:firstLineChars="200"/>
              <w:rPr>
                <w:rFonts w:hint="default" w:ascii="Times New Roman" w:hAnsi="Times New Roman" w:cs="Times New Roman"/>
                <w:color w:val="auto"/>
                <w:highlight w:val="none"/>
              </w:rPr>
            </w:pPr>
            <w:bookmarkStart w:id="26" w:name="_Toc21623"/>
            <w:bookmarkStart w:id="27" w:name="_Toc15878"/>
            <w:r>
              <w:rPr>
                <w:rFonts w:hint="default" w:ascii="Times New Roman" w:hAnsi="Times New Roman" w:cs="Times New Roman"/>
                <w:bCs/>
                <w:color w:val="auto"/>
                <w:highlight w:val="none"/>
              </w:rPr>
              <w:t>本项目</w:t>
            </w:r>
            <w:r>
              <w:rPr>
                <w:rFonts w:hint="eastAsia" w:cs="Times New Roman"/>
                <w:bCs/>
                <w:color w:val="auto"/>
                <w:highlight w:val="none"/>
                <w:lang w:val="en-US" w:eastAsia="zh-CN"/>
              </w:rPr>
              <w:t>东面隔园区道路为空置厂房、南面隔园区道路为美伦建材（韶关）有限公司,西面</w:t>
            </w:r>
            <w:r>
              <w:rPr>
                <w:rFonts w:hint="default" w:ascii="Times New Roman" w:hAnsi="Times New Roman" w:cs="Times New Roman"/>
                <w:bCs/>
                <w:color w:val="auto"/>
                <w:highlight w:val="none"/>
              </w:rPr>
              <w:t>为</w:t>
            </w:r>
            <w:r>
              <w:rPr>
                <w:rFonts w:hint="eastAsia" w:cs="Times New Roman"/>
                <w:bCs/>
                <w:color w:val="auto"/>
                <w:highlight w:val="none"/>
                <w:lang w:val="en-US" w:eastAsia="zh-CN"/>
              </w:rPr>
              <w:t>空地,北</w:t>
            </w:r>
            <w:r>
              <w:rPr>
                <w:rFonts w:hint="default" w:ascii="Times New Roman" w:hAnsi="Times New Roman" w:cs="Times New Roman"/>
                <w:bCs/>
                <w:color w:val="auto"/>
                <w:highlight w:val="none"/>
              </w:rPr>
              <w:t>面</w:t>
            </w:r>
            <w:r>
              <w:rPr>
                <w:rFonts w:hint="eastAsia" w:ascii="Times New Roman" w:hAnsi="Times New Roman" w:cs="Times New Roman"/>
                <w:bCs/>
                <w:color w:val="auto"/>
                <w:highlight w:val="none"/>
                <w:lang w:val="en-US" w:eastAsia="zh-CN"/>
              </w:rPr>
              <w:t>为空置厂房</w:t>
            </w:r>
            <w:r>
              <w:rPr>
                <w:rFonts w:hint="eastAsia" w:cs="Times New Roman"/>
                <w:bCs/>
                <w:color w:val="auto"/>
                <w:highlight w:val="none"/>
                <w:lang w:val="en-US" w:eastAsia="zh-CN"/>
              </w:rPr>
              <w:t>。</w:t>
            </w:r>
            <w:r>
              <w:rPr>
                <w:rFonts w:hint="default" w:ascii="Times New Roman" w:hAnsi="Times New Roman" w:cs="Times New Roman"/>
                <w:bCs/>
                <w:color w:val="auto"/>
                <w:highlight w:val="none"/>
              </w:rPr>
              <w:t>本项目最近的环境保护目标为厂界</w:t>
            </w:r>
            <w:r>
              <w:rPr>
                <w:rFonts w:hint="eastAsia" w:cs="Times New Roman"/>
                <w:bCs/>
                <w:color w:val="auto"/>
                <w:highlight w:val="none"/>
                <w:lang w:val="en-US" w:eastAsia="zh-CN"/>
              </w:rPr>
              <w:t>北侧150m为规划居住区</w:t>
            </w:r>
            <w:r>
              <w:rPr>
                <w:rFonts w:hint="default" w:ascii="Times New Roman" w:hAnsi="Times New Roman" w:cs="Times New Roman"/>
                <w:bCs/>
                <w:color w:val="auto"/>
                <w:highlight w:val="none"/>
              </w:rPr>
              <w:t>，项目边界周围500m范围内无学校、医院、文物古迹、风景名胜区、自然保护区、水源保护区</w:t>
            </w:r>
            <w:r>
              <w:rPr>
                <w:rFonts w:hint="default" w:ascii="Times New Roman" w:hAnsi="Times New Roman" w:cs="Times New Roman"/>
                <w:color w:val="auto"/>
                <w:highlight w:val="none"/>
              </w:rPr>
              <w:t>。</w:t>
            </w:r>
            <w:bookmarkEnd w:id="26"/>
            <w:bookmarkEnd w:id="27"/>
          </w:p>
          <w:p w14:paraId="68BE332B">
            <w:pPr>
              <w:keepNext w:val="0"/>
              <w:keepLines w:val="0"/>
              <w:pageBreakBefore w:val="0"/>
              <w:widowControl w:val="0"/>
              <w:kinsoku/>
              <w:wordWrap w:val="0"/>
              <w:overflowPunct/>
              <w:topLinePunct w:val="0"/>
              <w:autoSpaceDE/>
              <w:autoSpaceDN/>
              <w:bidi w:val="0"/>
              <w:adjustRightInd w:val="0"/>
              <w:snapToGrid/>
              <w:ind w:firstLine="480" w:firstLineChars="200"/>
              <w:textAlignment w:val="auto"/>
              <w:outlineLvl w:val="9"/>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3、总平面布局</w:t>
            </w:r>
          </w:p>
          <w:p w14:paraId="2AD81BB3">
            <w:pPr>
              <w:keepNext w:val="0"/>
              <w:keepLines w:val="0"/>
              <w:pageBreakBefore w:val="0"/>
              <w:widowControl w:val="0"/>
              <w:kinsoku/>
              <w:wordWrap w:val="0"/>
              <w:overflowPunct/>
              <w:topLinePunct w:val="0"/>
              <w:autoSpaceDE/>
              <w:autoSpaceDN/>
              <w:bidi w:val="0"/>
              <w:adjustRightInd w:val="0"/>
              <w:snapToGrid/>
              <w:ind w:firstLine="480" w:firstLineChars="200"/>
              <w:textAlignment w:val="auto"/>
              <w:outlineLvl w:val="9"/>
              <w:rPr>
                <w:rFonts w:hint="default" w:ascii="Times New Roman" w:hAnsi="Times New Roman" w:cs="Times New Roman"/>
                <w:color w:val="auto"/>
                <w:highlight w:val="none"/>
              </w:rPr>
            </w:pPr>
            <w:r>
              <w:rPr>
                <w:rFonts w:hint="default" w:ascii="Times New Roman" w:hAnsi="Times New Roman" w:cs="Times New Roman"/>
                <w:b w:val="0"/>
                <w:bCs w:val="0"/>
                <w:color w:val="auto"/>
                <w:highlight w:val="none"/>
              </w:rPr>
              <w:t>本项目</w:t>
            </w:r>
            <w:r>
              <w:rPr>
                <w:rFonts w:hint="eastAsia" w:cs="Times New Roman"/>
                <w:b w:val="0"/>
                <w:bCs w:val="0"/>
                <w:color w:val="auto"/>
                <w:highlight w:val="none"/>
                <w:lang w:val="en-US" w:eastAsia="zh-CN"/>
              </w:rPr>
              <w:t>租赁1栋厂房</w:t>
            </w:r>
            <w:r>
              <w:rPr>
                <w:rFonts w:hint="default" w:ascii="Times New Roman" w:hAnsi="Times New Roman" w:cs="Times New Roman"/>
                <w:b w:val="0"/>
                <w:bCs w:val="0"/>
                <w:color w:val="auto"/>
                <w:highlight w:val="none"/>
              </w:rPr>
              <w:t>，</w:t>
            </w:r>
            <w:r>
              <w:rPr>
                <w:rFonts w:hint="eastAsia" w:cs="Times New Roman"/>
                <w:b w:val="0"/>
                <w:bCs w:val="0"/>
                <w:color w:val="auto"/>
                <w:highlight w:val="none"/>
                <w:lang w:val="en-US" w:eastAsia="zh-CN"/>
              </w:rPr>
              <w:t>内部</w:t>
            </w:r>
            <w:r>
              <w:rPr>
                <w:rFonts w:hint="default" w:ascii="Times New Roman" w:hAnsi="Times New Roman" w:cs="Times New Roman"/>
                <w:b w:val="0"/>
                <w:bCs w:val="0"/>
                <w:color w:val="auto"/>
                <w:highlight w:val="none"/>
              </w:rPr>
              <w:t>各区用途分明，布局紧凑，原料统一存放，便于物料的管理和风险控制，该区域地面设置防渗层，防止泄漏时下渗，防止污染土壤和地下水；</w:t>
            </w:r>
            <w:r>
              <w:rPr>
                <w:rFonts w:hint="eastAsia" w:cs="Times New Roman"/>
                <w:b w:val="0"/>
                <w:bCs w:val="0"/>
                <w:color w:val="auto"/>
                <w:highlight w:val="none"/>
                <w:lang w:val="en-US" w:eastAsia="zh-CN"/>
              </w:rPr>
              <w:t>生产</w:t>
            </w:r>
            <w:r>
              <w:rPr>
                <w:rFonts w:hint="default" w:ascii="Times New Roman" w:hAnsi="Times New Roman" w:eastAsia="宋体" w:cs="Times New Roman"/>
                <w:b w:val="0"/>
                <w:bCs/>
                <w:color w:val="auto"/>
                <w:sz w:val="24"/>
                <w:szCs w:val="24"/>
                <w:highlight w:val="none"/>
                <w:lang w:eastAsia="zh-CN"/>
              </w:rPr>
              <w:t>废气排气筒</w:t>
            </w:r>
            <w:r>
              <w:rPr>
                <w:rFonts w:hint="eastAsia" w:cs="Times New Roman"/>
                <w:b w:val="0"/>
                <w:bCs/>
                <w:color w:val="auto"/>
                <w:sz w:val="24"/>
                <w:szCs w:val="24"/>
                <w:highlight w:val="none"/>
                <w:lang w:val="en-US" w:eastAsia="zh-CN"/>
              </w:rPr>
              <w:t>设置在主导风向的下风向</w:t>
            </w:r>
            <w:r>
              <w:rPr>
                <w:rFonts w:hint="eastAsia" w:ascii="Times New Roman" w:hAnsi="Times New Roman" w:eastAsia="宋体" w:cs="Times New Roman"/>
                <w:b w:val="0"/>
                <w:bCs/>
                <w:color w:val="auto"/>
                <w:sz w:val="24"/>
                <w:szCs w:val="24"/>
                <w:highlight w:val="none"/>
                <w:lang w:eastAsia="zh-CN"/>
              </w:rPr>
              <w:t>。</w:t>
            </w:r>
            <w:r>
              <w:rPr>
                <w:rFonts w:hint="default" w:ascii="Times New Roman" w:hAnsi="Times New Roman" w:cs="Times New Roman"/>
                <w:b w:val="0"/>
                <w:bCs w:val="0"/>
                <w:color w:val="auto"/>
                <w:highlight w:val="none"/>
              </w:rPr>
              <w:t>本项目四周以工业性质企业、建设用地为主，因此本项目建设能与周边环境协调一致，项目四至情况卫星图见附图2，周边环境现状实景见附图1</w:t>
            </w:r>
            <w:r>
              <w:rPr>
                <w:rFonts w:hint="eastAsia" w:cs="Times New Roman"/>
                <w:b w:val="0"/>
                <w:bCs w:val="0"/>
                <w:color w:val="auto"/>
                <w:highlight w:val="none"/>
                <w:lang w:val="en-US" w:eastAsia="zh-CN"/>
              </w:rPr>
              <w:t>4</w:t>
            </w:r>
            <w:r>
              <w:rPr>
                <w:rFonts w:hint="default" w:ascii="Times New Roman" w:hAnsi="Times New Roman" w:cs="Times New Roman"/>
                <w:b w:val="0"/>
                <w:bCs w:val="0"/>
                <w:color w:val="auto"/>
                <w:highlight w:val="none"/>
              </w:rPr>
              <w:t>。</w:t>
            </w:r>
          </w:p>
        </w:tc>
      </w:tr>
      <w:tr w14:paraId="2EFEF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266" w:type="pct"/>
            <w:vAlign w:val="center"/>
          </w:tcPr>
          <w:p w14:paraId="42D7F5E3">
            <w:pPr>
              <w:keepNext w:val="0"/>
              <w:keepLines w:val="0"/>
              <w:pageBreakBefore w:val="0"/>
              <w:widowControl w:val="0"/>
              <w:numPr>
                <w:ilvl w:val="1"/>
                <w:numId w:val="0"/>
              </w:numPr>
              <w:tabs>
                <w:tab w:val="left" w:pos="420"/>
              </w:tabs>
              <w:kinsoku/>
              <w:wordWrap w:val="0"/>
              <w:overflowPunct/>
              <w:topLinePunct w:val="0"/>
              <w:autoSpaceDE/>
              <w:autoSpaceDN/>
              <w:bidi w:val="0"/>
              <w:adjustRightInd/>
              <w:snapToGrid/>
              <w:spacing w:line="240" w:lineRule="auto"/>
              <w:textAlignment w:val="auto"/>
              <w:outlineLvl w:val="9"/>
              <w:rPr>
                <w:rFonts w:hint="default" w:ascii="Times New Roman" w:hAnsi="Times New Roman" w:cs="Times New Roman"/>
                <w:color w:val="auto"/>
                <w:highlight w:val="none"/>
              </w:rPr>
            </w:pPr>
            <w:bookmarkStart w:id="28" w:name="_Toc25729"/>
            <w:bookmarkStart w:id="29" w:name="_Toc22477"/>
            <w:bookmarkStart w:id="30" w:name="_Toc14179"/>
            <w:bookmarkStart w:id="31" w:name="_Toc29759"/>
            <w:bookmarkStart w:id="32" w:name="_Toc7091"/>
            <w:r>
              <w:rPr>
                <w:rFonts w:hint="default" w:ascii="Times New Roman" w:hAnsi="Times New Roman" w:cs="Times New Roman"/>
                <w:color w:val="auto"/>
                <w:highlight w:val="none"/>
              </w:rPr>
              <w:t>工艺流程和产排污环节</w:t>
            </w:r>
            <w:bookmarkEnd w:id="28"/>
            <w:bookmarkEnd w:id="29"/>
            <w:bookmarkEnd w:id="30"/>
            <w:bookmarkEnd w:id="31"/>
            <w:bookmarkEnd w:id="32"/>
          </w:p>
        </w:tc>
        <w:tc>
          <w:tcPr>
            <w:tcW w:w="4733" w:type="pct"/>
          </w:tcPr>
          <w:p w14:paraId="74F09CA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eastAsia="zh-CN"/>
              </w:rPr>
            </w:pPr>
            <w:r>
              <w:rPr>
                <w:rFonts w:hint="default" w:ascii="Times New Roman" w:hAnsi="Times New Roman" w:cs="Times New Roman"/>
                <w:b/>
                <w:bCs w:val="0"/>
                <w:color w:val="auto"/>
                <w:sz w:val="24"/>
                <w:szCs w:val="24"/>
                <w:highlight w:val="none"/>
                <w:lang w:eastAsia="zh-CN"/>
              </w:rPr>
              <w:t>一、</w:t>
            </w:r>
            <w:r>
              <w:rPr>
                <w:rFonts w:hint="default" w:ascii="Times New Roman" w:hAnsi="Times New Roman" w:eastAsia="宋体" w:cs="Times New Roman"/>
                <w:b/>
                <w:bCs w:val="0"/>
                <w:color w:val="auto"/>
                <w:sz w:val="24"/>
                <w:szCs w:val="24"/>
                <w:highlight w:val="none"/>
                <w:lang w:eastAsia="zh-CN"/>
              </w:rPr>
              <w:t>工艺流程</w:t>
            </w:r>
          </w:p>
          <w:p w14:paraId="492CC74E">
            <w:pPr>
              <w:pageBreakBefore w:val="0"/>
              <w:numPr>
                <w:ilvl w:val="0"/>
                <w:numId w:val="0"/>
              </w:numPr>
              <w:tabs>
                <w:tab w:val="left" w:pos="420"/>
              </w:tabs>
              <w:kinsoku/>
              <w:wordWrap w:val="0"/>
              <w:overflowPunct/>
              <w:topLinePunct w:val="0"/>
              <w:bidi w:val="0"/>
              <w:snapToGrid/>
              <w:ind w:left="480" w:leftChars="200"/>
              <w:outlineLvl w:val="9"/>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储能电箱</w:t>
            </w:r>
            <w:r>
              <w:rPr>
                <w:rFonts w:hint="default" w:ascii="Times New Roman" w:hAnsi="Times New Roman" w:eastAsia="宋体" w:cs="Times New Roman"/>
                <w:b/>
                <w:bCs/>
                <w:color w:val="auto"/>
                <w:highlight w:val="none"/>
                <w:lang w:val="en-US" w:eastAsia="zh-CN"/>
              </w:rPr>
              <w:t>工艺流程</w:t>
            </w:r>
          </w:p>
          <w:p w14:paraId="56F2F34D">
            <w:pPr>
              <w:pageBreakBefore w:val="0"/>
              <w:numPr>
                <w:ilvl w:val="0"/>
                <w:numId w:val="0"/>
              </w:numPr>
              <w:tabs>
                <w:tab w:val="left" w:pos="420"/>
              </w:tabs>
              <w:kinsoku/>
              <w:wordWrap w:val="0"/>
              <w:overflowPunct/>
              <w:topLinePunct w:val="0"/>
              <w:bidi w:val="0"/>
              <w:snapToGrid/>
              <w:spacing w:line="240" w:lineRule="auto"/>
              <w:ind w:left="480" w:leftChars="200"/>
              <w:outlineLvl w:val="9"/>
              <w:rPr>
                <w:rFonts w:hint="default" w:ascii="Times New Roman" w:hAnsi="Times New Roman" w:cs="Times New Roman"/>
                <w:color w:val="auto"/>
                <w:highlight w:val="none"/>
              </w:rPr>
            </w:pPr>
            <w:r>
              <w:rPr>
                <w:color w:val="auto"/>
                <w:sz w:val="24"/>
                <w:highlight w:val="none"/>
              </w:rPr>
              <mc:AlternateContent>
                <mc:Choice Requires="wps">
                  <w:drawing>
                    <wp:anchor distT="0" distB="0" distL="0" distR="0" simplePos="0" relativeHeight="251660288" behindDoc="0" locked="0" layoutInCell="1" allowOverlap="1">
                      <wp:simplePos x="0" y="0"/>
                      <wp:positionH relativeFrom="column">
                        <wp:posOffset>939800</wp:posOffset>
                      </wp:positionH>
                      <wp:positionV relativeFrom="paragraph">
                        <wp:posOffset>6873240</wp:posOffset>
                      </wp:positionV>
                      <wp:extent cx="0" cy="180975"/>
                      <wp:effectExtent l="38100" t="0" r="38100" b="9525"/>
                      <wp:wrapNone/>
                      <wp:docPr id="1031" name="直接箭头连接符 35"/>
                      <wp:cNvGraphicFramePr/>
                      <a:graphic xmlns:a="http://schemas.openxmlformats.org/drawingml/2006/main">
                        <a:graphicData uri="http://schemas.microsoft.com/office/word/2010/wordprocessingShape">
                          <wps:wsp>
                            <wps:cNvCnPr/>
                            <wps:spPr>
                              <a:xfrm>
                                <a:off x="0" y="0"/>
                                <a:ext cx="0" cy="180975"/>
                              </a:xfrm>
                              <a:prstGeom prst="straightConnector1">
                                <a:avLst/>
                              </a:prstGeom>
                              <a:ln w="6350" cap="flat" cmpd="sng">
                                <a:solidFill>
                                  <a:srgbClr val="000000"/>
                                </a:solidFill>
                                <a:prstDash val="solid"/>
                                <a:round/>
                                <a:headEnd type="none" w="med" len="med"/>
                                <a:tailEnd type="triangle" w="med" len="med"/>
                              </a:ln>
                            </wps:spPr>
                            <wps:bodyPr/>
                          </wps:wsp>
                        </a:graphicData>
                      </a:graphic>
                    </wp:anchor>
                  </w:drawing>
                </mc:Choice>
                <mc:Fallback>
                  <w:pict>
                    <v:shape id="直接箭头连接符 35" o:spid="_x0000_s1026" o:spt="32" type="#_x0000_t32" style="position:absolute;left:0pt;margin-left:74pt;margin-top:541.2pt;height:14.25pt;width:0pt;z-index:251660288;mso-width-relative:page;mso-height-relative:page;" filled="f" stroked="t" coordsize="21600,21600" o:gfxdata="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a7I62AAAAA0BAAAPAAAAAAAAAAEAIAAA&#10;ACIAAABkcnMvZG93bnJldi54bWxQSwECFAAUAAAACACHTuJAaghfqgwCAAD9AwAADgAAAAAAAAAB&#10;ACAAAAAnAQAAZHJzL2Uyb0RvYy54bWxQSwUGAAAAAAYABgBZAQAApQUAAAAA&#10;">
                      <v:fill on="f" focussize="0,0"/>
                      <v:stroke weight="0.5pt" color="#000000" joinstyle="round" endarrow="block"/>
                      <v:imagedata o:title=""/>
                      <o:lock v:ext="edit" aspectratio="f"/>
                    </v:shape>
                  </w:pict>
                </mc:Fallback>
              </mc:AlternateContent>
            </w:r>
            <w:r>
              <w:rPr>
                <w:color w:val="auto"/>
                <w:sz w:val="24"/>
                <w:highlight w:val="none"/>
              </w:rPr>
              <mc:AlternateContent>
                <mc:Choice Requires="wps">
                  <w:drawing>
                    <wp:anchor distT="0" distB="0" distL="0" distR="0" simplePos="0" relativeHeight="251660288" behindDoc="0" locked="0" layoutInCell="1" allowOverlap="1">
                      <wp:simplePos x="0" y="0"/>
                      <wp:positionH relativeFrom="column">
                        <wp:posOffset>516255</wp:posOffset>
                      </wp:positionH>
                      <wp:positionV relativeFrom="paragraph">
                        <wp:posOffset>6525895</wp:posOffset>
                      </wp:positionV>
                      <wp:extent cx="848360" cy="346710"/>
                      <wp:effectExtent l="0" t="0" r="8890" b="15240"/>
                      <wp:wrapNone/>
                      <wp:docPr id="1032" name="文本框 6"/>
                      <wp:cNvGraphicFramePr/>
                      <a:graphic xmlns:a="http://schemas.openxmlformats.org/drawingml/2006/main">
                        <a:graphicData uri="http://schemas.microsoft.com/office/word/2010/wordprocessingShape">
                          <wps:wsp>
                            <wps:cNvSpPr/>
                            <wps:spPr>
                              <a:xfrm>
                                <a:off x="0" y="0"/>
                                <a:ext cx="848360" cy="346709"/>
                              </a:xfrm>
                              <a:prstGeom prst="rect">
                                <a:avLst/>
                              </a:prstGeom>
                              <a:solidFill>
                                <a:srgbClr val="FFFFFF"/>
                              </a:solidFill>
                              <a:ln>
                                <a:noFill/>
                              </a:ln>
                            </wps:spPr>
                            <wps:txbx>
                              <w:txbxContent>
                                <w:p w14:paraId="3CAAA92C">
                                  <w:pPr>
                                    <w:spacing w:line="240" w:lineRule="auto"/>
                                    <w:rPr>
                                      <w:rFonts w:hint="default" w:eastAsia="宋体"/>
                                      <w:sz w:val="18"/>
                                      <w:szCs w:val="18"/>
                                      <w:lang w:val="en-US" w:eastAsia="zh-CN"/>
                                    </w:rPr>
                                  </w:pPr>
                                  <w:r>
                                    <w:rPr>
                                      <w:rFonts w:hint="eastAsia"/>
                                      <w:sz w:val="18"/>
                                      <w:szCs w:val="18"/>
                                      <w:lang w:val="en-US" w:eastAsia="zh-CN"/>
                                    </w:rPr>
                                    <w:t>网版清洗剂</w:t>
                                  </w:r>
                                </w:p>
                              </w:txbxContent>
                            </wps:txbx>
                            <wps:bodyPr vert="horz" wrap="square" lIns="91440" tIns="45720" rIns="91440" bIns="45720" anchor="t">
                              <a:noAutofit/>
                            </wps:bodyPr>
                          </wps:wsp>
                        </a:graphicData>
                      </a:graphic>
                    </wp:anchor>
                  </w:drawing>
                </mc:Choice>
                <mc:Fallback>
                  <w:pict>
                    <v:rect id="文本框 6" o:spid="_x0000_s1026" o:spt="1" style="position:absolute;left:0pt;margin-left:40.65pt;margin-top:513.85pt;height:27.3pt;width:66.8pt;z-index:251660288;mso-width-relative:page;mso-height-relative:page;" fillcolor="#FFFFFF" filled="t" stroked="f" coordsize="21600,21600" o:gfxdata="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3T2Nb2QAAAAwBAAAPAAAAAAAAAAEAIAAAACIAAABkcnMvZG93bnJldi54bWxQSwECFAAU&#10;AAAACACHTuJA29+9CfABAADWAwAADgAAAAAAAAABACAAAAAoAQAAZHJzL2Uyb0RvYy54bWxQSwUG&#10;AAAAAAYABgBZAQAAigUAAAAA&#10;">
                      <v:fill on="t" focussize="0,0"/>
                      <v:stroke on="f"/>
                      <v:imagedata o:title=""/>
                      <o:lock v:ext="edit" aspectratio="f"/>
                      <v:textbox>
                        <w:txbxContent>
                          <w:p w14:paraId="3CAAA92C">
                            <w:pPr>
                              <w:spacing w:line="240" w:lineRule="auto"/>
                              <w:rPr>
                                <w:rFonts w:hint="default" w:eastAsia="宋体"/>
                                <w:sz w:val="18"/>
                                <w:szCs w:val="18"/>
                                <w:lang w:val="en-US" w:eastAsia="zh-CN"/>
                              </w:rPr>
                            </w:pPr>
                            <w:r>
                              <w:rPr>
                                <w:rFonts w:hint="eastAsia"/>
                                <w:sz w:val="18"/>
                                <w:szCs w:val="18"/>
                                <w:lang w:val="en-US" w:eastAsia="zh-CN"/>
                              </w:rPr>
                              <w:t>网版清洗剂</w:t>
                            </w:r>
                          </w:p>
                        </w:txbxContent>
                      </v:textbox>
                    </v:rect>
                  </w:pict>
                </mc:Fallback>
              </mc:AlternateContent>
            </w:r>
            <w:r>
              <w:rPr>
                <w:color w:val="auto"/>
                <w:sz w:val="24"/>
                <w:highlight w:val="none"/>
              </w:rPr>
              <mc:AlternateContent>
                <mc:Choice Requires="wpg">
                  <w:drawing>
                    <wp:anchor distT="0" distB="0" distL="0" distR="0" simplePos="0" relativeHeight="251660288" behindDoc="0" locked="0" layoutInCell="1" allowOverlap="1">
                      <wp:simplePos x="0" y="0"/>
                      <wp:positionH relativeFrom="column">
                        <wp:posOffset>516255</wp:posOffset>
                      </wp:positionH>
                      <wp:positionV relativeFrom="paragraph">
                        <wp:posOffset>5519420</wp:posOffset>
                      </wp:positionV>
                      <wp:extent cx="4412615" cy="666750"/>
                      <wp:effectExtent l="0" t="0" r="6985" b="0"/>
                      <wp:wrapNone/>
                      <wp:docPr id="1033" name="组合 40"/>
                      <wp:cNvGraphicFramePr/>
                      <a:graphic xmlns:a="http://schemas.openxmlformats.org/drawingml/2006/main">
                        <a:graphicData uri="http://schemas.microsoft.com/office/word/2010/wordprocessingGroup">
                          <wpg:wgp>
                            <wpg:cNvGrpSpPr/>
                            <wpg:grpSpPr>
                              <a:xfrm rot="0">
                                <a:off x="0" y="0"/>
                                <a:ext cx="4412615" cy="666750"/>
                                <a:chOff x="5795" y="592539"/>
                                <a:chExt cx="6949" cy="1050"/>
                              </a:xfrm>
                            </wpg:grpSpPr>
                            <wps:wsp>
                              <wps:cNvPr id="1" name="矩形 1"/>
                              <wps:cNvSpPr/>
                              <wps:spPr>
                                <a:xfrm>
                                  <a:off x="5795" y="592654"/>
                                  <a:ext cx="2359" cy="750"/>
                                </a:xfrm>
                                <a:prstGeom prst="rect">
                                  <a:avLst/>
                                </a:prstGeom>
                                <a:solidFill>
                                  <a:srgbClr val="FFFFFF"/>
                                </a:solidFill>
                                <a:ln>
                                  <a:noFill/>
                                </a:ln>
                              </wps:spPr>
                              <wps:txbx>
                                <w:txbxContent>
                                  <w:p w14:paraId="785CDFEB">
                                    <w:pPr>
                                      <w:rPr>
                                        <w:rFonts w:hint="default" w:eastAsia="宋体"/>
                                        <w:sz w:val="20"/>
                                        <w:szCs w:val="20"/>
                                        <w:lang w:val="en-US" w:eastAsia="zh-CN"/>
                                      </w:rPr>
                                    </w:pPr>
                                    <w:r>
                                      <w:rPr>
                                        <w:rFonts w:hint="eastAsia"/>
                                        <w:sz w:val="20"/>
                                        <w:szCs w:val="20"/>
                                        <w:lang w:val="en-US" w:eastAsia="zh-CN"/>
                                      </w:rPr>
                                      <w:t>水性漆、油漆、固化剂</w:t>
                                    </w:r>
                                  </w:p>
                                </w:txbxContent>
                              </wps:txbx>
                              <wps:bodyPr vert="horz" wrap="square" lIns="91440" tIns="45720" rIns="91440" bIns="45720" anchor="t">
                                <a:noAutofit/>
                              </wps:bodyPr>
                            </wps:wsp>
                            <wps:wsp>
                              <wps:cNvPr id="2" name="矩形 2"/>
                              <wps:cNvSpPr/>
                              <wps:spPr>
                                <a:xfrm>
                                  <a:off x="10386" y="592539"/>
                                  <a:ext cx="2359" cy="1050"/>
                                </a:xfrm>
                                <a:prstGeom prst="rect">
                                  <a:avLst/>
                                </a:prstGeom>
                                <a:solidFill>
                                  <a:srgbClr val="FFFFFF"/>
                                </a:solidFill>
                                <a:ln>
                                  <a:noFill/>
                                </a:ln>
                              </wps:spPr>
                              <wps:txbx>
                                <w:txbxContent>
                                  <w:p w14:paraId="42FD6294">
                                    <w:pPr>
                                      <w:spacing w:line="240" w:lineRule="auto"/>
                                      <w:rPr>
                                        <w:rFonts w:hint="default" w:eastAsia="宋体"/>
                                        <w:sz w:val="20"/>
                                        <w:szCs w:val="20"/>
                                        <w:lang w:val="en-US" w:eastAsia="zh-CN"/>
                                      </w:rPr>
                                    </w:pPr>
                                    <w:r>
                                      <w:rPr>
                                        <w:rFonts w:hint="eastAsia"/>
                                        <w:sz w:val="20"/>
                                        <w:szCs w:val="20"/>
                                        <w:lang w:val="en-US" w:eastAsia="zh-CN"/>
                                      </w:rPr>
                                      <w:t>颗粒物、NMHC、苯系物、臭气浓度、固废、噪声</w:t>
                                    </w:r>
                                  </w:p>
                                </w:txbxContent>
                              </wps:txbx>
                              <wps:bodyPr vert="horz" wrap="square" lIns="91440" tIns="45720" rIns="91440" bIns="45720" anchor="t">
                                <a:noAutofit/>
                              </wps:bodyPr>
                            </wps:wsp>
                          </wpg:wgp>
                        </a:graphicData>
                      </a:graphic>
                    </wp:anchor>
                  </w:drawing>
                </mc:Choice>
                <mc:Fallback>
                  <w:pict>
                    <v:group id="组合 40" o:spid="_x0000_s1026" o:spt="203" style="position:absolute;left:0pt;margin-left:40.65pt;margin-top:434.6pt;height:52.5pt;width:347.45pt;z-index:251660288;mso-width-relative:page;mso-height-relative:page;" coordorigin="5795,592539" coordsize="6949,1050" o:gfxdata="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a0qCr2wAA&#10;AAoBAAAPAAAAAAAAAAEAIAAAACIAAABkcnMvZG93bnJldi54bWxQSwECFAAUAAAACACHTuJA7T89&#10;JI0CAAAIBwAADgAAAAAAAAABACAAAAAqAQAAZHJzL2Uyb0RvYy54bWxQSwUGAAAAAAYABgBZAQAA&#10;KQYAAAAA&#10;">
                      <o:lock v:ext="edit" aspectratio="f"/>
                      <v:rect id="_x0000_s1026" o:spid="_x0000_s1026" o:spt="1" style="position:absolute;left:5795;top:592654;height:750;width:2359;" fillcolor="#FFFFFF" filled="t" stroked="f" coordsize="21600,21600" o:gfxdata="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9MfiK5AAAA2g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785CDFEB">
                              <w:pPr>
                                <w:rPr>
                                  <w:rFonts w:hint="default" w:eastAsia="宋体"/>
                                  <w:sz w:val="20"/>
                                  <w:szCs w:val="20"/>
                                  <w:lang w:val="en-US" w:eastAsia="zh-CN"/>
                                </w:rPr>
                              </w:pPr>
                              <w:r>
                                <w:rPr>
                                  <w:rFonts w:hint="eastAsia"/>
                                  <w:sz w:val="20"/>
                                  <w:szCs w:val="20"/>
                                  <w:lang w:val="en-US" w:eastAsia="zh-CN"/>
                                </w:rPr>
                                <w:t>水性漆、油漆、固化剂</w:t>
                              </w:r>
                            </w:p>
                          </w:txbxContent>
                        </v:textbox>
                      </v:rect>
                      <v:rect id="_x0000_s1026" o:spid="_x0000_s1026" o:spt="1" style="position:absolute;left:10386;top:592539;height:1050;width:2359;" fillcolor="#FFFFFF" filled="t" stroked="f" coordsize="21600,21600" o:gfxdata="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4FW8AAAA&#10;2g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42FD6294">
                              <w:pPr>
                                <w:spacing w:line="240" w:lineRule="auto"/>
                                <w:rPr>
                                  <w:rFonts w:hint="default" w:eastAsia="宋体"/>
                                  <w:sz w:val="20"/>
                                  <w:szCs w:val="20"/>
                                  <w:lang w:val="en-US" w:eastAsia="zh-CN"/>
                                </w:rPr>
                              </w:pPr>
                              <w:r>
                                <w:rPr>
                                  <w:rFonts w:hint="eastAsia"/>
                                  <w:sz w:val="20"/>
                                  <w:szCs w:val="20"/>
                                  <w:lang w:val="en-US" w:eastAsia="zh-CN"/>
                                </w:rPr>
                                <w:t>颗粒物、NMHC、苯系物、臭气浓度、固废、噪声</w:t>
                              </w:r>
                            </w:p>
                          </w:txbxContent>
                        </v:textbox>
                      </v:rect>
                    </v:group>
                  </w:pict>
                </mc:Fallback>
              </mc:AlternateContent>
            </w:r>
            <w:r>
              <w:rPr>
                <w:rFonts w:hint="default" w:ascii="Times New Roman" w:hAnsi="Times New Roman" w:eastAsia="宋体" w:cs="Times New Roman"/>
                <w:b/>
                <w:bCs/>
                <w:color w:val="auto"/>
                <w:highlight w:val="none"/>
                <w:lang w:val="en-US" w:eastAsia="zh-CN"/>
              </w:rPr>
              <w:object>
                <v:shape id="_x0000_i1026" o:spt="75" type="#_x0000_t75" style="height:646.5pt;width:362.8pt;" o:ole="t" filled="f" stroked="f" coordsize="21600,21600">
                  <v:path/>
                  <v:fill on="f" focussize="0,0"/>
                  <v:stroke on="f"/>
                  <v:imagedata r:id="rId15" embosscolor="#FFFFFF" o:title=""/>
                  <o:lock v:ext="edit" aspectratio="t"/>
                  <w10:wrap type="none"/>
                  <w10:anchorlock/>
                </v:shape>
                <o:OLEObject Type="Embed" ProgID="Visio.Drawing.15" ShapeID="_x0000_i1026" DrawAspect="Content" ObjectID="_1468075726" r:id="rId14">
                  <o:LockedField>false</o:LockedField>
                </o:OLEObject>
              </w:object>
            </w:r>
          </w:p>
          <w:p w14:paraId="75735878">
            <w:pPr>
              <w:pStyle w:val="17"/>
              <w:pageBreakBefore w:val="0"/>
              <w:kinsoku/>
              <w:wordWrap w:val="0"/>
              <w:overflowPunct/>
              <w:topLinePunct w:val="0"/>
              <w:bidi w:val="0"/>
              <w:snapToGrid/>
              <w:spacing w:line="240" w:lineRule="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图</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STYLEREF 1 \s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w:t>
            </w:r>
            <w:r>
              <w:rPr>
                <w:rFonts w:hint="eastAsia" w:cs="Times New Roman"/>
                <w:color w:val="auto"/>
                <w:highlight w:val="none"/>
                <w:lang w:val="en-US" w:eastAsia="zh-CN"/>
              </w:rPr>
              <w:t>2</w:t>
            </w:r>
            <w:r>
              <w:rPr>
                <w:rFonts w:hint="default" w:ascii="Times New Roman" w:hAnsi="Times New Roman" w:cs="Times New Roman"/>
                <w:color w:val="auto"/>
                <w:highlight w:val="none"/>
              </w:rPr>
              <w:t xml:space="preserve"> 生产工艺流程图</w:t>
            </w:r>
          </w:p>
          <w:p w14:paraId="52796F5A">
            <w:pPr>
              <w:pageBreakBefore w:val="0"/>
              <w:numPr>
                <w:ilvl w:val="0"/>
                <w:numId w:val="0"/>
              </w:numPr>
              <w:tabs>
                <w:tab w:val="left" w:pos="420"/>
              </w:tabs>
              <w:kinsoku/>
              <w:wordWrap w:val="0"/>
              <w:overflowPunct/>
              <w:topLinePunct w:val="0"/>
              <w:bidi w:val="0"/>
              <w:snapToGrid/>
              <w:ind w:left="480" w:leftChars="200"/>
              <w:outlineLvl w:val="9"/>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工艺</w:t>
            </w:r>
            <w:r>
              <w:rPr>
                <w:rFonts w:hint="default" w:ascii="Times New Roman" w:hAnsi="Times New Roman" w:cs="Times New Roman"/>
                <w:b/>
                <w:bCs/>
                <w:color w:val="auto"/>
                <w:highlight w:val="none"/>
                <w:lang w:eastAsia="zh-CN"/>
              </w:rPr>
              <w:t>流程简述</w:t>
            </w:r>
            <w:r>
              <w:rPr>
                <w:rFonts w:hint="default" w:ascii="Times New Roman" w:hAnsi="Times New Roman" w:cs="Times New Roman"/>
                <w:b/>
                <w:bCs/>
                <w:color w:val="auto"/>
                <w:highlight w:val="none"/>
              </w:rPr>
              <w:t>：</w:t>
            </w:r>
          </w:p>
          <w:p w14:paraId="560E04D6">
            <w:pPr>
              <w:pageBreakBefore w:val="0"/>
              <w:numPr>
                <w:ilvl w:val="0"/>
                <w:numId w:val="0"/>
              </w:numPr>
              <w:tabs>
                <w:tab w:val="left" w:pos="0"/>
              </w:tabs>
              <w:wordWrap w:val="0"/>
              <w:overflowPunct/>
              <w:bidi w:val="0"/>
              <w:adjustRightInd w:val="0"/>
              <w:snapToGrid w:val="0"/>
              <w:spacing w:line="360" w:lineRule="auto"/>
              <w:ind w:right="120" w:rightChars="50" w:firstLine="420" w:firstLineChars="0"/>
              <w:rPr>
                <w:rFonts w:hint="eastAsia" w:cs="Times New Roman"/>
                <w:b w:val="0"/>
                <w:bCs w:val="0"/>
                <w:color w:val="auto"/>
                <w:highlight w:val="none"/>
                <w:lang w:val="en-US" w:eastAsia="zh-CN"/>
              </w:rPr>
            </w:pPr>
            <w:r>
              <w:rPr>
                <w:rFonts w:hint="eastAsia" w:cs="Times New Roman"/>
                <w:b/>
                <w:bCs/>
                <w:color w:val="auto"/>
                <w:highlight w:val="none"/>
                <w:lang w:val="en-US" w:eastAsia="zh-CN"/>
              </w:rPr>
              <w:t>开料：</w:t>
            </w:r>
            <w:r>
              <w:rPr>
                <w:rFonts w:hint="eastAsia" w:cs="Times New Roman"/>
                <w:b w:val="0"/>
                <w:bCs w:val="0"/>
                <w:color w:val="auto"/>
                <w:highlight w:val="none"/>
                <w:lang w:val="en-US" w:eastAsia="zh-CN"/>
              </w:rPr>
              <w:t>外购钢材原料经激光切割设备切割成大小合适的尺寸，粗加工成型。此过程会产生金属切割粉尘、钢材边角料和噪声。</w:t>
            </w:r>
          </w:p>
          <w:p w14:paraId="03D47C0D">
            <w:pPr>
              <w:pageBreakBefore w:val="0"/>
              <w:numPr>
                <w:ilvl w:val="0"/>
                <w:numId w:val="0"/>
              </w:numPr>
              <w:tabs>
                <w:tab w:val="left" w:pos="0"/>
              </w:tabs>
              <w:wordWrap w:val="0"/>
              <w:overflowPunct/>
              <w:bidi w:val="0"/>
              <w:adjustRightInd w:val="0"/>
              <w:snapToGrid w:val="0"/>
              <w:spacing w:line="360" w:lineRule="auto"/>
              <w:ind w:right="120" w:rightChars="50" w:firstLine="420" w:firstLineChars="0"/>
              <w:rPr>
                <w:rFonts w:hint="eastAsia" w:cs="Times New Roman"/>
                <w:b/>
                <w:bCs/>
                <w:color w:val="auto"/>
                <w:highlight w:val="none"/>
                <w:lang w:val="en-US" w:eastAsia="zh-CN"/>
              </w:rPr>
            </w:pPr>
            <w:r>
              <w:rPr>
                <w:rFonts w:hint="eastAsia" w:cs="Times New Roman"/>
                <w:b/>
                <w:bCs/>
                <w:color w:val="auto"/>
                <w:highlight w:val="none"/>
                <w:lang w:val="en-US" w:eastAsia="zh-CN"/>
              </w:rPr>
              <w:t>折弯 / 铆钉 / 焊接：</w:t>
            </w:r>
            <w:r>
              <w:rPr>
                <w:rFonts w:hint="eastAsia" w:cs="Times New Roman"/>
                <w:b w:val="0"/>
                <w:bCs w:val="0"/>
                <w:color w:val="auto"/>
                <w:highlight w:val="none"/>
                <w:lang w:val="en-US" w:eastAsia="zh-CN"/>
              </w:rPr>
              <w:t>板材通过折弯机折弯成型，随后经铆钉机完成铆接装配，最后通过电焊机进行焊接拼接。此过程会产生焊接烟尘（金属粉尘）颗粒物、焊接噪声及少量焊接废料。</w:t>
            </w:r>
          </w:p>
          <w:p w14:paraId="52A8F616">
            <w:pPr>
              <w:pageBreakBefore w:val="0"/>
              <w:numPr>
                <w:ilvl w:val="0"/>
                <w:numId w:val="0"/>
              </w:numPr>
              <w:tabs>
                <w:tab w:val="left" w:pos="0"/>
              </w:tabs>
              <w:wordWrap w:val="0"/>
              <w:overflowPunct/>
              <w:bidi w:val="0"/>
              <w:adjustRightInd w:val="0"/>
              <w:snapToGrid w:val="0"/>
              <w:spacing w:line="360" w:lineRule="auto"/>
              <w:ind w:right="120" w:rightChars="50" w:firstLine="420" w:firstLineChars="0"/>
              <w:rPr>
                <w:rFonts w:hint="eastAsia" w:cs="Times New Roman"/>
                <w:b w:val="0"/>
                <w:bCs w:val="0"/>
                <w:color w:val="auto"/>
                <w:highlight w:val="none"/>
                <w:lang w:val="en-US" w:eastAsia="zh-CN"/>
              </w:rPr>
            </w:pPr>
            <w:r>
              <w:rPr>
                <w:rFonts w:hint="eastAsia" w:cs="Times New Roman"/>
                <w:b/>
                <w:bCs/>
                <w:color w:val="auto"/>
                <w:highlight w:val="none"/>
                <w:lang w:val="en-US" w:eastAsia="zh-CN"/>
              </w:rPr>
              <w:t>打磨：</w:t>
            </w:r>
            <w:r>
              <w:rPr>
                <w:rFonts w:hint="eastAsia" w:cs="Times New Roman"/>
                <w:b w:val="0"/>
                <w:bCs w:val="0"/>
                <w:color w:val="auto"/>
                <w:highlight w:val="none"/>
                <w:lang w:val="en-US" w:eastAsia="zh-CN"/>
              </w:rPr>
              <w:t>对焊接焊缝、板材毛刺及不平整部位进行人工 / 机械打磨处理。此过程会产生金属打磨粉尘和噪声。</w:t>
            </w:r>
          </w:p>
          <w:p w14:paraId="71A57819">
            <w:pPr>
              <w:pageBreakBefore w:val="0"/>
              <w:numPr>
                <w:ilvl w:val="0"/>
                <w:numId w:val="0"/>
              </w:numPr>
              <w:tabs>
                <w:tab w:val="left" w:pos="0"/>
              </w:tabs>
              <w:wordWrap w:val="0"/>
              <w:overflowPunct/>
              <w:bidi w:val="0"/>
              <w:adjustRightInd w:val="0"/>
              <w:snapToGrid w:val="0"/>
              <w:spacing w:line="360" w:lineRule="auto"/>
              <w:ind w:right="120" w:rightChars="50" w:firstLine="420" w:firstLineChars="0"/>
              <w:rPr>
                <w:rFonts w:hint="eastAsia" w:cs="Times New Roman"/>
                <w:b/>
                <w:bCs/>
                <w:color w:val="auto"/>
                <w:highlight w:val="none"/>
                <w:lang w:val="en-US" w:eastAsia="zh-CN"/>
              </w:rPr>
            </w:pPr>
            <w:r>
              <w:rPr>
                <w:rFonts w:hint="eastAsia" w:cs="Times New Roman"/>
                <w:b/>
                <w:bCs/>
                <w:color w:val="auto"/>
                <w:highlight w:val="none"/>
                <w:lang w:val="en-US" w:eastAsia="zh-CN"/>
              </w:rPr>
              <w:t>除油 / 水洗：</w:t>
            </w:r>
            <w:r>
              <w:rPr>
                <w:rFonts w:hint="eastAsia" w:cs="Times New Roman"/>
                <w:b w:val="0"/>
                <w:bCs w:val="0"/>
                <w:color w:val="auto"/>
                <w:highlight w:val="none"/>
                <w:lang w:val="en-US" w:eastAsia="zh-CN"/>
              </w:rPr>
              <w:t>采用脱脂剂对工件表面进行除油处理，随后经水洗工序去除残留药剂。此过程会产生除油废水及水洗废水。</w:t>
            </w:r>
          </w:p>
          <w:p w14:paraId="50B54494">
            <w:pPr>
              <w:pageBreakBefore w:val="0"/>
              <w:numPr>
                <w:ilvl w:val="0"/>
                <w:numId w:val="0"/>
              </w:numPr>
              <w:tabs>
                <w:tab w:val="left" w:pos="0"/>
              </w:tabs>
              <w:wordWrap w:val="0"/>
              <w:overflowPunct/>
              <w:bidi w:val="0"/>
              <w:adjustRightInd w:val="0"/>
              <w:snapToGrid w:val="0"/>
              <w:spacing w:line="360" w:lineRule="auto"/>
              <w:ind w:right="120" w:rightChars="50" w:firstLine="420" w:firstLineChars="0"/>
              <w:rPr>
                <w:rFonts w:hint="default" w:cs="Times New Roman"/>
                <w:b w:val="0"/>
                <w:bCs w:val="0"/>
                <w:color w:val="auto"/>
                <w:highlight w:val="none"/>
                <w:lang w:val="en-US" w:eastAsia="zh-CN"/>
              </w:rPr>
            </w:pPr>
            <w:r>
              <w:rPr>
                <w:rFonts w:hint="eastAsia" w:cs="Times New Roman"/>
                <w:b/>
                <w:bCs/>
                <w:color w:val="auto"/>
                <w:highlight w:val="none"/>
                <w:lang w:val="en-US" w:eastAsia="zh-CN"/>
              </w:rPr>
              <w:t>除锈 / 表调：</w:t>
            </w:r>
            <w:r>
              <w:rPr>
                <w:rFonts w:hint="eastAsia" w:cs="Times New Roman"/>
                <w:b w:val="0"/>
                <w:bCs w:val="0"/>
                <w:color w:val="auto"/>
                <w:highlight w:val="none"/>
                <w:lang w:val="en-US" w:eastAsia="zh-CN"/>
              </w:rPr>
              <w:t>通过酸洗溶液去除工件表面锈层，再经表调液对工件表面进行活化处理。本项目使用环保型有机酸除锈剂，主要成分为柠檬酸、酒石酸，酸洗温度为常温酸洗（20-35℃），除锈剂的沸点为102℃。柠檬酸的熔点：153～159℃，175℃开始受热分解（脱水、脱羧，裂解挥发），常压 310℃完全分解，常温无挥发。酒石酸熔点 170～172℃，200℃以上逐步高温分解挥发，常压沸点 386~399℃（高温分解），常温无挥发。因此酸洗过程无酸雾产生。</w:t>
            </w:r>
          </w:p>
          <w:p w14:paraId="494CE4D0">
            <w:pPr>
              <w:pageBreakBefore w:val="0"/>
              <w:numPr>
                <w:ilvl w:val="0"/>
                <w:numId w:val="0"/>
              </w:numPr>
              <w:tabs>
                <w:tab w:val="left" w:pos="0"/>
              </w:tabs>
              <w:wordWrap w:val="0"/>
              <w:overflowPunct/>
              <w:bidi w:val="0"/>
              <w:adjustRightInd w:val="0"/>
              <w:snapToGrid w:val="0"/>
              <w:spacing w:line="360" w:lineRule="auto"/>
              <w:ind w:right="120" w:rightChars="50" w:firstLine="420" w:firstLineChars="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此过程会产生酸洗废水、表调废水及水洗废水。</w:t>
            </w:r>
          </w:p>
          <w:p w14:paraId="2EA38297">
            <w:pPr>
              <w:pageBreakBefore w:val="0"/>
              <w:numPr>
                <w:ilvl w:val="0"/>
                <w:numId w:val="0"/>
              </w:numPr>
              <w:tabs>
                <w:tab w:val="left" w:pos="0"/>
              </w:tabs>
              <w:wordWrap w:val="0"/>
              <w:overflowPunct/>
              <w:bidi w:val="0"/>
              <w:adjustRightInd w:val="0"/>
              <w:snapToGrid w:val="0"/>
              <w:spacing w:line="360" w:lineRule="auto"/>
              <w:ind w:right="120" w:rightChars="50" w:firstLine="420" w:firstLineChars="0"/>
              <w:rPr>
                <w:rFonts w:hint="eastAsia" w:cs="Times New Roman"/>
                <w:b/>
                <w:bCs/>
                <w:color w:val="auto"/>
                <w:highlight w:val="none"/>
                <w:lang w:val="en-US" w:eastAsia="zh-CN"/>
              </w:rPr>
            </w:pPr>
            <w:r>
              <w:rPr>
                <w:rFonts w:hint="eastAsia" w:cs="Times New Roman"/>
                <w:b/>
                <w:bCs/>
                <w:color w:val="auto"/>
                <w:highlight w:val="none"/>
                <w:lang w:val="en-US" w:eastAsia="zh-CN"/>
              </w:rPr>
              <w:t>磷化 / 水洗：</w:t>
            </w:r>
            <w:r>
              <w:rPr>
                <w:rFonts w:hint="eastAsia" w:cs="Times New Roman"/>
                <w:b w:val="0"/>
                <w:bCs w:val="0"/>
                <w:color w:val="auto"/>
                <w:highlight w:val="none"/>
                <w:lang w:val="en-US" w:eastAsia="zh-CN"/>
              </w:rPr>
              <w:t>将工件浸入磷化液中形成磷化膜，再经多道水洗工序去除残留磷化液。此过程会产生磷化废水及水洗废水。</w:t>
            </w:r>
          </w:p>
          <w:p w14:paraId="7577BA06">
            <w:pPr>
              <w:pageBreakBefore w:val="0"/>
              <w:numPr>
                <w:ilvl w:val="0"/>
                <w:numId w:val="0"/>
              </w:numPr>
              <w:tabs>
                <w:tab w:val="left" w:pos="0"/>
              </w:tabs>
              <w:wordWrap w:val="0"/>
              <w:overflowPunct/>
              <w:bidi w:val="0"/>
              <w:adjustRightInd w:val="0"/>
              <w:snapToGrid w:val="0"/>
              <w:spacing w:line="360" w:lineRule="auto"/>
              <w:ind w:right="120" w:rightChars="50" w:firstLine="420" w:firstLineChars="0"/>
              <w:rPr>
                <w:rFonts w:hint="eastAsia" w:cs="Times New Roman"/>
                <w:b w:val="0"/>
                <w:bCs w:val="0"/>
                <w:color w:val="auto"/>
                <w:highlight w:val="none"/>
                <w:lang w:val="en-US" w:eastAsia="zh-CN"/>
              </w:rPr>
            </w:pPr>
            <w:r>
              <w:rPr>
                <w:rFonts w:hint="eastAsia" w:cs="Times New Roman"/>
                <w:b/>
                <w:bCs/>
                <w:color w:val="auto"/>
                <w:highlight w:val="none"/>
                <w:lang w:val="en-US" w:eastAsia="zh-CN"/>
              </w:rPr>
              <w:t>打磨：</w:t>
            </w:r>
            <w:r>
              <w:rPr>
                <w:rFonts w:hint="eastAsia" w:cs="Times New Roman"/>
                <w:b w:val="0"/>
                <w:bCs w:val="0"/>
                <w:color w:val="auto"/>
                <w:highlight w:val="none"/>
                <w:lang w:val="en-US" w:eastAsia="zh-CN"/>
              </w:rPr>
              <w:t>对磷化处理后的工件表面进行精细打磨，去除浮锈及残留杂质。此过程会产生金属粉尘和噪声，粉尘产污量极小，并入第一次打磨粉尘一并核算。</w:t>
            </w:r>
          </w:p>
          <w:p w14:paraId="60667706">
            <w:pPr>
              <w:pStyle w:val="77"/>
              <w:wordWrap w:val="0"/>
              <w:topLinePunct/>
              <w:adjustRightInd w:val="0"/>
              <w:spacing w:before="0" w:beforeAutospacing="0"/>
              <w:ind w:firstLine="480" w:firstLineChars="200"/>
              <w:rPr>
                <w:b w:val="0"/>
                <w:color w:val="auto"/>
                <w:szCs w:val="24"/>
                <w:highlight w:val="none"/>
              </w:rPr>
            </w:pPr>
            <w:r>
              <w:rPr>
                <w:b/>
                <w:bCs/>
                <w:color w:val="auto"/>
                <w:szCs w:val="24"/>
                <w:highlight w:val="none"/>
              </w:rPr>
              <w:t>喷粉：</w:t>
            </w:r>
            <w:r>
              <w:rPr>
                <w:b w:val="0"/>
                <w:color w:val="auto"/>
                <w:szCs w:val="24"/>
                <w:highlight w:val="none"/>
              </w:rPr>
              <w:t>本项目采用自动化的静电喷粉工艺，在喷枪与工件之间形成一个高压电晕放电电场，当粉末粒子由喷枪口喷出经过放电区时，便捕集了大量的电子，成为带负电的微粒，在静电吸引的作用下，被吸附到带正电荷的工件上去。当粉末附着到一定厚度时，则会发生“同性相斥”的作用，不能再吸附粉末，从而使各部分的粉层厚度均匀，然后经加温烘烤固化后粉层流平成为均匀的膜层。</w:t>
            </w:r>
          </w:p>
          <w:p w14:paraId="230904A0">
            <w:pPr>
              <w:pStyle w:val="77"/>
              <w:wordWrap w:val="0"/>
              <w:topLinePunct/>
              <w:adjustRightInd w:val="0"/>
              <w:spacing w:before="0" w:beforeAutospacing="0"/>
              <w:ind w:firstLine="480" w:firstLineChars="200"/>
              <w:rPr>
                <w:b w:val="0"/>
                <w:color w:val="auto"/>
                <w:szCs w:val="24"/>
                <w:highlight w:val="none"/>
              </w:rPr>
            </w:pPr>
            <w:r>
              <w:rPr>
                <w:rFonts w:hint="eastAsia"/>
                <w:b w:val="0"/>
                <w:color w:val="auto"/>
                <w:szCs w:val="24"/>
                <w:highlight w:val="none"/>
                <w:lang w:val="en-US" w:eastAsia="zh-CN"/>
              </w:rPr>
              <w:t>项目</w:t>
            </w:r>
            <w:r>
              <w:rPr>
                <w:b w:val="0"/>
                <w:color w:val="auto"/>
                <w:szCs w:val="24"/>
                <w:highlight w:val="none"/>
              </w:rPr>
              <w:t>设有</w:t>
            </w:r>
            <w:r>
              <w:rPr>
                <w:rFonts w:hint="eastAsia"/>
                <w:b w:val="0"/>
                <w:color w:val="auto"/>
                <w:szCs w:val="24"/>
                <w:highlight w:val="none"/>
                <w:lang w:val="en-US" w:eastAsia="zh-CN"/>
              </w:rPr>
              <w:t>1</w:t>
            </w:r>
            <w:r>
              <w:rPr>
                <w:b w:val="0"/>
                <w:color w:val="auto"/>
                <w:szCs w:val="24"/>
                <w:highlight w:val="none"/>
              </w:rPr>
              <w:t>套“密闭车间负压收集+大旋风+滤芯式二级回收系统”系统装置</w:t>
            </w:r>
            <w:r>
              <w:rPr>
                <w:rFonts w:hint="eastAsia"/>
                <w:b w:val="0"/>
                <w:color w:val="auto"/>
                <w:szCs w:val="24"/>
                <w:highlight w:val="none"/>
                <w:lang w:eastAsia="zh-CN"/>
              </w:rPr>
              <w:t>，回收粉末回用于喷粉工序，回用率99%，未回收部分作为危险废物（废粉末涂料）处理。</w:t>
            </w:r>
            <w:r>
              <w:rPr>
                <w:b w:val="0"/>
                <w:color w:val="auto"/>
                <w:szCs w:val="24"/>
                <w:highlight w:val="none"/>
              </w:rPr>
              <w:t>未收集的粉尘于车间内无组织排放。此过程会产生喷粉粉尘</w:t>
            </w:r>
            <w:r>
              <w:rPr>
                <w:rFonts w:hint="eastAsia"/>
                <w:b w:val="0"/>
                <w:color w:val="auto"/>
                <w:szCs w:val="24"/>
                <w:highlight w:val="none"/>
                <w:lang w:val="en-US" w:eastAsia="zh-CN"/>
              </w:rPr>
              <w:t>和废粉末涂料</w:t>
            </w:r>
            <w:r>
              <w:rPr>
                <w:b w:val="0"/>
                <w:color w:val="auto"/>
                <w:szCs w:val="24"/>
                <w:highlight w:val="none"/>
              </w:rPr>
              <w:t>。</w:t>
            </w:r>
          </w:p>
          <w:p w14:paraId="0582E9B3">
            <w:pPr>
              <w:pStyle w:val="77"/>
              <w:wordWrap w:val="0"/>
              <w:topLinePunct/>
              <w:adjustRightInd w:val="0"/>
              <w:spacing w:before="0" w:beforeAutospacing="0"/>
              <w:ind w:firstLine="480" w:firstLineChars="200"/>
              <w:rPr>
                <w:b w:val="0"/>
                <w:color w:val="auto"/>
                <w:szCs w:val="24"/>
                <w:highlight w:val="none"/>
              </w:rPr>
            </w:pPr>
            <w:r>
              <w:rPr>
                <w:color w:val="auto"/>
                <w:szCs w:val="24"/>
                <w:highlight w:val="none"/>
              </w:rPr>
              <w:t>喷粉</w:t>
            </w:r>
            <w:r>
              <w:rPr>
                <w:b/>
                <w:bCs/>
                <w:color w:val="auto"/>
                <w:szCs w:val="24"/>
                <w:highlight w:val="none"/>
              </w:rPr>
              <w:t>固化</w:t>
            </w:r>
            <w:r>
              <w:rPr>
                <w:b w:val="0"/>
                <w:color w:val="auto"/>
                <w:szCs w:val="24"/>
                <w:highlight w:val="none"/>
              </w:rPr>
              <w:t>：工件经喷粉后需要加热使粉末涂料固化。工件送入</w:t>
            </w:r>
            <w:r>
              <w:rPr>
                <w:rFonts w:hint="eastAsia"/>
                <w:b w:val="0"/>
                <w:color w:val="auto"/>
                <w:szCs w:val="24"/>
                <w:highlight w:val="none"/>
                <w:lang w:val="en-US" w:eastAsia="zh-CN"/>
              </w:rPr>
              <w:t>1#烤炉</w:t>
            </w:r>
            <w:r>
              <w:rPr>
                <w:b w:val="0"/>
                <w:color w:val="auto"/>
                <w:szCs w:val="24"/>
                <w:highlight w:val="none"/>
              </w:rPr>
              <w:t>固化加热。固化时间一般为10min，温度一般为160℃~200℃。热量由天然气燃烧产生，通过热气直接接触工件进行加热固化。粉末涂料固化过程会产生天然气燃烧废气、</w:t>
            </w:r>
            <w:r>
              <w:rPr>
                <w:rFonts w:hint="eastAsia"/>
                <w:b w:val="0"/>
                <w:color w:val="auto"/>
                <w:szCs w:val="24"/>
                <w:highlight w:val="none"/>
                <w:lang w:val="en-US" w:eastAsia="zh-CN"/>
              </w:rPr>
              <w:t>VOCs</w:t>
            </w:r>
            <w:r>
              <w:rPr>
                <w:b w:val="0"/>
                <w:color w:val="auto"/>
                <w:szCs w:val="24"/>
                <w:highlight w:val="none"/>
              </w:rPr>
              <w:t>及臭气浓度。</w:t>
            </w:r>
          </w:p>
          <w:p w14:paraId="6EE13090">
            <w:pPr>
              <w:pStyle w:val="77"/>
              <w:wordWrap w:val="0"/>
              <w:topLinePunct/>
              <w:adjustRightInd w:val="0"/>
              <w:spacing w:before="0" w:beforeAutospacing="0"/>
              <w:ind w:firstLine="480" w:firstLineChars="200"/>
              <w:rPr>
                <w:b w:val="0"/>
                <w:color w:val="auto"/>
                <w:szCs w:val="24"/>
                <w:highlight w:val="none"/>
              </w:rPr>
            </w:pPr>
            <w:r>
              <w:rPr>
                <w:b/>
                <w:bCs w:val="0"/>
                <w:color w:val="auto"/>
                <w:szCs w:val="24"/>
                <w:highlight w:val="none"/>
              </w:rPr>
              <w:t>喷漆</w:t>
            </w:r>
            <w:r>
              <w:rPr>
                <w:rFonts w:hint="eastAsia"/>
                <w:b/>
                <w:bCs w:val="0"/>
                <w:color w:val="auto"/>
                <w:szCs w:val="24"/>
                <w:highlight w:val="none"/>
                <w:lang w:eastAsia="zh-CN"/>
              </w:rPr>
              <w:t>（</w:t>
            </w:r>
            <w:r>
              <w:rPr>
                <w:rFonts w:hint="eastAsia"/>
                <w:b/>
                <w:bCs w:val="0"/>
                <w:color w:val="auto"/>
                <w:szCs w:val="24"/>
                <w:highlight w:val="none"/>
                <w:lang w:val="en-US" w:eastAsia="zh-CN"/>
              </w:rPr>
              <w:t>如需</w:t>
            </w:r>
            <w:r>
              <w:rPr>
                <w:rFonts w:hint="eastAsia"/>
                <w:b/>
                <w:bCs w:val="0"/>
                <w:color w:val="auto"/>
                <w:szCs w:val="24"/>
                <w:highlight w:val="none"/>
                <w:lang w:eastAsia="zh-CN"/>
              </w:rPr>
              <w:t>）</w:t>
            </w:r>
            <w:r>
              <w:rPr>
                <w:b/>
                <w:bCs w:val="0"/>
                <w:color w:val="auto"/>
                <w:szCs w:val="24"/>
                <w:highlight w:val="none"/>
              </w:rPr>
              <w:t>：</w:t>
            </w:r>
            <w:r>
              <w:rPr>
                <w:b w:val="0"/>
                <w:color w:val="auto"/>
                <w:szCs w:val="24"/>
                <w:highlight w:val="none"/>
              </w:rPr>
              <w:t>喷漆前根据产品要求进行调漆，本项目调漆在调漆房内完成。</w:t>
            </w:r>
            <w:r>
              <w:rPr>
                <w:rFonts w:hint="eastAsia"/>
                <w:b w:val="0"/>
                <w:color w:val="auto"/>
                <w:szCs w:val="24"/>
                <w:highlight w:val="none"/>
                <w:lang w:eastAsia="zh-CN"/>
              </w:rPr>
              <w:t>油性漆</w:t>
            </w:r>
            <w:r>
              <w:rPr>
                <w:b w:val="0"/>
                <w:color w:val="auto"/>
                <w:szCs w:val="24"/>
                <w:highlight w:val="none"/>
              </w:rPr>
              <w:t>涂层在</w:t>
            </w:r>
            <w:r>
              <w:rPr>
                <w:rFonts w:hint="eastAsia"/>
                <w:b w:val="0"/>
                <w:color w:val="auto"/>
                <w:szCs w:val="24"/>
                <w:highlight w:val="none"/>
                <w:lang w:val="en-US" w:eastAsia="zh-CN"/>
              </w:rPr>
              <w:t>已经固化后的粉末</w:t>
            </w:r>
            <w:r>
              <w:rPr>
                <w:b w:val="0"/>
                <w:color w:val="auto"/>
                <w:szCs w:val="24"/>
                <w:highlight w:val="none"/>
              </w:rPr>
              <w:t>涂层之上，其主要作用是提高装饰性，也有一定的防腐性和耐磨性。工件通过流水线进入全线密闭的喷漆生产线内，工件进入喷漆室进行手工+自动化喷漆，工件每进行一次喷漆后进行一次流平，工件经流平表面形成一个平整、光滑、均匀的涂膜。此外，本项目使用稀释剂定期对喷漆枪头进行清洗</w:t>
            </w:r>
            <w:r>
              <w:rPr>
                <w:rFonts w:hint="eastAsia"/>
                <w:b w:val="0"/>
                <w:color w:val="auto"/>
                <w:szCs w:val="24"/>
                <w:highlight w:val="none"/>
                <w:lang w:eastAsia="zh-CN"/>
              </w:rPr>
              <w:t>，</w:t>
            </w:r>
            <w:r>
              <w:rPr>
                <w:rFonts w:hint="eastAsia"/>
                <w:b w:val="0"/>
                <w:color w:val="auto"/>
                <w:szCs w:val="24"/>
                <w:highlight w:val="none"/>
                <w:lang w:val="en-US" w:eastAsia="zh-CN"/>
              </w:rPr>
              <w:t>清洗过程在内流平室内</w:t>
            </w:r>
            <w:r>
              <w:rPr>
                <w:b w:val="0"/>
                <w:color w:val="auto"/>
                <w:szCs w:val="24"/>
                <w:highlight w:val="none"/>
              </w:rPr>
              <w:t>，</w:t>
            </w:r>
            <w:r>
              <w:rPr>
                <w:rFonts w:hint="eastAsia"/>
                <w:b w:val="0"/>
                <w:color w:val="auto"/>
                <w:szCs w:val="24"/>
                <w:highlight w:val="none"/>
                <w:lang w:val="en-US" w:eastAsia="zh-CN"/>
              </w:rPr>
              <w:t>产生的VOCs无组织排放于车间，</w:t>
            </w:r>
            <w:r>
              <w:rPr>
                <w:b w:val="0"/>
                <w:color w:val="auto"/>
                <w:szCs w:val="24"/>
                <w:highlight w:val="none"/>
              </w:rPr>
              <w:t>产生</w:t>
            </w:r>
            <w:r>
              <w:rPr>
                <w:rFonts w:hint="eastAsia"/>
                <w:b w:val="0"/>
                <w:color w:val="auto"/>
                <w:szCs w:val="24"/>
                <w:highlight w:val="none"/>
                <w:lang w:val="en-US" w:eastAsia="zh-CN"/>
              </w:rPr>
              <w:t>的</w:t>
            </w:r>
            <w:r>
              <w:rPr>
                <w:b w:val="0"/>
                <w:color w:val="auto"/>
                <w:szCs w:val="24"/>
                <w:highlight w:val="none"/>
              </w:rPr>
              <w:t>喷枪清洗废液</w:t>
            </w:r>
            <w:r>
              <w:rPr>
                <w:rFonts w:hint="eastAsia"/>
                <w:b w:val="0"/>
                <w:color w:val="auto"/>
                <w:szCs w:val="24"/>
                <w:highlight w:val="none"/>
                <w:lang w:eastAsia="zh-CN"/>
              </w:rPr>
              <w:t>（</w:t>
            </w:r>
            <w:r>
              <w:rPr>
                <w:rFonts w:hint="eastAsia" w:cs="Times New Roman"/>
                <w:b w:val="0"/>
                <w:bCs w:val="0"/>
                <w:color w:val="auto"/>
                <w:highlight w:val="none"/>
                <w:lang w:val="en-US" w:eastAsia="zh-CN"/>
              </w:rPr>
              <w:t>水性漆喷枪废水</w:t>
            </w:r>
            <w:r>
              <w:rPr>
                <w:rFonts w:hint="eastAsia"/>
                <w:b w:val="0"/>
                <w:color w:val="auto"/>
                <w:szCs w:val="24"/>
                <w:highlight w:val="none"/>
                <w:lang w:eastAsia="zh-CN"/>
              </w:rPr>
              <w:t>）</w:t>
            </w:r>
            <w:r>
              <w:rPr>
                <w:b w:val="0"/>
                <w:color w:val="auto"/>
                <w:szCs w:val="24"/>
                <w:highlight w:val="none"/>
              </w:rPr>
              <w:t>，作为危险废物进行暂存、转运处理。</w:t>
            </w:r>
          </w:p>
          <w:p w14:paraId="49BDAD55">
            <w:pPr>
              <w:pStyle w:val="77"/>
              <w:wordWrap w:val="0"/>
              <w:topLinePunct/>
              <w:adjustRightInd w:val="0"/>
              <w:spacing w:before="0" w:beforeAutospacing="0"/>
              <w:ind w:firstLine="480" w:firstLineChars="200"/>
              <w:rPr>
                <w:b w:val="0"/>
                <w:color w:val="auto"/>
                <w:szCs w:val="24"/>
                <w:highlight w:val="none"/>
              </w:rPr>
            </w:pPr>
            <w:r>
              <w:rPr>
                <w:color w:val="auto"/>
                <w:szCs w:val="24"/>
                <w:highlight w:val="none"/>
              </w:rPr>
              <w:t>喷漆</w:t>
            </w:r>
            <w:r>
              <w:rPr>
                <w:b/>
                <w:bCs/>
                <w:color w:val="auto"/>
                <w:szCs w:val="24"/>
                <w:highlight w:val="none"/>
              </w:rPr>
              <w:t>固化</w:t>
            </w:r>
            <w:r>
              <w:rPr>
                <w:rFonts w:hint="eastAsia"/>
                <w:b/>
                <w:bCs/>
                <w:color w:val="auto"/>
                <w:szCs w:val="24"/>
                <w:highlight w:val="none"/>
                <w:lang w:eastAsia="zh-CN"/>
              </w:rPr>
              <w:t>（</w:t>
            </w:r>
            <w:r>
              <w:rPr>
                <w:rFonts w:hint="eastAsia"/>
                <w:b/>
                <w:bCs/>
                <w:color w:val="auto"/>
                <w:szCs w:val="24"/>
                <w:highlight w:val="none"/>
                <w:lang w:val="en-US" w:eastAsia="zh-CN"/>
              </w:rPr>
              <w:t>如需</w:t>
            </w:r>
            <w:r>
              <w:rPr>
                <w:rFonts w:hint="eastAsia"/>
                <w:b/>
                <w:bCs/>
                <w:color w:val="auto"/>
                <w:szCs w:val="24"/>
                <w:highlight w:val="none"/>
                <w:lang w:eastAsia="zh-CN"/>
              </w:rPr>
              <w:t>）</w:t>
            </w:r>
            <w:r>
              <w:rPr>
                <w:b w:val="0"/>
                <w:color w:val="auto"/>
                <w:szCs w:val="24"/>
                <w:highlight w:val="none"/>
              </w:rPr>
              <w:t>：喷漆后的工件需</w:t>
            </w:r>
            <w:r>
              <w:rPr>
                <w:rFonts w:hint="eastAsia"/>
                <w:b w:val="0"/>
                <w:color w:val="auto"/>
                <w:szCs w:val="24"/>
                <w:highlight w:val="none"/>
                <w:lang w:val="en-US" w:eastAsia="zh-CN"/>
              </w:rPr>
              <w:t>入2#烤炉</w:t>
            </w:r>
            <w:r>
              <w:rPr>
                <w:b w:val="0"/>
                <w:color w:val="auto"/>
                <w:szCs w:val="24"/>
                <w:highlight w:val="none"/>
              </w:rPr>
              <w:t>加热固化，通过流水线送入高温固化通道，使之流平、固化，从而得到预期的工件表面效果，喷油性漆的工件固化温度170℃、固化时间约20min</w:t>
            </w:r>
            <w:r>
              <w:rPr>
                <w:color w:val="auto"/>
                <w:highlight w:val="none"/>
              </w:rPr>
              <w:t>。</w:t>
            </w:r>
            <w:r>
              <w:rPr>
                <w:b w:val="0"/>
                <w:color w:val="auto"/>
                <w:szCs w:val="24"/>
                <w:highlight w:val="none"/>
              </w:rPr>
              <w:t>调漆、喷漆、流平、固化过程中产生有机废气（VOCs、</w:t>
            </w:r>
            <w:r>
              <w:rPr>
                <w:rFonts w:hint="eastAsia"/>
                <w:b w:val="0"/>
                <w:color w:val="auto"/>
                <w:szCs w:val="24"/>
                <w:highlight w:val="none"/>
                <w:lang w:val="en-US" w:eastAsia="zh-CN"/>
              </w:rPr>
              <w:t>苯系物</w:t>
            </w:r>
            <w:r>
              <w:rPr>
                <w:b w:val="0"/>
                <w:color w:val="auto"/>
                <w:szCs w:val="24"/>
                <w:highlight w:val="none"/>
              </w:rPr>
              <w:t>）、臭气浓度、漆渣、天然气燃烧废气、废原料桶及设备生产噪声。</w:t>
            </w:r>
          </w:p>
          <w:p w14:paraId="37878CB3">
            <w:pPr>
              <w:pageBreakBefore w:val="0"/>
              <w:numPr>
                <w:ilvl w:val="0"/>
                <w:numId w:val="0"/>
              </w:numPr>
              <w:tabs>
                <w:tab w:val="left" w:pos="0"/>
              </w:tabs>
              <w:wordWrap w:val="0"/>
              <w:overflowPunct/>
              <w:bidi w:val="0"/>
              <w:adjustRightInd w:val="0"/>
              <w:snapToGrid w:val="0"/>
              <w:spacing w:line="360" w:lineRule="auto"/>
              <w:ind w:right="120" w:rightChars="50" w:firstLine="420" w:firstLineChars="0"/>
              <w:rPr>
                <w:rFonts w:hint="default" w:cs="Times New Roman"/>
                <w:b/>
                <w:bCs/>
                <w:color w:val="auto"/>
                <w:highlight w:val="none"/>
                <w:lang w:val="en-US" w:eastAsia="zh-CN"/>
              </w:rPr>
            </w:pPr>
            <w:r>
              <w:rPr>
                <w:rFonts w:hint="eastAsia" w:cs="Times New Roman"/>
                <w:b/>
                <w:bCs/>
                <w:color w:val="auto"/>
                <w:highlight w:val="none"/>
                <w:lang w:val="en-US" w:eastAsia="zh-CN"/>
              </w:rPr>
              <w:t>工件表面清洁：</w:t>
            </w:r>
            <w:r>
              <w:rPr>
                <w:rFonts w:hint="eastAsia" w:cs="Times New Roman"/>
                <w:b w:val="0"/>
                <w:bCs w:val="0"/>
                <w:color w:val="auto"/>
                <w:highlight w:val="none"/>
                <w:lang w:val="en-US" w:eastAsia="zh-CN"/>
              </w:rPr>
              <w:t>为保证丝印效果，经固化的工件需用酒精清洁需丝印的工件部位。该过程主要为酒精挥发产生的废气和臭气浓度，以非甲烷总烃计。</w:t>
            </w:r>
          </w:p>
          <w:p w14:paraId="0DD781E6">
            <w:pPr>
              <w:pageBreakBefore w:val="0"/>
              <w:numPr>
                <w:ilvl w:val="0"/>
                <w:numId w:val="0"/>
              </w:numPr>
              <w:tabs>
                <w:tab w:val="left" w:pos="0"/>
              </w:tabs>
              <w:wordWrap w:val="0"/>
              <w:overflowPunct/>
              <w:bidi w:val="0"/>
              <w:adjustRightInd w:val="0"/>
              <w:snapToGrid w:val="0"/>
              <w:spacing w:line="360" w:lineRule="auto"/>
              <w:ind w:right="120" w:rightChars="50" w:firstLine="420" w:firstLineChars="0"/>
              <w:rPr>
                <w:rFonts w:hint="eastAsia" w:cs="Times New Roman"/>
                <w:b/>
                <w:bCs/>
                <w:color w:val="auto"/>
                <w:highlight w:val="none"/>
                <w:lang w:val="en-US" w:eastAsia="zh-CN"/>
              </w:rPr>
            </w:pPr>
            <w:r>
              <w:rPr>
                <w:rFonts w:hint="eastAsia" w:cs="Times New Roman"/>
                <w:b/>
                <w:bCs/>
                <w:color w:val="auto"/>
                <w:highlight w:val="none"/>
                <w:lang w:val="en-US" w:eastAsia="zh-CN"/>
              </w:rPr>
              <w:t>丝印：</w:t>
            </w:r>
            <w:r>
              <w:rPr>
                <w:rFonts w:hint="eastAsia" w:cs="Times New Roman"/>
                <w:b w:val="0"/>
                <w:bCs w:val="0"/>
                <w:color w:val="auto"/>
                <w:highlight w:val="none"/>
                <w:lang w:val="en-US" w:eastAsia="zh-CN"/>
              </w:rPr>
              <w:t>经清洁后的工件需经丝印机印刷标识、参数及警示内容，丝印后在3#烤炉固化。此过程会产生燃烧废气、 非甲烷总烃臭气浓度、 网版清洗废液、废原料桶及噪声。</w:t>
            </w:r>
          </w:p>
          <w:p w14:paraId="77BB77E0">
            <w:pPr>
              <w:pageBreakBefore w:val="0"/>
              <w:numPr>
                <w:ilvl w:val="0"/>
                <w:numId w:val="0"/>
              </w:numPr>
              <w:tabs>
                <w:tab w:val="left" w:pos="0"/>
              </w:tabs>
              <w:wordWrap w:val="0"/>
              <w:overflowPunct/>
              <w:bidi w:val="0"/>
              <w:adjustRightInd w:val="0"/>
              <w:snapToGrid w:val="0"/>
              <w:spacing w:line="360" w:lineRule="auto"/>
              <w:ind w:right="120" w:rightChars="50" w:firstLine="420" w:firstLineChars="0"/>
              <w:rPr>
                <w:rFonts w:hint="default" w:ascii="Times New Roman" w:hAnsi="Times New Roman" w:cs="Times New Roman"/>
                <w:b w:val="0"/>
                <w:bCs w:val="0"/>
                <w:color w:val="auto"/>
                <w:highlight w:val="none"/>
                <w:lang w:val="en-US" w:eastAsia="zh-CN"/>
              </w:rPr>
            </w:pPr>
            <w:r>
              <w:rPr>
                <w:rFonts w:hint="eastAsia" w:cs="Times New Roman"/>
                <w:b/>
                <w:bCs/>
                <w:color w:val="auto"/>
                <w:highlight w:val="none"/>
                <w:lang w:val="en-US" w:eastAsia="zh-CN"/>
              </w:rPr>
              <w:t>成品包装</w:t>
            </w:r>
            <w:r>
              <w:rPr>
                <w:rFonts w:hint="default" w:ascii="Times New Roman" w:hAnsi="Times New Roman" w:cs="Times New Roman"/>
                <w:b/>
                <w:bCs/>
                <w:color w:val="auto"/>
                <w:highlight w:val="none"/>
                <w:lang w:val="en-US" w:eastAsia="zh-CN"/>
              </w:rPr>
              <w:t>：</w:t>
            </w:r>
            <w:r>
              <w:rPr>
                <w:rFonts w:hint="eastAsia"/>
                <w:color w:val="auto"/>
                <w:highlight w:val="none"/>
                <w:lang w:eastAsia="zh-CN"/>
              </w:rPr>
              <w:t>将</w:t>
            </w:r>
            <w:r>
              <w:rPr>
                <w:rFonts w:hint="eastAsia"/>
                <w:color w:val="auto"/>
                <w:highlight w:val="none"/>
                <w:lang w:val="en-US" w:eastAsia="zh-CN"/>
              </w:rPr>
              <w:t>生产</w:t>
            </w:r>
            <w:r>
              <w:rPr>
                <w:rFonts w:hint="eastAsia"/>
                <w:color w:val="auto"/>
                <w:highlight w:val="none"/>
                <w:lang w:eastAsia="zh-CN"/>
              </w:rPr>
              <w:t>好的成品</w:t>
            </w:r>
            <w:r>
              <w:rPr>
                <w:rFonts w:hint="eastAsia"/>
                <w:color w:val="auto"/>
                <w:highlight w:val="none"/>
                <w:lang w:val="en-US" w:eastAsia="zh-CN"/>
              </w:rPr>
              <w:t>打包入库</w:t>
            </w:r>
            <w:r>
              <w:rPr>
                <w:rFonts w:hint="eastAsia"/>
                <w:color w:val="auto"/>
                <w:highlight w:val="none"/>
                <w:lang w:eastAsia="zh-CN"/>
              </w:rPr>
              <w:t>。</w:t>
            </w:r>
            <w:r>
              <w:rPr>
                <w:rFonts w:hint="eastAsia"/>
                <w:color w:val="auto"/>
                <w:highlight w:val="none"/>
                <w:lang w:val="en-US" w:eastAsia="zh-CN"/>
              </w:rPr>
              <w:t>此过程主要产生包装废料。</w:t>
            </w:r>
          </w:p>
          <w:p w14:paraId="24F25A46">
            <w:pPr>
              <w:pStyle w:val="17"/>
              <w:pageBreakBefore w:val="0"/>
              <w:kinsoku/>
              <w:wordWrap w:val="0"/>
              <w:overflowPunct/>
              <w:topLinePunct w:val="0"/>
              <w:bidi w:val="0"/>
              <w:snapToGrid/>
              <w:ind w:firstLine="480" w:firstLineChars="200"/>
              <w:jc w:val="both"/>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二、产污环节分析</w:t>
            </w:r>
          </w:p>
          <w:p w14:paraId="7DDDF351">
            <w:pPr>
              <w:pStyle w:val="17"/>
              <w:pageBreakBefore w:val="0"/>
              <w:numPr>
                <w:ilvl w:val="0"/>
                <w:numId w:val="8"/>
              </w:numPr>
              <w:wordWrap w:val="0"/>
              <w:overflowPunct/>
              <w:bidi w:val="0"/>
              <w:spacing w:line="240" w:lineRule="auto"/>
              <w:ind w:left="0" w:leftChars="0" w:firstLine="40" w:firstLineChars="0"/>
              <w:rPr>
                <w:rStyle w:val="62"/>
                <w:rFonts w:hint="default" w:ascii="Times New Roman" w:hAnsi="Times New Roman" w:cs="Times New Roman"/>
                <w:b/>
                <w:bCs/>
                <w:color w:val="auto"/>
                <w:highlight w:val="none"/>
                <w:lang w:val="zh-CN"/>
              </w:rPr>
            </w:pPr>
            <w:r>
              <w:rPr>
                <w:rFonts w:hint="eastAsia" w:cs="Times New Roman"/>
                <w:color w:val="auto"/>
                <w:highlight w:val="none"/>
                <w:lang w:val="en-US" w:eastAsia="zh-CN"/>
              </w:rPr>
              <w:t xml:space="preserve"> </w:t>
            </w:r>
            <w:r>
              <w:rPr>
                <w:rStyle w:val="62"/>
                <w:rFonts w:hint="default" w:ascii="Times New Roman" w:hAnsi="Times New Roman" w:cs="Times New Roman"/>
                <w:b/>
                <w:bCs/>
                <w:color w:val="auto"/>
                <w:highlight w:val="none"/>
                <w:lang w:val="zh-CN"/>
              </w:rPr>
              <w:t>主要污染节点分析一览表</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2193"/>
              <w:gridCol w:w="2681"/>
              <w:gridCol w:w="2326"/>
            </w:tblGrid>
            <w:tr w14:paraId="0A518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1" w:type="pct"/>
                  <w:vAlign w:val="center"/>
                </w:tcPr>
                <w:p w14:paraId="60876EAA">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类型</w:t>
                  </w:r>
                </w:p>
              </w:tc>
              <w:tc>
                <w:tcPr>
                  <w:tcW w:w="1397" w:type="pct"/>
                  <w:vAlign w:val="center"/>
                </w:tcPr>
                <w:p w14:paraId="625C7AFF">
                  <w:pPr>
                    <w:adjustRightInd w:val="0"/>
                    <w:snapToGrid w:val="0"/>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污染源</w:t>
                  </w:r>
                </w:p>
              </w:tc>
              <w:tc>
                <w:tcPr>
                  <w:tcW w:w="1708" w:type="pct"/>
                  <w:vAlign w:val="center"/>
                </w:tcPr>
                <w:p w14:paraId="1C946C88">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主要污染物名称</w:t>
                  </w:r>
                </w:p>
              </w:tc>
              <w:tc>
                <w:tcPr>
                  <w:tcW w:w="1482" w:type="pct"/>
                  <w:vAlign w:val="center"/>
                </w:tcPr>
                <w:p w14:paraId="2CD8EF15">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处理情况及去向</w:t>
                  </w:r>
                </w:p>
              </w:tc>
            </w:tr>
            <w:tr w14:paraId="2901B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1" w:type="pct"/>
                  <w:vMerge w:val="restart"/>
                  <w:vAlign w:val="center"/>
                </w:tcPr>
                <w:p w14:paraId="7D8CBD6E">
                  <w:pPr>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废气</w:t>
                  </w:r>
                </w:p>
              </w:tc>
              <w:tc>
                <w:tcPr>
                  <w:tcW w:w="1397" w:type="pct"/>
                  <w:vAlign w:val="center"/>
                </w:tcPr>
                <w:p w14:paraId="207EDAA8">
                  <w:pPr>
                    <w:adjustRightInd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切割粉尘</w:t>
                  </w:r>
                </w:p>
              </w:tc>
              <w:tc>
                <w:tcPr>
                  <w:tcW w:w="1708" w:type="pct"/>
                  <w:vAlign w:val="center"/>
                </w:tcPr>
                <w:p w14:paraId="11FF0F27">
                  <w:pPr>
                    <w:adjustRightInd w:val="0"/>
                    <w:snapToGrid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color w:val="auto"/>
                      <w:kern w:val="0"/>
                      <w:sz w:val="21"/>
                      <w:szCs w:val="21"/>
                      <w:highlight w:val="none"/>
                      <w:lang w:val="en-US" w:eastAsia="zh-CN"/>
                    </w:rPr>
                    <w:t>颗粒物</w:t>
                  </w:r>
                </w:p>
              </w:tc>
              <w:tc>
                <w:tcPr>
                  <w:tcW w:w="1482" w:type="pct"/>
                  <w:vMerge w:val="restart"/>
                  <w:vAlign w:val="center"/>
                </w:tcPr>
                <w:p w14:paraId="5862335B">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sz w:val="21"/>
                      <w:szCs w:val="21"/>
                      <w:highlight w:val="none"/>
                      <w:lang w:val="en-US" w:eastAsia="zh-CN"/>
                    </w:rPr>
                    <w:t>经加强通风处理后于车间内无组织排放</w:t>
                  </w:r>
                </w:p>
              </w:tc>
            </w:tr>
            <w:tr w14:paraId="72DCC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1" w:type="pct"/>
                  <w:vMerge w:val="continue"/>
                  <w:vAlign w:val="center"/>
                </w:tcPr>
                <w:p w14:paraId="79654F8A">
                  <w:pPr>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p>
              </w:tc>
              <w:tc>
                <w:tcPr>
                  <w:tcW w:w="1397" w:type="pct"/>
                  <w:vAlign w:val="center"/>
                </w:tcPr>
                <w:p w14:paraId="2BB25471">
                  <w:pPr>
                    <w:adjustRightInd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焊接</w:t>
                  </w:r>
                  <w:r>
                    <w:rPr>
                      <w:rFonts w:hint="eastAsia" w:ascii="Times New Roman" w:hAnsi="Times New Roman" w:cs="Times New Roman"/>
                      <w:color w:val="auto"/>
                      <w:kern w:val="2"/>
                      <w:sz w:val="21"/>
                      <w:szCs w:val="21"/>
                      <w:highlight w:val="none"/>
                      <w:lang w:val="en-US" w:eastAsia="zh-CN"/>
                    </w:rPr>
                    <w:t>烟尘</w:t>
                  </w:r>
                </w:p>
              </w:tc>
              <w:tc>
                <w:tcPr>
                  <w:tcW w:w="1708" w:type="pct"/>
                  <w:vAlign w:val="center"/>
                </w:tcPr>
                <w:p w14:paraId="0F4EE421">
                  <w:pPr>
                    <w:adjustRightInd w:val="0"/>
                    <w:snapToGrid w:val="0"/>
                    <w:spacing w:line="240" w:lineRule="auto"/>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颗粒物</w:t>
                  </w:r>
                </w:p>
              </w:tc>
              <w:tc>
                <w:tcPr>
                  <w:tcW w:w="1482" w:type="pct"/>
                  <w:vMerge w:val="continue"/>
                  <w:vAlign w:val="center"/>
                </w:tcPr>
                <w:p w14:paraId="0374FFDF">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p>
              </w:tc>
            </w:tr>
            <w:tr w14:paraId="2F2F4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1" w:type="pct"/>
                  <w:vMerge w:val="continue"/>
                  <w:vAlign w:val="center"/>
                </w:tcPr>
                <w:p w14:paraId="5EC18B17">
                  <w:pPr>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p>
              </w:tc>
              <w:tc>
                <w:tcPr>
                  <w:tcW w:w="1397" w:type="pct"/>
                  <w:vAlign w:val="center"/>
                </w:tcPr>
                <w:p w14:paraId="0D647D71">
                  <w:pPr>
                    <w:adjustRightInd w:val="0"/>
                    <w:snapToGrid w:val="0"/>
                    <w:spacing w:line="240" w:lineRule="auto"/>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eastAsia="zh-CN"/>
                    </w:rPr>
                    <w:t>抛光打磨</w:t>
                  </w:r>
                  <w:r>
                    <w:rPr>
                      <w:rFonts w:hint="default" w:ascii="Times New Roman" w:hAnsi="Times New Roman" w:cs="Times New Roman"/>
                      <w:color w:val="auto"/>
                      <w:kern w:val="2"/>
                      <w:sz w:val="21"/>
                      <w:szCs w:val="21"/>
                      <w:highlight w:val="none"/>
                    </w:rPr>
                    <w:t>粉尘</w:t>
                  </w:r>
                </w:p>
              </w:tc>
              <w:tc>
                <w:tcPr>
                  <w:tcW w:w="1708" w:type="pct"/>
                  <w:vAlign w:val="center"/>
                </w:tcPr>
                <w:p w14:paraId="4C3F1DA4">
                  <w:pPr>
                    <w:adjustRightInd w:val="0"/>
                    <w:snapToGrid w:val="0"/>
                    <w:spacing w:line="240" w:lineRule="auto"/>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颗粒物</w:t>
                  </w:r>
                </w:p>
              </w:tc>
              <w:tc>
                <w:tcPr>
                  <w:tcW w:w="1482" w:type="pct"/>
                  <w:vAlign w:val="center"/>
                </w:tcPr>
                <w:p w14:paraId="7BCD50D5">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经布袋除尘器</w:t>
                  </w:r>
                  <w:r>
                    <w:rPr>
                      <w:rFonts w:hint="eastAsia" w:cs="Times New Roman"/>
                      <w:color w:val="auto"/>
                      <w:kern w:val="0"/>
                      <w:sz w:val="21"/>
                      <w:szCs w:val="21"/>
                      <w:highlight w:val="none"/>
                      <w:lang w:val="en-US" w:eastAsia="zh-CN"/>
                    </w:rPr>
                    <w:t>收集</w:t>
                  </w:r>
                  <w:r>
                    <w:rPr>
                      <w:rFonts w:hint="default" w:ascii="Times New Roman" w:hAnsi="Times New Roman" w:eastAsia="宋体" w:cs="Times New Roman"/>
                      <w:color w:val="auto"/>
                      <w:kern w:val="0"/>
                      <w:sz w:val="21"/>
                      <w:szCs w:val="21"/>
                      <w:highlight w:val="none"/>
                      <w:lang w:val="en-US" w:eastAsia="zh-CN"/>
                    </w:rPr>
                    <w:t>处理后引至排气筒DA00</w:t>
                  </w:r>
                  <w:r>
                    <w:rPr>
                      <w:rFonts w:hint="eastAsia" w:ascii="Times New Roman" w:hAnsi="Times New Roman" w:eastAsia="宋体"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1"/>
                      <w:szCs w:val="21"/>
                      <w:highlight w:val="none"/>
                      <w:lang w:val="en-US" w:eastAsia="zh-CN"/>
                    </w:rPr>
                    <w:t>高空排放</w:t>
                  </w:r>
                </w:p>
              </w:tc>
            </w:tr>
            <w:tr w14:paraId="21ECC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1" w:type="pct"/>
                  <w:vMerge w:val="continue"/>
                  <w:vAlign w:val="center"/>
                </w:tcPr>
                <w:p w14:paraId="5EDF0811">
                  <w:pPr>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p>
              </w:tc>
              <w:tc>
                <w:tcPr>
                  <w:tcW w:w="1397" w:type="pct"/>
                  <w:vAlign w:val="center"/>
                </w:tcPr>
                <w:p w14:paraId="5FDD49FE">
                  <w:pPr>
                    <w:pStyle w:val="61"/>
                    <w:keepNext w:val="0"/>
                    <w:keepLines w:val="0"/>
                    <w:pageBreakBefore w:val="0"/>
                    <w:widowControl/>
                    <w:suppressLineNumbers w:val="0"/>
                    <w:kinsoku/>
                    <w:wordWrap w:val="0"/>
                    <w:overflowPunct/>
                    <w:topLinePunct w:val="0"/>
                    <w:autoSpaceDE w:val="0"/>
                    <w:autoSpaceDN w:val="0"/>
                    <w:bidi w:val="0"/>
                    <w:adjustRightInd/>
                    <w:snapToGrid/>
                    <w:spacing w:before="0" w:beforeAutospacing="0" w:after="0" w:afterAutospacing="0" w:line="240" w:lineRule="auto"/>
                    <w:ind w:left="0" w:leftChars="0" w:right="0" w:rightChars="0"/>
                    <w:textAlignment w:val="center"/>
                    <w:outlineLvl w:val="9"/>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rPr>
                    <w:t>天然气燃烧废气</w:t>
                  </w:r>
                </w:p>
              </w:tc>
              <w:tc>
                <w:tcPr>
                  <w:tcW w:w="1708" w:type="pct"/>
                  <w:vAlign w:val="center"/>
                </w:tcPr>
                <w:p w14:paraId="0B86F66E">
                  <w:pPr>
                    <w:pStyle w:val="61"/>
                    <w:keepNext w:val="0"/>
                    <w:keepLines w:val="0"/>
                    <w:pageBreakBefore w:val="0"/>
                    <w:widowControl/>
                    <w:suppressLineNumbers w:val="0"/>
                    <w:kinsoku/>
                    <w:wordWrap w:val="0"/>
                    <w:overflowPunct/>
                    <w:topLinePunct w:val="0"/>
                    <w:autoSpaceDE w:val="0"/>
                    <w:autoSpaceDN w:val="0"/>
                    <w:bidi w:val="0"/>
                    <w:adjustRightInd/>
                    <w:snapToGrid/>
                    <w:spacing w:before="0" w:beforeAutospacing="0" w:after="0" w:afterAutospacing="0" w:line="240" w:lineRule="auto"/>
                    <w:ind w:left="0" w:leftChars="0" w:right="0" w:rightChars="0"/>
                    <w:textAlignment w:val="center"/>
                    <w:outlineLvl w:val="9"/>
                    <w:rPr>
                      <w:rFonts w:hint="eastAsia" w:cs="Times New Roman"/>
                      <w:color w:val="auto"/>
                      <w:kern w:val="0"/>
                      <w:sz w:val="21"/>
                      <w:szCs w:val="21"/>
                      <w:highlight w:val="none"/>
                      <w:lang w:val="en-US" w:eastAsia="zh-CN"/>
                    </w:rPr>
                  </w:pPr>
                  <w:r>
                    <w:rPr>
                      <w:rFonts w:hint="default" w:ascii="Times New Roman" w:hAnsi="Times New Roman" w:cs="Times New Roman"/>
                      <w:color w:val="auto"/>
                      <w:kern w:val="2"/>
                      <w:sz w:val="21"/>
                      <w:szCs w:val="21"/>
                      <w:highlight w:val="none"/>
                      <w:lang w:eastAsia="zh-CN"/>
                    </w:rPr>
                    <w:t>氮氧化物、颗粒物、二氧化硫、</w:t>
                  </w:r>
                  <w:r>
                    <w:rPr>
                      <w:rFonts w:hint="default" w:ascii="Times New Roman" w:hAnsi="Times New Roman" w:cs="Times New Roman"/>
                      <w:color w:val="auto"/>
                      <w:kern w:val="2"/>
                      <w:sz w:val="21"/>
                      <w:szCs w:val="21"/>
                      <w:highlight w:val="none"/>
                      <w:lang w:val="en-US" w:eastAsia="zh-CN"/>
                    </w:rPr>
                    <w:t>烟气黑度</w:t>
                  </w:r>
                </w:p>
              </w:tc>
              <w:tc>
                <w:tcPr>
                  <w:tcW w:w="1482" w:type="pct"/>
                  <w:vAlign w:val="center"/>
                </w:tcPr>
                <w:p w14:paraId="6750D722">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经</w:t>
                  </w:r>
                  <w:r>
                    <w:rPr>
                      <w:rFonts w:hint="eastAsia" w:ascii="Times New Roman" w:hAnsi="Times New Roman" w:eastAsia="宋体" w:cs="Times New Roman"/>
                      <w:color w:val="auto"/>
                      <w:kern w:val="0"/>
                      <w:sz w:val="21"/>
                      <w:szCs w:val="21"/>
                      <w:highlight w:val="none"/>
                      <w:lang w:val="en-US" w:eastAsia="zh-CN"/>
                    </w:rPr>
                    <w:t>风机引至</w:t>
                  </w:r>
                  <w:r>
                    <w:rPr>
                      <w:rFonts w:hint="eastAsia" w:cs="Times New Roman"/>
                      <w:color w:val="auto"/>
                      <w:kern w:val="0"/>
                      <w:sz w:val="21"/>
                      <w:szCs w:val="21"/>
                      <w:highlight w:val="none"/>
                      <w:lang w:val="en-US" w:eastAsia="zh-CN"/>
                    </w:rPr>
                    <w:t>15m高的</w:t>
                  </w:r>
                  <w:r>
                    <w:rPr>
                      <w:rFonts w:hint="default" w:ascii="Times New Roman" w:hAnsi="Times New Roman" w:eastAsia="宋体" w:cs="Times New Roman"/>
                      <w:color w:val="auto"/>
                      <w:kern w:val="0"/>
                      <w:sz w:val="21"/>
                      <w:szCs w:val="21"/>
                      <w:highlight w:val="none"/>
                      <w:lang w:val="en-US" w:eastAsia="zh-CN"/>
                    </w:rPr>
                    <w:t>DA00</w:t>
                  </w:r>
                  <w:r>
                    <w:rPr>
                      <w:rFonts w:hint="eastAsia"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lang w:val="en-US" w:eastAsia="zh-CN"/>
                    </w:rPr>
                    <w:t>排气筒</w:t>
                  </w:r>
                  <w:r>
                    <w:rPr>
                      <w:rFonts w:hint="eastAsia" w:ascii="Times New Roman" w:hAnsi="Times New Roman" w:eastAsia="宋体" w:cs="Times New Roman"/>
                      <w:color w:val="auto"/>
                      <w:kern w:val="0"/>
                      <w:sz w:val="21"/>
                      <w:szCs w:val="21"/>
                      <w:highlight w:val="none"/>
                      <w:lang w:val="en-US" w:eastAsia="zh-CN"/>
                    </w:rPr>
                    <w:t>高空</w:t>
                  </w:r>
                  <w:r>
                    <w:rPr>
                      <w:rFonts w:hint="default" w:ascii="Times New Roman" w:hAnsi="Times New Roman" w:eastAsia="宋体" w:cs="Times New Roman"/>
                      <w:color w:val="auto"/>
                      <w:kern w:val="0"/>
                      <w:sz w:val="21"/>
                      <w:szCs w:val="21"/>
                      <w:highlight w:val="none"/>
                      <w:lang w:val="en-US" w:eastAsia="zh-CN"/>
                    </w:rPr>
                    <w:t>排放</w:t>
                  </w:r>
                </w:p>
              </w:tc>
            </w:tr>
            <w:tr w14:paraId="68326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1" w:type="pct"/>
                  <w:vMerge w:val="continue"/>
                  <w:vAlign w:val="center"/>
                </w:tcPr>
                <w:p w14:paraId="24F62B83">
                  <w:pPr>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p>
              </w:tc>
              <w:tc>
                <w:tcPr>
                  <w:tcW w:w="1397" w:type="pct"/>
                  <w:vMerge w:val="restart"/>
                  <w:vAlign w:val="center"/>
                </w:tcPr>
                <w:p w14:paraId="6131E7B7">
                  <w:pPr>
                    <w:pStyle w:val="61"/>
                    <w:keepNext w:val="0"/>
                    <w:keepLines w:val="0"/>
                    <w:pageBreakBefore w:val="0"/>
                    <w:widowControl/>
                    <w:suppressLineNumbers w:val="0"/>
                    <w:kinsoku/>
                    <w:wordWrap w:val="0"/>
                    <w:overflowPunct/>
                    <w:topLinePunct w:val="0"/>
                    <w:autoSpaceDE w:val="0"/>
                    <w:autoSpaceDN w:val="0"/>
                    <w:bidi w:val="0"/>
                    <w:adjustRightInd/>
                    <w:snapToGrid/>
                    <w:spacing w:before="0" w:beforeAutospacing="0" w:after="0" w:afterAutospacing="0" w:line="240" w:lineRule="auto"/>
                    <w:ind w:left="0" w:leftChars="0" w:right="0" w:rightChars="0"/>
                    <w:textAlignment w:val="center"/>
                    <w:outlineLvl w:val="9"/>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喷漆</w:t>
                  </w:r>
                  <w:r>
                    <w:rPr>
                      <w:rFonts w:hint="eastAsia" w:cs="Times New Roman"/>
                      <w:color w:val="auto"/>
                      <w:kern w:val="2"/>
                      <w:sz w:val="21"/>
                      <w:szCs w:val="21"/>
                      <w:highlight w:val="none"/>
                      <w:lang w:val="en-US" w:eastAsia="zh-CN"/>
                    </w:rPr>
                    <w:t>、丝印、固化</w:t>
                  </w:r>
                  <w:r>
                    <w:rPr>
                      <w:rFonts w:hint="eastAsia" w:ascii="Times New Roman" w:hAnsi="Times New Roman" w:cs="Times New Roman"/>
                      <w:color w:val="auto"/>
                      <w:kern w:val="2"/>
                      <w:sz w:val="21"/>
                      <w:szCs w:val="21"/>
                      <w:highlight w:val="none"/>
                      <w:lang w:val="en-US" w:eastAsia="zh-CN"/>
                    </w:rPr>
                    <w:t>废气</w:t>
                  </w:r>
                </w:p>
              </w:tc>
              <w:tc>
                <w:tcPr>
                  <w:tcW w:w="1708" w:type="pct"/>
                  <w:vAlign w:val="center"/>
                </w:tcPr>
                <w:p w14:paraId="58837E20">
                  <w:pPr>
                    <w:pStyle w:val="61"/>
                    <w:keepNext w:val="0"/>
                    <w:keepLines w:val="0"/>
                    <w:pageBreakBefore w:val="0"/>
                    <w:widowControl/>
                    <w:suppressLineNumbers w:val="0"/>
                    <w:kinsoku/>
                    <w:wordWrap w:val="0"/>
                    <w:overflowPunct/>
                    <w:topLinePunct w:val="0"/>
                    <w:autoSpaceDE w:val="0"/>
                    <w:autoSpaceDN w:val="0"/>
                    <w:bidi w:val="0"/>
                    <w:adjustRightInd/>
                    <w:snapToGrid/>
                    <w:spacing w:before="0" w:beforeAutospacing="0" w:after="0" w:afterAutospacing="0" w:line="240" w:lineRule="auto"/>
                    <w:ind w:left="0" w:leftChars="0" w:right="0" w:rightChars="0"/>
                    <w:textAlignment w:val="center"/>
                    <w:outlineLvl w:val="9"/>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颗粒物、非甲烷总烃、苯系物、臭气浓度</w:t>
                  </w:r>
                </w:p>
              </w:tc>
              <w:tc>
                <w:tcPr>
                  <w:tcW w:w="1482" w:type="pct"/>
                  <w:vMerge w:val="restart"/>
                  <w:vAlign w:val="center"/>
                </w:tcPr>
                <w:p w14:paraId="6401073C">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lang w:eastAsia="zh-CN"/>
                    </w:rPr>
                    <w:t>喷淋</w:t>
                  </w:r>
                  <w:r>
                    <w:rPr>
                      <w:rFonts w:hint="default" w:ascii="Times New Roman" w:hAnsi="Times New Roman" w:eastAsia="宋体" w:cs="Times New Roman"/>
                      <w:color w:val="auto"/>
                      <w:sz w:val="21"/>
                      <w:szCs w:val="21"/>
                      <w:highlight w:val="none"/>
                    </w:rPr>
                    <w:t>+干式过滤器+</w:t>
                  </w:r>
                  <w:r>
                    <w:rPr>
                      <w:rFonts w:hint="eastAsia"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rPr>
                    <w:t>活性炭</w:t>
                  </w:r>
                  <w:r>
                    <w:rPr>
                      <w:rFonts w:hint="eastAsia" w:ascii="Times New Roman" w:hAnsi="Times New Roman" w:eastAsia="宋体" w:cs="Times New Roman"/>
                      <w:color w:val="auto"/>
                      <w:sz w:val="21"/>
                      <w:szCs w:val="21"/>
                      <w:highlight w:val="none"/>
                      <w:lang w:val="en-US" w:eastAsia="zh-CN"/>
                    </w:rPr>
                    <w:t>处理后，</w:t>
                  </w:r>
                  <w:r>
                    <w:rPr>
                      <w:rFonts w:hint="default" w:ascii="Times New Roman" w:hAnsi="Times New Roman" w:eastAsia="宋体" w:cs="Times New Roman"/>
                      <w:color w:val="auto"/>
                      <w:sz w:val="21"/>
                      <w:szCs w:val="21"/>
                      <w:highlight w:val="none"/>
                      <w:lang w:val="en-US" w:eastAsia="zh-CN"/>
                    </w:rPr>
                    <w:t>引至15</w:t>
                  </w:r>
                  <w:r>
                    <w:rPr>
                      <w:rFonts w:hint="default" w:ascii="Times New Roman" w:hAnsi="Times New Roman" w:eastAsia="宋体" w:cs="Times New Roman"/>
                      <w:color w:val="auto"/>
                      <w:sz w:val="21"/>
                      <w:szCs w:val="21"/>
                      <w:highlight w:val="none"/>
                    </w:rPr>
                    <w:t>m高</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排气筒（DA00</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）排放</w:t>
                  </w:r>
                </w:p>
              </w:tc>
            </w:tr>
            <w:tr w14:paraId="39942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1" w:type="pct"/>
                  <w:vMerge w:val="continue"/>
                  <w:vAlign w:val="center"/>
                </w:tcPr>
                <w:p w14:paraId="308DCA1F">
                  <w:pPr>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p>
              </w:tc>
              <w:tc>
                <w:tcPr>
                  <w:tcW w:w="1397" w:type="pct"/>
                  <w:vMerge w:val="continue"/>
                  <w:vAlign w:val="center"/>
                </w:tcPr>
                <w:p w14:paraId="44588D84">
                  <w:pPr>
                    <w:pStyle w:val="61"/>
                    <w:keepNext w:val="0"/>
                    <w:keepLines w:val="0"/>
                    <w:pageBreakBefore w:val="0"/>
                    <w:widowControl/>
                    <w:suppressLineNumbers w:val="0"/>
                    <w:kinsoku/>
                    <w:wordWrap w:val="0"/>
                    <w:overflowPunct/>
                    <w:topLinePunct w:val="0"/>
                    <w:autoSpaceDE w:val="0"/>
                    <w:autoSpaceDN w:val="0"/>
                    <w:bidi w:val="0"/>
                    <w:adjustRightInd/>
                    <w:snapToGrid/>
                    <w:spacing w:before="0" w:beforeAutospacing="0" w:after="0" w:afterAutospacing="0" w:line="240" w:lineRule="auto"/>
                    <w:ind w:left="0" w:leftChars="0" w:right="0" w:rightChars="0"/>
                    <w:textAlignment w:val="center"/>
                    <w:outlineLvl w:val="9"/>
                    <w:rPr>
                      <w:rFonts w:hint="default" w:ascii="Times New Roman" w:hAnsi="Times New Roman" w:cs="Times New Roman"/>
                      <w:color w:val="auto"/>
                      <w:kern w:val="2"/>
                      <w:sz w:val="21"/>
                      <w:szCs w:val="21"/>
                      <w:highlight w:val="none"/>
                      <w:lang w:val="en-US" w:eastAsia="zh-CN"/>
                    </w:rPr>
                  </w:pPr>
                </w:p>
              </w:tc>
              <w:tc>
                <w:tcPr>
                  <w:tcW w:w="1708" w:type="pct"/>
                  <w:vAlign w:val="center"/>
                </w:tcPr>
                <w:p w14:paraId="0A73C110">
                  <w:pPr>
                    <w:pStyle w:val="61"/>
                    <w:keepNext w:val="0"/>
                    <w:keepLines w:val="0"/>
                    <w:pageBreakBefore w:val="0"/>
                    <w:widowControl/>
                    <w:suppressLineNumbers w:val="0"/>
                    <w:kinsoku/>
                    <w:wordWrap w:val="0"/>
                    <w:overflowPunct/>
                    <w:topLinePunct w:val="0"/>
                    <w:autoSpaceDE w:val="0"/>
                    <w:autoSpaceDN w:val="0"/>
                    <w:bidi w:val="0"/>
                    <w:adjustRightInd/>
                    <w:snapToGrid/>
                    <w:spacing w:before="0" w:beforeAutospacing="0" w:after="0" w:afterAutospacing="0" w:line="240" w:lineRule="auto"/>
                    <w:ind w:left="0" w:leftChars="0" w:right="0" w:rightChars="0"/>
                    <w:textAlignment w:val="center"/>
                    <w:outlineLvl w:val="9"/>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eastAsia="zh-CN"/>
                    </w:rPr>
                    <w:t>氮氧化物、颗粒物、二氧化硫、</w:t>
                  </w:r>
                  <w:r>
                    <w:rPr>
                      <w:rFonts w:hint="default" w:ascii="Times New Roman" w:hAnsi="Times New Roman" w:cs="Times New Roman"/>
                      <w:color w:val="auto"/>
                      <w:kern w:val="2"/>
                      <w:sz w:val="21"/>
                      <w:szCs w:val="21"/>
                      <w:highlight w:val="none"/>
                      <w:lang w:val="en-US" w:eastAsia="zh-CN"/>
                    </w:rPr>
                    <w:t>烟气黑度</w:t>
                  </w:r>
                </w:p>
              </w:tc>
              <w:tc>
                <w:tcPr>
                  <w:tcW w:w="1482" w:type="pct"/>
                  <w:vMerge w:val="continue"/>
                  <w:vAlign w:val="center"/>
                </w:tcPr>
                <w:p w14:paraId="6784443B">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p>
              </w:tc>
            </w:tr>
            <w:tr w14:paraId="5A1B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1" w:type="pct"/>
                  <w:vMerge w:val="restart"/>
                  <w:vAlign w:val="center"/>
                </w:tcPr>
                <w:p w14:paraId="1FDD9E7B">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废水</w:t>
                  </w:r>
                </w:p>
              </w:tc>
              <w:tc>
                <w:tcPr>
                  <w:tcW w:w="1397" w:type="pct"/>
                  <w:vAlign w:val="center"/>
                </w:tcPr>
                <w:p w14:paraId="4030C29C">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厂内员工生活污水</w:t>
                  </w:r>
                </w:p>
              </w:tc>
              <w:tc>
                <w:tcPr>
                  <w:tcW w:w="1708" w:type="pct"/>
                  <w:vAlign w:val="center"/>
                </w:tcPr>
                <w:p w14:paraId="191FE51E">
                  <w:pPr>
                    <w:adjustRightInd w:val="0"/>
                    <w:snapToGrid w:val="0"/>
                    <w:spacing w:line="240" w:lineRule="auto"/>
                    <w:jc w:val="center"/>
                    <w:rPr>
                      <w:rFonts w:hint="eastAsia"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rPr>
                    <w:t>pH、COD</w:t>
                  </w:r>
                  <w:r>
                    <w:rPr>
                      <w:rFonts w:hint="default" w:ascii="Times New Roman" w:hAnsi="Times New Roman" w:eastAsia="宋体" w:cs="Times New Roman"/>
                      <w:bCs/>
                      <w:color w:val="auto"/>
                      <w:sz w:val="21"/>
                      <w:szCs w:val="21"/>
                      <w:highlight w:val="none"/>
                      <w:vertAlign w:val="subscript"/>
                    </w:rPr>
                    <w:t>Cr</w:t>
                  </w:r>
                  <w:r>
                    <w:rPr>
                      <w:rFonts w:hint="default" w:ascii="Times New Roman" w:hAnsi="Times New Roman" w:eastAsia="宋体" w:cs="Times New Roman"/>
                      <w:bCs/>
                      <w:color w:val="auto"/>
                      <w:sz w:val="21"/>
                      <w:szCs w:val="21"/>
                      <w:highlight w:val="none"/>
                    </w:rPr>
                    <w:t>、BOD</w:t>
                  </w:r>
                  <w:r>
                    <w:rPr>
                      <w:rFonts w:hint="default" w:ascii="Times New Roman" w:hAnsi="Times New Roman" w:eastAsia="宋体" w:cs="Times New Roman"/>
                      <w:bCs/>
                      <w:color w:val="auto"/>
                      <w:sz w:val="21"/>
                      <w:szCs w:val="21"/>
                      <w:highlight w:val="none"/>
                      <w:vertAlign w:val="subscript"/>
                    </w:rPr>
                    <w:t>5</w:t>
                  </w:r>
                  <w:r>
                    <w:rPr>
                      <w:rFonts w:hint="default" w:ascii="Times New Roman" w:hAnsi="Times New Roman" w:eastAsia="宋体" w:cs="Times New Roman"/>
                      <w:bCs/>
                      <w:color w:val="auto"/>
                      <w:sz w:val="21"/>
                      <w:szCs w:val="21"/>
                      <w:highlight w:val="none"/>
                    </w:rPr>
                    <w:t>、SS、氨氮、</w:t>
                  </w:r>
                  <w:r>
                    <w:rPr>
                      <w:rFonts w:hint="eastAsia" w:ascii="Times New Roman" w:hAnsi="Times New Roman" w:eastAsia="宋体" w:cs="Times New Roman"/>
                      <w:bCs/>
                      <w:color w:val="auto"/>
                      <w:sz w:val="21"/>
                      <w:szCs w:val="21"/>
                      <w:highlight w:val="none"/>
                      <w:lang w:val="en-US" w:eastAsia="zh-CN"/>
                    </w:rPr>
                    <w:t>总磷、</w:t>
                  </w:r>
                  <w:r>
                    <w:rPr>
                      <w:rFonts w:hint="eastAsia" w:cs="Times New Roman"/>
                      <w:bCs/>
                      <w:color w:val="auto"/>
                      <w:sz w:val="21"/>
                      <w:szCs w:val="21"/>
                      <w:highlight w:val="none"/>
                      <w:lang w:val="en-US" w:eastAsia="zh-CN"/>
                    </w:rPr>
                    <w:t>动植物油</w:t>
                  </w:r>
                </w:p>
              </w:tc>
              <w:tc>
                <w:tcPr>
                  <w:tcW w:w="1482" w:type="pct"/>
                  <w:vAlign w:val="center"/>
                </w:tcPr>
                <w:p w14:paraId="7A20BA29">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经三级化粪池处理后排入园区污水处理厂</w:t>
                  </w:r>
                </w:p>
              </w:tc>
            </w:tr>
            <w:tr w14:paraId="1708D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1" w:type="pct"/>
                  <w:vMerge w:val="continue"/>
                  <w:vAlign w:val="center"/>
                </w:tcPr>
                <w:p w14:paraId="255C16CD">
                  <w:pPr>
                    <w:adjustRightInd w:val="0"/>
                    <w:snapToGrid w:val="0"/>
                    <w:spacing w:line="240" w:lineRule="auto"/>
                    <w:jc w:val="center"/>
                    <w:rPr>
                      <w:rFonts w:hint="default" w:ascii="Times New Roman" w:hAnsi="Times New Roman" w:eastAsia="宋体" w:cs="Times New Roman"/>
                      <w:bCs/>
                      <w:color w:val="auto"/>
                      <w:sz w:val="21"/>
                      <w:szCs w:val="21"/>
                      <w:highlight w:val="none"/>
                    </w:rPr>
                  </w:pPr>
                </w:p>
              </w:tc>
              <w:tc>
                <w:tcPr>
                  <w:tcW w:w="1397" w:type="pct"/>
                  <w:vAlign w:val="center"/>
                </w:tcPr>
                <w:p w14:paraId="6F4DC35D">
                  <w:pPr>
                    <w:pStyle w:val="61"/>
                    <w:keepNext w:val="0"/>
                    <w:keepLines w:val="0"/>
                    <w:pageBreakBefore w:val="0"/>
                    <w:widowControl/>
                    <w:suppressLineNumbers w:val="0"/>
                    <w:kinsoku/>
                    <w:wordWrap w:val="0"/>
                    <w:overflowPunct/>
                    <w:topLinePunct w:val="0"/>
                    <w:autoSpaceDE w:val="0"/>
                    <w:autoSpaceDN w:val="0"/>
                    <w:bidi w:val="0"/>
                    <w:adjustRightInd/>
                    <w:snapToGrid/>
                    <w:spacing w:before="0" w:beforeAutospacing="0" w:after="0" w:afterAutospacing="0" w:line="240" w:lineRule="auto"/>
                    <w:ind w:left="0" w:leftChars="0" w:right="0" w:rightChars="0"/>
                    <w:textAlignment w:val="center"/>
                    <w:outlineLvl w:val="9"/>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生产废水</w:t>
                  </w:r>
                </w:p>
              </w:tc>
              <w:tc>
                <w:tcPr>
                  <w:tcW w:w="1708" w:type="pct"/>
                  <w:vAlign w:val="center"/>
                </w:tcPr>
                <w:p w14:paraId="47AEEBDB">
                  <w:pPr>
                    <w:pStyle w:val="61"/>
                    <w:keepNext w:val="0"/>
                    <w:keepLines w:val="0"/>
                    <w:pageBreakBefore w:val="0"/>
                    <w:widowControl/>
                    <w:suppressLineNumbers w:val="0"/>
                    <w:kinsoku/>
                    <w:wordWrap w:val="0"/>
                    <w:overflowPunct/>
                    <w:topLinePunct w:val="0"/>
                    <w:autoSpaceDE w:val="0"/>
                    <w:autoSpaceDN w:val="0"/>
                    <w:bidi w:val="0"/>
                    <w:adjustRightInd/>
                    <w:snapToGrid/>
                    <w:spacing w:before="0" w:beforeAutospacing="0" w:after="0" w:afterAutospacing="0" w:line="240" w:lineRule="auto"/>
                    <w:ind w:left="0" w:leftChars="0" w:right="0" w:rightChars="0"/>
                    <w:textAlignment w:val="center"/>
                    <w:outlineLvl w:val="9"/>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kern w:val="2"/>
                      <w:sz w:val="21"/>
                      <w:szCs w:val="21"/>
                      <w:highlight w:val="none"/>
                    </w:rPr>
                    <w:t>pH、COD</w:t>
                  </w:r>
                  <w:r>
                    <w:rPr>
                      <w:rFonts w:hint="default" w:ascii="Times New Roman" w:hAnsi="Times New Roman" w:cs="Times New Roman"/>
                      <w:color w:val="auto"/>
                      <w:kern w:val="2"/>
                      <w:sz w:val="21"/>
                      <w:szCs w:val="21"/>
                      <w:highlight w:val="none"/>
                      <w:vertAlign w:val="subscript"/>
                    </w:rPr>
                    <w:t>Cr</w:t>
                  </w:r>
                  <w:r>
                    <w:rPr>
                      <w:rFonts w:hint="default" w:ascii="Times New Roman" w:hAnsi="Times New Roman" w:cs="Times New Roman"/>
                      <w:color w:val="auto"/>
                      <w:kern w:val="2"/>
                      <w:sz w:val="21"/>
                      <w:szCs w:val="21"/>
                      <w:highlight w:val="none"/>
                    </w:rPr>
                    <w:t>、</w:t>
                  </w:r>
                  <w:r>
                    <w:rPr>
                      <w:rFonts w:hint="eastAsia" w:ascii="Times New Roman" w:hAnsi="Times New Roman" w:cs="Times New Roman"/>
                      <w:color w:val="auto"/>
                      <w:sz w:val="21"/>
                      <w:szCs w:val="21"/>
                      <w:highlight w:val="none"/>
                      <w:lang w:val="en-US" w:eastAsia="zh-CN"/>
                    </w:rPr>
                    <w:t>BOD</w:t>
                  </w:r>
                  <w:r>
                    <w:rPr>
                      <w:rFonts w:hint="eastAsia" w:ascii="Times New Roman" w:hAnsi="Times New Roman" w:cs="Times New Roman"/>
                      <w:color w:val="auto"/>
                      <w:sz w:val="21"/>
                      <w:szCs w:val="21"/>
                      <w:highlight w:val="none"/>
                      <w:vertAlign w:val="subscript"/>
                      <w:lang w:val="en-US" w:eastAsia="zh-CN"/>
                    </w:rPr>
                    <w:t>5</w:t>
                  </w:r>
                  <w:r>
                    <w:rPr>
                      <w:rFonts w:hint="eastAsia" w:ascii="Times New Roman" w:hAnsi="Times New Roman" w:cs="Times New Roman"/>
                      <w:color w:val="auto"/>
                      <w:sz w:val="21"/>
                      <w:szCs w:val="21"/>
                      <w:highlight w:val="none"/>
                      <w:lang w:val="en-US" w:eastAsia="zh-CN"/>
                    </w:rPr>
                    <w:t>、NH</w:t>
                  </w:r>
                  <w:r>
                    <w:rPr>
                      <w:rFonts w:hint="eastAsia" w:ascii="Times New Roman" w:hAnsi="Times New Roman" w:cs="Times New Roman"/>
                      <w:color w:val="auto"/>
                      <w:sz w:val="21"/>
                      <w:szCs w:val="21"/>
                      <w:highlight w:val="none"/>
                      <w:vertAlign w:val="subscript"/>
                      <w:lang w:val="en-US" w:eastAsia="zh-CN"/>
                    </w:rPr>
                    <w:t>3</w:t>
                  </w:r>
                  <w:r>
                    <w:rPr>
                      <w:rFonts w:hint="eastAsia" w:ascii="Times New Roman" w:hAnsi="Times New Roman" w:cs="Times New Roman"/>
                      <w:color w:val="auto"/>
                      <w:sz w:val="21"/>
                      <w:szCs w:val="21"/>
                      <w:highlight w:val="none"/>
                      <w:lang w:val="en-US" w:eastAsia="zh-CN"/>
                    </w:rPr>
                    <w:t>-N、</w:t>
                  </w:r>
                  <w:r>
                    <w:rPr>
                      <w:rFonts w:hint="default" w:ascii="Times New Roman" w:hAnsi="Times New Roman" w:cs="Times New Roman"/>
                      <w:color w:val="auto"/>
                      <w:kern w:val="2"/>
                      <w:sz w:val="21"/>
                      <w:szCs w:val="21"/>
                      <w:highlight w:val="none"/>
                    </w:rPr>
                    <w:t>SS、石油类、</w:t>
                  </w:r>
                  <w:r>
                    <w:rPr>
                      <w:rFonts w:hint="eastAsia" w:cs="Times New Roman"/>
                      <w:color w:val="auto"/>
                      <w:kern w:val="2"/>
                      <w:sz w:val="21"/>
                      <w:szCs w:val="21"/>
                      <w:highlight w:val="none"/>
                      <w:lang w:val="en-US" w:eastAsia="zh-CN"/>
                    </w:rPr>
                    <w:t>TP</w:t>
                  </w:r>
                  <w:r>
                    <w:rPr>
                      <w:rFonts w:hint="default" w:ascii="Times New Roman" w:hAnsi="Times New Roman" w:cs="Times New Roman"/>
                      <w:color w:val="auto"/>
                      <w:kern w:val="2"/>
                      <w:sz w:val="21"/>
                      <w:szCs w:val="21"/>
                      <w:highlight w:val="none"/>
                    </w:rPr>
                    <w:t>、</w:t>
                  </w:r>
                  <w:r>
                    <w:rPr>
                      <w:rFonts w:hint="eastAsia" w:cs="Times New Roman"/>
                      <w:color w:val="auto"/>
                      <w:kern w:val="2"/>
                      <w:sz w:val="21"/>
                      <w:szCs w:val="21"/>
                      <w:highlight w:val="none"/>
                      <w:lang w:val="en-US" w:eastAsia="zh-CN"/>
                    </w:rPr>
                    <w:t>TN、</w:t>
                  </w:r>
                  <w:r>
                    <w:rPr>
                      <w:rFonts w:hint="default" w:ascii="Times New Roman" w:hAnsi="Times New Roman" w:cs="Times New Roman"/>
                      <w:color w:val="auto"/>
                      <w:kern w:val="2"/>
                      <w:sz w:val="21"/>
                      <w:szCs w:val="21"/>
                      <w:highlight w:val="none"/>
                    </w:rPr>
                    <w:t>LAS</w:t>
                  </w:r>
                  <w:r>
                    <w:rPr>
                      <w:rFonts w:hint="eastAsia" w:cs="Times New Roman"/>
                      <w:color w:val="auto"/>
                      <w:kern w:val="2"/>
                      <w:sz w:val="21"/>
                      <w:szCs w:val="21"/>
                      <w:highlight w:val="none"/>
                      <w:lang w:eastAsia="zh-CN"/>
                    </w:rPr>
                    <w:t>、</w:t>
                  </w:r>
                  <w:r>
                    <w:rPr>
                      <w:rFonts w:hint="eastAsia" w:cs="Times New Roman"/>
                      <w:color w:val="auto"/>
                      <w:kern w:val="2"/>
                      <w:sz w:val="21"/>
                      <w:szCs w:val="21"/>
                      <w:highlight w:val="none"/>
                      <w:lang w:val="en-US" w:eastAsia="zh-CN"/>
                    </w:rPr>
                    <w:t>总锌、氟化物</w:t>
                  </w:r>
                </w:p>
              </w:tc>
              <w:tc>
                <w:tcPr>
                  <w:tcW w:w="1482" w:type="pct"/>
                  <w:vAlign w:val="center"/>
                </w:tcPr>
                <w:p w14:paraId="21432F9E">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经自建污水处理站处理后</w:t>
                  </w:r>
                  <w:r>
                    <w:rPr>
                      <w:rFonts w:hint="eastAsia" w:ascii="Times New Roman" w:hAnsi="Times New Roman" w:eastAsia="宋体" w:cs="Times New Roman"/>
                      <w:bCs/>
                      <w:color w:val="auto"/>
                      <w:sz w:val="21"/>
                      <w:szCs w:val="21"/>
                      <w:highlight w:val="none"/>
                      <w:lang w:val="en-US" w:eastAsia="zh-CN"/>
                    </w:rPr>
                    <w:t>排入</w:t>
                  </w:r>
                  <w:r>
                    <w:rPr>
                      <w:rFonts w:hint="default" w:ascii="Times New Roman" w:hAnsi="Times New Roman" w:eastAsia="宋体" w:cs="Times New Roman"/>
                      <w:bCs/>
                      <w:color w:val="auto"/>
                      <w:sz w:val="21"/>
                      <w:szCs w:val="21"/>
                      <w:highlight w:val="none"/>
                      <w:lang w:val="en-US" w:eastAsia="zh-CN"/>
                    </w:rPr>
                    <w:t>园区污水处理厂</w:t>
                  </w:r>
                </w:p>
              </w:tc>
            </w:tr>
            <w:tr w14:paraId="41E51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1" w:type="pct"/>
                  <w:vMerge w:val="restart"/>
                  <w:vAlign w:val="center"/>
                </w:tcPr>
                <w:p w14:paraId="3416F588">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固体废物</w:t>
                  </w:r>
                </w:p>
              </w:tc>
              <w:tc>
                <w:tcPr>
                  <w:tcW w:w="1397" w:type="pct"/>
                  <w:vAlign w:val="center"/>
                </w:tcPr>
                <w:p w14:paraId="38FC58E2">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员工生活办公</w:t>
                  </w:r>
                </w:p>
              </w:tc>
              <w:tc>
                <w:tcPr>
                  <w:tcW w:w="1708" w:type="pct"/>
                  <w:vAlign w:val="center"/>
                </w:tcPr>
                <w:p w14:paraId="178D1F12">
                  <w:pPr>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生活垃圾</w:t>
                  </w:r>
                </w:p>
              </w:tc>
              <w:tc>
                <w:tcPr>
                  <w:tcW w:w="1482" w:type="pct"/>
                  <w:vAlign w:val="center"/>
                </w:tcPr>
                <w:p w14:paraId="30DD29CD">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由环卫部门收集处理</w:t>
                  </w:r>
                </w:p>
              </w:tc>
            </w:tr>
            <w:tr w14:paraId="2786E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1" w:type="pct"/>
                  <w:vMerge w:val="continue"/>
                  <w:vAlign w:val="center"/>
                </w:tcPr>
                <w:p w14:paraId="4D9D9FBF">
                  <w:pPr>
                    <w:adjustRightInd w:val="0"/>
                    <w:snapToGrid w:val="0"/>
                    <w:spacing w:line="240" w:lineRule="auto"/>
                    <w:jc w:val="center"/>
                    <w:rPr>
                      <w:rFonts w:hint="default" w:ascii="Times New Roman" w:hAnsi="Times New Roman" w:eastAsia="宋体" w:cs="Times New Roman"/>
                      <w:bCs/>
                      <w:color w:val="auto"/>
                      <w:sz w:val="21"/>
                      <w:szCs w:val="21"/>
                      <w:highlight w:val="none"/>
                    </w:rPr>
                  </w:pPr>
                </w:p>
              </w:tc>
              <w:tc>
                <w:tcPr>
                  <w:tcW w:w="1397" w:type="pct"/>
                  <w:vAlign w:val="center"/>
                </w:tcPr>
                <w:p w14:paraId="37C9E826">
                  <w:pPr>
                    <w:pStyle w:val="61"/>
                    <w:keepNext w:val="0"/>
                    <w:keepLines w:val="0"/>
                    <w:pageBreakBefore w:val="0"/>
                    <w:widowControl/>
                    <w:suppressLineNumbers w:val="0"/>
                    <w:kinsoku/>
                    <w:wordWrap w:val="0"/>
                    <w:overflowPunct/>
                    <w:topLinePunct w:val="0"/>
                    <w:autoSpaceDE w:val="0"/>
                    <w:autoSpaceDN w:val="0"/>
                    <w:bidi w:val="0"/>
                    <w:adjustRightInd/>
                    <w:snapToGrid/>
                    <w:spacing w:before="0" w:beforeAutospacing="0" w:after="0" w:afterAutospacing="0" w:line="240" w:lineRule="auto"/>
                    <w:ind w:left="0" w:leftChars="0" w:right="0" w:rightChars="0"/>
                    <w:textAlignment w:val="center"/>
                    <w:outlineLvl w:val="9"/>
                    <w:rPr>
                      <w:rFonts w:hint="default" w:ascii="Times New Roman" w:hAnsi="Times New Roman" w:eastAsia="宋体" w:cs="Times New Roman"/>
                      <w:color w:val="auto"/>
                      <w:kern w:val="2"/>
                      <w:position w:val="-10"/>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自建污水处理站</w:t>
                  </w:r>
                </w:p>
              </w:tc>
              <w:tc>
                <w:tcPr>
                  <w:tcW w:w="1708" w:type="pct"/>
                  <w:vAlign w:val="center"/>
                </w:tcPr>
                <w:p w14:paraId="09DDB674">
                  <w:pPr>
                    <w:pStyle w:val="61"/>
                    <w:keepNext w:val="0"/>
                    <w:keepLines w:val="0"/>
                    <w:pageBreakBefore w:val="0"/>
                    <w:widowControl/>
                    <w:suppressLineNumbers w:val="0"/>
                    <w:kinsoku/>
                    <w:wordWrap w:val="0"/>
                    <w:overflowPunct/>
                    <w:topLinePunct w:val="0"/>
                    <w:autoSpaceDE w:val="0"/>
                    <w:autoSpaceDN w:val="0"/>
                    <w:bidi w:val="0"/>
                    <w:adjustRightInd/>
                    <w:snapToGrid/>
                    <w:spacing w:before="0" w:beforeAutospacing="0" w:after="0" w:afterAutospacing="0" w:line="240" w:lineRule="auto"/>
                    <w:ind w:left="0" w:leftChars="0" w:right="0" w:rightChars="0"/>
                    <w:textAlignment w:val="center"/>
                    <w:outlineLvl w:val="9"/>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废水处理站污泥</w:t>
                  </w:r>
                  <w:r>
                    <w:rPr>
                      <w:rFonts w:hint="eastAsia" w:cs="Times New Roman"/>
                      <w:color w:val="auto"/>
                      <w:szCs w:val="21"/>
                      <w:highlight w:val="none"/>
                      <w:lang w:val="en-US" w:eastAsia="zh-CN"/>
                    </w:rPr>
                    <w:t>、废MBR膜</w:t>
                  </w:r>
                  <w:r>
                    <w:rPr>
                      <w:rFonts w:hint="default" w:ascii="Times New Roman" w:hAnsi="Times New Roman" w:cs="Times New Roman"/>
                      <w:color w:val="auto"/>
                      <w:kern w:val="2"/>
                      <w:sz w:val="21"/>
                      <w:szCs w:val="21"/>
                      <w:highlight w:val="none"/>
                    </w:rPr>
                    <w:t>、</w:t>
                  </w:r>
                  <w:r>
                    <w:rPr>
                      <w:rFonts w:hint="default" w:ascii="Times New Roman" w:hAnsi="Times New Roman" w:cs="Times New Roman"/>
                      <w:b w:val="0"/>
                      <w:bCs w:val="0"/>
                      <w:color w:val="auto"/>
                      <w:kern w:val="2"/>
                      <w:sz w:val="21"/>
                      <w:szCs w:val="21"/>
                      <w:highlight w:val="none"/>
                      <w:lang w:eastAsia="zh-CN"/>
                    </w:rPr>
                    <w:t>废包装桶</w:t>
                  </w:r>
                </w:p>
              </w:tc>
              <w:tc>
                <w:tcPr>
                  <w:tcW w:w="1482" w:type="pct"/>
                  <w:vMerge w:val="restart"/>
                  <w:vAlign w:val="center"/>
                </w:tcPr>
                <w:p w14:paraId="370B20DF">
                  <w:pPr>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rPr>
                    <w:t>经收集后</w:t>
                  </w:r>
                  <w:r>
                    <w:rPr>
                      <w:rFonts w:hint="default" w:ascii="Times New Roman" w:hAnsi="Times New Roman" w:eastAsia="宋体" w:cs="Times New Roman"/>
                      <w:bCs/>
                      <w:color w:val="auto"/>
                      <w:sz w:val="21"/>
                      <w:szCs w:val="21"/>
                      <w:highlight w:val="none"/>
                      <w:lang w:val="en-US" w:eastAsia="zh-CN"/>
                    </w:rPr>
                    <w:t>暂存</w:t>
                  </w:r>
                  <w:r>
                    <w:rPr>
                      <w:rFonts w:hint="eastAsia" w:ascii="Times New Roman" w:hAnsi="Times New Roman" w:eastAsia="宋体" w:cs="Times New Roman"/>
                      <w:bCs/>
                      <w:color w:val="auto"/>
                      <w:sz w:val="21"/>
                      <w:szCs w:val="21"/>
                      <w:highlight w:val="none"/>
                      <w:lang w:val="en-US" w:eastAsia="zh-CN"/>
                    </w:rPr>
                    <w:t>于</w:t>
                  </w:r>
                  <w:r>
                    <w:rPr>
                      <w:rFonts w:hint="default" w:ascii="Times New Roman" w:hAnsi="Times New Roman" w:eastAsia="宋体" w:cs="Times New Roman"/>
                      <w:bCs/>
                      <w:color w:val="auto"/>
                      <w:sz w:val="21"/>
                      <w:szCs w:val="21"/>
                      <w:highlight w:val="none"/>
                      <w:lang w:val="en-US" w:eastAsia="zh-CN"/>
                    </w:rPr>
                    <w:t>危废暂存</w:t>
                  </w:r>
                  <w:r>
                    <w:rPr>
                      <w:rFonts w:hint="eastAsia" w:ascii="Times New Roman" w:hAnsi="Times New Roman" w:eastAsia="宋体" w:cs="Times New Roman"/>
                      <w:bCs/>
                      <w:color w:val="auto"/>
                      <w:sz w:val="21"/>
                      <w:szCs w:val="21"/>
                      <w:highlight w:val="none"/>
                      <w:lang w:val="en-US" w:eastAsia="zh-CN"/>
                    </w:rPr>
                    <w:t>间</w:t>
                  </w:r>
                  <w:r>
                    <w:rPr>
                      <w:rFonts w:hint="default" w:ascii="Times New Roman" w:hAnsi="Times New Roman" w:eastAsia="宋体" w:cs="Times New Roman"/>
                      <w:bCs/>
                      <w:color w:val="auto"/>
                      <w:sz w:val="21"/>
                      <w:szCs w:val="21"/>
                      <w:highlight w:val="none"/>
                      <w:lang w:val="en-US" w:eastAsia="zh-CN"/>
                    </w:rPr>
                    <w:t>，</w:t>
                  </w:r>
                  <w:r>
                    <w:rPr>
                      <w:rFonts w:hint="eastAsia" w:cs="Times New Roman"/>
                      <w:bCs/>
                      <w:color w:val="auto"/>
                      <w:sz w:val="21"/>
                      <w:szCs w:val="21"/>
                      <w:highlight w:val="none"/>
                      <w:lang w:val="en-US" w:eastAsia="zh-CN"/>
                    </w:rPr>
                    <w:t>交由</w:t>
                  </w:r>
                  <w:r>
                    <w:rPr>
                      <w:rFonts w:hint="default" w:ascii="Times New Roman" w:hAnsi="Times New Roman" w:eastAsia="宋体" w:cs="Times New Roman"/>
                      <w:bCs/>
                      <w:color w:val="auto"/>
                      <w:sz w:val="21"/>
                      <w:szCs w:val="21"/>
                      <w:highlight w:val="none"/>
                      <w:lang w:val="en-US" w:eastAsia="zh-CN"/>
                    </w:rPr>
                    <w:t>危险废物处理资质单位处理</w:t>
                  </w:r>
                </w:p>
              </w:tc>
            </w:tr>
            <w:tr w14:paraId="27ABF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1" w:type="pct"/>
                  <w:vMerge w:val="continue"/>
                  <w:vAlign w:val="center"/>
                </w:tcPr>
                <w:p w14:paraId="1FA4BAF1">
                  <w:pPr>
                    <w:adjustRightInd w:val="0"/>
                    <w:snapToGrid w:val="0"/>
                    <w:spacing w:line="240" w:lineRule="auto"/>
                    <w:jc w:val="center"/>
                    <w:rPr>
                      <w:rFonts w:hint="default" w:ascii="Times New Roman" w:hAnsi="Times New Roman" w:eastAsia="宋体" w:cs="Times New Roman"/>
                      <w:bCs/>
                      <w:color w:val="auto"/>
                      <w:sz w:val="21"/>
                      <w:szCs w:val="21"/>
                      <w:highlight w:val="none"/>
                    </w:rPr>
                  </w:pPr>
                </w:p>
              </w:tc>
              <w:tc>
                <w:tcPr>
                  <w:tcW w:w="1397" w:type="pct"/>
                  <w:tcBorders>
                    <w:bottom w:val="single" w:color="000000" w:sz="4" w:space="0"/>
                  </w:tcBorders>
                  <w:vAlign w:val="center"/>
                </w:tcPr>
                <w:p w14:paraId="4B001662">
                  <w:pPr>
                    <w:pStyle w:val="61"/>
                    <w:keepNext w:val="0"/>
                    <w:keepLines w:val="0"/>
                    <w:pageBreakBefore w:val="0"/>
                    <w:widowControl/>
                    <w:suppressLineNumbers w:val="0"/>
                    <w:kinsoku/>
                    <w:wordWrap w:val="0"/>
                    <w:overflowPunct/>
                    <w:topLinePunct w:val="0"/>
                    <w:autoSpaceDE w:val="0"/>
                    <w:autoSpaceDN w:val="0"/>
                    <w:bidi w:val="0"/>
                    <w:adjustRightInd/>
                    <w:snapToGrid/>
                    <w:spacing w:before="0" w:beforeAutospacing="0" w:after="0" w:afterAutospacing="0" w:line="240" w:lineRule="auto"/>
                    <w:ind w:left="0" w:leftChars="0" w:right="0" w:rightChars="0"/>
                    <w:textAlignment w:val="center"/>
                    <w:outlineLvl w:val="9"/>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脱脂池、</w:t>
                  </w:r>
                  <w:r>
                    <w:rPr>
                      <w:rFonts w:hint="eastAsia" w:cs="Times New Roman"/>
                      <w:color w:val="auto"/>
                      <w:kern w:val="2"/>
                      <w:sz w:val="21"/>
                      <w:szCs w:val="21"/>
                      <w:highlight w:val="none"/>
                      <w:lang w:val="en-US" w:eastAsia="zh-CN"/>
                    </w:rPr>
                    <w:t>表调</w:t>
                  </w:r>
                  <w:r>
                    <w:rPr>
                      <w:rFonts w:hint="eastAsia" w:ascii="Times New Roman" w:hAnsi="Times New Roman" w:cs="Times New Roman"/>
                      <w:color w:val="auto"/>
                      <w:kern w:val="2"/>
                      <w:sz w:val="21"/>
                      <w:szCs w:val="21"/>
                      <w:highlight w:val="none"/>
                      <w:lang w:val="en-US" w:eastAsia="zh-CN"/>
                    </w:rPr>
                    <w:t>池</w:t>
                  </w:r>
                </w:p>
              </w:tc>
              <w:tc>
                <w:tcPr>
                  <w:tcW w:w="1708" w:type="pct"/>
                  <w:tcBorders>
                    <w:bottom w:val="single" w:color="000000" w:sz="4" w:space="0"/>
                  </w:tcBorders>
                  <w:vAlign w:val="center"/>
                </w:tcPr>
                <w:p w14:paraId="5DCA3A89">
                  <w:pPr>
                    <w:pStyle w:val="61"/>
                    <w:keepNext w:val="0"/>
                    <w:keepLines w:val="0"/>
                    <w:pageBreakBefore w:val="0"/>
                    <w:widowControl/>
                    <w:suppressLineNumbers w:val="0"/>
                    <w:kinsoku/>
                    <w:wordWrap w:val="0"/>
                    <w:overflowPunct/>
                    <w:topLinePunct w:val="0"/>
                    <w:autoSpaceDE w:val="0"/>
                    <w:autoSpaceDN w:val="0"/>
                    <w:bidi w:val="0"/>
                    <w:adjustRightInd/>
                    <w:snapToGrid/>
                    <w:spacing w:before="0" w:beforeAutospacing="0" w:after="0" w:afterAutospacing="0" w:line="240" w:lineRule="auto"/>
                    <w:ind w:left="0" w:leftChars="0" w:right="0" w:rightChars="0"/>
                    <w:textAlignment w:val="center"/>
                    <w:outlineLvl w:val="9"/>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rPr>
                    <w:t>废包装桶</w:t>
                  </w:r>
                </w:p>
              </w:tc>
              <w:tc>
                <w:tcPr>
                  <w:tcW w:w="1482" w:type="pct"/>
                  <w:vMerge w:val="continue"/>
                  <w:vAlign w:val="center"/>
                </w:tcPr>
                <w:p w14:paraId="75156223">
                  <w:pPr>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p>
              </w:tc>
            </w:tr>
            <w:tr w14:paraId="419F7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1" w:type="pct"/>
                  <w:vMerge w:val="continue"/>
                  <w:vAlign w:val="center"/>
                </w:tcPr>
                <w:p w14:paraId="4141367E">
                  <w:pPr>
                    <w:adjustRightInd w:val="0"/>
                    <w:snapToGrid w:val="0"/>
                    <w:spacing w:line="240" w:lineRule="auto"/>
                    <w:jc w:val="center"/>
                    <w:rPr>
                      <w:rFonts w:hint="default" w:ascii="Times New Roman" w:hAnsi="Times New Roman" w:eastAsia="宋体" w:cs="Times New Roman"/>
                      <w:bCs/>
                      <w:color w:val="auto"/>
                      <w:sz w:val="21"/>
                      <w:szCs w:val="21"/>
                      <w:highlight w:val="none"/>
                    </w:rPr>
                  </w:pPr>
                </w:p>
              </w:tc>
              <w:tc>
                <w:tcPr>
                  <w:tcW w:w="1397" w:type="pct"/>
                  <w:tcBorders>
                    <w:bottom w:val="single" w:color="000000" w:sz="4" w:space="0"/>
                  </w:tcBorders>
                  <w:vAlign w:val="center"/>
                </w:tcPr>
                <w:p w14:paraId="651B4818">
                  <w:pPr>
                    <w:pStyle w:val="61"/>
                    <w:keepNext w:val="0"/>
                    <w:keepLines w:val="0"/>
                    <w:pageBreakBefore w:val="0"/>
                    <w:widowControl/>
                    <w:suppressLineNumbers w:val="0"/>
                    <w:kinsoku/>
                    <w:wordWrap w:val="0"/>
                    <w:overflowPunct/>
                    <w:topLinePunct w:val="0"/>
                    <w:autoSpaceDE w:val="0"/>
                    <w:autoSpaceDN w:val="0"/>
                    <w:bidi w:val="0"/>
                    <w:adjustRightInd/>
                    <w:snapToGrid/>
                    <w:spacing w:before="0" w:beforeAutospacing="0" w:after="0" w:afterAutospacing="0" w:line="240" w:lineRule="auto"/>
                    <w:ind w:left="0" w:leftChars="0" w:right="0" w:rightChars="0"/>
                    <w:textAlignment w:val="center"/>
                    <w:outlineLvl w:val="9"/>
                    <w:rPr>
                      <w:rFonts w:hint="eastAsia" w:ascii="Times New Roman" w:hAnsi="Times New Roman"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酸洗池</w:t>
                  </w:r>
                </w:p>
              </w:tc>
              <w:tc>
                <w:tcPr>
                  <w:tcW w:w="1708" w:type="pct"/>
                  <w:tcBorders>
                    <w:bottom w:val="single" w:color="000000" w:sz="4" w:space="0"/>
                  </w:tcBorders>
                  <w:vAlign w:val="center"/>
                </w:tcPr>
                <w:p w14:paraId="3CC82CF7">
                  <w:pPr>
                    <w:pStyle w:val="61"/>
                    <w:keepNext w:val="0"/>
                    <w:keepLines w:val="0"/>
                    <w:pageBreakBefore w:val="0"/>
                    <w:widowControl/>
                    <w:suppressLineNumbers w:val="0"/>
                    <w:kinsoku/>
                    <w:wordWrap w:val="0"/>
                    <w:overflowPunct/>
                    <w:topLinePunct w:val="0"/>
                    <w:autoSpaceDE w:val="0"/>
                    <w:autoSpaceDN w:val="0"/>
                    <w:bidi w:val="0"/>
                    <w:adjustRightInd/>
                    <w:snapToGrid/>
                    <w:spacing w:before="0" w:beforeAutospacing="0" w:after="0" w:afterAutospacing="0" w:line="240" w:lineRule="auto"/>
                    <w:ind w:left="0" w:leftChars="0" w:right="0" w:rightChars="0"/>
                    <w:textAlignment w:val="center"/>
                    <w:outlineLvl w:val="9"/>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废包装桶</w:t>
                  </w:r>
                </w:p>
              </w:tc>
              <w:tc>
                <w:tcPr>
                  <w:tcW w:w="1482" w:type="pct"/>
                  <w:vMerge w:val="continue"/>
                  <w:vAlign w:val="center"/>
                </w:tcPr>
                <w:p w14:paraId="600DB4AF">
                  <w:pPr>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p>
              </w:tc>
            </w:tr>
            <w:tr w14:paraId="4E0A6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1" w:type="pct"/>
                  <w:vMerge w:val="continue"/>
                  <w:vAlign w:val="center"/>
                </w:tcPr>
                <w:p w14:paraId="1AF9C905">
                  <w:pPr>
                    <w:adjustRightInd w:val="0"/>
                    <w:snapToGrid w:val="0"/>
                    <w:spacing w:line="240" w:lineRule="auto"/>
                    <w:jc w:val="center"/>
                    <w:rPr>
                      <w:rFonts w:hint="default" w:ascii="Times New Roman" w:hAnsi="Times New Roman" w:eastAsia="宋体" w:cs="Times New Roman"/>
                      <w:bCs/>
                      <w:color w:val="auto"/>
                      <w:sz w:val="21"/>
                      <w:szCs w:val="21"/>
                      <w:highlight w:val="none"/>
                    </w:rPr>
                  </w:pPr>
                </w:p>
              </w:tc>
              <w:tc>
                <w:tcPr>
                  <w:tcW w:w="1397" w:type="pct"/>
                  <w:tcBorders>
                    <w:bottom w:val="single" w:color="000000" w:sz="4" w:space="0"/>
                  </w:tcBorders>
                  <w:vAlign w:val="center"/>
                </w:tcPr>
                <w:p w14:paraId="72789439">
                  <w:pPr>
                    <w:pStyle w:val="61"/>
                    <w:keepNext w:val="0"/>
                    <w:keepLines w:val="0"/>
                    <w:pageBreakBefore w:val="0"/>
                    <w:widowControl/>
                    <w:suppressLineNumbers w:val="0"/>
                    <w:kinsoku/>
                    <w:wordWrap w:val="0"/>
                    <w:overflowPunct/>
                    <w:topLinePunct w:val="0"/>
                    <w:autoSpaceDE w:val="0"/>
                    <w:autoSpaceDN w:val="0"/>
                    <w:bidi w:val="0"/>
                    <w:adjustRightInd/>
                    <w:snapToGrid/>
                    <w:spacing w:before="0" w:beforeAutospacing="0" w:after="0" w:afterAutospacing="0" w:line="240" w:lineRule="auto"/>
                    <w:ind w:left="0" w:leftChars="0" w:right="0" w:rightChars="0"/>
                    <w:textAlignment w:val="center"/>
                    <w:outlineLvl w:val="9"/>
                    <w:rPr>
                      <w:rFonts w:hint="eastAsia" w:ascii="Times New Roman" w:hAnsi="Times New Roman" w:eastAsia="宋体" w:cs="Times New Roman"/>
                      <w:color w:val="auto"/>
                      <w:kern w:val="2"/>
                      <w:position w:val="-10"/>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设备维修保养</w:t>
                  </w:r>
                </w:p>
              </w:tc>
              <w:tc>
                <w:tcPr>
                  <w:tcW w:w="1708" w:type="pct"/>
                  <w:tcBorders>
                    <w:bottom w:val="single" w:color="000000" w:sz="4" w:space="0"/>
                  </w:tcBorders>
                  <w:vAlign w:val="center"/>
                </w:tcPr>
                <w:p w14:paraId="7355627D">
                  <w:pPr>
                    <w:pStyle w:val="61"/>
                    <w:keepNext w:val="0"/>
                    <w:keepLines w:val="0"/>
                    <w:pageBreakBefore w:val="0"/>
                    <w:widowControl/>
                    <w:suppressLineNumbers w:val="0"/>
                    <w:kinsoku/>
                    <w:wordWrap w:val="0"/>
                    <w:overflowPunct/>
                    <w:topLinePunct w:val="0"/>
                    <w:autoSpaceDE w:val="0"/>
                    <w:autoSpaceDN w:val="0"/>
                    <w:bidi w:val="0"/>
                    <w:adjustRightInd/>
                    <w:snapToGrid/>
                    <w:spacing w:before="0" w:beforeAutospacing="0" w:after="0" w:afterAutospacing="0" w:line="240" w:lineRule="auto"/>
                    <w:ind w:left="0" w:leftChars="0" w:right="0" w:rightChars="0"/>
                    <w:textAlignment w:val="center"/>
                    <w:outlineLvl w:val="9"/>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废机油桶、废机油</w:t>
                  </w:r>
                  <w:r>
                    <w:rPr>
                      <w:rFonts w:hint="eastAsia" w:ascii="Times New Roman" w:hAnsi="Times New Roman" w:cs="Times New Roman"/>
                      <w:color w:val="auto"/>
                      <w:kern w:val="2"/>
                      <w:sz w:val="21"/>
                      <w:szCs w:val="21"/>
                      <w:highlight w:val="none"/>
                      <w:lang w:eastAsia="zh-CN"/>
                    </w:rPr>
                    <w:t>、</w:t>
                  </w:r>
                  <w:r>
                    <w:rPr>
                      <w:rFonts w:hint="eastAsia" w:ascii="Times New Roman" w:hAnsi="Times New Roman" w:cs="Times New Roman"/>
                      <w:color w:val="auto"/>
                      <w:kern w:val="2"/>
                      <w:sz w:val="21"/>
                      <w:szCs w:val="21"/>
                      <w:highlight w:val="none"/>
                      <w:lang w:val="en-US" w:eastAsia="zh-CN"/>
                    </w:rPr>
                    <w:t>废含油手套抹布</w:t>
                  </w:r>
                  <w:r>
                    <w:rPr>
                      <w:rFonts w:hint="eastAsia" w:cs="Times New Roman"/>
                      <w:color w:val="auto"/>
                      <w:kern w:val="2"/>
                      <w:sz w:val="21"/>
                      <w:szCs w:val="21"/>
                      <w:highlight w:val="none"/>
                      <w:lang w:val="en-US" w:eastAsia="zh-CN"/>
                    </w:rPr>
                    <w:t>、水性漆喷枪清洗废水</w:t>
                  </w:r>
                </w:p>
              </w:tc>
              <w:tc>
                <w:tcPr>
                  <w:tcW w:w="1482" w:type="pct"/>
                  <w:vMerge w:val="continue"/>
                  <w:vAlign w:val="center"/>
                </w:tcPr>
                <w:p w14:paraId="34D06EF7">
                  <w:pPr>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p>
              </w:tc>
            </w:tr>
            <w:tr w14:paraId="32399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1" w:type="pct"/>
                  <w:vMerge w:val="continue"/>
                  <w:vAlign w:val="center"/>
                </w:tcPr>
                <w:p w14:paraId="62559EBB">
                  <w:pPr>
                    <w:adjustRightInd w:val="0"/>
                    <w:snapToGrid w:val="0"/>
                    <w:spacing w:line="240" w:lineRule="auto"/>
                    <w:jc w:val="center"/>
                    <w:rPr>
                      <w:rFonts w:hint="default" w:ascii="Times New Roman" w:hAnsi="Times New Roman" w:eastAsia="宋体" w:cs="Times New Roman"/>
                      <w:bCs/>
                      <w:color w:val="auto"/>
                      <w:sz w:val="21"/>
                      <w:szCs w:val="21"/>
                      <w:highlight w:val="none"/>
                    </w:rPr>
                  </w:pPr>
                </w:p>
              </w:tc>
              <w:tc>
                <w:tcPr>
                  <w:tcW w:w="1397" w:type="pct"/>
                  <w:tcBorders>
                    <w:bottom w:val="single" w:color="000000" w:sz="4" w:space="0"/>
                  </w:tcBorders>
                  <w:shd w:val="clear" w:color="auto" w:fill="auto"/>
                  <w:vAlign w:val="center"/>
                </w:tcPr>
                <w:p w14:paraId="3A783A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color w:val="auto"/>
                      <w:kern w:val="2"/>
                      <w:position w:val="-1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rPr>
                    <w:t>钣金成型</w:t>
                  </w:r>
                </w:p>
              </w:tc>
              <w:tc>
                <w:tcPr>
                  <w:tcW w:w="1708" w:type="pct"/>
                  <w:tcBorders>
                    <w:bottom w:val="single" w:color="000000" w:sz="4" w:space="0"/>
                  </w:tcBorders>
                  <w:shd w:val="clear" w:color="auto" w:fill="auto"/>
                  <w:vAlign w:val="center"/>
                </w:tcPr>
                <w:p w14:paraId="1E4A8D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rPr>
                    <w:t>废液压油桶</w:t>
                  </w:r>
                  <w:r>
                    <w:rPr>
                      <w:rFonts w:hint="eastAsia" w:ascii="Times New Roman" w:hAnsi="Times New Roman" w:eastAsia="宋体"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废液压油</w:t>
                  </w:r>
                </w:p>
              </w:tc>
              <w:tc>
                <w:tcPr>
                  <w:tcW w:w="1482" w:type="pct"/>
                  <w:vMerge w:val="continue"/>
                  <w:vAlign w:val="center"/>
                </w:tcPr>
                <w:p w14:paraId="6B54D675">
                  <w:pPr>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p>
              </w:tc>
            </w:tr>
            <w:tr w14:paraId="50374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1" w:type="pct"/>
                  <w:vMerge w:val="continue"/>
                  <w:vAlign w:val="center"/>
                </w:tcPr>
                <w:p w14:paraId="4D0683F4">
                  <w:pPr>
                    <w:adjustRightInd w:val="0"/>
                    <w:snapToGrid w:val="0"/>
                    <w:spacing w:line="240" w:lineRule="auto"/>
                    <w:jc w:val="center"/>
                    <w:rPr>
                      <w:rFonts w:hint="default" w:ascii="Times New Roman" w:hAnsi="Times New Roman" w:eastAsia="宋体" w:cs="Times New Roman"/>
                      <w:bCs/>
                      <w:color w:val="auto"/>
                      <w:sz w:val="21"/>
                      <w:szCs w:val="21"/>
                      <w:highlight w:val="none"/>
                    </w:rPr>
                  </w:pPr>
                </w:p>
              </w:tc>
              <w:tc>
                <w:tcPr>
                  <w:tcW w:w="1397" w:type="pct"/>
                  <w:tcBorders>
                    <w:bottom w:val="single" w:color="000000" w:sz="4" w:space="0"/>
                  </w:tcBorders>
                  <w:vAlign w:val="center"/>
                </w:tcPr>
                <w:p w14:paraId="5DBC34CA">
                  <w:pPr>
                    <w:pStyle w:val="61"/>
                    <w:keepNext w:val="0"/>
                    <w:keepLines w:val="0"/>
                    <w:pageBreakBefore w:val="0"/>
                    <w:widowControl/>
                    <w:suppressLineNumbers w:val="0"/>
                    <w:kinsoku/>
                    <w:wordWrap w:val="0"/>
                    <w:overflowPunct/>
                    <w:topLinePunct w:val="0"/>
                    <w:autoSpaceDE w:val="0"/>
                    <w:autoSpaceDN w:val="0"/>
                    <w:bidi w:val="0"/>
                    <w:adjustRightInd/>
                    <w:snapToGrid/>
                    <w:spacing w:before="0" w:beforeAutospacing="0" w:after="0" w:afterAutospacing="0" w:line="240" w:lineRule="auto"/>
                    <w:ind w:left="0" w:leftChars="0" w:right="0" w:rightChars="0"/>
                    <w:textAlignment w:val="center"/>
                    <w:outlineLvl w:val="9"/>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漆粉喷涂</w:t>
                  </w:r>
                  <w:r>
                    <w:rPr>
                      <w:rFonts w:hint="eastAsia" w:cs="Times New Roman"/>
                      <w:color w:val="auto"/>
                      <w:kern w:val="2"/>
                      <w:sz w:val="21"/>
                      <w:szCs w:val="21"/>
                      <w:highlight w:val="none"/>
                      <w:lang w:val="en-US" w:eastAsia="zh-CN"/>
                    </w:rPr>
                    <w:t>丝印</w:t>
                  </w:r>
                </w:p>
              </w:tc>
              <w:tc>
                <w:tcPr>
                  <w:tcW w:w="1708" w:type="pct"/>
                  <w:tcBorders>
                    <w:bottom w:val="single" w:color="000000" w:sz="4" w:space="0"/>
                  </w:tcBorders>
                  <w:vAlign w:val="center"/>
                </w:tcPr>
                <w:p w14:paraId="0E3176C8">
                  <w:pPr>
                    <w:pStyle w:val="61"/>
                    <w:keepNext w:val="0"/>
                    <w:keepLines w:val="0"/>
                    <w:pageBreakBefore w:val="0"/>
                    <w:widowControl/>
                    <w:suppressLineNumbers w:val="0"/>
                    <w:kinsoku/>
                    <w:wordWrap w:val="0"/>
                    <w:overflowPunct/>
                    <w:topLinePunct w:val="0"/>
                    <w:autoSpaceDE w:val="0"/>
                    <w:autoSpaceDN w:val="0"/>
                    <w:bidi w:val="0"/>
                    <w:adjustRightInd/>
                    <w:snapToGrid/>
                    <w:spacing w:before="0" w:beforeAutospacing="0" w:after="0" w:afterAutospacing="0" w:line="240" w:lineRule="auto"/>
                    <w:ind w:left="0" w:leftChars="0" w:right="0" w:rightChars="0"/>
                    <w:textAlignment w:val="center"/>
                    <w:outlineLvl w:val="9"/>
                    <w:rPr>
                      <w:rFonts w:hint="default"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eastAsia="zh-CN"/>
                    </w:rPr>
                    <w:t>喷</w:t>
                  </w:r>
                  <w:r>
                    <w:rPr>
                      <w:rFonts w:hint="eastAsia" w:cs="Times New Roman"/>
                      <w:color w:val="auto"/>
                      <w:kern w:val="2"/>
                      <w:sz w:val="21"/>
                      <w:szCs w:val="21"/>
                      <w:highlight w:val="none"/>
                      <w:lang w:val="en-US" w:eastAsia="zh-CN"/>
                    </w:rPr>
                    <w:t>枪</w:t>
                  </w:r>
                  <w:r>
                    <w:rPr>
                      <w:rFonts w:hint="eastAsia" w:ascii="Times New Roman" w:hAnsi="Times New Roman" w:cs="Times New Roman"/>
                      <w:color w:val="auto"/>
                      <w:kern w:val="2"/>
                      <w:sz w:val="21"/>
                      <w:szCs w:val="21"/>
                      <w:highlight w:val="none"/>
                      <w:lang w:val="en-US" w:eastAsia="zh-CN"/>
                    </w:rPr>
                    <w:t>清洗</w:t>
                  </w:r>
                  <w:r>
                    <w:rPr>
                      <w:rFonts w:hint="eastAsia" w:cs="Times New Roman"/>
                      <w:color w:val="auto"/>
                      <w:kern w:val="2"/>
                      <w:sz w:val="21"/>
                      <w:szCs w:val="21"/>
                      <w:highlight w:val="none"/>
                      <w:lang w:val="en-US" w:eastAsia="zh-CN"/>
                    </w:rPr>
                    <w:t>废</w:t>
                  </w:r>
                  <w:r>
                    <w:rPr>
                      <w:rFonts w:hint="eastAsia" w:ascii="Times New Roman" w:hAnsi="Times New Roman" w:cs="Times New Roman"/>
                      <w:color w:val="auto"/>
                      <w:kern w:val="2"/>
                      <w:sz w:val="21"/>
                      <w:szCs w:val="21"/>
                      <w:highlight w:val="none"/>
                      <w:lang w:val="en-US" w:eastAsia="zh-CN"/>
                    </w:rPr>
                    <w:t>液、</w:t>
                  </w:r>
                  <w:r>
                    <w:rPr>
                      <w:rFonts w:hint="eastAsia" w:cs="Times New Roman"/>
                      <w:color w:val="auto"/>
                      <w:kern w:val="2"/>
                      <w:sz w:val="21"/>
                      <w:szCs w:val="21"/>
                      <w:highlight w:val="none"/>
                      <w:lang w:val="en-US" w:eastAsia="zh-CN"/>
                    </w:rPr>
                    <w:t>废粉末涂料、网版清洗废液</w:t>
                  </w:r>
                </w:p>
              </w:tc>
              <w:tc>
                <w:tcPr>
                  <w:tcW w:w="1482" w:type="pct"/>
                  <w:vMerge w:val="continue"/>
                  <w:vAlign w:val="center"/>
                </w:tcPr>
                <w:p w14:paraId="0E28505F">
                  <w:pPr>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p>
              </w:tc>
            </w:tr>
            <w:tr w14:paraId="681FA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1" w:type="pct"/>
                  <w:vMerge w:val="continue"/>
                  <w:vAlign w:val="center"/>
                </w:tcPr>
                <w:p w14:paraId="1F7C7691">
                  <w:pPr>
                    <w:adjustRightInd w:val="0"/>
                    <w:snapToGrid w:val="0"/>
                    <w:spacing w:line="240" w:lineRule="auto"/>
                    <w:jc w:val="center"/>
                    <w:rPr>
                      <w:rFonts w:hint="default" w:ascii="Times New Roman" w:hAnsi="Times New Roman" w:eastAsia="宋体" w:cs="Times New Roman"/>
                      <w:bCs/>
                      <w:color w:val="auto"/>
                      <w:sz w:val="21"/>
                      <w:szCs w:val="21"/>
                      <w:highlight w:val="none"/>
                    </w:rPr>
                  </w:pPr>
                </w:p>
              </w:tc>
              <w:tc>
                <w:tcPr>
                  <w:tcW w:w="1397" w:type="pct"/>
                  <w:tcBorders>
                    <w:bottom w:val="single" w:color="000000" w:sz="4" w:space="0"/>
                  </w:tcBorders>
                  <w:vAlign w:val="center"/>
                </w:tcPr>
                <w:p w14:paraId="33B2C44E">
                  <w:pPr>
                    <w:pStyle w:val="61"/>
                    <w:keepNext w:val="0"/>
                    <w:keepLines w:val="0"/>
                    <w:pageBreakBefore w:val="0"/>
                    <w:widowControl/>
                    <w:suppressLineNumbers w:val="0"/>
                    <w:kinsoku/>
                    <w:wordWrap w:val="0"/>
                    <w:overflowPunct/>
                    <w:topLinePunct w:val="0"/>
                    <w:autoSpaceDE w:val="0"/>
                    <w:autoSpaceDN w:val="0"/>
                    <w:bidi w:val="0"/>
                    <w:adjustRightInd/>
                    <w:snapToGrid/>
                    <w:spacing w:before="0" w:beforeAutospacing="0" w:after="0" w:afterAutospacing="0" w:line="240" w:lineRule="auto"/>
                    <w:ind w:left="0" w:leftChars="0" w:right="0" w:rightChars="0"/>
                    <w:textAlignment w:val="center"/>
                    <w:outlineLvl w:val="9"/>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废气</w:t>
                  </w:r>
                  <w:r>
                    <w:rPr>
                      <w:rFonts w:hint="eastAsia" w:ascii="Times New Roman" w:hAnsi="Times New Roman" w:eastAsia="宋体" w:cs="Times New Roman"/>
                      <w:color w:val="auto"/>
                      <w:kern w:val="2"/>
                      <w:sz w:val="21"/>
                      <w:szCs w:val="21"/>
                      <w:highlight w:val="none"/>
                      <w:lang w:val="en-US" w:eastAsia="zh-CN"/>
                    </w:rPr>
                    <w:t>处理</w:t>
                  </w:r>
                </w:p>
              </w:tc>
              <w:tc>
                <w:tcPr>
                  <w:tcW w:w="1708" w:type="pct"/>
                  <w:tcBorders>
                    <w:bottom w:val="single" w:color="000000" w:sz="4" w:space="0"/>
                  </w:tcBorders>
                  <w:vAlign w:val="center"/>
                </w:tcPr>
                <w:p w14:paraId="4BF948C6">
                  <w:pPr>
                    <w:pStyle w:val="61"/>
                    <w:pageBreakBefore w:val="0"/>
                    <w:wordWrap w:val="0"/>
                    <w:topLinePunct/>
                    <w:bidi w:val="0"/>
                    <w:spacing w:beforeAutospacing="0" w:afterAutospacing="0" w:line="240" w:lineRule="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喷淋废液及沉渣、</w:t>
                  </w:r>
                  <w:r>
                    <w:rPr>
                      <w:rFonts w:hint="default" w:ascii="Times New Roman" w:hAnsi="Times New Roman" w:cs="Times New Roman"/>
                      <w:color w:val="auto"/>
                      <w:szCs w:val="21"/>
                      <w:highlight w:val="none"/>
                      <w:lang w:val="en-US" w:eastAsia="zh-CN"/>
                    </w:rPr>
                    <w:t>废静电喷粉滤芯</w:t>
                  </w:r>
                  <w:r>
                    <w:rPr>
                      <w:rFonts w:hint="eastAsia" w:ascii="Times New Roman" w:hAnsi="Times New Roman" w:cs="Times New Roman"/>
                      <w:color w:val="auto"/>
                      <w:szCs w:val="21"/>
                      <w:highlight w:val="none"/>
                      <w:lang w:val="en-US" w:eastAsia="zh-CN"/>
                    </w:rPr>
                    <w:t>、废过滤棉、废活性炭</w:t>
                  </w:r>
                  <w:r>
                    <w:rPr>
                      <w:rFonts w:hint="eastAsia" w:cs="Times New Roman"/>
                      <w:color w:val="auto"/>
                      <w:szCs w:val="21"/>
                      <w:highlight w:val="none"/>
                      <w:lang w:val="en-US" w:eastAsia="zh-CN"/>
                    </w:rPr>
                    <w:t>、废空心球</w:t>
                  </w:r>
                </w:p>
              </w:tc>
              <w:tc>
                <w:tcPr>
                  <w:tcW w:w="1482" w:type="pct"/>
                  <w:vMerge w:val="continue"/>
                  <w:vAlign w:val="center"/>
                </w:tcPr>
                <w:p w14:paraId="3816791B">
                  <w:pPr>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p>
              </w:tc>
            </w:tr>
            <w:tr w14:paraId="3DAB2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1" w:type="pct"/>
                  <w:vMerge w:val="continue"/>
                  <w:vAlign w:val="center"/>
                </w:tcPr>
                <w:p w14:paraId="1CC2C99C">
                  <w:pPr>
                    <w:adjustRightInd w:val="0"/>
                    <w:snapToGrid w:val="0"/>
                    <w:spacing w:line="240" w:lineRule="auto"/>
                    <w:jc w:val="center"/>
                    <w:rPr>
                      <w:rFonts w:hint="default" w:ascii="Times New Roman" w:hAnsi="Times New Roman" w:eastAsia="宋体" w:cs="Times New Roman"/>
                      <w:bCs/>
                      <w:color w:val="auto"/>
                      <w:sz w:val="21"/>
                      <w:szCs w:val="21"/>
                      <w:highlight w:val="none"/>
                    </w:rPr>
                  </w:pPr>
                </w:p>
              </w:tc>
              <w:tc>
                <w:tcPr>
                  <w:tcW w:w="1397" w:type="pct"/>
                  <w:tcBorders>
                    <w:bottom w:val="single" w:color="000000" w:sz="4" w:space="0"/>
                  </w:tcBorders>
                  <w:vAlign w:val="center"/>
                </w:tcPr>
                <w:p w14:paraId="5384CAB4">
                  <w:pPr>
                    <w:pStyle w:val="61"/>
                    <w:keepNext w:val="0"/>
                    <w:keepLines w:val="0"/>
                    <w:pageBreakBefore w:val="0"/>
                    <w:widowControl/>
                    <w:suppressLineNumbers w:val="0"/>
                    <w:kinsoku/>
                    <w:wordWrap w:val="0"/>
                    <w:overflowPunct/>
                    <w:topLinePunct w:val="0"/>
                    <w:autoSpaceDE w:val="0"/>
                    <w:autoSpaceDN w:val="0"/>
                    <w:bidi w:val="0"/>
                    <w:adjustRightInd/>
                    <w:snapToGrid/>
                    <w:spacing w:before="0" w:beforeAutospacing="0" w:after="0" w:afterAutospacing="0" w:line="240" w:lineRule="auto"/>
                    <w:ind w:left="0" w:leftChars="0" w:right="0" w:rightChars="0"/>
                    <w:textAlignment w:val="center"/>
                    <w:outlineLvl w:val="9"/>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原辅材料</w:t>
                  </w:r>
                </w:p>
              </w:tc>
              <w:tc>
                <w:tcPr>
                  <w:tcW w:w="1708" w:type="pct"/>
                  <w:tcBorders>
                    <w:bottom w:val="single" w:color="000000" w:sz="4" w:space="0"/>
                  </w:tcBorders>
                  <w:vAlign w:val="center"/>
                </w:tcPr>
                <w:p w14:paraId="7262DA18">
                  <w:pPr>
                    <w:pStyle w:val="61"/>
                    <w:keepNext w:val="0"/>
                    <w:keepLines w:val="0"/>
                    <w:pageBreakBefore w:val="0"/>
                    <w:widowControl/>
                    <w:suppressLineNumbers w:val="0"/>
                    <w:kinsoku/>
                    <w:wordWrap w:val="0"/>
                    <w:overflowPunct/>
                    <w:topLinePunct w:val="0"/>
                    <w:autoSpaceDE w:val="0"/>
                    <w:autoSpaceDN w:val="0"/>
                    <w:bidi w:val="0"/>
                    <w:adjustRightInd/>
                    <w:snapToGrid/>
                    <w:spacing w:before="0" w:beforeAutospacing="0" w:after="0" w:afterAutospacing="0" w:line="240" w:lineRule="auto"/>
                    <w:ind w:left="0" w:leftChars="0" w:right="0" w:rightChars="0"/>
                    <w:textAlignment w:val="center"/>
                    <w:outlineLvl w:val="9"/>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废</w:t>
                  </w:r>
                  <w:r>
                    <w:rPr>
                      <w:rFonts w:hint="eastAsia" w:cs="Times New Roman"/>
                      <w:color w:val="auto"/>
                      <w:kern w:val="2"/>
                      <w:sz w:val="21"/>
                      <w:szCs w:val="21"/>
                      <w:highlight w:val="none"/>
                      <w:lang w:val="en-US" w:eastAsia="zh-CN"/>
                    </w:rPr>
                    <w:t>包装</w:t>
                  </w:r>
                  <w:r>
                    <w:rPr>
                      <w:rFonts w:hint="eastAsia" w:ascii="Times New Roman" w:hAnsi="Times New Roman" w:cs="Times New Roman"/>
                      <w:color w:val="auto"/>
                      <w:kern w:val="2"/>
                      <w:sz w:val="21"/>
                      <w:szCs w:val="21"/>
                      <w:highlight w:val="none"/>
                      <w:lang w:val="en-US" w:eastAsia="zh-CN"/>
                    </w:rPr>
                    <w:t>桶</w:t>
                  </w:r>
                </w:p>
              </w:tc>
              <w:tc>
                <w:tcPr>
                  <w:tcW w:w="1482" w:type="pct"/>
                  <w:vMerge w:val="continue"/>
                  <w:vAlign w:val="center"/>
                </w:tcPr>
                <w:p w14:paraId="46AE1C12">
                  <w:pPr>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p>
              </w:tc>
            </w:tr>
            <w:tr w14:paraId="13B0F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1" w:type="pct"/>
                  <w:vMerge w:val="continue"/>
                  <w:vAlign w:val="center"/>
                </w:tcPr>
                <w:p w14:paraId="236BAD50">
                  <w:pPr>
                    <w:adjustRightInd w:val="0"/>
                    <w:snapToGrid w:val="0"/>
                    <w:spacing w:line="240" w:lineRule="auto"/>
                    <w:jc w:val="center"/>
                    <w:rPr>
                      <w:rFonts w:hint="default" w:ascii="Times New Roman" w:hAnsi="Times New Roman" w:eastAsia="宋体" w:cs="Times New Roman"/>
                      <w:bCs/>
                      <w:color w:val="auto"/>
                      <w:sz w:val="21"/>
                      <w:szCs w:val="21"/>
                      <w:highlight w:val="none"/>
                    </w:rPr>
                  </w:pPr>
                </w:p>
              </w:tc>
              <w:tc>
                <w:tcPr>
                  <w:tcW w:w="1397" w:type="pct"/>
                  <w:tcBorders>
                    <w:top w:val="single" w:color="000000" w:sz="4" w:space="0"/>
                  </w:tcBorders>
                  <w:vAlign w:val="center"/>
                </w:tcPr>
                <w:p w14:paraId="3E5B98BB">
                  <w:pPr>
                    <w:pStyle w:val="61"/>
                    <w:keepNext w:val="0"/>
                    <w:keepLines w:val="0"/>
                    <w:pageBreakBefore w:val="0"/>
                    <w:widowControl/>
                    <w:suppressLineNumbers w:val="0"/>
                    <w:kinsoku/>
                    <w:wordWrap w:val="0"/>
                    <w:overflowPunct/>
                    <w:topLinePunct w:val="0"/>
                    <w:autoSpaceDE w:val="0"/>
                    <w:autoSpaceDN w:val="0"/>
                    <w:bidi w:val="0"/>
                    <w:adjustRightInd/>
                    <w:snapToGrid/>
                    <w:spacing w:before="0" w:beforeAutospacing="0" w:after="0" w:afterAutospacing="0" w:line="240" w:lineRule="auto"/>
                    <w:ind w:left="0" w:leftChars="0" w:right="0" w:rightChars="0"/>
                    <w:textAlignment w:val="center"/>
                    <w:outlineLvl w:val="9"/>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机加工</w:t>
                  </w:r>
                </w:p>
              </w:tc>
              <w:tc>
                <w:tcPr>
                  <w:tcW w:w="1708" w:type="pct"/>
                  <w:tcBorders>
                    <w:top w:val="single" w:color="000000" w:sz="4" w:space="0"/>
                  </w:tcBorders>
                  <w:vAlign w:val="center"/>
                </w:tcPr>
                <w:p w14:paraId="28ED0503">
                  <w:pPr>
                    <w:pStyle w:val="61"/>
                    <w:keepNext w:val="0"/>
                    <w:keepLines w:val="0"/>
                    <w:pageBreakBefore w:val="0"/>
                    <w:widowControl/>
                    <w:suppressLineNumbers w:val="0"/>
                    <w:kinsoku/>
                    <w:wordWrap w:val="0"/>
                    <w:overflowPunct/>
                    <w:topLinePunct w:val="0"/>
                    <w:autoSpaceDE w:val="0"/>
                    <w:autoSpaceDN w:val="0"/>
                    <w:bidi w:val="0"/>
                    <w:adjustRightInd/>
                    <w:snapToGrid/>
                    <w:spacing w:before="0" w:beforeAutospacing="0" w:after="0" w:afterAutospacing="0" w:line="240" w:lineRule="auto"/>
                    <w:ind w:left="0" w:leftChars="0" w:right="0" w:rightChars="0"/>
                    <w:textAlignment w:val="center"/>
                    <w:outlineLvl w:val="9"/>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废包装</w:t>
                  </w:r>
                  <w:r>
                    <w:rPr>
                      <w:rFonts w:hint="eastAsia" w:cs="Times New Roman"/>
                      <w:color w:val="auto"/>
                      <w:kern w:val="2"/>
                      <w:sz w:val="21"/>
                      <w:szCs w:val="21"/>
                      <w:highlight w:val="none"/>
                      <w:lang w:val="en-US" w:eastAsia="zh-CN"/>
                    </w:rPr>
                    <w:t>物</w:t>
                  </w:r>
                  <w:r>
                    <w:rPr>
                      <w:rFonts w:hint="default" w:ascii="Times New Roman" w:hAnsi="Times New Roman" w:cs="Times New Roman"/>
                      <w:color w:val="auto"/>
                      <w:kern w:val="2"/>
                      <w:sz w:val="21"/>
                      <w:szCs w:val="21"/>
                      <w:highlight w:val="none"/>
                    </w:rPr>
                    <w:t>、边角料</w:t>
                  </w:r>
                </w:p>
              </w:tc>
              <w:tc>
                <w:tcPr>
                  <w:tcW w:w="1482" w:type="pct"/>
                  <w:vMerge w:val="restart"/>
                  <w:vAlign w:val="center"/>
                </w:tcPr>
                <w:p w14:paraId="15742D5F">
                  <w:pPr>
                    <w:adjustRightInd w:val="0"/>
                    <w:snapToGrid w:val="0"/>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rPr>
                    <w:t>经收集后暂存</w:t>
                  </w:r>
                  <w:r>
                    <w:rPr>
                      <w:rFonts w:hint="default" w:ascii="Times New Roman" w:hAnsi="Times New Roman" w:eastAsia="宋体" w:cs="Times New Roman"/>
                      <w:i w:val="0"/>
                      <w:iCs w:val="0"/>
                      <w:color w:val="auto"/>
                      <w:kern w:val="0"/>
                      <w:sz w:val="21"/>
                      <w:szCs w:val="21"/>
                      <w:highlight w:val="none"/>
                      <w:u w:val="none"/>
                      <w:lang w:val="en-US" w:eastAsia="zh-CN"/>
                    </w:rPr>
                    <w:t>于一般固废暂存</w:t>
                  </w:r>
                  <w:r>
                    <w:rPr>
                      <w:rFonts w:hint="eastAsia" w:cs="Times New Roman"/>
                      <w:i w:val="0"/>
                      <w:iCs w:val="0"/>
                      <w:color w:val="auto"/>
                      <w:kern w:val="0"/>
                      <w:sz w:val="21"/>
                      <w:szCs w:val="21"/>
                      <w:highlight w:val="none"/>
                      <w:u w:val="none"/>
                      <w:lang w:val="en-US" w:eastAsia="zh-CN"/>
                    </w:rPr>
                    <w:t>间，交专业单位回收处理</w:t>
                  </w:r>
                </w:p>
              </w:tc>
            </w:tr>
            <w:tr w14:paraId="174B5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1" w:type="pct"/>
                  <w:vMerge w:val="continue"/>
                  <w:vAlign w:val="center"/>
                </w:tcPr>
                <w:p w14:paraId="601E53A5">
                  <w:pPr>
                    <w:adjustRightInd w:val="0"/>
                    <w:snapToGrid w:val="0"/>
                    <w:spacing w:line="240" w:lineRule="auto"/>
                    <w:jc w:val="center"/>
                    <w:rPr>
                      <w:rFonts w:hint="default" w:ascii="Times New Roman" w:hAnsi="Times New Roman" w:eastAsia="宋体" w:cs="Times New Roman"/>
                      <w:bCs/>
                      <w:color w:val="auto"/>
                      <w:sz w:val="21"/>
                      <w:szCs w:val="21"/>
                      <w:highlight w:val="none"/>
                    </w:rPr>
                  </w:pPr>
                </w:p>
              </w:tc>
              <w:tc>
                <w:tcPr>
                  <w:tcW w:w="1397" w:type="pct"/>
                  <w:vAlign w:val="center"/>
                </w:tcPr>
                <w:p w14:paraId="0640C60B">
                  <w:pPr>
                    <w:pStyle w:val="61"/>
                    <w:keepNext w:val="0"/>
                    <w:keepLines w:val="0"/>
                    <w:pageBreakBefore w:val="0"/>
                    <w:widowControl/>
                    <w:suppressLineNumbers w:val="0"/>
                    <w:kinsoku/>
                    <w:wordWrap w:val="0"/>
                    <w:overflowPunct/>
                    <w:topLinePunct w:val="0"/>
                    <w:autoSpaceDE w:val="0"/>
                    <w:autoSpaceDN w:val="0"/>
                    <w:bidi w:val="0"/>
                    <w:adjustRightInd/>
                    <w:snapToGrid/>
                    <w:spacing w:before="0" w:beforeAutospacing="0" w:after="0" w:afterAutospacing="0" w:line="240" w:lineRule="auto"/>
                    <w:ind w:left="0" w:leftChars="0" w:right="0" w:rightChars="0"/>
                    <w:textAlignment w:val="center"/>
                    <w:outlineLvl w:val="9"/>
                    <w:rPr>
                      <w:rFonts w:hint="default" w:ascii="Times New Roman" w:hAnsi="Times New Roman" w:eastAsia="宋体" w:cs="Times New Roman"/>
                      <w:color w:val="auto"/>
                      <w:kern w:val="2"/>
                      <w:position w:val="-10"/>
                      <w:sz w:val="21"/>
                      <w:szCs w:val="21"/>
                      <w:highlight w:val="none"/>
                      <w:lang w:val="en-US" w:eastAsia="zh-CN" w:bidi="ar-SA"/>
                    </w:rPr>
                  </w:pPr>
                  <w:r>
                    <w:rPr>
                      <w:rFonts w:hint="eastAsia" w:cs="Times New Roman"/>
                      <w:color w:val="auto"/>
                      <w:kern w:val="2"/>
                      <w:sz w:val="21"/>
                      <w:szCs w:val="21"/>
                      <w:highlight w:val="none"/>
                      <w:lang w:val="en-US" w:eastAsia="zh-CN"/>
                    </w:rPr>
                    <w:t>废气处理设施</w:t>
                  </w:r>
                </w:p>
              </w:tc>
              <w:tc>
                <w:tcPr>
                  <w:tcW w:w="1708" w:type="pct"/>
                  <w:vAlign w:val="center"/>
                </w:tcPr>
                <w:p w14:paraId="0E1E43DE">
                  <w:pPr>
                    <w:pStyle w:val="61"/>
                    <w:keepNext w:val="0"/>
                    <w:keepLines w:val="0"/>
                    <w:pageBreakBefore w:val="0"/>
                    <w:widowControl/>
                    <w:suppressLineNumbers w:val="0"/>
                    <w:kinsoku/>
                    <w:wordWrap w:val="0"/>
                    <w:overflowPunct/>
                    <w:topLinePunct w:val="0"/>
                    <w:autoSpaceDE w:val="0"/>
                    <w:autoSpaceDN w:val="0"/>
                    <w:bidi w:val="0"/>
                    <w:adjustRightInd/>
                    <w:snapToGrid/>
                    <w:spacing w:before="0" w:beforeAutospacing="0" w:after="0" w:afterAutospacing="0" w:line="240" w:lineRule="auto"/>
                    <w:ind w:left="0" w:leftChars="0" w:right="0" w:rightChars="0"/>
                    <w:textAlignment w:val="center"/>
                    <w:outlineLvl w:val="9"/>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废布袋</w:t>
                  </w:r>
                  <w:r>
                    <w:rPr>
                      <w:rFonts w:hint="eastAsia" w:cs="Times New Roman"/>
                      <w:color w:val="auto"/>
                      <w:kern w:val="2"/>
                      <w:sz w:val="21"/>
                      <w:szCs w:val="21"/>
                      <w:highlight w:val="none"/>
                      <w:lang w:eastAsia="zh-CN"/>
                    </w:rPr>
                    <w:t>、</w:t>
                  </w:r>
                  <w:r>
                    <w:rPr>
                      <w:rFonts w:hint="eastAsia" w:cs="Times New Roman"/>
                      <w:color w:val="auto"/>
                      <w:kern w:val="2"/>
                      <w:sz w:val="21"/>
                      <w:szCs w:val="21"/>
                      <w:highlight w:val="none"/>
                      <w:lang w:val="en-US" w:eastAsia="zh-CN"/>
                    </w:rPr>
                    <w:t>沉降粉尘和布袋收集粉尘、废滤芯</w:t>
                  </w:r>
                </w:p>
              </w:tc>
              <w:tc>
                <w:tcPr>
                  <w:tcW w:w="1482" w:type="pct"/>
                  <w:vMerge w:val="continue"/>
                  <w:vAlign w:val="center"/>
                </w:tcPr>
                <w:p w14:paraId="61294D44">
                  <w:pPr>
                    <w:adjustRightInd w:val="0"/>
                    <w:snapToGrid w:val="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p>
              </w:tc>
            </w:tr>
            <w:tr w14:paraId="2AE4E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1" w:type="pct"/>
                  <w:vAlign w:val="center"/>
                </w:tcPr>
                <w:p w14:paraId="1BDDE1FD">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噪声</w:t>
                  </w:r>
                </w:p>
              </w:tc>
              <w:tc>
                <w:tcPr>
                  <w:tcW w:w="1397" w:type="pct"/>
                  <w:vAlign w:val="center"/>
                </w:tcPr>
                <w:p w14:paraId="22175FAF">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eastAsia" w:cs="Times New Roman"/>
                      <w:color w:val="auto"/>
                      <w:sz w:val="21"/>
                      <w:szCs w:val="21"/>
                      <w:highlight w:val="none"/>
                      <w:lang w:val="en-US" w:eastAsia="zh-CN"/>
                    </w:rPr>
                    <w:t>各类生产设备、</w:t>
                  </w:r>
                  <w:r>
                    <w:rPr>
                      <w:rFonts w:hint="default" w:ascii="Times New Roman" w:hAnsi="Times New Roman" w:eastAsia="宋体" w:cs="Times New Roman"/>
                      <w:color w:val="auto"/>
                      <w:sz w:val="21"/>
                      <w:szCs w:val="21"/>
                      <w:highlight w:val="none"/>
                      <w:lang w:val="en-US" w:eastAsia="zh-CN"/>
                    </w:rPr>
                    <w:t>污水泵、</w:t>
                  </w:r>
                  <w:r>
                    <w:rPr>
                      <w:rFonts w:hint="eastAsia" w:cs="Times New Roman"/>
                      <w:color w:val="auto"/>
                      <w:sz w:val="21"/>
                      <w:szCs w:val="21"/>
                      <w:highlight w:val="none"/>
                      <w:lang w:val="en-US" w:eastAsia="zh-CN"/>
                    </w:rPr>
                    <w:t>风机</w:t>
                  </w:r>
                  <w:r>
                    <w:rPr>
                      <w:rFonts w:hint="default" w:ascii="Times New Roman" w:hAnsi="Times New Roman" w:eastAsia="宋体" w:cs="Times New Roman"/>
                      <w:color w:val="auto"/>
                      <w:sz w:val="21"/>
                      <w:szCs w:val="21"/>
                      <w:highlight w:val="none"/>
                      <w:lang w:val="en-US" w:eastAsia="zh-CN"/>
                    </w:rPr>
                    <w:t>等</w:t>
                  </w:r>
                  <w:r>
                    <w:rPr>
                      <w:rFonts w:hint="default" w:ascii="Times New Roman" w:hAnsi="Times New Roman" w:eastAsia="宋体" w:cs="Times New Roman"/>
                      <w:bCs/>
                      <w:color w:val="auto"/>
                      <w:sz w:val="21"/>
                      <w:szCs w:val="21"/>
                      <w:highlight w:val="none"/>
                    </w:rPr>
                    <w:t>设备运行</w:t>
                  </w:r>
                </w:p>
              </w:tc>
              <w:tc>
                <w:tcPr>
                  <w:tcW w:w="1708" w:type="pct"/>
                  <w:vAlign w:val="center"/>
                </w:tcPr>
                <w:p w14:paraId="7B6ECF51">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噪声</w:t>
                  </w:r>
                </w:p>
              </w:tc>
              <w:tc>
                <w:tcPr>
                  <w:tcW w:w="1482" w:type="pct"/>
                  <w:vAlign w:val="center"/>
                </w:tcPr>
                <w:p w14:paraId="3E6AFAAD">
                  <w:pPr>
                    <w:adjustRightInd w:val="0"/>
                    <w:snapToGrid w:val="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基础减振、墙体隔声、距离衰减</w:t>
                  </w:r>
                </w:p>
              </w:tc>
            </w:tr>
          </w:tbl>
          <w:p w14:paraId="313C494F">
            <w:pPr>
              <w:rPr>
                <w:rFonts w:hint="default" w:ascii="Times New Roman" w:hAnsi="Times New Roman" w:cs="Times New Roman"/>
                <w:b/>
                <w:bCs/>
                <w:color w:val="auto"/>
                <w:sz w:val="21"/>
                <w:szCs w:val="21"/>
                <w:highlight w:val="none"/>
              </w:rPr>
            </w:pPr>
            <w:r>
              <w:rPr>
                <w:rFonts w:hint="eastAsia"/>
                <w:color w:val="auto"/>
                <w:highlight w:val="none"/>
                <w:lang w:val="en-US" w:eastAsia="zh-CN"/>
              </w:rPr>
              <w:t xml:space="preserve"> </w:t>
            </w:r>
          </w:p>
        </w:tc>
      </w:tr>
      <w:tr w14:paraId="2D666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6" w:type="pct"/>
            <w:vAlign w:val="center"/>
          </w:tcPr>
          <w:p w14:paraId="128E7080">
            <w:pPr>
              <w:keepNext w:val="0"/>
              <w:keepLines w:val="0"/>
              <w:pageBreakBefore w:val="0"/>
              <w:widowControl w:val="0"/>
              <w:numPr>
                <w:ilvl w:val="1"/>
                <w:numId w:val="0"/>
              </w:numPr>
              <w:tabs>
                <w:tab w:val="left" w:pos="420"/>
              </w:tabs>
              <w:kinsoku/>
              <w:wordWrap w:val="0"/>
              <w:overflowPunct/>
              <w:topLinePunct w:val="0"/>
              <w:autoSpaceDE/>
              <w:autoSpaceDN/>
              <w:bidi w:val="0"/>
              <w:adjustRightInd w:val="0"/>
              <w:snapToGrid w:val="0"/>
              <w:spacing w:line="240" w:lineRule="auto"/>
              <w:textAlignment w:val="auto"/>
              <w:outlineLvl w:val="9"/>
              <w:rPr>
                <w:rFonts w:hint="default" w:ascii="Times New Roman" w:hAnsi="Times New Roman" w:cs="Times New Roman"/>
                <w:color w:val="auto"/>
                <w:highlight w:val="none"/>
              </w:rPr>
            </w:pPr>
            <w:bookmarkStart w:id="33" w:name="_Toc25856"/>
            <w:bookmarkStart w:id="34" w:name="_Toc24696"/>
            <w:bookmarkStart w:id="35" w:name="_Toc11592"/>
            <w:bookmarkStart w:id="36" w:name="_Toc5613"/>
            <w:bookmarkStart w:id="37" w:name="_Toc21908"/>
            <w:bookmarkStart w:id="38" w:name="_Toc13420"/>
            <w:bookmarkStart w:id="39" w:name="_Toc14546"/>
            <w:bookmarkStart w:id="40" w:name="_Toc8130"/>
            <w:bookmarkStart w:id="41" w:name="_Toc5833"/>
            <w:bookmarkStart w:id="42" w:name="_Toc631"/>
            <w:r>
              <w:rPr>
                <w:rFonts w:hint="default" w:ascii="Times New Roman" w:hAnsi="Times New Roman" w:cs="Times New Roman"/>
                <w:color w:val="auto"/>
                <w:sz w:val="22"/>
                <w:szCs w:val="22"/>
                <w:highlight w:val="none"/>
              </w:rPr>
              <w:t>与项目有关的原有环境污染问题</w:t>
            </w:r>
            <w:bookmarkEnd w:id="33"/>
            <w:bookmarkEnd w:id="34"/>
            <w:bookmarkEnd w:id="35"/>
            <w:bookmarkEnd w:id="36"/>
            <w:bookmarkEnd w:id="37"/>
            <w:bookmarkEnd w:id="38"/>
            <w:bookmarkEnd w:id="39"/>
            <w:bookmarkEnd w:id="40"/>
            <w:bookmarkEnd w:id="41"/>
            <w:bookmarkEnd w:id="42"/>
          </w:p>
        </w:tc>
        <w:tc>
          <w:tcPr>
            <w:tcW w:w="4733" w:type="pct"/>
            <w:vAlign w:val="center"/>
          </w:tcPr>
          <w:p w14:paraId="4FB402A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b/>
                <w:color w:val="auto"/>
                <w:sz w:val="24"/>
                <w:szCs w:val="21"/>
                <w:highlight w:val="none"/>
              </w:rPr>
              <w:t>1.</w:t>
            </w:r>
            <w:r>
              <w:rPr>
                <w:rFonts w:hint="default" w:ascii="Times New Roman" w:hAnsi="Times New Roman" w:eastAsia="宋体" w:cs="Times New Roman"/>
                <w:b/>
                <w:color w:val="auto"/>
                <w:sz w:val="24"/>
                <w:highlight w:val="none"/>
              </w:rPr>
              <w:t>与本项目有关的原有污染情况</w:t>
            </w:r>
          </w:p>
          <w:p w14:paraId="63EA804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1"/>
                <w:highlight w:val="none"/>
              </w:rPr>
              <w:t>本项目属新建项目，无与本项目有关的原有污染情况。</w:t>
            </w:r>
          </w:p>
          <w:p w14:paraId="1F4E134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color w:val="auto"/>
                <w:sz w:val="24"/>
                <w:szCs w:val="21"/>
                <w:highlight w:val="none"/>
              </w:rPr>
            </w:pPr>
            <w:r>
              <w:rPr>
                <w:rFonts w:hint="default" w:ascii="Times New Roman" w:hAnsi="Times New Roman" w:eastAsia="宋体" w:cs="Times New Roman"/>
                <w:b/>
                <w:color w:val="auto"/>
                <w:sz w:val="24"/>
                <w:szCs w:val="21"/>
                <w:highlight w:val="none"/>
              </w:rPr>
              <w:t>2.园区现状污染源情况</w:t>
            </w:r>
          </w:p>
          <w:p w14:paraId="51B30B4E">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截至202</w:t>
            </w:r>
            <w:r>
              <w:rPr>
                <w:rFonts w:hint="eastAsia" w:cs="Times New Roman"/>
                <w:color w:val="auto"/>
                <w:kern w:val="2"/>
                <w:sz w:val="24"/>
                <w:szCs w:val="24"/>
                <w:highlight w:val="none"/>
                <w:lang w:val="en-US" w:eastAsia="zh-CN" w:bidi="ar-SA"/>
              </w:rPr>
              <w:t>6</w:t>
            </w:r>
            <w:r>
              <w:rPr>
                <w:rFonts w:hint="default" w:ascii="Times New Roman" w:hAnsi="Times New Roman" w:eastAsia="宋体" w:cs="Times New Roman"/>
                <w:color w:val="auto"/>
                <w:kern w:val="2"/>
                <w:sz w:val="24"/>
                <w:szCs w:val="24"/>
                <w:highlight w:val="none"/>
                <w:lang w:val="en-US" w:eastAsia="zh-CN" w:bidi="ar-SA"/>
              </w:rPr>
              <w:t>年</w:t>
            </w:r>
            <w:r>
              <w:rPr>
                <w:rFonts w:hint="eastAsia"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月，乐昌产业转移工业园范围内产业现状基本以工业产业为主，共涉及</w:t>
            </w:r>
            <w:r>
              <w:rPr>
                <w:rFonts w:hint="eastAsia" w:cs="Times New Roman"/>
                <w:color w:val="auto"/>
                <w:kern w:val="2"/>
                <w:sz w:val="24"/>
                <w:szCs w:val="24"/>
                <w:highlight w:val="none"/>
                <w:lang w:val="en-US" w:eastAsia="zh-CN" w:bidi="ar-SA"/>
              </w:rPr>
              <w:t>114</w:t>
            </w:r>
            <w:r>
              <w:rPr>
                <w:rFonts w:hint="default" w:ascii="Times New Roman" w:hAnsi="Times New Roman" w:eastAsia="宋体" w:cs="Times New Roman"/>
                <w:color w:val="auto"/>
                <w:kern w:val="2"/>
                <w:sz w:val="24"/>
                <w:szCs w:val="24"/>
                <w:highlight w:val="none"/>
                <w:lang w:val="en-US" w:eastAsia="zh-CN" w:bidi="ar-SA"/>
              </w:rPr>
              <w:t>家企业，其中</w:t>
            </w:r>
            <w:r>
              <w:rPr>
                <w:rFonts w:hint="eastAsia" w:cs="Times New Roman"/>
                <w:color w:val="auto"/>
                <w:kern w:val="2"/>
                <w:sz w:val="24"/>
                <w:szCs w:val="24"/>
                <w:highlight w:val="none"/>
                <w:lang w:val="en-US" w:eastAsia="zh-CN" w:bidi="ar-SA"/>
              </w:rPr>
              <w:t>6家企业</w:t>
            </w:r>
            <w:r>
              <w:rPr>
                <w:rFonts w:hint="default" w:ascii="Times New Roman" w:hAnsi="Times New Roman" w:eastAsia="宋体" w:cs="Times New Roman"/>
                <w:color w:val="auto"/>
                <w:kern w:val="2"/>
                <w:sz w:val="24"/>
                <w:szCs w:val="24"/>
                <w:highlight w:val="none"/>
                <w:lang w:val="en-US" w:eastAsia="zh-CN" w:bidi="ar-SA"/>
              </w:rPr>
              <w:t>已经停产。本评价根据环评情况和建设生产情况，将企业分为已建、在建、停产三大类：已建企业为已经投产运行或正在试运行的企业；在建企业为已通过环评，正在建设的企业；停产企业为已经建成，但停产的企业。产业园内企业情况详见下表。</w:t>
            </w:r>
          </w:p>
          <w:p w14:paraId="4334A0F3">
            <w:pPr>
              <w:pStyle w:val="17"/>
              <w:pageBreakBefore w:val="0"/>
              <w:numPr>
                <w:ilvl w:val="0"/>
                <w:numId w:val="8"/>
              </w:numPr>
              <w:kinsoku/>
              <w:overflowPunct/>
              <w:topLinePunct w:val="0"/>
              <w:bidi w:val="0"/>
              <w:snapToGrid/>
              <w:spacing w:line="240" w:lineRule="auto"/>
              <w:ind w:left="0" w:leftChars="0" w:firstLine="40" w:firstLineChars="0"/>
              <w:outlineLvl w:val="9"/>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园区通过环评审批企业情况统计</w:t>
            </w:r>
          </w:p>
          <w:tbl>
            <w:tblPr>
              <w:tblStyle w:val="125"/>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1"/>
              <w:gridCol w:w="1401"/>
              <w:gridCol w:w="390"/>
              <w:gridCol w:w="1083"/>
              <w:gridCol w:w="809"/>
              <w:gridCol w:w="2408"/>
              <w:gridCol w:w="1346"/>
            </w:tblGrid>
            <w:tr w14:paraId="79843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331" w:type="dxa"/>
                  <w:vAlign w:val="center"/>
                </w:tcPr>
                <w:p w14:paraId="7278E2C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rPr>
                  </w:pPr>
                  <w:bookmarkStart w:id="43" w:name="_Ref11703236"/>
                  <w:r>
                    <w:rPr>
                      <w:rFonts w:hint="default" w:ascii="Times New Roman" w:hAnsi="Times New Roman" w:eastAsia="宋体" w:cs="Times New Roman"/>
                      <w:b/>
                      <w:bCs/>
                      <w:i w:val="0"/>
                      <w:iCs w:val="0"/>
                      <w:color w:val="auto"/>
                      <w:kern w:val="0"/>
                      <w:sz w:val="21"/>
                      <w:szCs w:val="21"/>
                      <w:highlight w:val="none"/>
                      <w:u w:val="none"/>
                      <w:lang w:val="en-US" w:eastAsia="zh-CN"/>
                    </w:rPr>
                    <w:t>序号</w:t>
                  </w:r>
                </w:p>
              </w:tc>
              <w:tc>
                <w:tcPr>
                  <w:tcW w:w="1401" w:type="dxa"/>
                  <w:vAlign w:val="center"/>
                </w:tcPr>
                <w:p w14:paraId="7579DF9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rPr>
                    <w:t>企业名称</w:t>
                  </w:r>
                </w:p>
              </w:tc>
              <w:tc>
                <w:tcPr>
                  <w:tcW w:w="390" w:type="dxa"/>
                  <w:vAlign w:val="center"/>
                </w:tcPr>
                <w:p w14:paraId="472CC32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rPr>
                    <w:t>建设情况</w:t>
                  </w:r>
                </w:p>
              </w:tc>
              <w:tc>
                <w:tcPr>
                  <w:tcW w:w="1083" w:type="dxa"/>
                  <w:vAlign w:val="center"/>
                </w:tcPr>
                <w:p w14:paraId="7EFB6D1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rPr>
                    <w:t>产业类型</w:t>
                  </w:r>
                </w:p>
              </w:tc>
              <w:tc>
                <w:tcPr>
                  <w:tcW w:w="809" w:type="dxa"/>
                  <w:vAlign w:val="center"/>
                </w:tcPr>
                <w:p w14:paraId="3DC5091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rPr>
                    <w:t>占地面积（平方米）</w:t>
                  </w:r>
                </w:p>
              </w:tc>
              <w:tc>
                <w:tcPr>
                  <w:tcW w:w="2408" w:type="dxa"/>
                  <w:vAlign w:val="center"/>
                </w:tcPr>
                <w:p w14:paraId="7E6CA07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rPr>
                    <w:t>主要产品及规模</w:t>
                  </w:r>
                </w:p>
              </w:tc>
              <w:tc>
                <w:tcPr>
                  <w:tcW w:w="1346" w:type="dxa"/>
                  <w:vAlign w:val="center"/>
                </w:tcPr>
                <w:p w14:paraId="30E0DE9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rPr>
                    <w:t>环评批复</w:t>
                  </w:r>
                </w:p>
              </w:tc>
            </w:tr>
            <w:tr w14:paraId="1D907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5800C99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w:t>
                  </w:r>
                </w:p>
              </w:tc>
              <w:tc>
                <w:tcPr>
                  <w:tcW w:w="1401" w:type="dxa"/>
                  <w:vAlign w:val="center"/>
                </w:tcPr>
                <w:p w14:paraId="123DAC4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乐昌市金丰机械有限公司</w:t>
                  </w:r>
                </w:p>
              </w:tc>
              <w:tc>
                <w:tcPr>
                  <w:tcW w:w="390" w:type="dxa"/>
                  <w:vAlign w:val="center"/>
                </w:tcPr>
                <w:p w14:paraId="1904633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155C284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金属制品业、通用设备制造业</w:t>
                  </w:r>
                </w:p>
              </w:tc>
              <w:tc>
                <w:tcPr>
                  <w:tcW w:w="809" w:type="dxa"/>
                  <w:vAlign w:val="center"/>
                </w:tcPr>
                <w:p w14:paraId="6F65E88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38528.3</w:t>
                  </w:r>
                </w:p>
              </w:tc>
              <w:tc>
                <w:tcPr>
                  <w:tcW w:w="2408" w:type="dxa"/>
                  <w:vAlign w:val="center"/>
                </w:tcPr>
                <w:p w14:paraId="7F17CC3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 2.4 万吨金属铸件，年加工 1800 吨机械零部件</w:t>
                  </w:r>
                </w:p>
              </w:tc>
              <w:tc>
                <w:tcPr>
                  <w:tcW w:w="1346" w:type="dxa"/>
                  <w:vAlign w:val="center"/>
                </w:tcPr>
                <w:p w14:paraId="40B6F85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"bookmark202"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2018</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]33 号、韶环乐审〔2022〕01 号</w:t>
                  </w:r>
                </w:p>
              </w:tc>
            </w:tr>
            <w:tr w14:paraId="324D0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778C1B1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w:t>
                  </w:r>
                </w:p>
              </w:tc>
              <w:tc>
                <w:tcPr>
                  <w:tcW w:w="1401" w:type="dxa"/>
                  <w:vAlign w:val="center"/>
                </w:tcPr>
                <w:p w14:paraId="7AE1001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乐昌市捷凯家具有限公司</w:t>
                  </w:r>
                </w:p>
              </w:tc>
              <w:tc>
                <w:tcPr>
                  <w:tcW w:w="390" w:type="dxa"/>
                  <w:vAlign w:val="center"/>
                </w:tcPr>
                <w:p w14:paraId="2EC4DA0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7442E6A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3D3ADAA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19980</w:t>
                  </w:r>
                </w:p>
              </w:tc>
              <w:tc>
                <w:tcPr>
                  <w:tcW w:w="2408" w:type="dxa"/>
                  <w:vAlign w:val="center"/>
                </w:tcPr>
                <w:p w14:paraId="1CACBAC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年产家具铸铁件 1.2 万件</w:t>
                  </w:r>
                </w:p>
              </w:tc>
              <w:tc>
                <w:tcPr>
                  <w:tcW w:w="1346" w:type="dxa"/>
                  <w:vAlign w:val="center"/>
                </w:tcPr>
                <w:p w14:paraId="201B410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"bookmark203"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2017</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]38 号</w:t>
                  </w:r>
                </w:p>
              </w:tc>
            </w:tr>
            <w:tr w14:paraId="5DE6C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5E41092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w:t>
                  </w:r>
                </w:p>
              </w:tc>
              <w:tc>
                <w:tcPr>
                  <w:tcW w:w="1401" w:type="dxa"/>
                  <w:vAlign w:val="center"/>
                </w:tcPr>
                <w:p w14:paraId="4367EE0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乐昌市瑞创精工制造有限公司</w:t>
                  </w:r>
                </w:p>
              </w:tc>
              <w:tc>
                <w:tcPr>
                  <w:tcW w:w="390" w:type="dxa"/>
                  <w:vAlign w:val="center"/>
                </w:tcPr>
                <w:p w14:paraId="33E5265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279BA92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479DA1B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19600</w:t>
                  </w:r>
                </w:p>
              </w:tc>
              <w:tc>
                <w:tcPr>
                  <w:tcW w:w="2408" w:type="dxa"/>
                  <w:vAlign w:val="center"/>
                </w:tcPr>
                <w:p w14:paraId="59D6DEE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年产铸铁电饭煲内胆 10 万件、水泵铸件20 万件、铸铁烤网100 万件、铸铁发热板 220 万件、搪瓷炉架 100 万件</w:t>
                  </w:r>
                </w:p>
              </w:tc>
              <w:tc>
                <w:tcPr>
                  <w:tcW w:w="1346" w:type="dxa"/>
                  <w:vAlign w:val="center"/>
                </w:tcPr>
                <w:p w14:paraId="4A5FA99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"bookmark204"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2017</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]48 号</w:t>
                  </w:r>
                </w:p>
              </w:tc>
            </w:tr>
            <w:tr w14:paraId="39B78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jc w:val="center"/>
              </w:trPr>
              <w:tc>
                <w:tcPr>
                  <w:tcW w:w="331" w:type="dxa"/>
                  <w:vAlign w:val="center"/>
                </w:tcPr>
                <w:p w14:paraId="48779E3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4</w:t>
                  </w:r>
                </w:p>
              </w:tc>
              <w:tc>
                <w:tcPr>
                  <w:tcW w:w="1401" w:type="dxa"/>
                  <w:vAlign w:val="center"/>
                </w:tcPr>
                <w:p w14:paraId="31E679E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乐昌市瑛龙高精铸造有限公司</w:t>
                  </w:r>
                </w:p>
              </w:tc>
              <w:tc>
                <w:tcPr>
                  <w:tcW w:w="390" w:type="dxa"/>
                  <w:vAlign w:val="center"/>
                </w:tcPr>
                <w:p w14:paraId="26A0886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7A654CD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0E0BD56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10702.96</w:t>
                  </w:r>
                </w:p>
              </w:tc>
              <w:tc>
                <w:tcPr>
                  <w:tcW w:w="2408" w:type="dxa"/>
                  <w:vAlign w:val="center"/>
                </w:tcPr>
                <w:p w14:paraId="04F0F74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年产机械设备类的机械设备 1.1 万吨</w:t>
                  </w:r>
                </w:p>
              </w:tc>
              <w:tc>
                <w:tcPr>
                  <w:tcW w:w="1346" w:type="dxa"/>
                  <w:vAlign w:val="center"/>
                </w:tcPr>
                <w:p w14:paraId="7EF5912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"bookmark205"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2017</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]40 号</w:t>
                  </w:r>
                </w:p>
              </w:tc>
            </w:tr>
            <w:tr w14:paraId="549F7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jc w:val="center"/>
              </w:trPr>
              <w:tc>
                <w:tcPr>
                  <w:tcW w:w="331" w:type="dxa"/>
                  <w:vAlign w:val="center"/>
                </w:tcPr>
                <w:p w14:paraId="076290F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5</w:t>
                  </w:r>
                </w:p>
              </w:tc>
              <w:tc>
                <w:tcPr>
                  <w:tcW w:w="1401" w:type="dxa"/>
                  <w:vAlign w:val="center"/>
                </w:tcPr>
                <w:p w14:paraId="1FD1648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乐昌市湘源金属制品有限公司</w:t>
                  </w:r>
                </w:p>
              </w:tc>
              <w:tc>
                <w:tcPr>
                  <w:tcW w:w="390" w:type="dxa"/>
                  <w:vAlign w:val="center"/>
                </w:tcPr>
                <w:p w14:paraId="73FCE3E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684708F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60CC6DB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13339.8</w:t>
                  </w:r>
                </w:p>
              </w:tc>
              <w:tc>
                <w:tcPr>
                  <w:tcW w:w="2408" w:type="dxa"/>
                  <w:vAlign w:val="center"/>
                </w:tcPr>
                <w:p w14:paraId="3B185F0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年产铸件 11500 吨</w:t>
                  </w:r>
                </w:p>
              </w:tc>
              <w:tc>
                <w:tcPr>
                  <w:tcW w:w="1346" w:type="dxa"/>
                  <w:vAlign w:val="center"/>
                </w:tcPr>
                <w:p w14:paraId="03E4100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"bookmark206"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2017</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]43 号、韶环乐审〔2022〕13 号</w:t>
                  </w:r>
                </w:p>
              </w:tc>
            </w:tr>
            <w:tr w14:paraId="1E10C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jc w:val="center"/>
              </w:trPr>
              <w:tc>
                <w:tcPr>
                  <w:tcW w:w="331" w:type="dxa"/>
                  <w:vAlign w:val="center"/>
                </w:tcPr>
                <w:p w14:paraId="234423E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p>
                <w:p w14:paraId="4B4F95C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6</w:t>
                  </w:r>
                </w:p>
              </w:tc>
              <w:tc>
                <w:tcPr>
                  <w:tcW w:w="1401" w:type="dxa"/>
                  <w:vAlign w:val="center"/>
                </w:tcPr>
                <w:p w14:paraId="06C2EAD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乐昌市钜宝科技制造有限公</w:t>
                  </w:r>
                </w:p>
                <w:p w14:paraId="7134C30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司</w:t>
                  </w:r>
                </w:p>
              </w:tc>
              <w:tc>
                <w:tcPr>
                  <w:tcW w:w="390" w:type="dxa"/>
                  <w:vAlign w:val="center"/>
                </w:tcPr>
                <w:p w14:paraId="4BC3742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p>
                <w:p w14:paraId="6B34311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647768D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金属制品业、通用设备制造业</w:t>
                  </w:r>
                </w:p>
              </w:tc>
              <w:tc>
                <w:tcPr>
                  <w:tcW w:w="809" w:type="dxa"/>
                  <w:vAlign w:val="center"/>
                </w:tcPr>
                <w:p w14:paraId="0DC084B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p>
                <w:p w14:paraId="5C9CDEE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23539.9</w:t>
                  </w:r>
                </w:p>
              </w:tc>
              <w:tc>
                <w:tcPr>
                  <w:tcW w:w="2408" w:type="dxa"/>
                  <w:vAlign w:val="center"/>
                </w:tcPr>
                <w:p w14:paraId="7B9B20C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年产户外家具 49.8 万件、水泵铸件 6.52 万件、铸铁烤网 51</w:t>
                  </w:r>
                </w:p>
                <w:p w14:paraId="4131B72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万件、铸铁发热板 161 万件、机加工铸铁件 4000 吨、喷粉铸</w:t>
                  </w:r>
                </w:p>
                <w:p w14:paraId="077B156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铁件 1000 吨、搪瓷铸铁件 1000 吨</w:t>
                  </w:r>
                </w:p>
              </w:tc>
              <w:tc>
                <w:tcPr>
                  <w:tcW w:w="1346" w:type="dxa"/>
                  <w:vAlign w:val="center"/>
                </w:tcPr>
                <w:p w14:paraId="0997CF9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"bookmark207"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2017</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]47 号、韶环乐审</w:t>
                  </w:r>
                </w:p>
                <w:p w14:paraId="1E7A78A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"bookmark208"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2021</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]30 号</w:t>
                  </w:r>
                </w:p>
              </w:tc>
            </w:tr>
            <w:tr w14:paraId="4B88D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07BB9A8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7</w:t>
                  </w:r>
                </w:p>
              </w:tc>
              <w:tc>
                <w:tcPr>
                  <w:tcW w:w="1401" w:type="dxa"/>
                  <w:vAlign w:val="center"/>
                </w:tcPr>
                <w:p w14:paraId="4BF241E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乐昌胜旗精工科技有限公司</w:t>
                  </w:r>
                </w:p>
              </w:tc>
              <w:tc>
                <w:tcPr>
                  <w:tcW w:w="390" w:type="dxa"/>
                  <w:vAlign w:val="center"/>
                </w:tcPr>
                <w:p w14:paraId="5343289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1A39032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648F736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13322</w:t>
                  </w:r>
                </w:p>
              </w:tc>
              <w:tc>
                <w:tcPr>
                  <w:tcW w:w="2408" w:type="dxa"/>
                  <w:vAlign w:val="center"/>
                </w:tcPr>
                <w:p w14:paraId="0CB69B9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年产炉架 10 万件、炉排、炉头、家具件、机械件、减速机波</w:t>
                  </w:r>
                </w:p>
                <w:p w14:paraId="67DFF37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箱各 5 万件、发热盘 3 万件</w:t>
                  </w:r>
                </w:p>
              </w:tc>
              <w:tc>
                <w:tcPr>
                  <w:tcW w:w="1346" w:type="dxa"/>
                  <w:vAlign w:val="center"/>
                </w:tcPr>
                <w:p w14:paraId="14E0075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"bookmark209"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2017</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]44 号</w:t>
                  </w:r>
                </w:p>
              </w:tc>
            </w:tr>
            <w:tr w14:paraId="17EB6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0E2918B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8</w:t>
                  </w:r>
                </w:p>
              </w:tc>
              <w:tc>
                <w:tcPr>
                  <w:tcW w:w="1401" w:type="dxa"/>
                  <w:vAlign w:val="center"/>
                </w:tcPr>
                <w:p w14:paraId="2FB25DD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乐昌市钜烽机械制造有限公</w:t>
                  </w:r>
                </w:p>
                <w:p w14:paraId="09F1A87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司</w:t>
                  </w:r>
                </w:p>
              </w:tc>
              <w:tc>
                <w:tcPr>
                  <w:tcW w:w="390" w:type="dxa"/>
                  <w:vAlign w:val="center"/>
                </w:tcPr>
                <w:p w14:paraId="12BB2FD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558D5F1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3489625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10000</w:t>
                  </w:r>
                </w:p>
              </w:tc>
              <w:tc>
                <w:tcPr>
                  <w:tcW w:w="2408" w:type="dxa"/>
                  <w:vAlign w:val="center"/>
                </w:tcPr>
                <w:p w14:paraId="4E2A585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年产机械铸件 1 万吨</w:t>
                  </w:r>
                </w:p>
              </w:tc>
              <w:tc>
                <w:tcPr>
                  <w:tcW w:w="1346" w:type="dxa"/>
                  <w:vAlign w:val="center"/>
                </w:tcPr>
                <w:p w14:paraId="312AD44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"bookmark210"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2017</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]41 号</w:t>
                  </w:r>
                </w:p>
              </w:tc>
            </w:tr>
            <w:tr w14:paraId="3BF5A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104BCD3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9</w:t>
                  </w:r>
                </w:p>
              </w:tc>
              <w:tc>
                <w:tcPr>
                  <w:tcW w:w="1401" w:type="dxa"/>
                  <w:vAlign w:val="center"/>
                </w:tcPr>
                <w:p w14:paraId="5D44400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乐昌市金利华机械制造有限</w:t>
                  </w:r>
                </w:p>
                <w:p w14:paraId="7A21F40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公司</w:t>
                  </w:r>
                </w:p>
              </w:tc>
              <w:tc>
                <w:tcPr>
                  <w:tcW w:w="390" w:type="dxa"/>
                  <w:vAlign w:val="center"/>
                </w:tcPr>
                <w:p w14:paraId="63BE54D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2D39D80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27890BE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10000</w:t>
                  </w:r>
                </w:p>
              </w:tc>
              <w:tc>
                <w:tcPr>
                  <w:tcW w:w="2408" w:type="dxa"/>
                  <w:vAlign w:val="center"/>
                </w:tcPr>
                <w:p w14:paraId="4FAD13F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年产食品机械铸件 1 万件</w:t>
                  </w:r>
                </w:p>
              </w:tc>
              <w:tc>
                <w:tcPr>
                  <w:tcW w:w="1346" w:type="dxa"/>
                  <w:vAlign w:val="center"/>
                </w:tcPr>
                <w:p w14:paraId="299D0C9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"bookmark211"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2017</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]42 号</w:t>
                  </w:r>
                </w:p>
              </w:tc>
            </w:tr>
            <w:tr w14:paraId="5F036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jc w:val="center"/>
              </w:trPr>
              <w:tc>
                <w:tcPr>
                  <w:tcW w:w="331" w:type="dxa"/>
                  <w:vAlign w:val="center"/>
                </w:tcPr>
                <w:p w14:paraId="0DCBD61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10</w:t>
                  </w:r>
                </w:p>
              </w:tc>
              <w:tc>
                <w:tcPr>
                  <w:tcW w:w="1401" w:type="dxa"/>
                  <w:vAlign w:val="center"/>
                </w:tcPr>
                <w:p w14:paraId="66A9A1A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乐昌市宏信精工制造有限公</w:t>
                  </w:r>
                </w:p>
                <w:p w14:paraId="2ACC591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司</w:t>
                  </w:r>
                </w:p>
              </w:tc>
              <w:tc>
                <w:tcPr>
                  <w:tcW w:w="390" w:type="dxa"/>
                  <w:vAlign w:val="center"/>
                </w:tcPr>
                <w:p w14:paraId="11EF1B0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2C344B6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0044051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10000</w:t>
                  </w:r>
                </w:p>
              </w:tc>
              <w:tc>
                <w:tcPr>
                  <w:tcW w:w="2408" w:type="dxa"/>
                  <w:vAlign w:val="center"/>
                </w:tcPr>
                <w:p w14:paraId="7E03389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年产球墨模具、零件 4000 吨、灰口模具、零件 6000 吨</w:t>
                  </w:r>
                </w:p>
              </w:tc>
              <w:tc>
                <w:tcPr>
                  <w:tcW w:w="1346" w:type="dxa"/>
                  <w:vAlign w:val="center"/>
                </w:tcPr>
                <w:p w14:paraId="6442761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"bookmark212"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2017</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]39 号、韶环乐审</w:t>
                  </w:r>
                </w:p>
                <w:p w14:paraId="3688027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"bookmark213"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2022</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]23 号</w:t>
                  </w:r>
                </w:p>
              </w:tc>
            </w:tr>
            <w:tr w14:paraId="20794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4B802E7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11</w:t>
                  </w:r>
                </w:p>
              </w:tc>
              <w:tc>
                <w:tcPr>
                  <w:tcW w:w="1401" w:type="dxa"/>
                  <w:vAlign w:val="center"/>
                </w:tcPr>
                <w:p w14:paraId="12E4B56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乐昌市金来得实业有限公司</w:t>
                  </w:r>
                </w:p>
              </w:tc>
              <w:tc>
                <w:tcPr>
                  <w:tcW w:w="390" w:type="dxa"/>
                  <w:vAlign w:val="center"/>
                </w:tcPr>
                <w:p w14:paraId="170B440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5042A04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橡胶和塑料制品业、家具制造业</w:t>
                  </w:r>
                </w:p>
              </w:tc>
              <w:tc>
                <w:tcPr>
                  <w:tcW w:w="809" w:type="dxa"/>
                  <w:vAlign w:val="center"/>
                </w:tcPr>
                <w:p w14:paraId="17ADFB9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23018.4</w:t>
                  </w:r>
                </w:p>
              </w:tc>
              <w:tc>
                <w:tcPr>
                  <w:tcW w:w="2408" w:type="dxa"/>
                  <w:vAlign w:val="center"/>
                </w:tcPr>
                <w:p w14:paraId="4F7B2F4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年产卫浴、衣柜 1.6 万套；聚乙烯高分子材料 4.8 万立方米</w:t>
                  </w:r>
                </w:p>
              </w:tc>
              <w:tc>
                <w:tcPr>
                  <w:tcW w:w="1346" w:type="dxa"/>
                  <w:vAlign w:val="center"/>
                </w:tcPr>
                <w:p w14:paraId="51C473B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"bookmark214"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2018</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]03 号、乐环审〔2020〕</w:t>
                  </w:r>
                </w:p>
                <w:p w14:paraId="2852D3F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14 号</w:t>
                  </w:r>
                </w:p>
              </w:tc>
            </w:tr>
            <w:tr w14:paraId="65D4D3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jc w:val="center"/>
              </w:trPr>
              <w:tc>
                <w:tcPr>
                  <w:tcW w:w="331" w:type="dxa"/>
                  <w:vAlign w:val="center"/>
                </w:tcPr>
                <w:p w14:paraId="64A4500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p>
                <w:p w14:paraId="0B52D3D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12</w:t>
                  </w:r>
                </w:p>
              </w:tc>
              <w:tc>
                <w:tcPr>
                  <w:tcW w:w="1401" w:type="dxa"/>
                  <w:vAlign w:val="center"/>
                </w:tcPr>
                <w:p w14:paraId="60C473C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广东沃府实业有限公司</w:t>
                  </w:r>
                </w:p>
              </w:tc>
              <w:tc>
                <w:tcPr>
                  <w:tcW w:w="390" w:type="dxa"/>
                  <w:vAlign w:val="center"/>
                </w:tcPr>
                <w:p w14:paraId="130E4DD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2FEE597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橡胶和塑料制品</w:t>
                  </w:r>
                </w:p>
                <w:p w14:paraId="2FCA6DE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业、废弃资源综合</w:t>
                  </w:r>
                </w:p>
                <w:p w14:paraId="12EEA12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利用业</w:t>
                  </w:r>
                </w:p>
              </w:tc>
              <w:tc>
                <w:tcPr>
                  <w:tcW w:w="809" w:type="dxa"/>
                  <w:vAlign w:val="center"/>
                </w:tcPr>
                <w:p w14:paraId="64A4AB7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73337</w:t>
                  </w:r>
                </w:p>
              </w:tc>
              <w:tc>
                <w:tcPr>
                  <w:tcW w:w="2408" w:type="dxa"/>
                  <w:vAlign w:val="center"/>
                </w:tcPr>
                <w:p w14:paraId="4EB2DB0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年产改性塑料 10 万吨、家电塑料配件2000 吨</w:t>
                  </w:r>
                </w:p>
              </w:tc>
              <w:tc>
                <w:tcPr>
                  <w:tcW w:w="1346" w:type="dxa"/>
                  <w:vAlign w:val="center"/>
                </w:tcPr>
                <w:p w14:paraId="081BE49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"bookmark215"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2017</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 177 号、乐环审</w:t>
                  </w:r>
                </w:p>
                <w:p w14:paraId="7386D26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〔2021〕05 号、韶环乐审〔2025〕</w:t>
                  </w:r>
                </w:p>
                <w:p w14:paraId="304558A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17 号</w:t>
                  </w:r>
                </w:p>
              </w:tc>
            </w:tr>
            <w:tr w14:paraId="0A49F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jc w:val="center"/>
              </w:trPr>
              <w:tc>
                <w:tcPr>
                  <w:tcW w:w="331" w:type="dxa"/>
                  <w:vAlign w:val="center"/>
                </w:tcPr>
                <w:p w14:paraId="5280EAC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p>
                <w:p w14:paraId="163C10D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13</w:t>
                  </w:r>
                </w:p>
              </w:tc>
              <w:tc>
                <w:tcPr>
                  <w:tcW w:w="1401" w:type="dxa"/>
                  <w:vAlign w:val="center"/>
                </w:tcPr>
                <w:p w14:paraId="4980BF2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韶关乐淇包装材料有限公司</w:t>
                  </w:r>
                </w:p>
              </w:tc>
              <w:tc>
                <w:tcPr>
                  <w:tcW w:w="390" w:type="dxa"/>
                  <w:vAlign w:val="center"/>
                </w:tcPr>
                <w:p w14:paraId="6028D22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69880B3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橡胶和塑料制品</w:t>
                  </w:r>
                </w:p>
                <w:p w14:paraId="4A2FC9C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业、废弃资源综合</w:t>
                  </w:r>
                </w:p>
                <w:p w14:paraId="0211828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利用业</w:t>
                  </w:r>
                </w:p>
              </w:tc>
              <w:tc>
                <w:tcPr>
                  <w:tcW w:w="809" w:type="dxa"/>
                  <w:vAlign w:val="center"/>
                </w:tcPr>
                <w:p w14:paraId="1700490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50991.9</w:t>
                  </w:r>
                </w:p>
              </w:tc>
              <w:tc>
                <w:tcPr>
                  <w:tcW w:w="2408" w:type="dxa"/>
                  <w:vAlign w:val="center"/>
                </w:tcPr>
                <w:p w14:paraId="707019F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年产塑料新材料 7.22 万吨</w:t>
                  </w:r>
                </w:p>
              </w:tc>
              <w:tc>
                <w:tcPr>
                  <w:tcW w:w="1346" w:type="dxa"/>
                  <w:vAlign w:val="center"/>
                </w:tcPr>
                <w:p w14:paraId="4C4D3ED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"bookmark216"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2018</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]04 号</w:t>
                  </w:r>
                </w:p>
              </w:tc>
            </w:tr>
            <w:tr w14:paraId="266FA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jc w:val="center"/>
              </w:trPr>
              <w:tc>
                <w:tcPr>
                  <w:tcW w:w="331" w:type="dxa"/>
                  <w:vAlign w:val="center"/>
                </w:tcPr>
                <w:p w14:paraId="4B75DEA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14</w:t>
                  </w:r>
                </w:p>
              </w:tc>
              <w:tc>
                <w:tcPr>
                  <w:tcW w:w="1401" w:type="dxa"/>
                  <w:vAlign w:val="center"/>
                </w:tcPr>
                <w:p w14:paraId="4B4CE8F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乐昌市华国艺术装饰建材有</w:t>
                  </w:r>
                </w:p>
                <w:p w14:paraId="410ED59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限公司</w:t>
                  </w:r>
                </w:p>
              </w:tc>
              <w:tc>
                <w:tcPr>
                  <w:tcW w:w="390" w:type="dxa"/>
                  <w:vAlign w:val="center"/>
                </w:tcPr>
                <w:p w14:paraId="3DDC7D8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65D403A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橡胶和塑料制品业</w:t>
                  </w:r>
                </w:p>
              </w:tc>
              <w:tc>
                <w:tcPr>
                  <w:tcW w:w="809" w:type="dxa"/>
                  <w:vAlign w:val="center"/>
                </w:tcPr>
                <w:p w14:paraId="203CF7B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27375.05</w:t>
                  </w:r>
                </w:p>
              </w:tc>
              <w:tc>
                <w:tcPr>
                  <w:tcW w:w="2408" w:type="dxa"/>
                  <w:vAlign w:val="center"/>
                </w:tcPr>
                <w:p w14:paraId="5C49900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 PU 装饰线条 1500 吨、聚氨酯装饰制品 250 吨</w:t>
                  </w:r>
                </w:p>
              </w:tc>
              <w:tc>
                <w:tcPr>
                  <w:tcW w:w="1346" w:type="dxa"/>
                  <w:vAlign w:val="center"/>
                </w:tcPr>
                <w:p w14:paraId="04A1254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"bookmark217"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2017</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]35 号</w:t>
                  </w:r>
                </w:p>
              </w:tc>
            </w:tr>
            <w:tr w14:paraId="6FB93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jc w:val="center"/>
              </w:trPr>
              <w:tc>
                <w:tcPr>
                  <w:tcW w:w="331" w:type="dxa"/>
                  <w:vAlign w:val="center"/>
                </w:tcPr>
                <w:p w14:paraId="55D5C75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15</w:t>
                  </w:r>
                </w:p>
              </w:tc>
              <w:tc>
                <w:tcPr>
                  <w:tcW w:w="1401" w:type="dxa"/>
                  <w:vAlign w:val="center"/>
                </w:tcPr>
                <w:p w14:paraId="6E76B1A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汇隽新材料科技（乐昌）有限</w:t>
                  </w:r>
                </w:p>
                <w:p w14:paraId="0A0C74F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公司</w:t>
                  </w:r>
                </w:p>
              </w:tc>
              <w:tc>
                <w:tcPr>
                  <w:tcW w:w="390" w:type="dxa"/>
                  <w:vAlign w:val="center"/>
                </w:tcPr>
                <w:p w14:paraId="759672E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7302688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橡胶和塑料制品业</w:t>
                  </w:r>
                </w:p>
              </w:tc>
              <w:tc>
                <w:tcPr>
                  <w:tcW w:w="809" w:type="dxa"/>
                  <w:vAlign w:val="center"/>
                </w:tcPr>
                <w:p w14:paraId="1D408DD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7349.3</w:t>
                  </w:r>
                </w:p>
              </w:tc>
              <w:tc>
                <w:tcPr>
                  <w:tcW w:w="2408" w:type="dxa"/>
                  <w:vAlign w:val="center"/>
                </w:tcPr>
                <w:p w14:paraId="6DF50DF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 PU 装饰线条 750 吨、聚氨酯装饰制品 250 吨</w:t>
                  </w:r>
                </w:p>
              </w:tc>
              <w:tc>
                <w:tcPr>
                  <w:tcW w:w="1346" w:type="dxa"/>
                  <w:vAlign w:val="center"/>
                </w:tcPr>
                <w:p w14:paraId="0CF68FE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"bookmark218"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2018</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 13 号</w:t>
                  </w:r>
                </w:p>
              </w:tc>
            </w:tr>
            <w:tr w14:paraId="304C8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4" w:hRule="atLeast"/>
                <w:jc w:val="center"/>
              </w:trPr>
              <w:tc>
                <w:tcPr>
                  <w:tcW w:w="331" w:type="dxa"/>
                  <w:vAlign w:val="center"/>
                </w:tcPr>
                <w:p w14:paraId="35CA821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16</w:t>
                  </w:r>
                </w:p>
              </w:tc>
              <w:tc>
                <w:tcPr>
                  <w:tcW w:w="1401" w:type="dxa"/>
                  <w:vAlign w:val="center"/>
                </w:tcPr>
                <w:p w14:paraId="10DD44B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广东宝创环保新材料制品有</w:t>
                  </w:r>
                </w:p>
                <w:p w14:paraId="132EB39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限公司</w:t>
                  </w:r>
                </w:p>
              </w:tc>
              <w:tc>
                <w:tcPr>
                  <w:tcW w:w="390" w:type="dxa"/>
                  <w:vAlign w:val="center"/>
                </w:tcPr>
                <w:p w14:paraId="56AFB7A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11AC1D3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纺织业</w:t>
                  </w:r>
                </w:p>
              </w:tc>
              <w:tc>
                <w:tcPr>
                  <w:tcW w:w="809" w:type="dxa"/>
                  <w:vAlign w:val="center"/>
                </w:tcPr>
                <w:p w14:paraId="145DB8A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32671.2</w:t>
                  </w:r>
                </w:p>
              </w:tc>
              <w:tc>
                <w:tcPr>
                  <w:tcW w:w="2408" w:type="dxa"/>
                  <w:vAlign w:val="center"/>
                </w:tcPr>
                <w:p w14:paraId="515ECBD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年产热轧无纺布 2800 吨、口罩 30000 万片、纺粘熔喷无纺布</w:t>
                  </w:r>
                </w:p>
                <w:p w14:paraId="21B3A86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7440 吨、衬布 5720 万米、热风无纺布 860 吨、复合芯体 1430</w:t>
                  </w:r>
                </w:p>
                <w:p w14:paraId="0B490F6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吨、湿巾 360 万包、熔喷无纺布 1500 吨、网膜无纺布 825</w:t>
                  </w:r>
                </w:p>
                <w:p w14:paraId="37F5037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万米、无纺布抽取式干巾 57 万盒、无纺布床单 570 万张、口</w:t>
                  </w:r>
                </w:p>
                <w:p w14:paraId="5F02406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罩衬布 2000 万米、其他衬布 7000 万米</w:t>
                  </w:r>
                </w:p>
              </w:tc>
              <w:tc>
                <w:tcPr>
                  <w:tcW w:w="1346" w:type="dxa"/>
                  <w:vAlign w:val="center"/>
                </w:tcPr>
                <w:p w14:paraId="7CD2D6F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"bookmark219"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2017</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]50 号、乐环审〔2020〕 23 号、韶环乐审〔2021〕26 号</w:t>
                  </w:r>
                </w:p>
              </w:tc>
            </w:tr>
            <w:tr w14:paraId="48033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5D06565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17</w:t>
                  </w:r>
                </w:p>
              </w:tc>
              <w:tc>
                <w:tcPr>
                  <w:tcW w:w="1401" w:type="dxa"/>
                  <w:vAlign w:val="center"/>
                </w:tcPr>
                <w:p w14:paraId="7FB6DEF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广东泰邦耐磨金属科技有限</w:t>
                  </w:r>
                </w:p>
                <w:p w14:paraId="4D012D5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公司</w:t>
                  </w:r>
                </w:p>
              </w:tc>
              <w:tc>
                <w:tcPr>
                  <w:tcW w:w="390" w:type="dxa"/>
                  <w:vAlign w:val="center"/>
                </w:tcPr>
                <w:p w14:paraId="06369C3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45771EF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40C8D43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33583</w:t>
                  </w:r>
                </w:p>
              </w:tc>
              <w:tc>
                <w:tcPr>
                  <w:tcW w:w="2408" w:type="dxa"/>
                  <w:vAlign w:val="center"/>
                </w:tcPr>
                <w:p w14:paraId="2A6BC86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年产铸钢 1 万吨</w:t>
                  </w:r>
                </w:p>
              </w:tc>
              <w:tc>
                <w:tcPr>
                  <w:tcW w:w="1346" w:type="dxa"/>
                  <w:vAlign w:val="center"/>
                </w:tcPr>
                <w:p w14:paraId="0D75DDD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乐环函[</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"bookmark220"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2011</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]25 号、乐环审[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"bookmark221"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2018</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 17 号</w:t>
                  </w:r>
                </w:p>
              </w:tc>
            </w:tr>
            <w:tr w14:paraId="1FE7F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jc w:val="center"/>
              </w:trPr>
              <w:tc>
                <w:tcPr>
                  <w:tcW w:w="331" w:type="dxa"/>
                  <w:vAlign w:val="center"/>
                </w:tcPr>
                <w:p w14:paraId="39E8493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18</w:t>
                  </w:r>
                </w:p>
              </w:tc>
              <w:tc>
                <w:tcPr>
                  <w:tcW w:w="1401" w:type="dxa"/>
                  <w:vAlign w:val="center"/>
                </w:tcPr>
                <w:p w14:paraId="5A14ECE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乐昌市明俊铸造有限公司</w:t>
                  </w:r>
                </w:p>
              </w:tc>
              <w:tc>
                <w:tcPr>
                  <w:tcW w:w="390" w:type="dxa"/>
                  <w:vAlign w:val="center"/>
                </w:tcPr>
                <w:p w14:paraId="2CA8565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4E6D3CB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66A0EA7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12666</w:t>
                  </w:r>
                </w:p>
              </w:tc>
              <w:tc>
                <w:tcPr>
                  <w:tcW w:w="2408" w:type="dxa"/>
                  <w:vAlign w:val="center"/>
                </w:tcPr>
                <w:p w14:paraId="44AF621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年产水泵类铸件、油泵 6000 吨</w:t>
                  </w:r>
                </w:p>
              </w:tc>
              <w:tc>
                <w:tcPr>
                  <w:tcW w:w="1346" w:type="dxa"/>
                  <w:vAlign w:val="center"/>
                </w:tcPr>
                <w:p w14:paraId="70A5AF0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乐环函[</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"bookmark222"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2008</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 12 号、乐环审</w:t>
                  </w:r>
                </w:p>
                <w:p w14:paraId="68DC53B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"bookmark223"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2018</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]38 号、韶环乐审〔2022〕14</w:t>
                  </w:r>
                </w:p>
                <w:p w14:paraId="6ACB83D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号</w:t>
                  </w:r>
                </w:p>
              </w:tc>
            </w:tr>
            <w:tr w14:paraId="54392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756F280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19</w:t>
                  </w:r>
                </w:p>
              </w:tc>
              <w:tc>
                <w:tcPr>
                  <w:tcW w:w="1401" w:type="dxa"/>
                  <w:vAlign w:val="center"/>
                </w:tcPr>
                <w:p w14:paraId="1CCF4A7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乐昌市翔辉皮革有限公司</w:t>
                  </w:r>
                </w:p>
              </w:tc>
              <w:tc>
                <w:tcPr>
                  <w:tcW w:w="390" w:type="dxa"/>
                  <w:vAlign w:val="center"/>
                </w:tcPr>
                <w:p w14:paraId="386C649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1891986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皮革、毛皮、羽毛及其制品和制鞋业</w:t>
                  </w:r>
                </w:p>
              </w:tc>
              <w:tc>
                <w:tcPr>
                  <w:tcW w:w="809" w:type="dxa"/>
                  <w:vAlign w:val="center"/>
                </w:tcPr>
                <w:p w14:paraId="62B6165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14014.6</w:t>
                  </w:r>
                </w:p>
              </w:tc>
              <w:tc>
                <w:tcPr>
                  <w:tcW w:w="2408" w:type="dxa"/>
                  <w:vAlign w:val="center"/>
                </w:tcPr>
                <w:p w14:paraId="5A31D80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年产二层贴膜榔皮 200 万呎、3 贴膜 PU0 万码</w:t>
                  </w:r>
                </w:p>
              </w:tc>
              <w:tc>
                <w:tcPr>
                  <w:tcW w:w="1346" w:type="dxa"/>
                  <w:vAlign w:val="center"/>
                </w:tcPr>
                <w:p w14:paraId="7F96D7A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"bookmark224"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2017</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]07 号</w:t>
                  </w:r>
                </w:p>
              </w:tc>
            </w:tr>
            <w:tr w14:paraId="1A44F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4090D69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w:t>
                  </w:r>
                </w:p>
              </w:tc>
              <w:tc>
                <w:tcPr>
                  <w:tcW w:w="1401" w:type="dxa"/>
                  <w:vAlign w:val="center"/>
                </w:tcPr>
                <w:p w14:paraId="5DB9F4F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广东欧匹特智能装备有限公司</w:t>
                  </w:r>
                </w:p>
              </w:tc>
              <w:tc>
                <w:tcPr>
                  <w:tcW w:w="390" w:type="dxa"/>
                  <w:vAlign w:val="center"/>
                </w:tcPr>
                <w:p w14:paraId="144C0C8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1E5252F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通用设备制造业</w:t>
                  </w:r>
                </w:p>
              </w:tc>
              <w:tc>
                <w:tcPr>
                  <w:tcW w:w="809" w:type="dxa"/>
                  <w:vAlign w:val="center"/>
                </w:tcPr>
                <w:p w14:paraId="1602D80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26032</w:t>
                  </w:r>
                </w:p>
              </w:tc>
              <w:tc>
                <w:tcPr>
                  <w:tcW w:w="2408" w:type="dxa"/>
                  <w:vAlign w:val="center"/>
                </w:tcPr>
                <w:p w14:paraId="779D6BF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年产数控机床 450 台</w:t>
                  </w:r>
                </w:p>
              </w:tc>
              <w:tc>
                <w:tcPr>
                  <w:tcW w:w="1346" w:type="dxa"/>
                  <w:vAlign w:val="center"/>
                </w:tcPr>
                <w:p w14:paraId="35CFEEA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乐环审〔2020〕16 号</w:t>
                  </w:r>
                </w:p>
              </w:tc>
            </w:tr>
            <w:tr w14:paraId="2DA55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3291B7C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21</w:t>
                  </w:r>
                </w:p>
              </w:tc>
              <w:tc>
                <w:tcPr>
                  <w:tcW w:w="1401" w:type="dxa"/>
                  <w:vAlign w:val="center"/>
                </w:tcPr>
                <w:p w14:paraId="05743DC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乐昌市泰瑞菲实业有限公司</w:t>
                  </w:r>
                </w:p>
              </w:tc>
              <w:tc>
                <w:tcPr>
                  <w:tcW w:w="390" w:type="dxa"/>
                  <w:vAlign w:val="center"/>
                </w:tcPr>
                <w:p w14:paraId="0D157F2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4A99E54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橡胶和塑料制品业</w:t>
                  </w:r>
                </w:p>
              </w:tc>
              <w:tc>
                <w:tcPr>
                  <w:tcW w:w="809" w:type="dxa"/>
                  <w:vAlign w:val="center"/>
                </w:tcPr>
                <w:p w14:paraId="20C01FE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15266</w:t>
                  </w:r>
                </w:p>
              </w:tc>
              <w:tc>
                <w:tcPr>
                  <w:tcW w:w="2408" w:type="dxa"/>
                  <w:vAlign w:val="center"/>
                </w:tcPr>
                <w:p w14:paraId="4A2867D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年产新型塑料装饰材料 1 万吨</w:t>
                  </w:r>
                </w:p>
              </w:tc>
              <w:tc>
                <w:tcPr>
                  <w:tcW w:w="1346" w:type="dxa"/>
                  <w:vAlign w:val="center"/>
                </w:tcPr>
                <w:p w14:paraId="0A074EC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"bookmark225"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2017</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]55 号</w:t>
                  </w:r>
                </w:p>
              </w:tc>
            </w:tr>
            <w:tr w14:paraId="5F9D8F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68A20F3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22</w:t>
                  </w:r>
                </w:p>
              </w:tc>
              <w:tc>
                <w:tcPr>
                  <w:tcW w:w="1401" w:type="dxa"/>
                  <w:vAlign w:val="center"/>
                </w:tcPr>
                <w:p w14:paraId="6396B59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韶关韶瑞铸钢有限公司</w:t>
                  </w:r>
                </w:p>
              </w:tc>
              <w:tc>
                <w:tcPr>
                  <w:tcW w:w="390" w:type="dxa"/>
                  <w:vAlign w:val="center"/>
                </w:tcPr>
                <w:p w14:paraId="6703DB7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216D087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22ACFD0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75085</w:t>
                  </w:r>
                </w:p>
              </w:tc>
              <w:tc>
                <w:tcPr>
                  <w:tcW w:w="2408" w:type="dxa"/>
                  <w:vAlign w:val="center"/>
                </w:tcPr>
                <w:p w14:paraId="4EF6E3B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年产铸钢件、铸铁件 4.1 万吨</w:t>
                  </w:r>
                </w:p>
              </w:tc>
              <w:tc>
                <w:tcPr>
                  <w:tcW w:w="1346" w:type="dxa"/>
                  <w:vAlign w:val="center"/>
                </w:tcPr>
                <w:p w14:paraId="49D0F33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乐环函[</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"bookmark226"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2011</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 163 号、乐环审 [</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"bookmark227"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2017</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]01 号、乐环审[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"bookmark228"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2018</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 19 号</w:t>
                  </w:r>
                </w:p>
              </w:tc>
            </w:tr>
            <w:tr w14:paraId="2E442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1D0B2AF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23</w:t>
                  </w:r>
                </w:p>
              </w:tc>
              <w:tc>
                <w:tcPr>
                  <w:tcW w:w="1401" w:type="dxa"/>
                  <w:vAlign w:val="center"/>
                </w:tcPr>
                <w:p w14:paraId="5622F1E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精信（乐昌）机械有限公司</w:t>
                  </w:r>
                </w:p>
              </w:tc>
              <w:tc>
                <w:tcPr>
                  <w:tcW w:w="390" w:type="dxa"/>
                  <w:vAlign w:val="center"/>
                </w:tcPr>
                <w:p w14:paraId="3D5F561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190EC37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215E3EE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16950.3</w:t>
                  </w:r>
                </w:p>
              </w:tc>
              <w:tc>
                <w:tcPr>
                  <w:tcW w:w="2408" w:type="dxa"/>
                  <w:vAlign w:val="center"/>
                </w:tcPr>
                <w:p w14:paraId="459AF8D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年产人防门配件 11250 套</w:t>
                  </w:r>
                </w:p>
              </w:tc>
              <w:tc>
                <w:tcPr>
                  <w:tcW w:w="1346" w:type="dxa"/>
                  <w:vAlign w:val="center"/>
                </w:tcPr>
                <w:p w14:paraId="57A2054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韶环乐审〔2021〕25 号</w:t>
                  </w:r>
                </w:p>
              </w:tc>
            </w:tr>
            <w:tr w14:paraId="3DC58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jc w:val="center"/>
              </w:trPr>
              <w:tc>
                <w:tcPr>
                  <w:tcW w:w="331" w:type="dxa"/>
                  <w:vAlign w:val="center"/>
                </w:tcPr>
                <w:p w14:paraId="524F865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24</w:t>
                  </w:r>
                </w:p>
              </w:tc>
              <w:tc>
                <w:tcPr>
                  <w:tcW w:w="1401" w:type="dxa"/>
                  <w:vAlign w:val="center"/>
                </w:tcPr>
                <w:p w14:paraId="75D6007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韶关高尔德防雷科技有限公</w:t>
                  </w:r>
                </w:p>
                <w:p w14:paraId="75F6F2C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司</w:t>
                  </w:r>
                </w:p>
              </w:tc>
              <w:tc>
                <w:tcPr>
                  <w:tcW w:w="390" w:type="dxa"/>
                  <w:vAlign w:val="center"/>
                </w:tcPr>
                <w:p w14:paraId="2E709D4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1611680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电气机械和器材制造业</w:t>
                  </w:r>
                </w:p>
              </w:tc>
              <w:tc>
                <w:tcPr>
                  <w:tcW w:w="809" w:type="dxa"/>
                  <w:vAlign w:val="center"/>
                </w:tcPr>
                <w:p w14:paraId="0F46F35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15561.5</w:t>
                  </w:r>
                </w:p>
              </w:tc>
              <w:tc>
                <w:tcPr>
                  <w:tcW w:w="2408" w:type="dxa"/>
                  <w:vAlign w:val="center"/>
                </w:tcPr>
                <w:p w14:paraId="7C2EB9E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年产防雷电子器件 10 万套、3 万台移动通信基站电源、 480</w:t>
                  </w:r>
                </w:p>
                <w:p w14:paraId="0EB8765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万 AH 铁锂电池</w:t>
                  </w:r>
                </w:p>
              </w:tc>
              <w:tc>
                <w:tcPr>
                  <w:tcW w:w="1346" w:type="dxa"/>
                  <w:vAlign w:val="center"/>
                </w:tcPr>
                <w:p w14:paraId="7162FED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"bookmark229"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2015</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]240 号、乐环审〔2020〕12 号</w:t>
                  </w:r>
                </w:p>
              </w:tc>
            </w:tr>
            <w:tr w14:paraId="2B5E9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7CA8499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25</w:t>
                  </w:r>
                </w:p>
              </w:tc>
              <w:tc>
                <w:tcPr>
                  <w:tcW w:w="1401" w:type="dxa"/>
                  <w:vAlign w:val="center"/>
                </w:tcPr>
                <w:p w14:paraId="6D243B7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韶关博尔兹阀门工业有限公</w:t>
                  </w:r>
                </w:p>
                <w:p w14:paraId="0FA3BA6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司</w:t>
                  </w:r>
                </w:p>
              </w:tc>
              <w:tc>
                <w:tcPr>
                  <w:tcW w:w="390" w:type="dxa"/>
                  <w:vAlign w:val="center"/>
                </w:tcPr>
                <w:p w14:paraId="5FFCB16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709619B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75B940E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20198.7</w:t>
                  </w:r>
                </w:p>
              </w:tc>
              <w:tc>
                <w:tcPr>
                  <w:tcW w:w="2408" w:type="dxa"/>
                  <w:vAlign w:val="center"/>
                </w:tcPr>
                <w:p w14:paraId="2DEAA64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年产阀门 5000 件、铸钢件 1.2 万件、铸铁件2.3 万件、机械</w:t>
                  </w:r>
                </w:p>
                <w:p w14:paraId="3425F60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配件 1 万件</w:t>
                  </w:r>
                </w:p>
              </w:tc>
              <w:tc>
                <w:tcPr>
                  <w:tcW w:w="1346" w:type="dxa"/>
                  <w:vAlign w:val="center"/>
                </w:tcPr>
                <w:p w14:paraId="741A7E2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乐环函[</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"bookmark230"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2009</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]94 号、乐环审〔2018〕</w:t>
                  </w:r>
                </w:p>
                <w:p w14:paraId="4428D1B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65 号</w:t>
                  </w:r>
                </w:p>
              </w:tc>
            </w:tr>
            <w:tr w14:paraId="27243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486F901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26</w:t>
                  </w:r>
                </w:p>
              </w:tc>
              <w:tc>
                <w:tcPr>
                  <w:tcW w:w="1401" w:type="dxa"/>
                  <w:vAlign w:val="center"/>
                </w:tcPr>
                <w:p w14:paraId="01BDAB3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广东科拓电子元件有限公司</w:t>
                  </w:r>
                </w:p>
              </w:tc>
              <w:tc>
                <w:tcPr>
                  <w:tcW w:w="390" w:type="dxa"/>
                  <w:vAlign w:val="center"/>
                </w:tcPr>
                <w:p w14:paraId="57103FB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0259659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电气机械和器材制造业</w:t>
                  </w:r>
                </w:p>
              </w:tc>
              <w:tc>
                <w:tcPr>
                  <w:tcW w:w="809" w:type="dxa"/>
                  <w:vAlign w:val="center"/>
                </w:tcPr>
                <w:p w14:paraId="683F498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1720.83</w:t>
                  </w:r>
                </w:p>
              </w:tc>
              <w:tc>
                <w:tcPr>
                  <w:tcW w:w="2408" w:type="dxa"/>
                  <w:vAlign w:val="center"/>
                </w:tcPr>
                <w:p w14:paraId="2BFCDBB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年产电容、电阻器 8 亿只</w:t>
                  </w:r>
                </w:p>
              </w:tc>
              <w:tc>
                <w:tcPr>
                  <w:tcW w:w="1346" w:type="dxa"/>
                  <w:vAlign w:val="center"/>
                </w:tcPr>
                <w:p w14:paraId="3E6E2F8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韶环乐审〔2021〕13 号</w:t>
                  </w:r>
                </w:p>
              </w:tc>
            </w:tr>
            <w:tr w14:paraId="7BCF5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020A70A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27</w:t>
                  </w:r>
                </w:p>
              </w:tc>
              <w:tc>
                <w:tcPr>
                  <w:tcW w:w="1401" w:type="dxa"/>
                  <w:vAlign w:val="center"/>
                </w:tcPr>
                <w:p w14:paraId="2AC19F2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宇创箱包制品（韶关市乐昌）</w:t>
                  </w:r>
                </w:p>
                <w:p w14:paraId="3ACF9BE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有限公司</w:t>
                  </w:r>
                </w:p>
              </w:tc>
              <w:tc>
                <w:tcPr>
                  <w:tcW w:w="390" w:type="dxa"/>
                  <w:vAlign w:val="center"/>
                </w:tcPr>
                <w:p w14:paraId="291AA4A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2375FA9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皮革、毛皮、羽毛及其制品和制鞋业</w:t>
                  </w:r>
                </w:p>
              </w:tc>
              <w:tc>
                <w:tcPr>
                  <w:tcW w:w="809" w:type="dxa"/>
                  <w:vAlign w:val="center"/>
                </w:tcPr>
                <w:p w14:paraId="4DF98E6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1200</w:t>
                  </w:r>
                </w:p>
              </w:tc>
              <w:tc>
                <w:tcPr>
                  <w:tcW w:w="2408" w:type="dxa"/>
                  <w:vAlign w:val="center"/>
                </w:tcPr>
                <w:p w14:paraId="3DF0972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年产钱包 30 万个，手袋 50 万个</w:t>
                  </w:r>
                </w:p>
              </w:tc>
              <w:tc>
                <w:tcPr>
                  <w:tcW w:w="1346" w:type="dxa"/>
                  <w:vAlign w:val="center"/>
                </w:tcPr>
                <w:p w14:paraId="2D79BF3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乐环审〔2020〕09 号</w:t>
                  </w:r>
                </w:p>
              </w:tc>
            </w:tr>
            <w:tr w14:paraId="57D74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399783E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28</w:t>
                  </w:r>
                </w:p>
              </w:tc>
              <w:tc>
                <w:tcPr>
                  <w:tcW w:w="1401" w:type="dxa"/>
                  <w:vAlign w:val="center"/>
                </w:tcPr>
                <w:p w14:paraId="194E9DD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广东启轮金属制品有限公司</w:t>
                  </w:r>
                </w:p>
              </w:tc>
              <w:tc>
                <w:tcPr>
                  <w:tcW w:w="390" w:type="dxa"/>
                  <w:vAlign w:val="center"/>
                </w:tcPr>
                <w:p w14:paraId="7EA5403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7295179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72D0716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10679.3</w:t>
                  </w:r>
                </w:p>
              </w:tc>
              <w:tc>
                <w:tcPr>
                  <w:tcW w:w="2408" w:type="dxa"/>
                  <w:vAlign w:val="center"/>
                </w:tcPr>
                <w:p w14:paraId="4A9F835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年产脚轮 100 万个</w:t>
                  </w:r>
                </w:p>
              </w:tc>
              <w:tc>
                <w:tcPr>
                  <w:tcW w:w="1346" w:type="dxa"/>
                  <w:vAlign w:val="center"/>
                </w:tcPr>
                <w:p w14:paraId="3BE82DA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韶环乐审〔2021〕22 号、韶环乐审〔2025〕09 号</w:t>
                  </w:r>
                </w:p>
              </w:tc>
            </w:tr>
            <w:tr w14:paraId="1B84B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jc w:val="center"/>
              </w:trPr>
              <w:tc>
                <w:tcPr>
                  <w:tcW w:w="331" w:type="dxa"/>
                  <w:vAlign w:val="center"/>
                </w:tcPr>
                <w:p w14:paraId="76A1E5D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29</w:t>
                  </w:r>
                </w:p>
              </w:tc>
              <w:tc>
                <w:tcPr>
                  <w:tcW w:w="1401" w:type="dxa"/>
                  <w:vAlign w:val="center"/>
                </w:tcPr>
                <w:p w14:paraId="3F43FF0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深圳艾尔康电子元器件有限公司乐昌分公司</w:t>
                  </w:r>
                </w:p>
              </w:tc>
              <w:tc>
                <w:tcPr>
                  <w:tcW w:w="390" w:type="dxa"/>
                  <w:vAlign w:val="center"/>
                </w:tcPr>
                <w:p w14:paraId="1F79FE4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5C706B1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计算机、通信和其他电子设备制造业</w:t>
                  </w:r>
                </w:p>
              </w:tc>
              <w:tc>
                <w:tcPr>
                  <w:tcW w:w="809" w:type="dxa"/>
                  <w:vAlign w:val="center"/>
                </w:tcPr>
                <w:p w14:paraId="3408180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20006.9</w:t>
                  </w:r>
                </w:p>
              </w:tc>
              <w:tc>
                <w:tcPr>
                  <w:tcW w:w="2408" w:type="dxa"/>
                  <w:vAlign w:val="center"/>
                </w:tcPr>
                <w:p w14:paraId="13A80ED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年产探针 422 万、接线端子及其零部件 36000 万、感应器及其零部件 200 万、接插件及其零部件 2500 万、模具 50 套、五金产品 30000 万、塑胶配件 30000 万、自动化装备 50 台</w:t>
                  </w:r>
                </w:p>
              </w:tc>
              <w:tc>
                <w:tcPr>
                  <w:tcW w:w="1346" w:type="dxa"/>
                  <w:vAlign w:val="center"/>
                </w:tcPr>
                <w:p w14:paraId="1AD71F3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"bookmark231"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2018</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]32 号</w:t>
                  </w:r>
                </w:p>
              </w:tc>
            </w:tr>
            <w:tr w14:paraId="1DA5D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3D465ED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30</w:t>
                  </w:r>
                </w:p>
              </w:tc>
              <w:tc>
                <w:tcPr>
                  <w:tcW w:w="1401" w:type="dxa"/>
                  <w:vAlign w:val="center"/>
                </w:tcPr>
                <w:p w14:paraId="791320E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乐昌市缔恒科技有限公司</w:t>
                  </w:r>
                </w:p>
              </w:tc>
              <w:tc>
                <w:tcPr>
                  <w:tcW w:w="390" w:type="dxa"/>
                  <w:vAlign w:val="center"/>
                </w:tcPr>
                <w:p w14:paraId="4E6A5A2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768FAC9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通用设备制造业</w:t>
                  </w:r>
                </w:p>
              </w:tc>
              <w:tc>
                <w:tcPr>
                  <w:tcW w:w="809" w:type="dxa"/>
                  <w:vAlign w:val="center"/>
                </w:tcPr>
                <w:p w14:paraId="7AF82B3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5000</w:t>
                  </w:r>
                </w:p>
              </w:tc>
              <w:tc>
                <w:tcPr>
                  <w:tcW w:w="2408" w:type="dxa"/>
                  <w:vAlign w:val="center"/>
                </w:tcPr>
                <w:p w14:paraId="3BC562F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年产金刚石复合片 50 万片</w:t>
                  </w:r>
                </w:p>
              </w:tc>
              <w:tc>
                <w:tcPr>
                  <w:tcW w:w="1346" w:type="dxa"/>
                  <w:vAlign w:val="center"/>
                </w:tcPr>
                <w:p w14:paraId="2694878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乐环函[</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"bookmark232"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2009</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 16 号</w:t>
                  </w:r>
                </w:p>
              </w:tc>
            </w:tr>
            <w:tr w14:paraId="2DAF9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jc w:val="center"/>
              </w:trPr>
              <w:tc>
                <w:tcPr>
                  <w:tcW w:w="331" w:type="dxa"/>
                  <w:vAlign w:val="center"/>
                </w:tcPr>
                <w:p w14:paraId="67F3E84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31</w:t>
                  </w:r>
                </w:p>
              </w:tc>
              <w:tc>
                <w:tcPr>
                  <w:tcW w:w="1401" w:type="dxa"/>
                  <w:vAlign w:val="center"/>
                </w:tcPr>
                <w:p w14:paraId="0570118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乐昌市盛昌钢构有限公司</w:t>
                  </w:r>
                </w:p>
              </w:tc>
              <w:tc>
                <w:tcPr>
                  <w:tcW w:w="390" w:type="dxa"/>
                  <w:vAlign w:val="center"/>
                </w:tcPr>
                <w:p w14:paraId="3A6901C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4E9E2A3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6B04CF2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9000</w:t>
                  </w:r>
                </w:p>
              </w:tc>
              <w:tc>
                <w:tcPr>
                  <w:tcW w:w="2408" w:type="dxa"/>
                  <w:vAlign w:val="center"/>
                </w:tcPr>
                <w:p w14:paraId="6AC1399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年加工 500 吨钢结构</w:t>
                  </w:r>
                </w:p>
              </w:tc>
              <w:tc>
                <w:tcPr>
                  <w:tcW w:w="1346" w:type="dxa"/>
                  <w:vAlign w:val="center"/>
                </w:tcPr>
                <w:p w14:paraId="6E41046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乐环函[</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"bookmark233"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2011</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]80 号</w:t>
                  </w:r>
                </w:p>
              </w:tc>
            </w:tr>
            <w:tr w14:paraId="2142B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jc w:val="center"/>
              </w:trPr>
              <w:tc>
                <w:tcPr>
                  <w:tcW w:w="331" w:type="dxa"/>
                  <w:vAlign w:val="center"/>
                </w:tcPr>
                <w:p w14:paraId="29F84DC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32</w:t>
                  </w:r>
                </w:p>
              </w:tc>
              <w:tc>
                <w:tcPr>
                  <w:tcW w:w="1401" w:type="dxa"/>
                  <w:vAlign w:val="center"/>
                </w:tcPr>
                <w:p w14:paraId="44A70F4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乐昌市安莉琪服饰有限公司</w:t>
                  </w:r>
                </w:p>
              </w:tc>
              <w:tc>
                <w:tcPr>
                  <w:tcW w:w="390" w:type="dxa"/>
                  <w:vAlign w:val="center"/>
                </w:tcPr>
                <w:p w14:paraId="32502B8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57378FF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纺织服装、服饰业</w:t>
                  </w:r>
                </w:p>
              </w:tc>
              <w:tc>
                <w:tcPr>
                  <w:tcW w:w="809" w:type="dxa"/>
                  <w:vAlign w:val="center"/>
                </w:tcPr>
                <w:p w14:paraId="0221CC4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13164.82</w:t>
                  </w:r>
                </w:p>
              </w:tc>
              <w:tc>
                <w:tcPr>
                  <w:tcW w:w="2408" w:type="dxa"/>
                  <w:vAlign w:val="center"/>
                </w:tcPr>
                <w:p w14:paraId="5C52374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 600 万件服装</w:t>
                  </w:r>
                </w:p>
              </w:tc>
              <w:tc>
                <w:tcPr>
                  <w:tcW w:w="1346" w:type="dxa"/>
                  <w:vAlign w:val="center"/>
                </w:tcPr>
                <w:p w14:paraId="4D89E2B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"bookmark234"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2018</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]61 号</w:t>
                  </w:r>
                </w:p>
              </w:tc>
            </w:tr>
            <w:tr w14:paraId="78881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7740CD5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33</w:t>
                  </w:r>
                </w:p>
              </w:tc>
              <w:tc>
                <w:tcPr>
                  <w:tcW w:w="1401" w:type="dxa"/>
                  <w:vAlign w:val="center"/>
                </w:tcPr>
                <w:p w14:paraId="3797240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乐昌市宏泰机械制造有限公</w:t>
                  </w:r>
                </w:p>
                <w:p w14:paraId="715B447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司</w:t>
                  </w:r>
                </w:p>
              </w:tc>
              <w:tc>
                <w:tcPr>
                  <w:tcW w:w="390" w:type="dxa"/>
                  <w:vAlign w:val="center"/>
                </w:tcPr>
                <w:p w14:paraId="4BE658E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220289B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4BF7E60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17320</w:t>
                  </w:r>
                </w:p>
              </w:tc>
              <w:tc>
                <w:tcPr>
                  <w:tcW w:w="2408" w:type="dxa"/>
                  <w:vAlign w:val="center"/>
                </w:tcPr>
                <w:p w14:paraId="441F24F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年产铸钢件 1.5 万吨、铸铁件 5000 吨</w:t>
                  </w:r>
                </w:p>
              </w:tc>
              <w:tc>
                <w:tcPr>
                  <w:tcW w:w="1346" w:type="dxa"/>
                  <w:vAlign w:val="center"/>
                </w:tcPr>
                <w:p w14:paraId="6DA65EB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乐环函[</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"bookmark235"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2009</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]36 号、乐环审〔2019〕</w:t>
                  </w:r>
                </w:p>
                <w:p w14:paraId="26D2085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43 号</w:t>
                  </w:r>
                </w:p>
              </w:tc>
            </w:tr>
            <w:tr w14:paraId="7950F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0" w:hRule="atLeast"/>
                <w:jc w:val="center"/>
              </w:trPr>
              <w:tc>
                <w:tcPr>
                  <w:tcW w:w="331" w:type="dxa"/>
                  <w:vAlign w:val="center"/>
                </w:tcPr>
                <w:p w14:paraId="749346F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34</w:t>
                  </w:r>
                </w:p>
              </w:tc>
              <w:tc>
                <w:tcPr>
                  <w:tcW w:w="1401" w:type="dxa"/>
                  <w:vAlign w:val="center"/>
                </w:tcPr>
                <w:p w14:paraId="567CA7A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乐昌市特安消防器材有限公</w:t>
                  </w:r>
                </w:p>
                <w:p w14:paraId="5ABABCA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司</w:t>
                  </w:r>
                </w:p>
              </w:tc>
              <w:tc>
                <w:tcPr>
                  <w:tcW w:w="390" w:type="dxa"/>
                  <w:vAlign w:val="center"/>
                </w:tcPr>
                <w:p w14:paraId="28BFD57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63B0735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专用设备制造业</w:t>
                  </w:r>
                </w:p>
              </w:tc>
              <w:tc>
                <w:tcPr>
                  <w:tcW w:w="809" w:type="dxa"/>
                  <w:vAlign w:val="center"/>
                </w:tcPr>
                <w:p w14:paraId="0E15FAB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1283.1</w:t>
                  </w:r>
                </w:p>
              </w:tc>
              <w:tc>
                <w:tcPr>
                  <w:tcW w:w="2408" w:type="dxa"/>
                  <w:vAlign w:val="center"/>
                </w:tcPr>
                <w:p w14:paraId="6F2F81D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年产过滤式消防自救呼吸器 60 万件（含霍加拉特剂生产 600</w:t>
                  </w:r>
                </w:p>
                <w:p w14:paraId="512FDE3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吨），逃生缓降器 3000 套，急逃生绳 3000 条，消防防护服2</w:t>
                  </w:r>
                </w:p>
                <w:p w14:paraId="5B21B29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万套，家庭应急供氧组合装备 1500 台，灭火毯 3000 张，箔</w:t>
                  </w:r>
                </w:p>
                <w:p w14:paraId="7094A0E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隔热服 3000 套，以及应急包、应急箱 6000 套等</w:t>
                  </w:r>
                </w:p>
              </w:tc>
              <w:tc>
                <w:tcPr>
                  <w:tcW w:w="1346" w:type="dxa"/>
                  <w:vAlign w:val="center"/>
                </w:tcPr>
                <w:p w14:paraId="5496C75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"bookmark236"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2017</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]79 号</w:t>
                  </w:r>
                </w:p>
              </w:tc>
            </w:tr>
            <w:tr w14:paraId="472F0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jc w:val="center"/>
              </w:trPr>
              <w:tc>
                <w:tcPr>
                  <w:tcW w:w="331" w:type="dxa"/>
                  <w:vAlign w:val="center"/>
                </w:tcPr>
                <w:p w14:paraId="5D69B96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35</w:t>
                  </w:r>
                </w:p>
              </w:tc>
              <w:tc>
                <w:tcPr>
                  <w:tcW w:w="1401" w:type="dxa"/>
                  <w:vAlign w:val="center"/>
                </w:tcPr>
                <w:p w14:paraId="5122119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乐昌市同路单采血浆有限公</w:t>
                  </w:r>
                </w:p>
                <w:p w14:paraId="530C3CB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司</w:t>
                  </w:r>
                </w:p>
              </w:tc>
              <w:tc>
                <w:tcPr>
                  <w:tcW w:w="390" w:type="dxa"/>
                  <w:vAlign w:val="center"/>
                </w:tcPr>
                <w:p w14:paraId="100FFD6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12889D3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卫生</w:t>
                  </w:r>
                </w:p>
              </w:tc>
              <w:tc>
                <w:tcPr>
                  <w:tcW w:w="809" w:type="dxa"/>
                  <w:vAlign w:val="center"/>
                </w:tcPr>
                <w:p w14:paraId="5C69747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9379</w:t>
                  </w:r>
                </w:p>
              </w:tc>
              <w:tc>
                <w:tcPr>
                  <w:tcW w:w="2408" w:type="dxa"/>
                  <w:vAlign w:val="center"/>
                </w:tcPr>
                <w:p w14:paraId="10A6F48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采浆量为 40t/a</w:t>
                  </w:r>
                </w:p>
              </w:tc>
              <w:tc>
                <w:tcPr>
                  <w:tcW w:w="1346" w:type="dxa"/>
                  <w:vAlign w:val="center"/>
                </w:tcPr>
                <w:p w14:paraId="47A23FF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"bookmark237"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2016</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]20 号</w:t>
                  </w:r>
                </w:p>
              </w:tc>
            </w:tr>
            <w:tr w14:paraId="49274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jc w:val="center"/>
              </w:trPr>
              <w:tc>
                <w:tcPr>
                  <w:tcW w:w="331" w:type="dxa"/>
                  <w:vAlign w:val="center"/>
                </w:tcPr>
                <w:p w14:paraId="39BA9B2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36</w:t>
                  </w:r>
                </w:p>
              </w:tc>
              <w:tc>
                <w:tcPr>
                  <w:tcW w:w="1401" w:type="dxa"/>
                  <w:vAlign w:val="center"/>
                </w:tcPr>
                <w:p w14:paraId="4019244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韶关鑫瑞智能装备有限公司</w:t>
                  </w:r>
                </w:p>
              </w:tc>
              <w:tc>
                <w:tcPr>
                  <w:tcW w:w="390" w:type="dxa"/>
                  <w:vAlign w:val="center"/>
                </w:tcPr>
                <w:p w14:paraId="043EC0D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2FD4E38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专用设备制造业</w:t>
                  </w:r>
                </w:p>
              </w:tc>
              <w:tc>
                <w:tcPr>
                  <w:tcW w:w="809" w:type="dxa"/>
                  <w:vAlign w:val="center"/>
                </w:tcPr>
                <w:p w14:paraId="72365DB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17693</w:t>
                  </w:r>
                </w:p>
              </w:tc>
              <w:tc>
                <w:tcPr>
                  <w:tcW w:w="2408" w:type="dxa"/>
                  <w:vAlign w:val="center"/>
                </w:tcPr>
                <w:p w14:paraId="4F94CCA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年产破碎、筛分单机设备，移动式破碎筛分装备和模块化装</w:t>
                  </w:r>
                </w:p>
                <w:p w14:paraId="1E0688C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备 803 台</w:t>
                  </w:r>
                </w:p>
              </w:tc>
              <w:tc>
                <w:tcPr>
                  <w:tcW w:w="1346" w:type="dxa"/>
                  <w:vAlign w:val="center"/>
                </w:tcPr>
                <w:p w14:paraId="141E9A8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乐环审〔2019〕25 号</w:t>
                  </w:r>
                </w:p>
              </w:tc>
            </w:tr>
            <w:tr w14:paraId="7BA25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28070AE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37</w:t>
                  </w:r>
                </w:p>
              </w:tc>
              <w:tc>
                <w:tcPr>
                  <w:tcW w:w="1401" w:type="dxa"/>
                  <w:vAlign w:val="center"/>
                </w:tcPr>
                <w:p w14:paraId="1538E63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韶关龙督装饰材料有限公司</w:t>
                  </w:r>
                </w:p>
              </w:tc>
              <w:tc>
                <w:tcPr>
                  <w:tcW w:w="390" w:type="dxa"/>
                  <w:vAlign w:val="center"/>
                </w:tcPr>
                <w:p w14:paraId="48A9EFA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3B80B6B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18E4B5C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33812.1</w:t>
                  </w:r>
                </w:p>
              </w:tc>
              <w:tc>
                <w:tcPr>
                  <w:tcW w:w="2408" w:type="dxa"/>
                  <w:vAlign w:val="center"/>
                </w:tcPr>
                <w:p w14:paraId="0267B5A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年产彩涂铝卷 400 万平方米，铝幕墙板、铝天花板 100 万平</w:t>
                  </w:r>
                </w:p>
                <w:p w14:paraId="10651AE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方米</w:t>
                  </w:r>
                </w:p>
              </w:tc>
              <w:tc>
                <w:tcPr>
                  <w:tcW w:w="1346" w:type="dxa"/>
                  <w:vAlign w:val="center"/>
                </w:tcPr>
                <w:p w14:paraId="1DCC195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"bookmark238"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2018</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]50 号</w:t>
                  </w:r>
                </w:p>
              </w:tc>
            </w:tr>
            <w:tr w14:paraId="3B247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24213A1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38</w:t>
                  </w:r>
                </w:p>
              </w:tc>
              <w:tc>
                <w:tcPr>
                  <w:tcW w:w="1401" w:type="dxa"/>
                  <w:vAlign w:val="center"/>
                </w:tcPr>
                <w:p w14:paraId="1BEF725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乐昌市胜兴新材料有限公司</w:t>
                  </w:r>
                </w:p>
              </w:tc>
              <w:tc>
                <w:tcPr>
                  <w:tcW w:w="390" w:type="dxa"/>
                  <w:vAlign w:val="center"/>
                </w:tcPr>
                <w:p w14:paraId="52ADE4C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18952C3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纺织业</w:t>
                  </w:r>
                </w:p>
              </w:tc>
              <w:tc>
                <w:tcPr>
                  <w:tcW w:w="809" w:type="dxa"/>
                  <w:vAlign w:val="center"/>
                </w:tcPr>
                <w:p w14:paraId="1989A98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5760</w:t>
                  </w:r>
                </w:p>
              </w:tc>
              <w:tc>
                <w:tcPr>
                  <w:tcW w:w="2408" w:type="dxa"/>
                  <w:vAlign w:val="center"/>
                </w:tcPr>
                <w:p w14:paraId="2F12D1B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年产衬布 6000 万米</w:t>
                  </w:r>
                </w:p>
              </w:tc>
              <w:tc>
                <w:tcPr>
                  <w:tcW w:w="1346" w:type="dxa"/>
                  <w:vAlign w:val="center"/>
                </w:tcPr>
                <w:p w14:paraId="76F04FE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"bookmark239"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2023</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 18 号</w:t>
                  </w:r>
                </w:p>
              </w:tc>
            </w:tr>
            <w:tr w14:paraId="132B6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73A278B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39</w:t>
                  </w:r>
                </w:p>
              </w:tc>
              <w:tc>
                <w:tcPr>
                  <w:tcW w:w="1401" w:type="dxa"/>
                  <w:vAlign w:val="center"/>
                </w:tcPr>
                <w:p w14:paraId="38450A1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乐昌市鸿鑫机械设备有限公</w:t>
                  </w:r>
                </w:p>
                <w:p w14:paraId="7F947DC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司</w:t>
                  </w:r>
                </w:p>
              </w:tc>
              <w:tc>
                <w:tcPr>
                  <w:tcW w:w="390" w:type="dxa"/>
                  <w:vAlign w:val="center"/>
                </w:tcPr>
                <w:p w14:paraId="3175C68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626B680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通用设备制造业</w:t>
                  </w:r>
                </w:p>
              </w:tc>
              <w:tc>
                <w:tcPr>
                  <w:tcW w:w="809" w:type="dxa"/>
                  <w:vAlign w:val="center"/>
                </w:tcPr>
                <w:p w14:paraId="5E9B63D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700</w:t>
                  </w:r>
                </w:p>
              </w:tc>
              <w:tc>
                <w:tcPr>
                  <w:tcW w:w="2408" w:type="dxa"/>
                  <w:vAlign w:val="center"/>
                </w:tcPr>
                <w:p w14:paraId="6FAAC64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年产液压元件 1000 套</w:t>
                  </w:r>
                </w:p>
              </w:tc>
              <w:tc>
                <w:tcPr>
                  <w:tcW w:w="1346" w:type="dxa"/>
                  <w:vAlign w:val="center"/>
                </w:tcPr>
                <w:p w14:paraId="111C59E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乐环审〔2019〕38 号</w:t>
                  </w:r>
                </w:p>
              </w:tc>
            </w:tr>
            <w:tr w14:paraId="4A638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0060BB8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40</w:t>
                  </w:r>
                </w:p>
              </w:tc>
              <w:tc>
                <w:tcPr>
                  <w:tcW w:w="1401" w:type="dxa"/>
                  <w:vAlign w:val="center"/>
                </w:tcPr>
                <w:p w14:paraId="7AF3904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广东柏创智能装备有限公司</w:t>
                  </w:r>
                </w:p>
              </w:tc>
              <w:tc>
                <w:tcPr>
                  <w:tcW w:w="390" w:type="dxa"/>
                  <w:vAlign w:val="center"/>
                </w:tcPr>
                <w:p w14:paraId="5E3D4A5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44A0DA4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电气机械和器材制造业</w:t>
                  </w:r>
                </w:p>
              </w:tc>
              <w:tc>
                <w:tcPr>
                  <w:tcW w:w="809" w:type="dxa"/>
                  <w:vAlign w:val="center"/>
                </w:tcPr>
                <w:p w14:paraId="6790221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23334.5</w:t>
                  </w:r>
                </w:p>
              </w:tc>
              <w:tc>
                <w:tcPr>
                  <w:tcW w:w="2408" w:type="dxa"/>
                  <w:vAlign w:val="center"/>
                </w:tcPr>
                <w:p w14:paraId="576938B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年产单晶炉热交换器 1.2 万套、腔体部件 200 套、晶棒相关</w:t>
                  </w:r>
                </w:p>
                <w:p w14:paraId="1AF9561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自动化设备 200 套</w:t>
                  </w:r>
                </w:p>
              </w:tc>
              <w:tc>
                <w:tcPr>
                  <w:tcW w:w="1346" w:type="dxa"/>
                  <w:vAlign w:val="center"/>
                </w:tcPr>
                <w:p w14:paraId="119B54C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韶环乐审〔2023〕33 号</w:t>
                  </w:r>
                </w:p>
              </w:tc>
            </w:tr>
            <w:tr w14:paraId="4BAA0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71C3739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41</w:t>
                  </w:r>
                </w:p>
              </w:tc>
              <w:tc>
                <w:tcPr>
                  <w:tcW w:w="1401" w:type="dxa"/>
                  <w:vAlign w:val="center"/>
                </w:tcPr>
                <w:p w14:paraId="7FB62F6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广东中衡能源设备有限公司</w:t>
                  </w:r>
                </w:p>
              </w:tc>
              <w:tc>
                <w:tcPr>
                  <w:tcW w:w="390" w:type="dxa"/>
                  <w:vAlign w:val="center"/>
                </w:tcPr>
                <w:p w14:paraId="59DB846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2F8B71C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354C552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13940.57</w:t>
                  </w:r>
                </w:p>
              </w:tc>
              <w:tc>
                <w:tcPr>
                  <w:tcW w:w="2408" w:type="dxa"/>
                  <w:vAlign w:val="center"/>
                </w:tcPr>
                <w:p w14:paraId="0D477AE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年产移动通信基站设备 3 万套、移动通信机柜 2 万套</w:t>
                  </w:r>
                </w:p>
              </w:tc>
              <w:tc>
                <w:tcPr>
                  <w:tcW w:w="1346" w:type="dxa"/>
                  <w:vAlign w:val="center"/>
                </w:tcPr>
                <w:p w14:paraId="5EB734B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韶环乐审〔2022〕12 号</w:t>
                  </w:r>
                </w:p>
              </w:tc>
            </w:tr>
            <w:tr w14:paraId="5A384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4" w:hRule="atLeast"/>
                <w:jc w:val="center"/>
              </w:trPr>
              <w:tc>
                <w:tcPr>
                  <w:tcW w:w="331" w:type="dxa"/>
                  <w:vAlign w:val="center"/>
                </w:tcPr>
                <w:p w14:paraId="01E570C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42</w:t>
                  </w:r>
                </w:p>
              </w:tc>
              <w:tc>
                <w:tcPr>
                  <w:tcW w:w="1401" w:type="dxa"/>
                  <w:vAlign w:val="center"/>
                </w:tcPr>
                <w:p w14:paraId="697E882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韶关欧亚特电子制品有限公</w:t>
                  </w:r>
                </w:p>
                <w:p w14:paraId="7D6F954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司</w:t>
                  </w:r>
                </w:p>
              </w:tc>
              <w:tc>
                <w:tcPr>
                  <w:tcW w:w="390" w:type="dxa"/>
                  <w:vAlign w:val="center"/>
                </w:tcPr>
                <w:p w14:paraId="42E790A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3139AB1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计算机、通信和其</w:t>
                  </w:r>
                </w:p>
                <w:p w14:paraId="0ED8208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他电子设备制造</w:t>
                  </w:r>
                </w:p>
                <w:p w14:paraId="2F3EECE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业、电气机械和器</w:t>
                  </w:r>
                </w:p>
                <w:p w14:paraId="599D4AD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材制造业、橡胶和</w:t>
                  </w:r>
                </w:p>
                <w:p w14:paraId="78BD87E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塑料制品业</w:t>
                  </w:r>
                </w:p>
              </w:tc>
              <w:tc>
                <w:tcPr>
                  <w:tcW w:w="809" w:type="dxa"/>
                  <w:vAlign w:val="center"/>
                </w:tcPr>
                <w:p w14:paraId="7B3BAE4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18664</w:t>
                  </w:r>
                </w:p>
              </w:tc>
              <w:tc>
                <w:tcPr>
                  <w:tcW w:w="2408" w:type="dxa"/>
                  <w:vAlign w:val="center"/>
                </w:tcPr>
                <w:p w14:paraId="35B12B1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 1000 万支热熔胶枪及 1000 万根插头线、3000 万条热熔</w:t>
                  </w:r>
                </w:p>
                <w:p w14:paraId="56E3AA1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胶条</w:t>
                  </w:r>
                </w:p>
              </w:tc>
              <w:tc>
                <w:tcPr>
                  <w:tcW w:w="1346" w:type="dxa"/>
                  <w:vAlign w:val="center"/>
                </w:tcPr>
                <w:p w14:paraId="4CE9CE2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乐环函[</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"bookmark240"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2011</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]79 号、乐环审</w:t>
                  </w:r>
                </w:p>
                <w:p w14:paraId="7A83F22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"bookmark241"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2018</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]09 号、乐环审[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"bookmark241"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2018</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]52 号、</w:t>
                  </w:r>
                </w:p>
                <w:p w14:paraId="72F7E5C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乐环审〔2020〕05 号</w:t>
                  </w:r>
                </w:p>
              </w:tc>
            </w:tr>
            <w:tr w14:paraId="1FA90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609D5F7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43</w:t>
                  </w:r>
                </w:p>
              </w:tc>
              <w:tc>
                <w:tcPr>
                  <w:tcW w:w="1401" w:type="dxa"/>
                  <w:vAlign w:val="center"/>
                </w:tcPr>
                <w:p w14:paraId="6FE3EFA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德尔安科技（广东）有限公司</w:t>
                  </w:r>
                </w:p>
              </w:tc>
              <w:tc>
                <w:tcPr>
                  <w:tcW w:w="390" w:type="dxa"/>
                  <w:vAlign w:val="center"/>
                </w:tcPr>
                <w:p w14:paraId="7D0740C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248EBC6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专用设备制造业</w:t>
                  </w:r>
                </w:p>
              </w:tc>
              <w:tc>
                <w:tcPr>
                  <w:tcW w:w="809" w:type="dxa"/>
                  <w:vAlign w:val="center"/>
                </w:tcPr>
                <w:p w14:paraId="4E7D9C8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27672.2</w:t>
                  </w:r>
                </w:p>
              </w:tc>
              <w:tc>
                <w:tcPr>
                  <w:tcW w:w="2408" w:type="dxa"/>
                  <w:vAlign w:val="center"/>
                </w:tcPr>
                <w:p w14:paraId="411527E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年产过滤式消防自救呼吸器 400 万具，水基型灭火器 100 万具，催化剂 600 吨和水系灭火剂2400 吨等</w:t>
                  </w:r>
                </w:p>
              </w:tc>
              <w:tc>
                <w:tcPr>
                  <w:tcW w:w="1346" w:type="dxa"/>
                  <w:vAlign w:val="center"/>
                </w:tcPr>
                <w:p w14:paraId="0DCE8D0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韶环乐审〔2021〕23 号</w:t>
                  </w:r>
                </w:p>
              </w:tc>
            </w:tr>
            <w:tr w14:paraId="56011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001B6F5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44</w:t>
                  </w:r>
                </w:p>
              </w:tc>
              <w:tc>
                <w:tcPr>
                  <w:tcW w:w="1401" w:type="dxa"/>
                  <w:vAlign w:val="center"/>
                </w:tcPr>
                <w:p w14:paraId="5BD1B54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广东东田实业有限公司</w:t>
                  </w:r>
                </w:p>
              </w:tc>
              <w:tc>
                <w:tcPr>
                  <w:tcW w:w="390" w:type="dxa"/>
                  <w:vAlign w:val="center"/>
                </w:tcPr>
                <w:p w14:paraId="2810D31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4B19B38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电气机械和器材制造业</w:t>
                  </w:r>
                </w:p>
              </w:tc>
              <w:tc>
                <w:tcPr>
                  <w:tcW w:w="809" w:type="dxa"/>
                  <w:vAlign w:val="center"/>
                </w:tcPr>
                <w:p w14:paraId="4A2EEE1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1557.48</w:t>
                  </w:r>
                </w:p>
              </w:tc>
              <w:tc>
                <w:tcPr>
                  <w:tcW w:w="2408" w:type="dxa"/>
                  <w:vAlign w:val="center"/>
                </w:tcPr>
                <w:p w14:paraId="45A6A5E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年产移动通信基站电源钣金件 5 万套</w:t>
                  </w:r>
                </w:p>
              </w:tc>
              <w:tc>
                <w:tcPr>
                  <w:tcW w:w="1346" w:type="dxa"/>
                  <w:vAlign w:val="center"/>
                </w:tcPr>
                <w:p w14:paraId="6E5A0E6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乐环审〔2020〕27 号</w:t>
                  </w:r>
                </w:p>
              </w:tc>
            </w:tr>
            <w:tr w14:paraId="344C1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jc w:val="center"/>
              </w:trPr>
              <w:tc>
                <w:tcPr>
                  <w:tcW w:w="331" w:type="dxa"/>
                  <w:vAlign w:val="center"/>
                </w:tcPr>
                <w:p w14:paraId="525BE6A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45</w:t>
                  </w:r>
                </w:p>
              </w:tc>
              <w:tc>
                <w:tcPr>
                  <w:tcW w:w="1401" w:type="dxa"/>
                  <w:vAlign w:val="center"/>
                </w:tcPr>
                <w:p w14:paraId="672EBEE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广东弘德宝厨具有限公司</w:t>
                  </w:r>
                </w:p>
              </w:tc>
              <w:tc>
                <w:tcPr>
                  <w:tcW w:w="390" w:type="dxa"/>
                  <w:vAlign w:val="center"/>
                </w:tcPr>
                <w:p w14:paraId="08F3E29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548E3B0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5634C5D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26640</w:t>
                  </w:r>
                </w:p>
              </w:tc>
              <w:tc>
                <w:tcPr>
                  <w:tcW w:w="2408" w:type="dxa"/>
                  <w:vAlign w:val="center"/>
                </w:tcPr>
                <w:p w14:paraId="260CBEA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年产铸铁厨房用具 2.5 万吨</w:t>
                  </w:r>
                </w:p>
              </w:tc>
              <w:tc>
                <w:tcPr>
                  <w:tcW w:w="1346" w:type="dxa"/>
                  <w:vAlign w:val="center"/>
                </w:tcPr>
                <w:p w14:paraId="503B1E3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韶环乐审〔2022〕18 号</w:t>
                  </w:r>
                </w:p>
              </w:tc>
            </w:tr>
            <w:tr w14:paraId="6AE51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jc w:val="center"/>
              </w:trPr>
              <w:tc>
                <w:tcPr>
                  <w:tcW w:w="331" w:type="dxa"/>
                  <w:vAlign w:val="center"/>
                </w:tcPr>
                <w:p w14:paraId="41DD6C7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46</w:t>
                  </w:r>
                </w:p>
              </w:tc>
              <w:tc>
                <w:tcPr>
                  <w:tcW w:w="1401" w:type="dxa"/>
                  <w:vAlign w:val="center"/>
                </w:tcPr>
                <w:p w14:paraId="0C49A74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冠荣科技（韶关）有限公司</w:t>
                  </w:r>
                </w:p>
              </w:tc>
              <w:tc>
                <w:tcPr>
                  <w:tcW w:w="390" w:type="dxa"/>
                  <w:vAlign w:val="center"/>
                </w:tcPr>
                <w:p w14:paraId="6248F8F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37856B1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橡胶和塑料制品</w:t>
                  </w:r>
                </w:p>
                <w:p w14:paraId="0E0D85C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业、印刷和记录媒</w:t>
                  </w:r>
                </w:p>
                <w:p w14:paraId="6B66FE6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介复制业</w:t>
                  </w:r>
                </w:p>
              </w:tc>
              <w:tc>
                <w:tcPr>
                  <w:tcW w:w="809" w:type="dxa"/>
                  <w:vAlign w:val="center"/>
                </w:tcPr>
                <w:p w14:paraId="212C6F2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23334.5</w:t>
                  </w:r>
                </w:p>
              </w:tc>
              <w:tc>
                <w:tcPr>
                  <w:tcW w:w="2408" w:type="dxa"/>
                  <w:vAlign w:val="center"/>
                </w:tcPr>
                <w:p w14:paraId="3251F0F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年产商标 18000 万个、TPU 材料和硅胶材料 50 万平方米</w:t>
                  </w:r>
                </w:p>
              </w:tc>
              <w:tc>
                <w:tcPr>
                  <w:tcW w:w="1346" w:type="dxa"/>
                  <w:vAlign w:val="center"/>
                </w:tcPr>
                <w:p w14:paraId="6023DC5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韶环乐审〔2023〕07 号</w:t>
                  </w:r>
                </w:p>
              </w:tc>
            </w:tr>
            <w:tr w14:paraId="68054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jc w:val="center"/>
              </w:trPr>
              <w:tc>
                <w:tcPr>
                  <w:tcW w:w="331" w:type="dxa"/>
                  <w:vAlign w:val="center"/>
                </w:tcPr>
                <w:p w14:paraId="54CCAD5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47</w:t>
                  </w:r>
                </w:p>
              </w:tc>
              <w:tc>
                <w:tcPr>
                  <w:tcW w:w="1401" w:type="dxa"/>
                  <w:vAlign w:val="center"/>
                </w:tcPr>
                <w:p w14:paraId="6838906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添亿包装（广东）有限公司</w:t>
                  </w:r>
                </w:p>
              </w:tc>
              <w:tc>
                <w:tcPr>
                  <w:tcW w:w="390" w:type="dxa"/>
                  <w:vAlign w:val="center"/>
                </w:tcPr>
                <w:p w14:paraId="7F41E9A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3C178E1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纸制品制造</w:t>
                  </w:r>
                </w:p>
              </w:tc>
              <w:tc>
                <w:tcPr>
                  <w:tcW w:w="809" w:type="dxa"/>
                  <w:vAlign w:val="center"/>
                </w:tcPr>
                <w:p w14:paraId="4E85A43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16564.72</w:t>
                  </w:r>
                </w:p>
              </w:tc>
              <w:tc>
                <w:tcPr>
                  <w:tcW w:w="2408" w:type="dxa"/>
                  <w:vAlign w:val="center"/>
                </w:tcPr>
                <w:p w14:paraId="3428EFA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年产彩盒 10 亿套</w:t>
                  </w:r>
                </w:p>
              </w:tc>
              <w:tc>
                <w:tcPr>
                  <w:tcW w:w="1346" w:type="dxa"/>
                  <w:vAlign w:val="center"/>
                </w:tcPr>
                <w:p w14:paraId="1EE1865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韶环乐审〔2021〕24 号</w:t>
                  </w:r>
                </w:p>
              </w:tc>
            </w:tr>
            <w:tr w14:paraId="4E414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jc w:val="center"/>
              </w:trPr>
              <w:tc>
                <w:tcPr>
                  <w:tcW w:w="331" w:type="dxa"/>
                  <w:vAlign w:val="center"/>
                </w:tcPr>
                <w:p w14:paraId="0E5D2DD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48</w:t>
                  </w:r>
                </w:p>
              </w:tc>
              <w:tc>
                <w:tcPr>
                  <w:tcW w:w="1401" w:type="dxa"/>
                  <w:vAlign w:val="center"/>
                </w:tcPr>
                <w:p w14:paraId="458A8FA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广东光宝微电子有限公司</w:t>
                  </w:r>
                </w:p>
              </w:tc>
              <w:tc>
                <w:tcPr>
                  <w:tcW w:w="390" w:type="dxa"/>
                  <w:vAlign w:val="center"/>
                </w:tcPr>
                <w:p w14:paraId="65B7502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68C7A83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计算机、通信和其他电子设备制造业</w:t>
                  </w:r>
                </w:p>
              </w:tc>
              <w:tc>
                <w:tcPr>
                  <w:tcW w:w="809" w:type="dxa"/>
                  <w:vAlign w:val="center"/>
                </w:tcPr>
                <w:p w14:paraId="75E9A05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3600</w:t>
                  </w:r>
                </w:p>
              </w:tc>
              <w:tc>
                <w:tcPr>
                  <w:tcW w:w="2408" w:type="dxa"/>
                  <w:vAlign w:val="center"/>
                </w:tcPr>
                <w:p w14:paraId="1C0123F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年产发光二极管 1.2 亿个、光电耦合器件 1500 万个</w:t>
                  </w:r>
                </w:p>
              </w:tc>
              <w:tc>
                <w:tcPr>
                  <w:tcW w:w="1346" w:type="dxa"/>
                  <w:vAlign w:val="center"/>
                </w:tcPr>
                <w:p w14:paraId="4A58F47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韶环乐审〔2024〕21 号</w:t>
                  </w:r>
                </w:p>
              </w:tc>
            </w:tr>
            <w:tr w14:paraId="6825B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7638729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49</w:t>
                  </w:r>
                </w:p>
              </w:tc>
              <w:tc>
                <w:tcPr>
                  <w:tcW w:w="1401" w:type="dxa"/>
                  <w:vAlign w:val="center"/>
                </w:tcPr>
                <w:p w14:paraId="5709B16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韶关博鑫工程服务有限公司</w:t>
                  </w:r>
                </w:p>
              </w:tc>
              <w:tc>
                <w:tcPr>
                  <w:tcW w:w="390" w:type="dxa"/>
                  <w:vAlign w:val="center"/>
                </w:tcPr>
                <w:p w14:paraId="4D99530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395D44A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27F2F81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51544.6</w:t>
                  </w:r>
                </w:p>
              </w:tc>
              <w:tc>
                <w:tcPr>
                  <w:tcW w:w="2408" w:type="dxa"/>
                  <w:vAlign w:val="center"/>
                </w:tcPr>
                <w:p w14:paraId="397DF6D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年产铝合金模板 20 万立方米、翻新铝合金模板20 万立方米、</w:t>
                  </w:r>
                </w:p>
                <w:p w14:paraId="6C69319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翻新背楞 2000 吨、其他配套产品 3000 吨</w:t>
                  </w:r>
                </w:p>
              </w:tc>
              <w:tc>
                <w:tcPr>
                  <w:tcW w:w="1346" w:type="dxa"/>
                  <w:vAlign w:val="center"/>
                </w:tcPr>
                <w:p w14:paraId="79412E8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韶环乐审〔2024〕34 号</w:t>
                  </w:r>
                </w:p>
              </w:tc>
            </w:tr>
            <w:tr w14:paraId="17C26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419D824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50</w:t>
                  </w:r>
                </w:p>
              </w:tc>
              <w:tc>
                <w:tcPr>
                  <w:tcW w:w="1401" w:type="dxa"/>
                  <w:vAlign w:val="center"/>
                </w:tcPr>
                <w:p w14:paraId="26D97D9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乐昌市安顺达管道天然气有</w:t>
                  </w:r>
                </w:p>
                <w:p w14:paraId="5721CBF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限公司</w:t>
                  </w:r>
                </w:p>
              </w:tc>
              <w:tc>
                <w:tcPr>
                  <w:tcW w:w="390" w:type="dxa"/>
                  <w:vAlign w:val="center"/>
                </w:tcPr>
                <w:p w14:paraId="38EBA43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09F0E75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燃气生产和供应业</w:t>
                  </w:r>
                </w:p>
              </w:tc>
              <w:tc>
                <w:tcPr>
                  <w:tcW w:w="809" w:type="dxa"/>
                  <w:vAlign w:val="center"/>
                </w:tcPr>
                <w:p w14:paraId="660C62B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20080</w:t>
                  </w:r>
                </w:p>
              </w:tc>
              <w:tc>
                <w:tcPr>
                  <w:tcW w:w="2408" w:type="dxa"/>
                  <w:vAlign w:val="center"/>
                </w:tcPr>
                <w:p w14:paraId="74EB805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日供气量约 15 万立方</w:t>
                  </w:r>
                </w:p>
              </w:tc>
              <w:tc>
                <w:tcPr>
                  <w:tcW w:w="1346" w:type="dxa"/>
                  <w:vAlign w:val="center"/>
                </w:tcPr>
                <w:p w14:paraId="3BE06D5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乐环函[</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"bookmark242"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2012</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]53 号</w:t>
                  </w:r>
                </w:p>
              </w:tc>
            </w:tr>
            <w:tr w14:paraId="5776E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327BE57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51</w:t>
                  </w:r>
                </w:p>
              </w:tc>
              <w:tc>
                <w:tcPr>
                  <w:tcW w:w="1401" w:type="dxa"/>
                  <w:vAlign w:val="center"/>
                </w:tcPr>
                <w:p w14:paraId="06CEACF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广东利生源生物饲料有限公</w:t>
                  </w:r>
                </w:p>
                <w:p w14:paraId="0A59074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司</w:t>
                  </w:r>
                </w:p>
              </w:tc>
              <w:tc>
                <w:tcPr>
                  <w:tcW w:w="390" w:type="dxa"/>
                  <w:vAlign w:val="center"/>
                </w:tcPr>
                <w:p w14:paraId="0D59BC1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2546FEE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农副食品加工业</w:t>
                  </w:r>
                </w:p>
              </w:tc>
              <w:tc>
                <w:tcPr>
                  <w:tcW w:w="809" w:type="dxa"/>
                  <w:vAlign w:val="center"/>
                </w:tcPr>
                <w:p w14:paraId="1EE5317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10770</w:t>
                  </w:r>
                </w:p>
              </w:tc>
              <w:tc>
                <w:tcPr>
                  <w:tcW w:w="2408" w:type="dxa"/>
                  <w:vAlign w:val="center"/>
                </w:tcPr>
                <w:p w14:paraId="60A681E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年产优能乳 10800 吨、利生宝 3000 吨</w:t>
                  </w:r>
                </w:p>
              </w:tc>
              <w:tc>
                <w:tcPr>
                  <w:tcW w:w="1346" w:type="dxa"/>
                  <w:vAlign w:val="center"/>
                </w:tcPr>
                <w:p w14:paraId="3887001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乐环函[</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"bookmark243"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2011</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 103 号</w:t>
                  </w:r>
                </w:p>
              </w:tc>
            </w:tr>
            <w:tr w14:paraId="6FBAC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jc w:val="center"/>
              </w:trPr>
              <w:tc>
                <w:tcPr>
                  <w:tcW w:w="331" w:type="dxa"/>
                  <w:vAlign w:val="center"/>
                </w:tcPr>
                <w:p w14:paraId="5D5FF7D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52</w:t>
                  </w:r>
                </w:p>
              </w:tc>
              <w:tc>
                <w:tcPr>
                  <w:tcW w:w="1401" w:type="dxa"/>
                  <w:vAlign w:val="center"/>
                </w:tcPr>
                <w:p w14:paraId="50257E1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乐昌市自来水有限公司</w:t>
                  </w:r>
                </w:p>
              </w:tc>
              <w:tc>
                <w:tcPr>
                  <w:tcW w:w="390" w:type="dxa"/>
                  <w:vAlign w:val="center"/>
                </w:tcPr>
                <w:p w14:paraId="05422FA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3965C6E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自来水生产和供应业</w:t>
                  </w:r>
                </w:p>
              </w:tc>
              <w:tc>
                <w:tcPr>
                  <w:tcW w:w="809" w:type="dxa"/>
                  <w:vAlign w:val="center"/>
                </w:tcPr>
                <w:p w14:paraId="5EF1B6C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9303.8</w:t>
                  </w:r>
                </w:p>
              </w:tc>
              <w:tc>
                <w:tcPr>
                  <w:tcW w:w="2408" w:type="dxa"/>
                  <w:vAlign w:val="center"/>
                </w:tcPr>
                <w:p w14:paraId="0EC1535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加压泵站建设，供应水量 5000 立方</w:t>
                  </w:r>
                </w:p>
              </w:tc>
              <w:tc>
                <w:tcPr>
                  <w:tcW w:w="1346" w:type="dxa"/>
                  <w:vAlign w:val="center"/>
                </w:tcPr>
                <w:p w14:paraId="5B09229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乐环函[</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"bookmark244"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2012</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 103 号</w:t>
                  </w:r>
                </w:p>
              </w:tc>
            </w:tr>
            <w:tr w14:paraId="1F5C6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62B8818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53</w:t>
                  </w:r>
                </w:p>
              </w:tc>
              <w:tc>
                <w:tcPr>
                  <w:tcW w:w="1401" w:type="dxa"/>
                  <w:vAlign w:val="center"/>
                </w:tcPr>
                <w:p w14:paraId="70A31F5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东莞东坑（乐昌）产业转移园</w:t>
                  </w:r>
                </w:p>
                <w:p w14:paraId="1808A0D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污水处理厂</w:t>
                  </w:r>
                </w:p>
              </w:tc>
              <w:tc>
                <w:tcPr>
                  <w:tcW w:w="390" w:type="dxa"/>
                  <w:vAlign w:val="center"/>
                </w:tcPr>
                <w:p w14:paraId="17F9858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189D2B1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污水处理及其再生利用业</w:t>
                  </w:r>
                </w:p>
              </w:tc>
              <w:tc>
                <w:tcPr>
                  <w:tcW w:w="809" w:type="dxa"/>
                  <w:vAlign w:val="center"/>
                </w:tcPr>
                <w:p w14:paraId="0997F5D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15400</w:t>
                  </w:r>
                </w:p>
              </w:tc>
              <w:tc>
                <w:tcPr>
                  <w:tcW w:w="2408" w:type="dxa"/>
                  <w:vAlign w:val="center"/>
                </w:tcPr>
                <w:p w14:paraId="287ACAA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处理水量 10000 立方米/d</w:t>
                  </w:r>
                </w:p>
              </w:tc>
              <w:tc>
                <w:tcPr>
                  <w:tcW w:w="1346" w:type="dxa"/>
                  <w:vAlign w:val="center"/>
                </w:tcPr>
                <w:p w14:paraId="5DB9C95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乐环函[</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"bookmark245"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2010</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 107 号</w:t>
                  </w:r>
                </w:p>
              </w:tc>
            </w:tr>
            <w:tr w14:paraId="6A1FA1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jc w:val="center"/>
              </w:trPr>
              <w:tc>
                <w:tcPr>
                  <w:tcW w:w="331" w:type="dxa"/>
                  <w:vAlign w:val="center"/>
                </w:tcPr>
                <w:p w14:paraId="3450758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54</w:t>
                  </w:r>
                </w:p>
              </w:tc>
              <w:tc>
                <w:tcPr>
                  <w:tcW w:w="1401" w:type="dxa"/>
                  <w:vAlign w:val="center"/>
                </w:tcPr>
                <w:p w14:paraId="2B877B4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乐昌市玉煌科技有限公司</w:t>
                  </w:r>
                </w:p>
              </w:tc>
              <w:tc>
                <w:tcPr>
                  <w:tcW w:w="390" w:type="dxa"/>
                  <w:vAlign w:val="center"/>
                </w:tcPr>
                <w:p w14:paraId="43B2CAF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209A23A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29C34D3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15291.1</w:t>
                  </w:r>
                </w:p>
              </w:tc>
              <w:tc>
                <w:tcPr>
                  <w:tcW w:w="2408" w:type="dxa"/>
                  <w:vAlign w:val="center"/>
                </w:tcPr>
                <w:p w14:paraId="36FAC77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年产螺丝紧固件 2000 吨</w:t>
                  </w:r>
                </w:p>
              </w:tc>
              <w:tc>
                <w:tcPr>
                  <w:tcW w:w="1346" w:type="dxa"/>
                  <w:vAlign w:val="center"/>
                </w:tcPr>
                <w:p w14:paraId="77F9CF2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"bookmark246"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2018</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]54 号</w:t>
                  </w:r>
                </w:p>
              </w:tc>
            </w:tr>
            <w:tr w14:paraId="34B5B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jc w:val="center"/>
              </w:trPr>
              <w:tc>
                <w:tcPr>
                  <w:tcW w:w="331" w:type="dxa"/>
                  <w:vAlign w:val="center"/>
                </w:tcPr>
                <w:p w14:paraId="2B396B1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55</w:t>
                  </w:r>
                </w:p>
              </w:tc>
              <w:tc>
                <w:tcPr>
                  <w:tcW w:w="1401" w:type="dxa"/>
                  <w:vAlign w:val="center"/>
                </w:tcPr>
                <w:p w14:paraId="3542048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广东科优精密机械制造有限</w:t>
                  </w:r>
                </w:p>
                <w:p w14:paraId="393B535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公司</w:t>
                  </w:r>
                </w:p>
              </w:tc>
              <w:tc>
                <w:tcPr>
                  <w:tcW w:w="390" w:type="dxa"/>
                  <w:vAlign w:val="center"/>
                </w:tcPr>
                <w:p w14:paraId="2671A49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717DD75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通用设备制造业</w:t>
                  </w:r>
                </w:p>
              </w:tc>
              <w:tc>
                <w:tcPr>
                  <w:tcW w:w="809" w:type="dxa"/>
                  <w:vAlign w:val="center"/>
                </w:tcPr>
                <w:p w14:paraId="2CF25A3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12528.8</w:t>
                  </w:r>
                </w:p>
              </w:tc>
              <w:tc>
                <w:tcPr>
                  <w:tcW w:w="2408" w:type="dxa"/>
                  <w:vAlign w:val="center"/>
                </w:tcPr>
                <w:p w14:paraId="2FCE6B2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年产电磁阀用汇流板 5000 吨、精抽加工铝制品 400 吨，表面</w:t>
                  </w:r>
                </w:p>
                <w:p w14:paraId="281421C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处理汇流板产品 1800 吨</w:t>
                  </w:r>
                </w:p>
              </w:tc>
              <w:tc>
                <w:tcPr>
                  <w:tcW w:w="1346" w:type="dxa"/>
                  <w:vAlign w:val="center"/>
                </w:tcPr>
                <w:p w14:paraId="61F8CB7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"bookmark247"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2017</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]03 号、乐环审</w:t>
                  </w:r>
                </w:p>
                <w:p w14:paraId="06C8121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"bookmark248"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2018</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]24 号、韶环乐审〔2024〕04</w:t>
                  </w:r>
                </w:p>
                <w:p w14:paraId="67E1326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号</w:t>
                  </w:r>
                </w:p>
              </w:tc>
            </w:tr>
            <w:tr w14:paraId="2FA03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29B461B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56</w:t>
                  </w:r>
                </w:p>
              </w:tc>
              <w:tc>
                <w:tcPr>
                  <w:tcW w:w="1401" w:type="dxa"/>
                  <w:vAlign w:val="center"/>
                </w:tcPr>
                <w:p w14:paraId="59DF81C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广东中博交通环保设备有限</w:t>
                  </w:r>
                </w:p>
                <w:p w14:paraId="724A3E4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公司</w:t>
                  </w:r>
                </w:p>
              </w:tc>
              <w:tc>
                <w:tcPr>
                  <w:tcW w:w="390" w:type="dxa"/>
                  <w:vAlign w:val="center"/>
                </w:tcPr>
                <w:p w14:paraId="192C6AD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756CE8B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专用设备制造业</w:t>
                  </w:r>
                </w:p>
              </w:tc>
              <w:tc>
                <w:tcPr>
                  <w:tcW w:w="809" w:type="dxa"/>
                  <w:vAlign w:val="center"/>
                </w:tcPr>
                <w:p w14:paraId="1F9FEC5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20059.4</w:t>
                  </w:r>
                </w:p>
              </w:tc>
              <w:tc>
                <w:tcPr>
                  <w:tcW w:w="2408" w:type="dxa"/>
                  <w:vAlign w:val="center"/>
                </w:tcPr>
                <w:p w14:paraId="1CB2410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年加工生产交通环保材料 50 万件</w:t>
                  </w:r>
                </w:p>
              </w:tc>
              <w:tc>
                <w:tcPr>
                  <w:tcW w:w="1346" w:type="dxa"/>
                  <w:vAlign w:val="center"/>
                </w:tcPr>
                <w:p w14:paraId="1DD5EB0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"bookmark249"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2017</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]59 号</w:t>
                  </w:r>
                </w:p>
              </w:tc>
            </w:tr>
            <w:tr w14:paraId="419C5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6DEF1DE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57</w:t>
                  </w:r>
                </w:p>
              </w:tc>
              <w:tc>
                <w:tcPr>
                  <w:tcW w:w="1401" w:type="dxa"/>
                  <w:vAlign w:val="center"/>
                </w:tcPr>
                <w:p w14:paraId="2DDB1FC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乐昌欧典高分子装饰材料有</w:t>
                  </w:r>
                </w:p>
                <w:p w14:paraId="0FDB7BC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限公司</w:t>
                  </w:r>
                </w:p>
              </w:tc>
              <w:tc>
                <w:tcPr>
                  <w:tcW w:w="390" w:type="dxa"/>
                  <w:vAlign w:val="center"/>
                </w:tcPr>
                <w:p w14:paraId="291F386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3A4437D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橡胶和塑料制品业</w:t>
                  </w:r>
                </w:p>
              </w:tc>
              <w:tc>
                <w:tcPr>
                  <w:tcW w:w="809" w:type="dxa"/>
                  <w:vAlign w:val="center"/>
                </w:tcPr>
                <w:p w14:paraId="4F9AB1C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8631.1</w:t>
                  </w:r>
                </w:p>
              </w:tc>
              <w:tc>
                <w:tcPr>
                  <w:tcW w:w="2408" w:type="dxa"/>
                  <w:vAlign w:val="center"/>
                </w:tcPr>
                <w:p w14:paraId="7545987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 PVC 墙板 300 万平方、PVC 墙板配套线条约 200 万米</w:t>
                  </w:r>
                </w:p>
              </w:tc>
              <w:tc>
                <w:tcPr>
                  <w:tcW w:w="1346" w:type="dxa"/>
                  <w:vAlign w:val="center"/>
                </w:tcPr>
                <w:p w14:paraId="4F805DF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"bookmark250"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2019</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]68 号</w:t>
                  </w:r>
                </w:p>
              </w:tc>
            </w:tr>
            <w:tr w14:paraId="057B9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jc w:val="center"/>
              </w:trPr>
              <w:tc>
                <w:tcPr>
                  <w:tcW w:w="331" w:type="dxa"/>
                  <w:vAlign w:val="center"/>
                </w:tcPr>
                <w:p w14:paraId="6E79398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p>
                <w:p w14:paraId="7BE701C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58</w:t>
                  </w:r>
                </w:p>
              </w:tc>
              <w:tc>
                <w:tcPr>
                  <w:tcW w:w="1401" w:type="dxa"/>
                  <w:vAlign w:val="center"/>
                </w:tcPr>
                <w:p w14:paraId="43E0EFC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韶关豪立再生资源利用有限</w:t>
                  </w:r>
                </w:p>
                <w:p w14:paraId="1B7CE0D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公司</w:t>
                  </w:r>
                </w:p>
              </w:tc>
              <w:tc>
                <w:tcPr>
                  <w:tcW w:w="390" w:type="dxa"/>
                  <w:vAlign w:val="center"/>
                </w:tcPr>
                <w:p w14:paraId="0F4DA2C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066A56D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非金属矿物制品业</w:t>
                  </w:r>
                </w:p>
              </w:tc>
              <w:tc>
                <w:tcPr>
                  <w:tcW w:w="809" w:type="dxa"/>
                  <w:vAlign w:val="center"/>
                </w:tcPr>
                <w:p w14:paraId="6E8007F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17646</w:t>
                  </w:r>
                </w:p>
              </w:tc>
              <w:tc>
                <w:tcPr>
                  <w:tcW w:w="2408" w:type="dxa"/>
                  <w:vAlign w:val="center"/>
                </w:tcPr>
                <w:p w14:paraId="7CD3BC4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年处理废金属 79760 吨、废纸 5982 吨、拆解设备 2000 台，</w:t>
                  </w:r>
                </w:p>
                <w:p w14:paraId="2D50D4F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年产再生玻璃 11.4 万吨、玻璃纤维 3 万吨、玻璃纤维增强塑</w:t>
                  </w:r>
                </w:p>
                <w:p w14:paraId="0023F37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料制品 7200 吨</w:t>
                  </w:r>
                </w:p>
              </w:tc>
              <w:tc>
                <w:tcPr>
                  <w:tcW w:w="1346" w:type="dxa"/>
                  <w:vAlign w:val="center"/>
                </w:tcPr>
                <w:p w14:paraId="7E040C5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"bookmark251"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2017</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]69 号、韶环乐审</w:t>
                  </w:r>
                </w:p>
                <w:p w14:paraId="0F780BE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〔2021〕06 号、韶环乐审〔2023〕</w:t>
                  </w:r>
                </w:p>
                <w:p w14:paraId="6BAE03F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23 号</w:t>
                  </w:r>
                </w:p>
              </w:tc>
            </w:tr>
            <w:tr w14:paraId="5FE3F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6E1863B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59</w:t>
                  </w:r>
                </w:p>
              </w:tc>
              <w:tc>
                <w:tcPr>
                  <w:tcW w:w="1401" w:type="dxa"/>
                  <w:vAlign w:val="center"/>
                </w:tcPr>
                <w:p w14:paraId="32F84AC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乐昌市优泰德电器有限公司</w:t>
                  </w:r>
                </w:p>
                <w:p w14:paraId="047409F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（创业就业基地）</w:t>
                  </w:r>
                </w:p>
              </w:tc>
              <w:tc>
                <w:tcPr>
                  <w:tcW w:w="390" w:type="dxa"/>
                  <w:vAlign w:val="center"/>
                </w:tcPr>
                <w:p w14:paraId="344956F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736CED0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橡胶和塑料制品业</w:t>
                  </w:r>
                </w:p>
              </w:tc>
              <w:tc>
                <w:tcPr>
                  <w:tcW w:w="809" w:type="dxa"/>
                  <w:vAlign w:val="center"/>
                </w:tcPr>
                <w:p w14:paraId="5071AB4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3504</w:t>
                  </w:r>
                </w:p>
              </w:tc>
              <w:tc>
                <w:tcPr>
                  <w:tcW w:w="2408" w:type="dxa"/>
                  <w:vAlign w:val="center"/>
                </w:tcPr>
                <w:p w14:paraId="0490D9E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年产塑料及五金制品 280 万件</w:t>
                  </w:r>
                </w:p>
              </w:tc>
              <w:tc>
                <w:tcPr>
                  <w:tcW w:w="1346" w:type="dxa"/>
                  <w:vAlign w:val="center"/>
                </w:tcPr>
                <w:p w14:paraId="49E32AB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乐环审〔2019〕28 号</w:t>
                  </w:r>
                </w:p>
              </w:tc>
            </w:tr>
            <w:tr w14:paraId="1C449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3C248B1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60</w:t>
                  </w:r>
                </w:p>
              </w:tc>
              <w:tc>
                <w:tcPr>
                  <w:tcW w:w="1401" w:type="dxa"/>
                  <w:vAlign w:val="center"/>
                </w:tcPr>
                <w:p w14:paraId="510BDA3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乐昌市优泰德电器有限公司</w:t>
                  </w:r>
                </w:p>
                <w:p w14:paraId="11A086F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(金玲三路）</w:t>
                  </w:r>
                </w:p>
              </w:tc>
              <w:tc>
                <w:tcPr>
                  <w:tcW w:w="390" w:type="dxa"/>
                  <w:vAlign w:val="center"/>
                </w:tcPr>
                <w:p w14:paraId="588AF45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69608B4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专用设备制造业</w:t>
                  </w:r>
                </w:p>
              </w:tc>
              <w:tc>
                <w:tcPr>
                  <w:tcW w:w="809" w:type="dxa"/>
                  <w:vAlign w:val="center"/>
                </w:tcPr>
                <w:p w14:paraId="29DB478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15173</w:t>
                  </w:r>
                </w:p>
              </w:tc>
              <w:tc>
                <w:tcPr>
                  <w:tcW w:w="2408" w:type="dxa"/>
                  <w:vAlign w:val="center"/>
                </w:tcPr>
                <w:p w14:paraId="6DB0140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年产家用小电器（电吹风、直发器、卷发器等）250 万台</w:t>
                  </w:r>
                </w:p>
              </w:tc>
              <w:tc>
                <w:tcPr>
                  <w:tcW w:w="1346" w:type="dxa"/>
                  <w:vAlign w:val="center"/>
                </w:tcPr>
                <w:p w14:paraId="368C2DF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乐环审〔2019〕40 号</w:t>
                  </w:r>
                </w:p>
              </w:tc>
            </w:tr>
            <w:tr w14:paraId="10CE1E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707B54A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61</w:t>
                  </w:r>
                </w:p>
              </w:tc>
              <w:tc>
                <w:tcPr>
                  <w:tcW w:w="1401" w:type="dxa"/>
                  <w:vAlign w:val="center"/>
                </w:tcPr>
                <w:p w14:paraId="7139073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广东昊奕智能科技有限公司</w:t>
                  </w:r>
                </w:p>
              </w:tc>
              <w:tc>
                <w:tcPr>
                  <w:tcW w:w="390" w:type="dxa"/>
                  <w:vAlign w:val="center"/>
                </w:tcPr>
                <w:p w14:paraId="5F681A1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063E265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1F7F7AC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9533.38</w:t>
                  </w:r>
                </w:p>
              </w:tc>
              <w:tc>
                <w:tcPr>
                  <w:tcW w:w="2408" w:type="dxa"/>
                  <w:vAlign w:val="center"/>
                </w:tcPr>
                <w:p w14:paraId="1379D8A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年产不锈钢线材 5000 吨</w:t>
                  </w:r>
                </w:p>
              </w:tc>
              <w:tc>
                <w:tcPr>
                  <w:tcW w:w="1346" w:type="dxa"/>
                  <w:vAlign w:val="center"/>
                </w:tcPr>
                <w:p w14:paraId="429A79A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韶环乐审〔2023〕01 号</w:t>
                  </w:r>
                </w:p>
              </w:tc>
            </w:tr>
            <w:tr w14:paraId="5145E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6A95B43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62</w:t>
                  </w:r>
                </w:p>
              </w:tc>
              <w:tc>
                <w:tcPr>
                  <w:tcW w:w="1401" w:type="dxa"/>
                  <w:vAlign w:val="center"/>
                </w:tcPr>
                <w:p w14:paraId="4B9E504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三创复合材料(乐昌)有限公司</w:t>
                  </w:r>
                </w:p>
              </w:tc>
              <w:tc>
                <w:tcPr>
                  <w:tcW w:w="390" w:type="dxa"/>
                  <w:vAlign w:val="center"/>
                </w:tcPr>
                <w:p w14:paraId="1EFB848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0A0F038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非金属矿物制品业</w:t>
                  </w:r>
                </w:p>
              </w:tc>
              <w:tc>
                <w:tcPr>
                  <w:tcW w:w="809" w:type="dxa"/>
                  <w:vAlign w:val="center"/>
                </w:tcPr>
                <w:p w14:paraId="4005FE9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25577.13</w:t>
                  </w:r>
                </w:p>
              </w:tc>
              <w:tc>
                <w:tcPr>
                  <w:tcW w:w="2408" w:type="dxa"/>
                  <w:vAlign w:val="center"/>
                </w:tcPr>
                <w:p w14:paraId="315C079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年产玻璃纤维和碳素纤维复合材料制品 6365 吨</w:t>
                  </w:r>
                </w:p>
              </w:tc>
              <w:tc>
                <w:tcPr>
                  <w:tcW w:w="1346" w:type="dxa"/>
                  <w:vAlign w:val="center"/>
                </w:tcPr>
                <w:p w14:paraId="3663110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韶环乐审〔2021〕09 号</w:t>
                  </w:r>
                </w:p>
              </w:tc>
            </w:tr>
            <w:tr w14:paraId="63350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jc w:val="center"/>
              </w:trPr>
              <w:tc>
                <w:tcPr>
                  <w:tcW w:w="331" w:type="dxa"/>
                  <w:vAlign w:val="center"/>
                </w:tcPr>
                <w:p w14:paraId="14B4931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63</w:t>
                  </w:r>
                </w:p>
              </w:tc>
              <w:tc>
                <w:tcPr>
                  <w:tcW w:w="1401" w:type="dxa"/>
                  <w:vAlign w:val="center"/>
                </w:tcPr>
                <w:p w14:paraId="6CA4E10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广东联丰科技有限公司</w:t>
                  </w:r>
                </w:p>
              </w:tc>
              <w:tc>
                <w:tcPr>
                  <w:tcW w:w="390" w:type="dxa"/>
                  <w:vAlign w:val="center"/>
                </w:tcPr>
                <w:p w14:paraId="4199FBF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1FDF777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橡胶和塑料制品业</w:t>
                  </w:r>
                </w:p>
              </w:tc>
              <w:tc>
                <w:tcPr>
                  <w:tcW w:w="809" w:type="dxa"/>
                  <w:vAlign w:val="center"/>
                </w:tcPr>
                <w:p w14:paraId="06FBBE8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11862.25</w:t>
                  </w:r>
                </w:p>
              </w:tc>
              <w:tc>
                <w:tcPr>
                  <w:tcW w:w="2408" w:type="dxa"/>
                  <w:vAlign w:val="center"/>
                </w:tcPr>
                <w:p w14:paraId="734E18C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年产HDPE 双壁波纹管 2800 吨、HDPE 缠绕管 2350 吨、HDPE</w:t>
                  </w:r>
                </w:p>
                <w:p w14:paraId="37C2E0F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供水管 2580 吨、PVC 管 2270 吨</w:t>
                  </w:r>
                </w:p>
              </w:tc>
              <w:tc>
                <w:tcPr>
                  <w:tcW w:w="1346" w:type="dxa"/>
                  <w:vAlign w:val="center"/>
                </w:tcPr>
                <w:p w14:paraId="6244094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韶环乐审〔2025〕03 号</w:t>
                  </w:r>
                </w:p>
              </w:tc>
            </w:tr>
            <w:tr w14:paraId="07168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jc w:val="center"/>
              </w:trPr>
              <w:tc>
                <w:tcPr>
                  <w:tcW w:w="331" w:type="dxa"/>
                  <w:vAlign w:val="center"/>
                </w:tcPr>
                <w:p w14:paraId="62D4DC5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64</w:t>
                  </w:r>
                </w:p>
              </w:tc>
              <w:tc>
                <w:tcPr>
                  <w:tcW w:w="1401" w:type="dxa"/>
                  <w:vAlign w:val="center"/>
                </w:tcPr>
                <w:p w14:paraId="203BE7F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材通(乐昌)管业科技有限公司</w:t>
                  </w:r>
                </w:p>
              </w:tc>
              <w:tc>
                <w:tcPr>
                  <w:tcW w:w="390" w:type="dxa"/>
                  <w:vAlign w:val="center"/>
                </w:tcPr>
                <w:p w14:paraId="4CB2D80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7A0A24D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橡胶和塑料制品业</w:t>
                  </w:r>
                </w:p>
              </w:tc>
              <w:tc>
                <w:tcPr>
                  <w:tcW w:w="809" w:type="dxa"/>
                  <w:vAlign w:val="center"/>
                </w:tcPr>
                <w:p w14:paraId="10C933F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47574.68</w:t>
                  </w:r>
                </w:p>
              </w:tc>
              <w:tc>
                <w:tcPr>
                  <w:tcW w:w="2408" w:type="dxa"/>
                  <w:vAlign w:val="center"/>
                </w:tcPr>
                <w:p w14:paraId="7ED5DBC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 PVC 管材 16820 吨</w:t>
                  </w:r>
                </w:p>
              </w:tc>
              <w:tc>
                <w:tcPr>
                  <w:tcW w:w="1346" w:type="dxa"/>
                  <w:vAlign w:val="center"/>
                </w:tcPr>
                <w:p w14:paraId="328FF11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乐环审〔2020〕08 号</w:t>
                  </w:r>
                </w:p>
              </w:tc>
            </w:tr>
            <w:tr w14:paraId="32A22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jc w:val="center"/>
              </w:trPr>
              <w:tc>
                <w:tcPr>
                  <w:tcW w:w="331" w:type="dxa"/>
                  <w:vAlign w:val="center"/>
                </w:tcPr>
                <w:p w14:paraId="6713FB7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65</w:t>
                  </w:r>
                </w:p>
              </w:tc>
              <w:tc>
                <w:tcPr>
                  <w:tcW w:w="1401" w:type="dxa"/>
                  <w:vAlign w:val="center"/>
                </w:tcPr>
                <w:p w14:paraId="76D9C40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乐昌市鑫东穗汽车用品有限</w:t>
                  </w:r>
                </w:p>
                <w:p w14:paraId="5191366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公司</w:t>
                  </w:r>
                </w:p>
              </w:tc>
              <w:tc>
                <w:tcPr>
                  <w:tcW w:w="390" w:type="dxa"/>
                  <w:vAlign w:val="center"/>
                </w:tcPr>
                <w:p w14:paraId="0ACDD51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53DE8F3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汽车零部件及配件制造</w:t>
                  </w:r>
                </w:p>
              </w:tc>
              <w:tc>
                <w:tcPr>
                  <w:tcW w:w="809" w:type="dxa"/>
                  <w:vAlign w:val="center"/>
                </w:tcPr>
                <w:p w14:paraId="3328F2D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17932.7</w:t>
                  </w:r>
                </w:p>
              </w:tc>
              <w:tc>
                <w:tcPr>
                  <w:tcW w:w="2408" w:type="dxa"/>
                  <w:vAlign w:val="center"/>
                </w:tcPr>
                <w:p w14:paraId="52F8EDC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年产汽车零配件 30 万套</w:t>
                  </w:r>
                </w:p>
              </w:tc>
              <w:tc>
                <w:tcPr>
                  <w:tcW w:w="1346" w:type="dxa"/>
                  <w:vAlign w:val="center"/>
                </w:tcPr>
                <w:p w14:paraId="7413051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乐环审〔2021〕02 号、韶环乐审</w:t>
                  </w:r>
                </w:p>
                <w:p w14:paraId="1F00B06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〔2024〕23 号</w:t>
                  </w:r>
                </w:p>
              </w:tc>
            </w:tr>
            <w:tr w14:paraId="20207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jc w:val="center"/>
              </w:trPr>
              <w:tc>
                <w:tcPr>
                  <w:tcW w:w="331" w:type="dxa"/>
                  <w:vAlign w:val="center"/>
                </w:tcPr>
                <w:p w14:paraId="7D07A3A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66</w:t>
                  </w:r>
                </w:p>
              </w:tc>
              <w:tc>
                <w:tcPr>
                  <w:tcW w:w="1401" w:type="dxa"/>
                  <w:vAlign w:val="center"/>
                </w:tcPr>
                <w:p w14:paraId="6FCA6A2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杨氏婴童用品(广东)有限公司</w:t>
                  </w:r>
                </w:p>
              </w:tc>
              <w:tc>
                <w:tcPr>
                  <w:tcW w:w="390" w:type="dxa"/>
                  <w:vAlign w:val="center"/>
                </w:tcPr>
                <w:p w14:paraId="1C024B6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749596C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橡胶和塑料制品业</w:t>
                  </w:r>
                </w:p>
              </w:tc>
              <w:tc>
                <w:tcPr>
                  <w:tcW w:w="809" w:type="dxa"/>
                  <w:vAlign w:val="center"/>
                </w:tcPr>
                <w:p w14:paraId="3B5B51A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20215.42</w:t>
                  </w:r>
                </w:p>
              </w:tc>
              <w:tc>
                <w:tcPr>
                  <w:tcW w:w="2408" w:type="dxa"/>
                  <w:vAlign w:val="center"/>
                </w:tcPr>
                <w:p w14:paraId="7DEF06B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年产奶瓶、水杯 600 万件</w:t>
                  </w:r>
                </w:p>
              </w:tc>
              <w:tc>
                <w:tcPr>
                  <w:tcW w:w="1346" w:type="dxa"/>
                  <w:vAlign w:val="center"/>
                </w:tcPr>
                <w:p w14:paraId="35A5310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韶环乐审〔2023〕06 号</w:t>
                  </w:r>
                </w:p>
              </w:tc>
            </w:tr>
            <w:tr w14:paraId="79759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616847A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67</w:t>
                  </w:r>
                </w:p>
              </w:tc>
              <w:tc>
                <w:tcPr>
                  <w:tcW w:w="1401" w:type="dxa"/>
                  <w:vAlign w:val="center"/>
                </w:tcPr>
                <w:p w14:paraId="000C01B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广东邦嘉硅胶科技有限公司</w:t>
                  </w:r>
                </w:p>
              </w:tc>
              <w:tc>
                <w:tcPr>
                  <w:tcW w:w="390" w:type="dxa"/>
                  <w:vAlign w:val="center"/>
                </w:tcPr>
                <w:p w14:paraId="1263E14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63D0CA0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橡胶和塑料制品业</w:t>
                  </w:r>
                </w:p>
              </w:tc>
              <w:tc>
                <w:tcPr>
                  <w:tcW w:w="809" w:type="dxa"/>
                  <w:vAlign w:val="center"/>
                </w:tcPr>
                <w:p w14:paraId="3BBFDC4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36000</w:t>
                  </w:r>
                </w:p>
              </w:tc>
              <w:tc>
                <w:tcPr>
                  <w:tcW w:w="2408" w:type="dxa"/>
                  <w:vAlign w:val="center"/>
                </w:tcPr>
                <w:p w14:paraId="1B531C9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年产固体硅胶 300 吨、注塑件 300 万件、硅胶件（奶嘴）100万个、玻璃奶瓶 100 万个、硅胶护层产品 100 万件</w:t>
                  </w:r>
                </w:p>
              </w:tc>
              <w:tc>
                <w:tcPr>
                  <w:tcW w:w="1346" w:type="dxa"/>
                  <w:vAlign w:val="center"/>
                </w:tcPr>
                <w:p w14:paraId="43943E4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韶关乐审〔2023〕03 号</w:t>
                  </w:r>
                </w:p>
              </w:tc>
            </w:tr>
            <w:tr w14:paraId="477A3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3ED332D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68</w:t>
                  </w:r>
                </w:p>
              </w:tc>
              <w:tc>
                <w:tcPr>
                  <w:tcW w:w="1401" w:type="dxa"/>
                  <w:vAlign w:val="center"/>
                </w:tcPr>
                <w:p w14:paraId="62F8A39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广东奕宸汽车科技有限公司</w:t>
                  </w:r>
                </w:p>
              </w:tc>
              <w:tc>
                <w:tcPr>
                  <w:tcW w:w="390" w:type="dxa"/>
                  <w:vAlign w:val="center"/>
                </w:tcPr>
                <w:p w14:paraId="737E3BA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557D7AE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汽车零部件及配件制造</w:t>
                  </w:r>
                </w:p>
              </w:tc>
              <w:tc>
                <w:tcPr>
                  <w:tcW w:w="809" w:type="dxa"/>
                  <w:vAlign w:val="center"/>
                </w:tcPr>
                <w:p w14:paraId="528FB5D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33915.52</w:t>
                  </w:r>
                </w:p>
              </w:tc>
              <w:tc>
                <w:tcPr>
                  <w:tcW w:w="2408" w:type="dxa"/>
                  <w:vAlign w:val="center"/>
                </w:tcPr>
                <w:p w14:paraId="0C293ED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年产汽车散热器 50 万件</w:t>
                  </w:r>
                </w:p>
              </w:tc>
              <w:tc>
                <w:tcPr>
                  <w:tcW w:w="1346" w:type="dxa"/>
                  <w:vAlign w:val="center"/>
                </w:tcPr>
                <w:p w14:paraId="111BF7F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韶环乐审〔2022〕28 号</w:t>
                  </w:r>
                </w:p>
              </w:tc>
            </w:tr>
            <w:tr w14:paraId="71E35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00FBB5D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69</w:t>
                  </w:r>
                </w:p>
              </w:tc>
              <w:tc>
                <w:tcPr>
                  <w:tcW w:w="1401" w:type="dxa"/>
                  <w:vAlign w:val="center"/>
                </w:tcPr>
                <w:p w14:paraId="51A22A8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广东熙诚环保科技有限公司</w:t>
                  </w:r>
                </w:p>
              </w:tc>
              <w:tc>
                <w:tcPr>
                  <w:tcW w:w="390" w:type="dxa"/>
                  <w:vAlign w:val="center"/>
                </w:tcPr>
                <w:p w14:paraId="5A85AF1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0BB8EF5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专用设备制造业</w:t>
                  </w:r>
                </w:p>
              </w:tc>
              <w:tc>
                <w:tcPr>
                  <w:tcW w:w="809" w:type="dxa"/>
                  <w:vAlign w:val="center"/>
                </w:tcPr>
                <w:p w14:paraId="38ECF39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13335</w:t>
                  </w:r>
                </w:p>
              </w:tc>
              <w:tc>
                <w:tcPr>
                  <w:tcW w:w="2408" w:type="dxa"/>
                  <w:vAlign w:val="center"/>
                </w:tcPr>
                <w:p w14:paraId="733402A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 PP 喷淋塔 500 台、PP 活性炭吸附箱 500 台</w:t>
                  </w:r>
                </w:p>
              </w:tc>
              <w:tc>
                <w:tcPr>
                  <w:tcW w:w="1346" w:type="dxa"/>
                  <w:vAlign w:val="center"/>
                </w:tcPr>
                <w:p w14:paraId="0F7DF31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韶环乐审〔2021〕09 号</w:t>
                  </w:r>
                </w:p>
              </w:tc>
            </w:tr>
            <w:tr w14:paraId="24C39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jc w:val="center"/>
              </w:trPr>
              <w:tc>
                <w:tcPr>
                  <w:tcW w:w="331" w:type="dxa"/>
                  <w:vAlign w:val="center"/>
                </w:tcPr>
                <w:p w14:paraId="3C079E4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70</w:t>
                  </w:r>
                </w:p>
              </w:tc>
              <w:tc>
                <w:tcPr>
                  <w:tcW w:w="1401" w:type="dxa"/>
                  <w:vAlign w:val="center"/>
                </w:tcPr>
                <w:p w14:paraId="5E20C60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韶关市盛源优贝橡塑制品有</w:t>
                  </w:r>
                </w:p>
                <w:p w14:paraId="3DD866A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限公司</w:t>
                  </w:r>
                </w:p>
              </w:tc>
              <w:tc>
                <w:tcPr>
                  <w:tcW w:w="390" w:type="dxa"/>
                  <w:vAlign w:val="center"/>
                </w:tcPr>
                <w:p w14:paraId="06146F2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0F998EB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橡胶和塑料制品业</w:t>
                  </w:r>
                </w:p>
              </w:tc>
              <w:tc>
                <w:tcPr>
                  <w:tcW w:w="809" w:type="dxa"/>
                  <w:vAlign w:val="center"/>
                </w:tcPr>
                <w:p w14:paraId="3E94C4A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6664</w:t>
                  </w:r>
                </w:p>
              </w:tc>
              <w:tc>
                <w:tcPr>
                  <w:tcW w:w="2408" w:type="dxa"/>
                  <w:vAlign w:val="center"/>
                </w:tcPr>
                <w:p w14:paraId="0421786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年产硅胶件 330 万个、注塑件 200 万个、吹瓶件 602 万个</w:t>
                  </w:r>
                </w:p>
              </w:tc>
              <w:tc>
                <w:tcPr>
                  <w:tcW w:w="1346" w:type="dxa"/>
                  <w:vAlign w:val="center"/>
                </w:tcPr>
                <w:p w14:paraId="2D39869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韶关乐审〔2022〕33 号</w:t>
                  </w:r>
                </w:p>
              </w:tc>
            </w:tr>
            <w:tr w14:paraId="34118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331" w:type="dxa"/>
                  <w:vAlign w:val="center"/>
                </w:tcPr>
                <w:p w14:paraId="264CD31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71</w:t>
                  </w:r>
                </w:p>
              </w:tc>
              <w:tc>
                <w:tcPr>
                  <w:tcW w:w="1401" w:type="dxa"/>
                  <w:vAlign w:val="center"/>
                </w:tcPr>
                <w:p w14:paraId="6731BF2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韶关市南源铜材有限公司</w:t>
                  </w:r>
                </w:p>
              </w:tc>
              <w:tc>
                <w:tcPr>
                  <w:tcW w:w="390" w:type="dxa"/>
                  <w:vAlign w:val="center"/>
                </w:tcPr>
                <w:p w14:paraId="7932DB8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5E47B81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0EA4CFB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44981.3</w:t>
                  </w:r>
                </w:p>
              </w:tc>
              <w:tc>
                <w:tcPr>
                  <w:tcW w:w="2408" w:type="dxa"/>
                  <w:vAlign w:val="center"/>
                </w:tcPr>
                <w:p w14:paraId="38267B2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年产含铅黄铜棒 18000 吨、无铅黄铜棒 12000 吨</w:t>
                  </w:r>
                </w:p>
              </w:tc>
              <w:tc>
                <w:tcPr>
                  <w:tcW w:w="1346" w:type="dxa"/>
                  <w:vAlign w:val="center"/>
                </w:tcPr>
                <w:p w14:paraId="3B2270C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韶环乐审〔2021〕21 号</w:t>
                  </w:r>
                </w:p>
              </w:tc>
            </w:tr>
            <w:tr w14:paraId="34BD3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69EBA39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72</w:t>
                  </w:r>
                </w:p>
              </w:tc>
              <w:tc>
                <w:tcPr>
                  <w:tcW w:w="1401" w:type="dxa"/>
                  <w:vAlign w:val="center"/>
                </w:tcPr>
                <w:p w14:paraId="1C970BE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碧宏自动化（广东）有限责任</w:t>
                  </w:r>
                </w:p>
                <w:p w14:paraId="473B4EC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公司</w:t>
                  </w:r>
                </w:p>
              </w:tc>
              <w:tc>
                <w:tcPr>
                  <w:tcW w:w="390" w:type="dxa"/>
                  <w:vAlign w:val="center"/>
                </w:tcPr>
                <w:p w14:paraId="6BB5299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36650AB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通用设备制造业、专用设备制造业</w:t>
                  </w:r>
                </w:p>
              </w:tc>
              <w:tc>
                <w:tcPr>
                  <w:tcW w:w="809" w:type="dxa"/>
                  <w:vAlign w:val="center"/>
                </w:tcPr>
                <w:p w14:paraId="7648575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31172.2</w:t>
                  </w:r>
                </w:p>
              </w:tc>
              <w:tc>
                <w:tcPr>
                  <w:tcW w:w="2408" w:type="dxa"/>
                  <w:vAlign w:val="center"/>
                </w:tcPr>
                <w:p w14:paraId="0258CA7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年产椭圆印花机 500 台、数码印花机 100 台、拉网机 100 台、</w:t>
                  </w:r>
                </w:p>
                <w:p w14:paraId="51C0812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激光切割机 300 台</w:t>
                  </w:r>
                </w:p>
              </w:tc>
              <w:tc>
                <w:tcPr>
                  <w:tcW w:w="1346" w:type="dxa"/>
                  <w:vAlign w:val="center"/>
                </w:tcPr>
                <w:p w14:paraId="35E1D7F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韶环乐审〔2023〕10 号</w:t>
                  </w:r>
                </w:p>
              </w:tc>
            </w:tr>
            <w:tr w14:paraId="2CB55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jc w:val="center"/>
              </w:trPr>
              <w:tc>
                <w:tcPr>
                  <w:tcW w:w="331" w:type="dxa"/>
                  <w:vAlign w:val="center"/>
                </w:tcPr>
                <w:p w14:paraId="4BFA457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73</w:t>
                  </w:r>
                </w:p>
              </w:tc>
              <w:tc>
                <w:tcPr>
                  <w:tcW w:w="1401" w:type="dxa"/>
                  <w:vAlign w:val="center"/>
                </w:tcPr>
                <w:p w14:paraId="4270507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广东冠益灯饰有限公司</w:t>
                  </w:r>
                </w:p>
              </w:tc>
              <w:tc>
                <w:tcPr>
                  <w:tcW w:w="390" w:type="dxa"/>
                  <w:vAlign w:val="center"/>
                </w:tcPr>
                <w:p w14:paraId="6AD1E18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08E217A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电气机械和器材制造业</w:t>
                  </w:r>
                </w:p>
              </w:tc>
              <w:tc>
                <w:tcPr>
                  <w:tcW w:w="809" w:type="dxa"/>
                  <w:vAlign w:val="center"/>
                </w:tcPr>
                <w:p w14:paraId="618078F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13333.4</w:t>
                  </w:r>
                </w:p>
              </w:tc>
              <w:tc>
                <w:tcPr>
                  <w:tcW w:w="2408" w:type="dxa"/>
                  <w:vAlign w:val="center"/>
                </w:tcPr>
                <w:p w14:paraId="4EB5E15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年产灯串 200 万套</w:t>
                  </w:r>
                </w:p>
              </w:tc>
              <w:tc>
                <w:tcPr>
                  <w:tcW w:w="1346" w:type="dxa"/>
                  <w:vAlign w:val="center"/>
                </w:tcPr>
                <w:p w14:paraId="15931F3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韶环乐审〔2024〕06 号</w:t>
                  </w:r>
                </w:p>
              </w:tc>
            </w:tr>
            <w:tr w14:paraId="27E1D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67A7AFF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74</w:t>
                  </w:r>
                </w:p>
              </w:tc>
              <w:tc>
                <w:tcPr>
                  <w:tcW w:w="1401" w:type="dxa"/>
                  <w:vAlign w:val="center"/>
                </w:tcPr>
                <w:p w14:paraId="46BC2ED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韶关三和磁材电子有限公司</w:t>
                  </w:r>
                </w:p>
              </w:tc>
              <w:tc>
                <w:tcPr>
                  <w:tcW w:w="390" w:type="dxa"/>
                  <w:vAlign w:val="center"/>
                </w:tcPr>
                <w:p w14:paraId="7088613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3FEDD42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计算机、通信和其他电子设备制造业</w:t>
                  </w:r>
                </w:p>
              </w:tc>
              <w:tc>
                <w:tcPr>
                  <w:tcW w:w="809" w:type="dxa"/>
                  <w:vAlign w:val="center"/>
                </w:tcPr>
                <w:p w14:paraId="66DA2B0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27014.09</w:t>
                  </w:r>
                </w:p>
              </w:tc>
              <w:tc>
                <w:tcPr>
                  <w:tcW w:w="2408" w:type="dxa"/>
                  <w:vAlign w:val="center"/>
                </w:tcPr>
                <w:p w14:paraId="4188311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年产干法铁氧体磁铁 10 亿个</w:t>
                  </w:r>
                </w:p>
              </w:tc>
              <w:tc>
                <w:tcPr>
                  <w:tcW w:w="1346" w:type="dxa"/>
                  <w:vAlign w:val="center"/>
                </w:tcPr>
                <w:p w14:paraId="0058992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韶环乐审〔2025〕06 号</w:t>
                  </w:r>
                </w:p>
              </w:tc>
            </w:tr>
            <w:tr w14:paraId="31F76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7FC96AD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75</w:t>
                  </w:r>
                </w:p>
              </w:tc>
              <w:tc>
                <w:tcPr>
                  <w:tcW w:w="1401" w:type="dxa"/>
                  <w:vAlign w:val="center"/>
                </w:tcPr>
                <w:p w14:paraId="5424227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广东立恒新材料科技有限公</w:t>
                  </w:r>
                </w:p>
                <w:p w14:paraId="0FC9363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司</w:t>
                  </w:r>
                </w:p>
              </w:tc>
              <w:tc>
                <w:tcPr>
                  <w:tcW w:w="390" w:type="dxa"/>
                  <w:vAlign w:val="center"/>
                </w:tcPr>
                <w:p w14:paraId="57BC1CC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266D02F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橡胶和塑料制品业</w:t>
                  </w:r>
                </w:p>
              </w:tc>
              <w:tc>
                <w:tcPr>
                  <w:tcW w:w="809" w:type="dxa"/>
                  <w:vAlign w:val="center"/>
                </w:tcPr>
                <w:p w14:paraId="2FB090A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9333</w:t>
                  </w:r>
                </w:p>
              </w:tc>
              <w:tc>
                <w:tcPr>
                  <w:tcW w:w="2408" w:type="dxa"/>
                  <w:vAlign w:val="center"/>
                </w:tcPr>
                <w:p w14:paraId="7834C37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年产改性塑料 8000 吨</w:t>
                  </w:r>
                </w:p>
              </w:tc>
              <w:tc>
                <w:tcPr>
                  <w:tcW w:w="1346" w:type="dxa"/>
                  <w:vAlign w:val="center"/>
                </w:tcPr>
                <w:p w14:paraId="2EAE54B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"bookmark252"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2018</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]60 号</w:t>
                  </w:r>
                </w:p>
              </w:tc>
            </w:tr>
            <w:tr w14:paraId="5AA98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4FE8FC2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76</w:t>
                  </w:r>
                </w:p>
              </w:tc>
              <w:tc>
                <w:tcPr>
                  <w:tcW w:w="1401" w:type="dxa"/>
                  <w:vAlign w:val="center"/>
                </w:tcPr>
                <w:p w14:paraId="222EA48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乐昌市赫尔龙体育用品有限</w:t>
                  </w:r>
                </w:p>
                <w:p w14:paraId="797BF51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公司</w:t>
                  </w:r>
                </w:p>
              </w:tc>
              <w:tc>
                <w:tcPr>
                  <w:tcW w:w="390" w:type="dxa"/>
                  <w:vAlign w:val="center"/>
                </w:tcPr>
                <w:p w14:paraId="20D5447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126DB04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纺织业</w:t>
                  </w:r>
                </w:p>
              </w:tc>
              <w:tc>
                <w:tcPr>
                  <w:tcW w:w="809" w:type="dxa"/>
                  <w:vAlign w:val="center"/>
                </w:tcPr>
                <w:p w14:paraId="6245EA8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14604.85</w:t>
                  </w:r>
                </w:p>
              </w:tc>
              <w:tc>
                <w:tcPr>
                  <w:tcW w:w="2408" w:type="dxa"/>
                  <w:vAlign w:val="center"/>
                </w:tcPr>
                <w:p w14:paraId="337230E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年产运动服等运动产品 100 万件</w:t>
                  </w:r>
                </w:p>
              </w:tc>
              <w:tc>
                <w:tcPr>
                  <w:tcW w:w="1346" w:type="dxa"/>
                  <w:vAlign w:val="center"/>
                </w:tcPr>
                <w:p w14:paraId="239B401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乐环审〔2019〕21 号</w:t>
                  </w:r>
                </w:p>
              </w:tc>
            </w:tr>
            <w:tr w14:paraId="4F098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7" w:hRule="atLeast"/>
                <w:jc w:val="center"/>
              </w:trPr>
              <w:tc>
                <w:tcPr>
                  <w:tcW w:w="331" w:type="dxa"/>
                  <w:vAlign w:val="center"/>
                </w:tcPr>
                <w:p w14:paraId="6622478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77</w:t>
                  </w:r>
                </w:p>
              </w:tc>
              <w:tc>
                <w:tcPr>
                  <w:tcW w:w="1401" w:type="dxa"/>
                  <w:vAlign w:val="center"/>
                </w:tcPr>
                <w:p w14:paraId="14495C6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广东省合高复合材料有限公</w:t>
                  </w:r>
                </w:p>
                <w:p w14:paraId="19E2E5B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司</w:t>
                  </w:r>
                </w:p>
              </w:tc>
              <w:tc>
                <w:tcPr>
                  <w:tcW w:w="390" w:type="dxa"/>
                  <w:vAlign w:val="center"/>
                </w:tcPr>
                <w:p w14:paraId="7FB6B27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3EFAAB7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非金属矿物制品业</w:t>
                  </w:r>
                </w:p>
              </w:tc>
              <w:tc>
                <w:tcPr>
                  <w:tcW w:w="809" w:type="dxa"/>
                  <w:vAlign w:val="center"/>
                </w:tcPr>
                <w:p w14:paraId="7B0D337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27017.8</w:t>
                  </w:r>
                </w:p>
              </w:tc>
              <w:tc>
                <w:tcPr>
                  <w:tcW w:w="2408" w:type="dxa"/>
                  <w:vAlign w:val="center"/>
                </w:tcPr>
                <w:p w14:paraId="55BB8AA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年产玻璃纤维板材 1 万吨、玻璃钢拉挤制品 4500 吨、缠绕制</w:t>
                  </w:r>
                </w:p>
                <w:p w14:paraId="6FAA5FE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品、SMC 模压及玻璃纤维热塑板以及制品各 500 吨、玻璃钢</w:t>
                  </w:r>
                </w:p>
                <w:p w14:paraId="3266D64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格栅 5000 吨、碳纤维制品及彩色胶衣各200 吨、 玻璃钢夹</w:t>
                  </w:r>
                </w:p>
                <w:p w14:paraId="1E18FCF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芯板 2700 吨、 RTM 制品 100 吨</w:t>
                  </w:r>
                </w:p>
              </w:tc>
              <w:tc>
                <w:tcPr>
                  <w:tcW w:w="1346" w:type="dxa"/>
                  <w:vAlign w:val="center"/>
                </w:tcPr>
                <w:p w14:paraId="157674B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韶环乐审〔2021〕20 号</w:t>
                  </w:r>
                </w:p>
              </w:tc>
            </w:tr>
            <w:tr w14:paraId="5EB4B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169E3C0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78</w:t>
                  </w:r>
                </w:p>
              </w:tc>
              <w:tc>
                <w:tcPr>
                  <w:tcW w:w="1401" w:type="dxa"/>
                  <w:vAlign w:val="center"/>
                </w:tcPr>
                <w:p w14:paraId="4E70D51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同向（乐昌）精密机械有限公</w:t>
                  </w:r>
                </w:p>
                <w:p w14:paraId="75E9F85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司</w:t>
                  </w:r>
                </w:p>
              </w:tc>
              <w:tc>
                <w:tcPr>
                  <w:tcW w:w="390" w:type="dxa"/>
                  <w:vAlign w:val="center"/>
                </w:tcPr>
                <w:p w14:paraId="3745E9F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0AFB18F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通用设备制造业</w:t>
                  </w:r>
                </w:p>
              </w:tc>
              <w:tc>
                <w:tcPr>
                  <w:tcW w:w="809" w:type="dxa"/>
                  <w:vAlign w:val="center"/>
                </w:tcPr>
                <w:p w14:paraId="6A98E99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52810.91</w:t>
                  </w:r>
                </w:p>
              </w:tc>
              <w:tc>
                <w:tcPr>
                  <w:tcW w:w="2408" w:type="dxa"/>
                  <w:vAlign w:val="center"/>
                </w:tcPr>
                <w:p w14:paraId="1465357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年产登机桥、环保水箱、压力机械、建筑自动化设备、加工</w:t>
                  </w:r>
                </w:p>
                <w:p w14:paraId="34A29F1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中心设备。压铸机等合计 3350 套（台）</w:t>
                  </w:r>
                </w:p>
              </w:tc>
              <w:tc>
                <w:tcPr>
                  <w:tcW w:w="1346" w:type="dxa"/>
                  <w:vAlign w:val="center"/>
                </w:tcPr>
                <w:p w14:paraId="180293E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韶环乐审〔2021〕16 号</w:t>
                  </w:r>
                </w:p>
              </w:tc>
            </w:tr>
            <w:tr w14:paraId="6F35A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1516F0A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79</w:t>
                  </w:r>
                </w:p>
              </w:tc>
              <w:tc>
                <w:tcPr>
                  <w:tcW w:w="1401" w:type="dxa"/>
                  <w:vAlign w:val="center"/>
                </w:tcPr>
                <w:p w14:paraId="7AEF60B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乐昌市信达实业有限公司</w:t>
                  </w:r>
                </w:p>
              </w:tc>
              <w:tc>
                <w:tcPr>
                  <w:tcW w:w="390" w:type="dxa"/>
                  <w:vAlign w:val="center"/>
                </w:tcPr>
                <w:p w14:paraId="368963D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735B69A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文教、工美、体育和娱乐用品制造业</w:t>
                  </w:r>
                </w:p>
              </w:tc>
              <w:tc>
                <w:tcPr>
                  <w:tcW w:w="809" w:type="dxa"/>
                  <w:vAlign w:val="center"/>
                </w:tcPr>
                <w:p w14:paraId="37C2612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20000</w:t>
                  </w:r>
                </w:p>
              </w:tc>
              <w:tc>
                <w:tcPr>
                  <w:tcW w:w="2408" w:type="dxa"/>
                  <w:vAlign w:val="center"/>
                </w:tcPr>
                <w:p w14:paraId="24F3AB4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年产滑板 100 万台</w:t>
                  </w:r>
                </w:p>
              </w:tc>
              <w:tc>
                <w:tcPr>
                  <w:tcW w:w="1346" w:type="dxa"/>
                  <w:vAlign w:val="center"/>
                </w:tcPr>
                <w:p w14:paraId="42C0DEF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乐环审〔2019〕09 号</w:t>
                  </w:r>
                </w:p>
              </w:tc>
            </w:tr>
            <w:tr w14:paraId="59144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18AE53E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80</w:t>
                  </w:r>
                </w:p>
              </w:tc>
              <w:tc>
                <w:tcPr>
                  <w:tcW w:w="1401" w:type="dxa"/>
                  <w:vAlign w:val="center"/>
                </w:tcPr>
                <w:p w14:paraId="1B0F70F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广东威柏乐器制造有限公司</w:t>
                  </w:r>
                </w:p>
              </w:tc>
              <w:tc>
                <w:tcPr>
                  <w:tcW w:w="390" w:type="dxa"/>
                  <w:vAlign w:val="center"/>
                </w:tcPr>
                <w:p w14:paraId="0166481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34E6635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文教、工美、体育和娱乐用品制造业</w:t>
                  </w:r>
                </w:p>
              </w:tc>
              <w:tc>
                <w:tcPr>
                  <w:tcW w:w="809" w:type="dxa"/>
                  <w:vAlign w:val="center"/>
                </w:tcPr>
                <w:p w14:paraId="292F53C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43586.57</w:t>
                  </w:r>
                </w:p>
              </w:tc>
              <w:tc>
                <w:tcPr>
                  <w:tcW w:w="2408" w:type="dxa"/>
                  <w:vAlign w:val="center"/>
                </w:tcPr>
                <w:p w14:paraId="2E529E0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年产电吉他 35 万把、木吉他 15 万把</w:t>
                  </w:r>
                </w:p>
              </w:tc>
              <w:tc>
                <w:tcPr>
                  <w:tcW w:w="1346" w:type="dxa"/>
                  <w:vAlign w:val="center"/>
                </w:tcPr>
                <w:p w14:paraId="2BC762C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韶环乐审〔2025〕02 号、韶环乐审〔2026〕03 号</w:t>
                  </w:r>
                </w:p>
              </w:tc>
            </w:tr>
            <w:tr w14:paraId="14D8A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jc w:val="center"/>
              </w:trPr>
              <w:tc>
                <w:tcPr>
                  <w:tcW w:w="331" w:type="dxa"/>
                  <w:vAlign w:val="center"/>
                </w:tcPr>
                <w:p w14:paraId="13C786F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81</w:t>
                  </w:r>
                </w:p>
              </w:tc>
              <w:tc>
                <w:tcPr>
                  <w:tcW w:w="1401" w:type="dxa"/>
                  <w:vAlign w:val="center"/>
                </w:tcPr>
                <w:p w14:paraId="78A3C04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广东维创兴电子科技有限公</w:t>
                  </w:r>
                </w:p>
                <w:p w14:paraId="150EF29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司</w:t>
                  </w:r>
                </w:p>
              </w:tc>
              <w:tc>
                <w:tcPr>
                  <w:tcW w:w="390" w:type="dxa"/>
                  <w:vAlign w:val="center"/>
                </w:tcPr>
                <w:p w14:paraId="236964C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18AE354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计算机、通信和其他电子设备制造业</w:t>
                  </w:r>
                </w:p>
              </w:tc>
              <w:tc>
                <w:tcPr>
                  <w:tcW w:w="809" w:type="dxa"/>
                  <w:vAlign w:val="center"/>
                </w:tcPr>
                <w:p w14:paraId="3E3F79C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3925.74</w:t>
                  </w:r>
                </w:p>
              </w:tc>
              <w:tc>
                <w:tcPr>
                  <w:tcW w:w="2408" w:type="dxa"/>
                  <w:vAlign w:val="center"/>
                </w:tcPr>
                <w:p w14:paraId="59BA824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年产触摸屏 100 万片</w:t>
                  </w:r>
                </w:p>
              </w:tc>
              <w:tc>
                <w:tcPr>
                  <w:tcW w:w="1346" w:type="dxa"/>
                  <w:vAlign w:val="center"/>
                </w:tcPr>
                <w:p w14:paraId="4DE5F8B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韶环乐审〔2025〕20 号</w:t>
                  </w:r>
                </w:p>
              </w:tc>
            </w:tr>
            <w:tr w14:paraId="71F9A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jc w:val="center"/>
              </w:trPr>
              <w:tc>
                <w:tcPr>
                  <w:tcW w:w="331" w:type="dxa"/>
                  <w:vAlign w:val="center"/>
                </w:tcPr>
                <w:p w14:paraId="3D01BC7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82</w:t>
                  </w:r>
                </w:p>
              </w:tc>
              <w:tc>
                <w:tcPr>
                  <w:tcW w:w="1401" w:type="dxa"/>
                  <w:vAlign w:val="center"/>
                </w:tcPr>
                <w:p w14:paraId="316EE3D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韶关金利达塑料制品有限公</w:t>
                  </w:r>
                </w:p>
                <w:p w14:paraId="6DC7019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司</w:t>
                  </w:r>
                </w:p>
              </w:tc>
              <w:tc>
                <w:tcPr>
                  <w:tcW w:w="390" w:type="dxa"/>
                  <w:vAlign w:val="center"/>
                </w:tcPr>
                <w:p w14:paraId="0932773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2A338E9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橡胶和塑料制品</w:t>
                  </w:r>
                </w:p>
                <w:p w14:paraId="31153CE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业、废弃资源综合</w:t>
                  </w:r>
                </w:p>
                <w:p w14:paraId="5F7A2BF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利用业</w:t>
                  </w:r>
                </w:p>
              </w:tc>
              <w:tc>
                <w:tcPr>
                  <w:tcW w:w="809" w:type="dxa"/>
                  <w:vAlign w:val="center"/>
                </w:tcPr>
                <w:p w14:paraId="75DFD9E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18748.8</w:t>
                  </w:r>
                </w:p>
              </w:tc>
              <w:tc>
                <w:tcPr>
                  <w:tcW w:w="2408" w:type="dxa"/>
                  <w:vAlign w:val="center"/>
                </w:tcPr>
                <w:p w14:paraId="1C34CBC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年产再生塑胶颗粒 3000 吨</w:t>
                  </w:r>
                </w:p>
              </w:tc>
              <w:tc>
                <w:tcPr>
                  <w:tcW w:w="1346" w:type="dxa"/>
                  <w:vAlign w:val="center"/>
                </w:tcPr>
                <w:p w14:paraId="463AE9C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韶环乐审〔2025〕13 号</w:t>
                  </w:r>
                </w:p>
              </w:tc>
            </w:tr>
            <w:tr w14:paraId="416BC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jc w:val="center"/>
              </w:trPr>
              <w:tc>
                <w:tcPr>
                  <w:tcW w:w="331" w:type="dxa"/>
                  <w:vAlign w:val="center"/>
                </w:tcPr>
                <w:p w14:paraId="0608430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83</w:t>
                  </w:r>
                </w:p>
              </w:tc>
              <w:tc>
                <w:tcPr>
                  <w:tcW w:w="1401" w:type="dxa"/>
                  <w:vAlign w:val="center"/>
                </w:tcPr>
                <w:p w14:paraId="04E81BC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广东铭洋应急消防器材有限</w:t>
                  </w:r>
                </w:p>
                <w:p w14:paraId="6C01148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公司</w:t>
                  </w:r>
                </w:p>
              </w:tc>
              <w:tc>
                <w:tcPr>
                  <w:tcW w:w="390" w:type="dxa"/>
                  <w:vAlign w:val="center"/>
                </w:tcPr>
                <w:p w14:paraId="45A9865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1B0A8AA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专用设备制造业</w:t>
                  </w:r>
                </w:p>
              </w:tc>
              <w:tc>
                <w:tcPr>
                  <w:tcW w:w="809" w:type="dxa"/>
                  <w:vAlign w:val="center"/>
                </w:tcPr>
                <w:p w14:paraId="38FBD74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9850</w:t>
                  </w:r>
                </w:p>
              </w:tc>
              <w:tc>
                <w:tcPr>
                  <w:tcW w:w="2408" w:type="dxa"/>
                  <w:vAlign w:val="center"/>
                </w:tcPr>
                <w:p w14:paraId="7F6FBE5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年产过滤式消防自救呼吸器 750 万具，配套催化剂 720 吨，</w:t>
                  </w:r>
                </w:p>
                <w:p w14:paraId="301753D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卡加拉特剂 1080 吨</w:t>
                  </w:r>
                </w:p>
              </w:tc>
              <w:tc>
                <w:tcPr>
                  <w:tcW w:w="1346" w:type="dxa"/>
                  <w:vAlign w:val="center"/>
                </w:tcPr>
                <w:p w14:paraId="2A1C3F9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韶环审〔2025〕24  号</w:t>
                  </w:r>
                </w:p>
              </w:tc>
            </w:tr>
            <w:tr w14:paraId="04EA9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jc w:val="center"/>
              </w:trPr>
              <w:tc>
                <w:tcPr>
                  <w:tcW w:w="331" w:type="dxa"/>
                  <w:vAlign w:val="center"/>
                </w:tcPr>
                <w:p w14:paraId="475F928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84</w:t>
                  </w:r>
                </w:p>
              </w:tc>
              <w:tc>
                <w:tcPr>
                  <w:tcW w:w="1401" w:type="dxa"/>
                  <w:vAlign w:val="center"/>
                </w:tcPr>
                <w:p w14:paraId="714284F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韶关市建兴新材料科技有限</w:t>
                  </w:r>
                </w:p>
                <w:p w14:paraId="550600D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公司</w:t>
                  </w:r>
                </w:p>
              </w:tc>
              <w:tc>
                <w:tcPr>
                  <w:tcW w:w="390" w:type="dxa"/>
                  <w:vAlign w:val="center"/>
                </w:tcPr>
                <w:p w14:paraId="56E9610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在建</w:t>
                  </w:r>
                </w:p>
              </w:tc>
              <w:tc>
                <w:tcPr>
                  <w:tcW w:w="1083" w:type="dxa"/>
                  <w:vAlign w:val="center"/>
                </w:tcPr>
                <w:p w14:paraId="4DC9218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非金属矿采选业</w:t>
                  </w:r>
                </w:p>
              </w:tc>
              <w:tc>
                <w:tcPr>
                  <w:tcW w:w="809" w:type="dxa"/>
                  <w:vAlign w:val="center"/>
                </w:tcPr>
                <w:p w14:paraId="5AF8CDB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33562.6</w:t>
                  </w:r>
                </w:p>
              </w:tc>
              <w:tc>
                <w:tcPr>
                  <w:tcW w:w="2408" w:type="dxa"/>
                  <w:vAlign w:val="center"/>
                </w:tcPr>
                <w:p w14:paraId="7ECA669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年产堂石精矿 5 万吨</w:t>
                  </w:r>
                </w:p>
              </w:tc>
              <w:tc>
                <w:tcPr>
                  <w:tcW w:w="1346" w:type="dxa"/>
                  <w:vAlign w:val="center"/>
                </w:tcPr>
                <w:p w14:paraId="4E04577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韶环乐审〔2025〕14  号</w:t>
                  </w:r>
                </w:p>
              </w:tc>
            </w:tr>
            <w:tr w14:paraId="6389F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184ABD0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85</w:t>
                  </w:r>
                </w:p>
              </w:tc>
              <w:tc>
                <w:tcPr>
                  <w:tcW w:w="1401" w:type="dxa"/>
                  <w:vAlign w:val="center"/>
                </w:tcPr>
                <w:p w14:paraId="13C1D9E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韶关市泳金构造机械有限公</w:t>
                  </w:r>
                </w:p>
                <w:p w14:paraId="350FB99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司</w:t>
                  </w:r>
                </w:p>
              </w:tc>
              <w:tc>
                <w:tcPr>
                  <w:tcW w:w="390" w:type="dxa"/>
                  <w:vAlign w:val="center"/>
                </w:tcPr>
                <w:p w14:paraId="4CA39B2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在建</w:t>
                  </w:r>
                </w:p>
              </w:tc>
              <w:tc>
                <w:tcPr>
                  <w:tcW w:w="1083" w:type="dxa"/>
                  <w:vAlign w:val="center"/>
                </w:tcPr>
                <w:p w14:paraId="4AD72FD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3107620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20477.32</w:t>
                  </w:r>
                </w:p>
              </w:tc>
              <w:tc>
                <w:tcPr>
                  <w:tcW w:w="2408" w:type="dxa"/>
                  <w:vAlign w:val="center"/>
                </w:tcPr>
                <w:p w14:paraId="7D5890B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年产钢结构成品 1.3 万吨</w:t>
                  </w:r>
                </w:p>
              </w:tc>
              <w:tc>
                <w:tcPr>
                  <w:tcW w:w="1346" w:type="dxa"/>
                  <w:vAlign w:val="center"/>
                </w:tcPr>
                <w:p w14:paraId="317D728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韶环乐审〔2025〕05 号</w:t>
                  </w:r>
                </w:p>
              </w:tc>
            </w:tr>
            <w:tr w14:paraId="39331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7D1D097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86</w:t>
                  </w:r>
                </w:p>
              </w:tc>
              <w:tc>
                <w:tcPr>
                  <w:tcW w:w="1401" w:type="dxa"/>
                  <w:vAlign w:val="center"/>
                </w:tcPr>
                <w:p w14:paraId="2B3B0C6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广东欣汇复合材料有限公司</w:t>
                  </w:r>
                </w:p>
              </w:tc>
              <w:tc>
                <w:tcPr>
                  <w:tcW w:w="390" w:type="dxa"/>
                  <w:vAlign w:val="center"/>
                </w:tcPr>
                <w:p w14:paraId="4C61B6A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在建</w:t>
                  </w:r>
                </w:p>
              </w:tc>
              <w:tc>
                <w:tcPr>
                  <w:tcW w:w="1083" w:type="dxa"/>
                  <w:vAlign w:val="center"/>
                </w:tcPr>
                <w:p w14:paraId="324B92F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非金属矿物制品业</w:t>
                  </w:r>
                </w:p>
              </w:tc>
              <w:tc>
                <w:tcPr>
                  <w:tcW w:w="809" w:type="dxa"/>
                  <w:vAlign w:val="center"/>
                </w:tcPr>
                <w:p w14:paraId="01087B6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29024.94</w:t>
                  </w:r>
                </w:p>
              </w:tc>
              <w:tc>
                <w:tcPr>
                  <w:tcW w:w="2408" w:type="dxa"/>
                  <w:vAlign w:val="center"/>
                </w:tcPr>
                <w:p w14:paraId="0F4454B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年产玻璃纤维增强塑料制品 7200 吨、玻纤布 1200 吨、生活</w:t>
                  </w:r>
                </w:p>
                <w:p w14:paraId="0CB32E4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用品 3500 吨、塑料配件 15 吨</w:t>
                  </w:r>
                </w:p>
              </w:tc>
              <w:tc>
                <w:tcPr>
                  <w:tcW w:w="1346" w:type="dxa"/>
                  <w:vAlign w:val="center"/>
                </w:tcPr>
                <w:p w14:paraId="0341241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韶环乐审〔2024〕26 号</w:t>
                  </w:r>
                </w:p>
              </w:tc>
            </w:tr>
            <w:tr w14:paraId="72524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331" w:type="dxa"/>
                  <w:vAlign w:val="center"/>
                </w:tcPr>
                <w:p w14:paraId="3898447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87</w:t>
                  </w:r>
                </w:p>
              </w:tc>
              <w:tc>
                <w:tcPr>
                  <w:tcW w:w="1401" w:type="dxa"/>
                  <w:vAlign w:val="center"/>
                </w:tcPr>
                <w:p w14:paraId="57B53C0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乐昌市鑫盛塑业有限公司</w:t>
                  </w:r>
                </w:p>
              </w:tc>
              <w:tc>
                <w:tcPr>
                  <w:tcW w:w="390" w:type="dxa"/>
                  <w:vAlign w:val="center"/>
                </w:tcPr>
                <w:p w14:paraId="08974A4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在建</w:t>
                  </w:r>
                </w:p>
              </w:tc>
              <w:tc>
                <w:tcPr>
                  <w:tcW w:w="1083" w:type="dxa"/>
                  <w:vAlign w:val="center"/>
                </w:tcPr>
                <w:p w14:paraId="604ADCD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橡胶和塑料制品业</w:t>
                  </w:r>
                </w:p>
              </w:tc>
              <w:tc>
                <w:tcPr>
                  <w:tcW w:w="809" w:type="dxa"/>
                  <w:vAlign w:val="center"/>
                </w:tcPr>
                <w:p w14:paraId="6F77187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1182.71</w:t>
                  </w:r>
                </w:p>
              </w:tc>
              <w:tc>
                <w:tcPr>
                  <w:tcW w:w="2408" w:type="dxa"/>
                  <w:vAlign w:val="center"/>
                </w:tcPr>
                <w:p w14:paraId="6F6A801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年产编织袋 5000 吨</w:t>
                  </w:r>
                </w:p>
              </w:tc>
              <w:tc>
                <w:tcPr>
                  <w:tcW w:w="1346" w:type="dxa"/>
                  <w:vAlign w:val="center"/>
                </w:tcPr>
                <w:p w14:paraId="1283505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"bookmark253"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2017</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]21 号</w:t>
                  </w:r>
                </w:p>
              </w:tc>
            </w:tr>
            <w:tr w14:paraId="7226A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6B7DA49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88</w:t>
                  </w:r>
                </w:p>
              </w:tc>
              <w:tc>
                <w:tcPr>
                  <w:tcW w:w="1401" w:type="dxa"/>
                  <w:vAlign w:val="center"/>
                </w:tcPr>
                <w:p w14:paraId="71F3CA1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广东金康新材料有限公司</w:t>
                  </w:r>
                </w:p>
              </w:tc>
              <w:tc>
                <w:tcPr>
                  <w:tcW w:w="390" w:type="dxa"/>
                  <w:vAlign w:val="center"/>
                </w:tcPr>
                <w:p w14:paraId="78CB135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232A9FF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化学原料和化学制品制造业</w:t>
                  </w:r>
                </w:p>
              </w:tc>
              <w:tc>
                <w:tcPr>
                  <w:tcW w:w="809" w:type="dxa"/>
                  <w:vAlign w:val="center"/>
                </w:tcPr>
                <w:p w14:paraId="549599E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11260.7</w:t>
                  </w:r>
                </w:p>
              </w:tc>
              <w:tc>
                <w:tcPr>
                  <w:tcW w:w="2408" w:type="dxa"/>
                  <w:vAlign w:val="center"/>
                </w:tcPr>
                <w:p w14:paraId="77FA135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 PVC 稳定剂 3600 吨、助剂 2400 吨</w:t>
                  </w:r>
                </w:p>
              </w:tc>
              <w:tc>
                <w:tcPr>
                  <w:tcW w:w="1346" w:type="dxa"/>
                  <w:vAlign w:val="center"/>
                </w:tcPr>
                <w:p w14:paraId="2DD5F9D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乐环审〔2020〕10 号</w:t>
                  </w:r>
                </w:p>
              </w:tc>
            </w:tr>
            <w:tr w14:paraId="08104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jc w:val="center"/>
              </w:trPr>
              <w:tc>
                <w:tcPr>
                  <w:tcW w:w="331" w:type="dxa"/>
                  <w:vAlign w:val="center"/>
                </w:tcPr>
                <w:p w14:paraId="61A7292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89</w:t>
                  </w:r>
                </w:p>
              </w:tc>
              <w:tc>
                <w:tcPr>
                  <w:tcW w:w="1401" w:type="dxa"/>
                  <w:vAlign w:val="center"/>
                </w:tcPr>
                <w:p w14:paraId="5268095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韶关市恒琦耐磨材料有限公</w:t>
                  </w:r>
                </w:p>
                <w:p w14:paraId="4D4F9F3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司</w:t>
                  </w:r>
                </w:p>
              </w:tc>
              <w:tc>
                <w:tcPr>
                  <w:tcW w:w="390" w:type="dxa"/>
                  <w:vAlign w:val="center"/>
                </w:tcPr>
                <w:p w14:paraId="090EBBB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73A8D31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6854B19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2200</w:t>
                  </w:r>
                </w:p>
              </w:tc>
              <w:tc>
                <w:tcPr>
                  <w:tcW w:w="2408" w:type="dxa"/>
                  <w:vAlign w:val="center"/>
                </w:tcPr>
                <w:p w14:paraId="4DC1308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年产耐磨钢球 1 万吨</w:t>
                  </w:r>
                </w:p>
              </w:tc>
              <w:tc>
                <w:tcPr>
                  <w:tcW w:w="1346" w:type="dxa"/>
                  <w:vAlign w:val="center"/>
                </w:tcPr>
                <w:p w14:paraId="0590FC6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韶环乐审〔2023〕26 号</w:t>
                  </w:r>
                </w:p>
              </w:tc>
            </w:tr>
            <w:tr w14:paraId="0A913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jc w:val="center"/>
              </w:trPr>
              <w:tc>
                <w:tcPr>
                  <w:tcW w:w="331" w:type="dxa"/>
                  <w:vAlign w:val="center"/>
                </w:tcPr>
                <w:p w14:paraId="68ED8CC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90</w:t>
                  </w:r>
                </w:p>
              </w:tc>
              <w:tc>
                <w:tcPr>
                  <w:tcW w:w="1401" w:type="dxa"/>
                  <w:vAlign w:val="center"/>
                </w:tcPr>
                <w:p w14:paraId="7F38EF4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乐昌市永成智能厨房设备制造有限公司</w:t>
                  </w:r>
                </w:p>
              </w:tc>
              <w:tc>
                <w:tcPr>
                  <w:tcW w:w="390" w:type="dxa"/>
                  <w:vAlign w:val="center"/>
                </w:tcPr>
                <w:p w14:paraId="0312540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2694CBD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通用设备制造业</w:t>
                  </w:r>
                </w:p>
              </w:tc>
              <w:tc>
                <w:tcPr>
                  <w:tcW w:w="809" w:type="dxa"/>
                  <w:vAlign w:val="center"/>
                </w:tcPr>
                <w:p w14:paraId="69EAD7E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33333.33</w:t>
                  </w:r>
                </w:p>
              </w:tc>
              <w:tc>
                <w:tcPr>
                  <w:tcW w:w="2408" w:type="dxa"/>
                  <w:vAlign w:val="center"/>
                </w:tcPr>
                <w:p w14:paraId="2C7D2DD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年产锅炉具类、蒸炉具类、工作台类、层架类、星盆类、柜</w:t>
                  </w:r>
                </w:p>
                <w:p w14:paraId="23BDAEF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式类、消毒柜类、备餐类、餐车类、餐台类、西餐类、环保</w:t>
                  </w:r>
                </w:p>
                <w:p w14:paraId="60E7536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设备类 12570 台</w:t>
                  </w:r>
                </w:p>
              </w:tc>
              <w:tc>
                <w:tcPr>
                  <w:tcW w:w="1346" w:type="dxa"/>
                  <w:vAlign w:val="center"/>
                </w:tcPr>
                <w:p w14:paraId="1335CA9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"bookmark254"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2018</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]41 号</w:t>
                  </w:r>
                </w:p>
              </w:tc>
            </w:tr>
            <w:tr w14:paraId="790CF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331" w:type="dxa"/>
                  <w:vAlign w:val="center"/>
                </w:tcPr>
                <w:p w14:paraId="2E9C7E3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91</w:t>
                  </w:r>
                </w:p>
              </w:tc>
              <w:tc>
                <w:tcPr>
                  <w:tcW w:w="1401" w:type="dxa"/>
                  <w:vAlign w:val="center"/>
                </w:tcPr>
                <w:p w14:paraId="226991C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广东润昕新材料有限公司</w:t>
                  </w:r>
                </w:p>
              </w:tc>
              <w:tc>
                <w:tcPr>
                  <w:tcW w:w="390" w:type="dxa"/>
                  <w:vAlign w:val="center"/>
                </w:tcPr>
                <w:p w14:paraId="228554D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在建</w:t>
                  </w:r>
                </w:p>
              </w:tc>
              <w:tc>
                <w:tcPr>
                  <w:tcW w:w="1083" w:type="dxa"/>
                  <w:vAlign w:val="center"/>
                </w:tcPr>
                <w:p w14:paraId="23ED8C9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2F66A6E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34905.44</w:t>
                  </w:r>
                </w:p>
              </w:tc>
              <w:tc>
                <w:tcPr>
                  <w:tcW w:w="2408" w:type="dxa"/>
                  <w:vAlign w:val="center"/>
                </w:tcPr>
                <w:p w14:paraId="30B8CAB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年加工铝卷原料 100 万平方米</w:t>
                  </w:r>
                </w:p>
              </w:tc>
              <w:tc>
                <w:tcPr>
                  <w:tcW w:w="1346" w:type="dxa"/>
                  <w:vAlign w:val="center"/>
                </w:tcPr>
                <w:p w14:paraId="10C932D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韶环乐审〔2025〕21 号</w:t>
                  </w:r>
                </w:p>
              </w:tc>
            </w:tr>
            <w:tr w14:paraId="46B99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669DD6C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92</w:t>
                  </w:r>
                </w:p>
              </w:tc>
              <w:tc>
                <w:tcPr>
                  <w:tcW w:w="1401" w:type="dxa"/>
                  <w:vAlign w:val="center"/>
                </w:tcPr>
                <w:p w14:paraId="6E5DCF6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筑能（韶关）精工制造有限公</w:t>
                  </w:r>
                </w:p>
                <w:p w14:paraId="43BE102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司</w:t>
                  </w:r>
                </w:p>
              </w:tc>
              <w:tc>
                <w:tcPr>
                  <w:tcW w:w="390" w:type="dxa"/>
                  <w:vAlign w:val="center"/>
                </w:tcPr>
                <w:p w14:paraId="67D9150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在建</w:t>
                  </w:r>
                </w:p>
              </w:tc>
              <w:tc>
                <w:tcPr>
                  <w:tcW w:w="1083" w:type="dxa"/>
                  <w:vAlign w:val="center"/>
                </w:tcPr>
                <w:p w14:paraId="62CD3EC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28DFDCA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36212.64</w:t>
                  </w:r>
                </w:p>
              </w:tc>
              <w:tc>
                <w:tcPr>
                  <w:tcW w:w="2408" w:type="dxa"/>
                  <w:vAlign w:val="center"/>
                </w:tcPr>
                <w:p w14:paraId="1410AD1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年加工铝卷原料 150 万平方米</w:t>
                  </w:r>
                </w:p>
              </w:tc>
              <w:tc>
                <w:tcPr>
                  <w:tcW w:w="1346" w:type="dxa"/>
                  <w:vAlign w:val="center"/>
                </w:tcPr>
                <w:p w14:paraId="01604DD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韶环乐审〔2025〕19 号</w:t>
                  </w:r>
                </w:p>
              </w:tc>
            </w:tr>
            <w:tr w14:paraId="7E647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331" w:type="dxa"/>
                  <w:vAlign w:val="center"/>
                </w:tcPr>
                <w:p w14:paraId="03ACC23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93</w:t>
                  </w:r>
                </w:p>
              </w:tc>
              <w:tc>
                <w:tcPr>
                  <w:tcW w:w="1401" w:type="dxa"/>
                  <w:vAlign w:val="center"/>
                </w:tcPr>
                <w:p w14:paraId="5306D85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美伦建材（韶关）有限公司</w:t>
                  </w:r>
                </w:p>
              </w:tc>
              <w:tc>
                <w:tcPr>
                  <w:tcW w:w="390" w:type="dxa"/>
                  <w:vAlign w:val="center"/>
                </w:tcPr>
                <w:p w14:paraId="73C0A8C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在建</w:t>
                  </w:r>
                </w:p>
              </w:tc>
              <w:tc>
                <w:tcPr>
                  <w:tcW w:w="1083" w:type="dxa"/>
                  <w:vAlign w:val="center"/>
                </w:tcPr>
                <w:p w14:paraId="3B4F7BA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57D97F8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54969.22</w:t>
                  </w:r>
                </w:p>
              </w:tc>
              <w:tc>
                <w:tcPr>
                  <w:tcW w:w="2408" w:type="dxa"/>
                  <w:vAlign w:val="center"/>
                </w:tcPr>
                <w:p w14:paraId="5EBC93E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年加工铝卷原料 200 万平方米</w:t>
                  </w:r>
                </w:p>
              </w:tc>
              <w:tc>
                <w:tcPr>
                  <w:tcW w:w="1346" w:type="dxa"/>
                  <w:vAlign w:val="center"/>
                </w:tcPr>
                <w:p w14:paraId="4D28569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韶环乐审〔2025〕08 号</w:t>
                  </w:r>
                </w:p>
              </w:tc>
            </w:tr>
            <w:tr w14:paraId="23A6F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608D8D1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94</w:t>
                  </w:r>
                </w:p>
              </w:tc>
              <w:tc>
                <w:tcPr>
                  <w:tcW w:w="1401" w:type="dxa"/>
                  <w:vAlign w:val="center"/>
                </w:tcPr>
                <w:p w14:paraId="2AD5ED8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中荣印刷（韶关）有限公司</w:t>
                  </w:r>
                </w:p>
              </w:tc>
              <w:tc>
                <w:tcPr>
                  <w:tcW w:w="390" w:type="dxa"/>
                  <w:vAlign w:val="center"/>
                </w:tcPr>
                <w:p w14:paraId="6D23CA2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1EF345D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造纸和纸制品业</w:t>
                  </w:r>
                </w:p>
              </w:tc>
              <w:tc>
                <w:tcPr>
                  <w:tcW w:w="809" w:type="dxa"/>
                  <w:vAlign w:val="center"/>
                </w:tcPr>
                <w:p w14:paraId="3B68AA5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3227.65</w:t>
                  </w:r>
                </w:p>
              </w:tc>
              <w:tc>
                <w:tcPr>
                  <w:tcW w:w="2408" w:type="dxa"/>
                  <w:vAlign w:val="center"/>
                </w:tcPr>
                <w:p w14:paraId="2044CA0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年产彩盒 500 万个、礼盒 50 万个、卡类 500 万张</w:t>
                  </w:r>
                </w:p>
              </w:tc>
              <w:tc>
                <w:tcPr>
                  <w:tcW w:w="1346" w:type="dxa"/>
                  <w:vAlign w:val="center"/>
                </w:tcPr>
                <w:p w14:paraId="25BD2AA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韶环乐审〔2024〕24 号</w:t>
                  </w:r>
                </w:p>
              </w:tc>
            </w:tr>
            <w:tr w14:paraId="59491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331" w:type="dxa"/>
                  <w:vAlign w:val="center"/>
                </w:tcPr>
                <w:p w14:paraId="43367D2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95</w:t>
                  </w:r>
                </w:p>
              </w:tc>
              <w:tc>
                <w:tcPr>
                  <w:tcW w:w="1401" w:type="dxa"/>
                  <w:vAlign w:val="center"/>
                </w:tcPr>
                <w:p w14:paraId="08E2008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廓鑫建材（韶关）有限公司</w:t>
                  </w:r>
                </w:p>
              </w:tc>
              <w:tc>
                <w:tcPr>
                  <w:tcW w:w="390" w:type="dxa"/>
                  <w:vAlign w:val="center"/>
                </w:tcPr>
                <w:p w14:paraId="5F94F0E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在建</w:t>
                  </w:r>
                </w:p>
              </w:tc>
              <w:tc>
                <w:tcPr>
                  <w:tcW w:w="1083" w:type="dxa"/>
                  <w:vAlign w:val="center"/>
                </w:tcPr>
                <w:p w14:paraId="5AB167C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4DEDA4C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33373.03</w:t>
                  </w:r>
                </w:p>
              </w:tc>
              <w:tc>
                <w:tcPr>
                  <w:tcW w:w="2408" w:type="dxa"/>
                  <w:vAlign w:val="center"/>
                </w:tcPr>
                <w:p w14:paraId="11DFE26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年产钣金件 8100 吨</w:t>
                  </w:r>
                </w:p>
              </w:tc>
              <w:tc>
                <w:tcPr>
                  <w:tcW w:w="1346" w:type="dxa"/>
                  <w:vAlign w:val="center"/>
                </w:tcPr>
                <w:p w14:paraId="1762C1F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韶环乐审〔2025〕25 号</w:t>
                  </w:r>
                </w:p>
              </w:tc>
            </w:tr>
            <w:tr w14:paraId="5C7D9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331" w:type="dxa"/>
                  <w:vAlign w:val="center"/>
                </w:tcPr>
                <w:p w14:paraId="3B66B5B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96</w:t>
                  </w:r>
                </w:p>
              </w:tc>
              <w:tc>
                <w:tcPr>
                  <w:tcW w:w="1401" w:type="dxa"/>
                  <w:vAlign w:val="center"/>
                </w:tcPr>
                <w:p w14:paraId="7DBA31B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广东三筑金属制品有限公司</w:t>
                  </w:r>
                </w:p>
              </w:tc>
              <w:tc>
                <w:tcPr>
                  <w:tcW w:w="390" w:type="dxa"/>
                  <w:vAlign w:val="center"/>
                </w:tcPr>
                <w:p w14:paraId="6650806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在建</w:t>
                  </w:r>
                </w:p>
              </w:tc>
              <w:tc>
                <w:tcPr>
                  <w:tcW w:w="1083" w:type="dxa"/>
                  <w:vAlign w:val="center"/>
                </w:tcPr>
                <w:p w14:paraId="631C3AF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239949C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54139.29</w:t>
                  </w:r>
                </w:p>
              </w:tc>
              <w:tc>
                <w:tcPr>
                  <w:tcW w:w="2408" w:type="dxa"/>
                  <w:vAlign w:val="center"/>
                </w:tcPr>
                <w:p w14:paraId="7400F6C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年产各类板及其他铝制品 110 万平方米</w:t>
                  </w:r>
                </w:p>
              </w:tc>
              <w:tc>
                <w:tcPr>
                  <w:tcW w:w="1346" w:type="dxa"/>
                  <w:vAlign w:val="center"/>
                </w:tcPr>
                <w:p w14:paraId="4DDD6D8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韶环乐审〔2025〕24 号</w:t>
                  </w:r>
                </w:p>
              </w:tc>
            </w:tr>
            <w:tr w14:paraId="3C685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724E3B8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97</w:t>
                  </w:r>
                </w:p>
              </w:tc>
              <w:tc>
                <w:tcPr>
                  <w:tcW w:w="1401" w:type="dxa"/>
                  <w:vAlign w:val="center"/>
                </w:tcPr>
                <w:p w14:paraId="1DC5B47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广东启健净水设备有限公司</w:t>
                  </w:r>
                </w:p>
              </w:tc>
              <w:tc>
                <w:tcPr>
                  <w:tcW w:w="390" w:type="dxa"/>
                  <w:vAlign w:val="center"/>
                </w:tcPr>
                <w:p w14:paraId="136B62A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已批未建</w:t>
                  </w:r>
                </w:p>
              </w:tc>
              <w:tc>
                <w:tcPr>
                  <w:tcW w:w="1083" w:type="dxa"/>
                  <w:vAlign w:val="center"/>
                </w:tcPr>
                <w:p w14:paraId="0A99544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家具制造业</w:t>
                  </w:r>
                </w:p>
              </w:tc>
              <w:tc>
                <w:tcPr>
                  <w:tcW w:w="809" w:type="dxa"/>
                  <w:vAlign w:val="center"/>
                </w:tcPr>
                <w:p w14:paraId="65D60E3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9598</w:t>
                  </w:r>
                </w:p>
              </w:tc>
              <w:tc>
                <w:tcPr>
                  <w:tcW w:w="2408" w:type="dxa"/>
                  <w:vAlign w:val="center"/>
                </w:tcPr>
                <w:p w14:paraId="26D086B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年产直沸水壶机、饮水机、直饮水机、净水器、纯水机等净水设备 120 万台、饮用水机配件、净水机配件 150 万件</w:t>
                  </w:r>
                </w:p>
              </w:tc>
              <w:tc>
                <w:tcPr>
                  <w:tcW w:w="1346" w:type="dxa"/>
                  <w:vAlign w:val="center"/>
                </w:tcPr>
                <w:p w14:paraId="16C977D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乐环审〔2019〕42 号</w:t>
                  </w:r>
                </w:p>
              </w:tc>
            </w:tr>
            <w:tr w14:paraId="42F2E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541964C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98</w:t>
                  </w:r>
                </w:p>
              </w:tc>
              <w:tc>
                <w:tcPr>
                  <w:tcW w:w="1401" w:type="dxa"/>
                  <w:vAlign w:val="center"/>
                </w:tcPr>
                <w:p w14:paraId="029D88B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乐昌产业园工业固体废弃物设施补短板项目</w:t>
                  </w:r>
                </w:p>
              </w:tc>
              <w:tc>
                <w:tcPr>
                  <w:tcW w:w="390" w:type="dxa"/>
                  <w:vAlign w:val="center"/>
                </w:tcPr>
                <w:p w14:paraId="2976309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已批未建</w:t>
                  </w:r>
                </w:p>
              </w:tc>
              <w:tc>
                <w:tcPr>
                  <w:tcW w:w="1083" w:type="dxa"/>
                  <w:vAlign w:val="center"/>
                </w:tcPr>
                <w:p w14:paraId="756F29A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装卸搬运和仓储业</w:t>
                  </w:r>
                </w:p>
              </w:tc>
              <w:tc>
                <w:tcPr>
                  <w:tcW w:w="809" w:type="dxa"/>
                  <w:vAlign w:val="center"/>
                </w:tcPr>
                <w:p w14:paraId="587FA6B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4000</w:t>
                  </w:r>
                </w:p>
              </w:tc>
              <w:tc>
                <w:tcPr>
                  <w:tcW w:w="2408" w:type="dxa"/>
                  <w:vAlign w:val="center"/>
                </w:tcPr>
                <w:p w14:paraId="1E26E63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年收集危险废物 2806 吨，一般固体废物 8.5 万吨。</w:t>
                  </w:r>
                </w:p>
              </w:tc>
              <w:tc>
                <w:tcPr>
                  <w:tcW w:w="1346" w:type="dxa"/>
                  <w:vAlign w:val="center"/>
                </w:tcPr>
                <w:p w14:paraId="67EF9B5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韶环乐审〔2023〕05 号</w:t>
                  </w:r>
                </w:p>
              </w:tc>
            </w:tr>
            <w:tr w14:paraId="71732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jc w:val="center"/>
              </w:trPr>
              <w:tc>
                <w:tcPr>
                  <w:tcW w:w="331" w:type="dxa"/>
                  <w:vAlign w:val="center"/>
                </w:tcPr>
                <w:p w14:paraId="58775BE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99</w:t>
                  </w:r>
                </w:p>
              </w:tc>
              <w:tc>
                <w:tcPr>
                  <w:tcW w:w="1401" w:type="dxa"/>
                  <w:vAlign w:val="center"/>
                </w:tcPr>
                <w:p w14:paraId="04E90A4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乐昌市鑫盛威塑胶新材料科技有限公司</w:t>
                  </w:r>
                </w:p>
              </w:tc>
              <w:tc>
                <w:tcPr>
                  <w:tcW w:w="390" w:type="dxa"/>
                  <w:vAlign w:val="center"/>
                </w:tcPr>
                <w:p w14:paraId="403616A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已批未建</w:t>
                  </w:r>
                </w:p>
              </w:tc>
              <w:tc>
                <w:tcPr>
                  <w:tcW w:w="1083" w:type="dxa"/>
                  <w:vAlign w:val="center"/>
                </w:tcPr>
                <w:p w14:paraId="07AB550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橡胶和塑料制品</w:t>
                  </w:r>
                </w:p>
                <w:p w14:paraId="51D71B7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业、非金属矿物制</w:t>
                  </w:r>
                </w:p>
                <w:p w14:paraId="080F5F7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品业</w:t>
                  </w:r>
                </w:p>
              </w:tc>
              <w:tc>
                <w:tcPr>
                  <w:tcW w:w="809" w:type="dxa"/>
                  <w:vAlign w:val="center"/>
                </w:tcPr>
                <w:p w14:paraId="3E12663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8000</w:t>
                  </w:r>
                </w:p>
              </w:tc>
              <w:tc>
                <w:tcPr>
                  <w:tcW w:w="2408" w:type="dxa"/>
                  <w:vAlign w:val="center"/>
                </w:tcPr>
                <w:p w14:paraId="79E8611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p>
                <w:p w14:paraId="6AA61EC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 PVC 膜2600 吨、PU 膜 500 吨、人造石墨 2 万吨</w:t>
                  </w:r>
                </w:p>
              </w:tc>
              <w:tc>
                <w:tcPr>
                  <w:tcW w:w="1346" w:type="dxa"/>
                  <w:vAlign w:val="center"/>
                </w:tcPr>
                <w:p w14:paraId="3BF96CD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"bookmark255"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2017</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]81 号、韶环乐审</w:t>
                  </w:r>
                </w:p>
                <w:p w14:paraId="61EA123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"bookmark256"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2023</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]32 号</w:t>
                  </w:r>
                </w:p>
              </w:tc>
            </w:tr>
            <w:tr w14:paraId="60B79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1B64020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100</w:t>
                  </w:r>
                </w:p>
              </w:tc>
              <w:tc>
                <w:tcPr>
                  <w:tcW w:w="1401" w:type="dxa"/>
                  <w:vAlign w:val="center"/>
                </w:tcPr>
                <w:p w14:paraId="17E2CCB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乐昌市众诚塑㬵制品有限公</w:t>
                  </w:r>
                </w:p>
                <w:p w14:paraId="4939648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司</w:t>
                  </w:r>
                </w:p>
              </w:tc>
              <w:tc>
                <w:tcPr>
                  <w:tcW w:w="390" w:type="dxa"/>
                  <w:vAlign w:val="center"/>
                </w:tcPr>
                <w:p w14:paraId="20CB2EA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已批未建</w:t>
                  </w:r>
                </w:p>
              </w:tc>
              <w:tc>
                <w:tcPr>
                  <w:tcW w:w="1083" w:type="dxa"/>
                  <w:vAlign w:val="center"/>
                </w:tcPr>
                <w:p w14:paraId="630B91C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橡胶和塑料制品业</w:t>
                  </w:r>
                </w:p>
              </w:tc>
              <w:tc>
                <w:tcPr>
                  <w:tcW w:w="809" w:type="dxa"/>
                  <w:vAlign w:val="center"/>
                </w:tcPr>
                <w:p w14:paraId="4466922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12419.5</w:t>
                  </w:r>
                </w:p>
              </w:tc>
              <w:tc>
                <w:tcPr>
                  <w:tcW w:w="2408" w:type="dxa"/>
                  <w:vAlign w:val="center"/>
                </w:tcPr>
                <w:p w14:paraId="0C125A6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 PU 装饰线条 1300 吨、聚氨酯装饰制品 200 吨</w:t>
                  </w:r>
                </w:p>
              </w:tc>
              <w:tc>
                <w:tcPr>
                  <w:tcW w:w="1346" w:type="dxa"/>
                  <w:vAlign w:val="center"/>
                </w:tcPr>
                <w:p w14:paraId="3C767D2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"bookmark257"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2018</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 15 号</w:t>
                  </w:r>
                </w:p>
              </w:tc>
            </w:tr>
            <w:tr w14:paraId="66F30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jc w:val="center"/>
              </w:trPr>
              <w:tc>
                <w:tcPr>
                  <w:tcW w:w="331" w:type="dxa"/>
                  <w:vAlign w:val="center"/>
                </w:tcPr>
                <w:p w14:paraId="1C62B33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101</w:t>
                  </w:r>
                </w:p>
              </w:tc>
              <w:tc>
                <w:tcPr>
                  <w:tcW w:w="1401" w:type="dxa"/>
                  <w:vAlign w:val="center"/>
                </w:tcPr>
                <w:p w14:paraId="0083329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韶关盖邦建材有限公司</w:t>
                  </w:r>
                </w:p>
              </w:tc>
              <w:tc>
                <w:tcPr>
                  <w:tcW w:w="390" w:type="dxa"/>
                  <w:vAlign w:val="center"/>
                </w:tcPr>
                <w:p w14:paraId="234481C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已批未建</w:t>
                  </w:r>
                </w:p>
              </w:tc>
              <w:tc>
                <w:tcPr>
                  <w:tcW w:w="1083" w:type="dxa"/>
                  <w:vAlign w:val="center"/>
                </w:tcPr>
                <w:p w14:paraId="4897294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540EE39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10000</w:t>
                  </w:r>
                </w:p>
              </w:tc>
              <w:tc>
                <w:tcPr>
                  <w:tcW w:w="2408" w:type="dxa"/>
                  <w:vAlign w:val="center"/>
                </w:tcPr>
                <w:p w14:paraId="04FBE18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 6000 个不锈钢井盖、排水沟盖板</w:t>
                  </w:r>
                </w:p>
              </w:tc>
              <w:tc>
                <w:tcPr>
                  <w:tcW w:w="1346" w:type="dxa"/>
                  <w:vAlign w:val="center"/>
                </w:tcPr>
                <w:p w14:paraId="771A65B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乐环审〔2019〕33 号</w:t>
                  </w:r>
                </w:p>
              </w:tc>
            </w:tr>
            <w:tr w14:paraId="2AA65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55535E8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102</w:t>
                  </w:r>
                </w:p>
              </w:tc>
              <w:tc>
                <w:tcPr>
                  <w:tcW w:w="1401" w:type="dxa"/>
                  <w:vAlign w:val="center"/>
                </w:tcPr>
                <w:p w14:paraId="5502C77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广东力齐铝模科技有限公司</w:t>
                  </w:r>
                </w:p>
              </w:tc>
              <w:tc>
                <w:tcPr>
                  <w:tcW w:w="390" w:type="dxa"/>
                  <w:vAlign w:val="center"/>
                </w:tcPr>
                <w:p w14:paraId="1FB590E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停产</w:t>
                  </w:r>
                </w:p>
              </w:tc>
              <w:tc>
                <w:tcPr>
                  <w:tcW w:w="1083" w:type="dxa"/>
                  <w:vAlign w:val="center"/>
                </w:tcPr>
                <w:p w14:paraId="4C2E831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4E59160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32404.8</w:t>
                  </w:r>
                </w:p>
              </w:tc>
              <w:tc>
                <w:tcPr>
                  <w:tcW w:w="2408" w:type="dxa"/>
                  <w:vAlign w:val="center"/>
                </w:tcPr>
                <w:p w14:paraId="6B2A4E7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年产铝合金建筑模板 24 万平方米，年处理结构件 6630 吨</w:t>
                  </w:r>
                </w:p>
              </w:tc>
              <w:tc>
                <w:tcPr>
                  <w:tcW w:w="1346" w:type="dxa"/>
                  <w:vAlign w:val="center"/>
                </w:tcPr>
                <w:p w14:paraId="6F36F39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乐环审〔2020〕31 号、韶环乐审</w:t>
                  </w:r>
                </w:p>
                <w:p w14:paraId="32CA8B5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〔2022〕08 号</w:t>
                  </w:r>
                </w:p>
              </w:tc>
            </w:tr>
            <w:tr w14:paraId="38326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2" w:hRule="atLeast"/>
                <w:jc w:val="center"/>
              </w:trPr>
              <w:tc>
                <w:tcPr>
                  <w:tcW w:w="331" w:type="dxa"/>
                  <w:vAlign w:val="center"/>
                </w:tcPr>
                <w:p w14:paraId="2729464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103</w:t>
                  </w:r>
                </w:p>
              </w:tc>
              <w:tc>
                <w:tcPr>
                  <w:tcW w:w="1401" w:type="dxa"/>
                  <w:vAlign w:val="center"/>
                </w:tcPr>
                <w:p w14:paraId="0EDD19A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乐昌市吉焱实业有限公司</w:t>
                  </w:r>
                </w:p>
              </w:tc>
              <w:tc>
                <w:tcPr>
                  <w:tcW w:w="390" w:type="dxa"/>
                  <w:vAlign w:val="center"/>
                </w:tcPr>
                <w:p w14:paraId="3D0BF14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停产</w:t>
                  </w:r>
                </w:p>
              </w:tc>
              <w:tc>
                <w:tcPr>
                  <w:tcW w:w="1083" w:type="dxa"/>
                  <w:vAlign w:val="center"/>
                </w:tcPr>
                <w:p w14:paraId="769513C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橡胶和塑料制品业</w:t>
                  </w:r>
                </w:p>
              </w:tc>
              <w:tc>
                <w:tcPr>
                  <w:tcW w:w="809" w:type="dxa"/>
                  <w:vAlign w:val="center"/>
                </w:tcPr>
                <w:p w14:paraId="3452B7C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24875.4</w:t>
                  </w:r>
                </w:p>
              </w:tc>
              <w:tc>
                <w:tcPr>
                  <w:tcW w:w="2408" w:type="dxa"/>
                  <w:vAlign w:val="center"/>
                </w:tcPr>
                <w:p w14:paraId="0FB80B8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 PU 装饰线条 1500 吨、聚氨酯装饰制品 250 吨</w:t>
                  </w:r>
                </w:p>
              </w:tc>
              <w:tc>
                <w:tcPr>
                  <w:tcW w:w="1346" w:type="dxa"/>
                  <w:vAlign w:val="center"/>
                </w:tcPr>
                <w:p w14:paraId="0684B58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"bookmark258"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2018</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 14 号</w:t>
                  </w:r>
                </w:p>
              </w:tc>
            </w:tr>
            <w:tr w14:paraId="09A6A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331" w:type="dxa"/>
                  <w:vAlign w:val="center"/>
                </w:tcPr>
                <w:p w14:paraId="2E13C79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104</w:t>
                  </w:r>
                </w:p>
              </w:tc>
              <w:tc>
                <w:tcPr>
                  <w:tcW w:w="1401" w:type="dxa"/>
                  <w:vAlign w:val="center"/>
                </w:tcPr>
                <w:p w14:paraId="3846E07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广东省嘉上实业有限公司</w:t>
                  </w:r>
                </w:p>
              </w:tc>
              <w:tc>
                <w:tcPr>
                  <w:tcW w:w="390" w:type="dxa"/>
                  <w:vAlign w:val="center"/>
                </w:tcPr>
                <w:p w14:paraId="6BDCFC0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停产</w:t>
                  </w:r>
                </w:p>
              </w:tc>
              <w:tc>
                <w:tcPr>
                  <w:tcW w:w="1083" w:type="dxa"/>
                  <w:vAlign w:val="center"/>
                </w:tcPr>
                <w:p w14:paraId="750F087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橡胶和塑料制品业</w:t>
                  </w:r>
                </w:p>
              </w:tc>
              <w:tc>
                <w:tcPr>
                  <w:tcW w:w="809" w:type="dxa"/>
                  <w:vAlign w:val="center"/>
                </w:tcPr>
                <w:p w14:paraId="3B328B5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12926.42</w:t>
                  </w:r>
                </w:p>
              </w:tc>
              <w:tc>
                <w:tcPr>
                  <w:tcW w:w="2408" w:type="dxa"/>
                  <w:vAlign w:val="center"/>
                </w:tcPr>
                <w:p w14:paraId="621B213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年产塑胶桶 500 万个</w:t>
                  </w:r>
                </w:p>
              </w:tc>
              <w:tc>
                <w:tcPr>
                  <w:tcW w:w="1346" w:type="dxa"/>
                  <w:vAlign w:val="center"/>
                </w:tcPr>
                <w:p w14:paraId="79A1F2D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"bookmark259"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2022</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]21 号</w:t>
                  </w:r>
                </w:p>
              </w:tc>
            </w:tr>
            <w:tr w14:paraId="6439E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jc w:val="center"/>
              </w:trPr>
              <w:tc>
                <w:tcPr>
                  <w:tcW w:w="331" w:type="dxa"/>
                  <w:vAlign w:val="center"/>
                </w:tcPr>
                <w:p w14:paraId="1F80C44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105</w:t>
                  </w:r>
                </w:p>
              </w:tc>
              <w:tc>
                <w:tcPr>
                  <w:tcW w:w="1401" w:type="dxa"/>
                  <w:vAlign w:val="center"/>
                </w:tcPr>
                <w:p w14:paraId="7767E70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溢拓新能源(广东)有限公司</w:t>
                  </w:r>
                </w:p>
              </w:tc>
              <w:tc>
                <w:tcPr>
                  <w:tcW w:w="390" w:type="dxa"/>
                  <w:vAlign w:val="center"/>
                </w:tcPr>
                <w:p w14:paraId="6CC3547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停产</w:t>
                  </w:r>
                </w:p>
              </w:tc>
              <w:tc>
                <w:tcPr>
                  <w:tcW w:w="1083" w:type="dxa"/>
                  <w:vAlign w:val="center"/>
                </w:tcPr>
                <w:p w14:paraId="780CA30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电气机械和器材制造业</w:t>
                  </w:r>
                </w:p>
              </w:tc>
              <w:tc>
                <w:tcPr>
                  <w:tcW w:w="809" w:type="dxa"/>
                  <w:vAlign w:val="center"/>
                </w:tcPr>
                <w:p w14:paraId="6904FED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11000</w:t>
                  </w:r>
                </w:p>
              </w:tc>
              <w:tc>
                <w:tcPr>
                  <w:tcW w:w="2408" w:type="dxa"/>
                  <w:vAlign w:val="center"/>
                </w:tcPr>
                <w:p w14:paraId="060F204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 300 万件星空灯、20 万件防触电排插、12 万件擦窗机</w:t>
                  </w:r>
                </w:p>
              </w:tc>
              <w:tc>
                <w:tcPr>
                  <w:tcW w:w="1346" w:type="dxa"/>
                  <w:vAlign w:val="center"/>
                </w:tcPr>
                <w:p w14:paraId="5F7E467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韶环乐审〔2025〕11 号</w:t>
                  </w:r>
                </w:p>
              </w:tc>
            </w:tr>
            <w:tr w14:paraId="25517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331" w:type="dxa"/>
                  <w:vAlign w:val="center"/>
                </w:tcPr>
                <w:p w14:paraId="54D61C4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106</w:t>
                  </w:r>
                </w:p>
              </w:tc>
              <w:tc>
                <w:tcPr>
                  <w:tcW w:w="1401" w:type="dxa"/>
                  <w:vAlign w:val="center"/>
                </w:tcPr>
                <w:p w14:paraId="50AE62C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乐昌皓强科技有限公司</w:t>
                  </w:r>
                </w:p>
              </w:tc>
              <w:tc>
                <w:tcPr>
                  <w:tcW w:w="390" w:type="dxa"/>
                  <w:vAlign w:val="center"/>
                </w:tcPr>
                <w:p w14:paraId="63EC8EF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停产</w:t>
                  </w:r>
                </w:p>
              </w:tc>
              <w:tc>
                <w:tcPr>
                  <w:tcW w:w="1083" w:type="dxa"/>
                  <w:vAlign w:val="center"/>
                </w:tcPr>
                <w:p w14:paraId="6D94898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橡胶和塑料制品业</w:t>
                  </w:r>
                </w:p>
              </w:tc>
              <w:tc>
                <w:tcPr>
                  <w:tcW w:w="809" w:type="dxa"/>
                  <w:vAlign w:val="center"/>
                </w:tcPr>
                <w:p w14:paraId="1E5F853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9600</w:t>
                  </w:r>
                </w:p>
              </w:tc>
              <w:tc>
                <w:tcPr>
                  <w:tcW w:w="2408" w:type="dxa"/>
                  <w:vAlign w:val="center"/>
                </w:tcPr>
                <w:p w14:paraId="2933095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 106 万平方米新型先进复合建筑塑料模板</w:t>
                  </w:r>
                </w:p>
              </w:tc>
              <w:tc>
                <w:tcPr>
                  <w:tcW w:w="1346" w:type="dxa"/>
                  <w:vAlign w:val="center"/>
                </w:tcPr>
                <w:p w14:paraId="5A1F44B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韶环乐审〔2022〕02 号</w:t>
                  </w:r>
                </w:p>
              </w:tc>
            </w:tr>
            <w:tr w14:paraId="16F16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4A67B2B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107</w:t>
                  </w:r>
                </w:p>
              </w:tc>
              <w:tc>
                <w:tcPr>
                  <w:tcW w:w="1401" w:type="dxa"/>
                  <w:vAlign w:val="center"/>
                </w:tcPr>
                <w:p w14:paraId="2A08010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乐昌市保利发矿山机械配件</w:t>
                  </w:r>
                </w:p>
                <w:p w14:paraId="61E77F9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有限公司</w:t>
                  </w:r>
                </w:p>
              </w:tc>
              <w:tc>
                <w:tcPr>
                  <w:tcW w:w="390" w:type="dxa"/>
                  <w:vAlign w:val="center"/>
                </w:tcPr>
                <w:p w14:paraId="27658B4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停产</w:t>
                  </w:r>
                </w:p>
              </w:tc>
              <w:tc>
                <w:tcPr>
                  <w:tcW w:w="1083" w:type="dxa"/>
                  <w:vAlign w:val="center"/>
                </w:tcPr>
                <w:p w14:paraId="07A6DB2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1A91A2D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4050</w:t>
                  </w:r>
                </w:p>
              </w:tc>
              <w:tc>
                <w:tcPr>
                  <w:tcW w:w="2408" w:type="dxa"/>
                  <w:vAlign w:val="center"/>
                </w:tcPr>
                <w:p w14:paraId="1D972DF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年产破碎机边板 3000 吨、锤头 2000 吨、配件 5000 吨</w:t>
                  </w:r>
                </w:p>
              </w:tc>
              <w:tc>
                <w:tcPr>
                  <w:tcW w:w="1346" w:type="dxa"/>
                  <w:vAlign w:val="center"/>
                </w:tcPr>
                <w:p w14:paraId="4F391C1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乐环审[</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"bookmark260"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2018</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]29 号、韶环乐审</w:t>
                  </w:r>
                </w:p>
                <w:p w14:paraId="3D7BD71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fldChar w:fldCharType="begin"/>
                  </w:r>
                  <w:r>
                    <w:rPr>
                      <w:rFonts w:hint="default" w:ascii="Times New Roman" w:hAnsi="Times New Roman" w:eastAsia="宋体" w:cs="Times New Roman"/>
                      <w:i w:val="0"/>
                      <w:iCs w:val="0"/>
                      <w:color w:val="auto"/>
                      <w:kern w:val="0"/>
                      <w:sz w:val="21"/>
                      <w:szCs w:val="21"/>
                      <w:highlight w:val="none"/>
                      <w:u w:val="none"/>
                      <w:lang w:val="en-US" w:eastAsia="zh-CN"/>
                    </w:rPr>
                    <w:instrText xml:space="preserve"> HYPERLINK \l "bookmark261" </w:instrText>
                  </w:r>
                  <w:r>
                    <w:rPr>
                      <w:rFonts w:hint="default" w:ascii="Times New Roman" w:hAnsi="Times New Roman" w:eastAsia="宋体" w:cs="Times New Roman"/>
                      <w:i w:val="0"/>
                      <w:iCs w:val="0"/>
                      <w:color w:val="auto"/>
                      <w:kern w:val="0"/>
                      <w:sz w:val="21"/>
                      <w:szCs w:val="21"/>
                      <w:highlight w:val="none"/>
                      <w:u w:val="none"/>
                      <w:lang w:val="en-US" w:eastAsia="zh-CN"/>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rPr>
                    <w:t>2022</w:t>
                  </w:r>
                  <w:r>
                    <w:rPr>
                      <w:rFonts w:hint="default" w:ascii="Times New Roman" w:hAnsi="Times New Roman" w:eastAsia="宋体" w:cs="Times New Roman"/>
                      <w:i w:val="0"/>
                      <w:iCs w:val="0"/>
                      <w:color w:val="auto"/>
                      <w:kern w:val="0"/>
                      <w:sz w:val="21"/>
                      <w:szCs w:val="21"/>
                      <w:highlight w:val="none"/>
                      <w:u w:val="none"/>
                      <w:lang w:val="en-US" w:eastAsia="zh-CN"/>
                    </w:rPr>
                    <w:fldChar w:fldCharType="end"/>
                  </w:r>
                  <w:r>
                    <w:rPr>
                      <w:rFonts w:hint="default" w:ascii="Times New Roman" w:hAnsi="Times New Roman" w:eastAsia="宋体" w:cs="Times New Roman"/>
                      <w:i w:val="0"/>
                      <w:iCs w:val="0"/>
                      <w:color w:val="auto"/>
                      <w:kern w:val="0"/>
                      <w:sz w:val="21"/>
                      <w:szCs w:val="21"/>
                      <w:highlight w:val="none"/>
                      <w:u w:val="none"/>
                      <w:lang w:val="en-US" w:eastAsia="zh-CN"/>
                    </w:rPr>
                    <w:t>] 16 号</w:t>
                  </w:r>
                </w:p>
              </w:tc>
            </w:tr>
            <w:tr w14:paraId="78E72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58B84F6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108</w:t>
                  </w:r>
                </w:p>
              </w:tc>
              <w:tc>
                <w:tcPr>
                  <w:tcW w:w="1401" w:type="dxa"/>
                  <w:vAlign w:val="center"/>
                </w:tcPr>
                <w:p w14:paraId="0B8DCC1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乐昌市第二污水处理厂</w:t>
                  </w:r>
                </w:p>
              </w:tc>
              <w:tc>
                <w:tcPr>
                  <w:tcW w:w="390" w:type="dxa"/>
                  <w:vAlign w:val="center"/>
                </w:tcPr>
                <w:p w14:paraId="479EBA4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44B8310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污水处理及其再生利用业</w:t>
                  </w:r>
                </w:p>
              </w:tc>
              <w:tc>
                <w:tcPr>
                  <w:tcW w:w="809" w:type="dxa"/>
                  <w:vAlign w:val="center"/>
                </w:tcPr>
                <w:p w14:paraId="451D3F1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56850</w:t>
                  </w:r>
                </w:p>
              </w:tc>
              <w:tc>
                <w:tcPr>
                  <w:tcW w:w="2408" w:type="dxa"/>
                  <w:vAlign w:val="center"/>
                </w:tcPr>
                <w:p w14:paraId="7759CEA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处理量 30000 立方米/天</w:t>
                  </w:r>
                </w:p>
              </w:tc>
              <w:tc>
                <w:tcPr>
                  <w:tcW w:w="1346" w:type="dxa"/>
                  <w:vAlign w:val="center"/>
                </w:tcPr>
                <w:p w14:paraId="240BEB4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韶环乐审〔2021〕07 号</w:t>
                  </w:r>
                </w:p>
              </w:tc>
            </w:tr>
            <w:tr w14:paraId="7D235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744C988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109</w:t>
                  </w:r>
                </w:p>
              </w:tc>
              <w:tc>
                <w:tcPr>
                  <w:tcW w:w="1401" w:type="dxa"/>
                  <w:vAlign w:val="center"/>
                </w:tcPr>
                <w:p w14:paraId="6A2EB24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乐昌市芬乐制衣有限公司</w:t>
                  </w:r>
                </w:p>
              </w:tc>
              <w:tc>
                <w:tcPr>
                  <w:tcW w:w="390" w:type="dxa"/>
                  <w:vAlign w:val="center"/>
                </w:tcPr>
                <w:p w14:paraId="66A1225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43AF4DB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纺织业</w:t>
                  </w:r>
                </w:p>
              </w:tc>
              <w:tc>
                <w:tcPr>
                  <w:tcW w:w="809" w:type="dxa"/>
                  <w:vAlign w:val="center"/>
                </w:tcPr>
                <w:p w14:paraId="047444E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40000</w:t>
                  </w:r>
                </w:p>
              </w:tc>
              <w:tc>
                <w:tcPr>
                  <w:tcW w:w="2408" w:type="dxa"/>
                  <w:vAlign w:val="center"/>
                </w:tcPr>
                <w:p w14:paraId="08FB0C40">
                  <w:pPr>
                    <w:keepNext w:val="0"/>
                    <w:keepLines w:val="0"/>
                    <w:suppressLineNumbers w:val="0"/>
                    <w:autoSpaceDE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服装、内衣裤、卫生用品类（纸内裤）、纺织品、第二类医疗</w:t>
                  </w:r>
                </w:p>
                <w:p w14:paraId="2A054102">
                  <w:pPr>
                    <w:keepNext w:val="0"/>
                    <w:keepLines w:val="0"/>
                    <w:suppressLineNumbers w:val="0"/>
                    <w:autoSpaceDE w:val="0"/>
                    <w:spacing w:before="0" w:beforeAutospacing="0" w:after="0" w:afterAutospacing="0" w:line="240" w:lineRule="auto"/>
                    <w:ind w:left="0" w:right="0"/>
                    <w:jc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color w:val="auto"/>
                      <w:sz w:val="21"/>
                      <w:szCs w:val="21"/>
                      <w:highlight w:val="none"/>
                      <w:lang w:val="en-US" w:eastAsia="zh-CN"/>
                    </w:rPr>
                    <w:t>器械（医用口罩、防护服）、日用罩（非医用）</w:t>
                  </w:r>
                </w:p>
              </w:tc>
              <w:tc>
                <w:tcPr>
                  <w:tcW w:w="1346" w:type="dxa"/>
                  <w:vAlign w:val="center"/>
                </w:tcPr>
                <w:p w14:paraId="2A5A251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202044028100000158</w:t>
                  </w:r>
                </w:p>
              </w:tc>
            </w:tr>
            <w:tr w14:paraId="04AA2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331" w:type="dxa"/>
                  <w:vAlign w:val="center"/>
                </w:tcPr>
                <w:p w14:paraId="338891E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110</w:t>
                  </w:r>
                </w:p>
              </w:tc>
              <w:tc>
                <w:tcPr>
                  <w:tcW w:w="1401" w:type="dxa"/>
                  <w:vAlign w:val="center"/>
                </w:tcPr>
                <w:p w14:paraId="0BA2035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乐昌市瑞昊机械厂</w:t>
                  </w:r>
                </w:p>
              </w:tc>
              <w:tc>
                <w:tcPr>
                  <w:tcW w:w="390" w:type="dxa"/>
                  <w:vAlign w:val="center"/>
                </w:tcPr>
                <w:p w14:paraId="3FF109A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30A845B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19B825E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600</w:t>
                  </w:r>
                </w:p>
              </w:tc>
              <w:tc>
                <w:tcPr>
                  <w:tcW w:w="2408" w:type="dxa"/>
                  <w:vAlign w:val="center"/>
                </w:tcPr>
                <w:p w14:paraId="48B247A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年加工金属机械零部件 360 吨</w:t>
                  </w:r>
                </w:p>
              </w:tc>
              <w:tc>
                <w:tcPr>
                  <w:tcW w:w="1346" w:type="dxa"/>
                  <w:vAlign w:val="center"/>
                </w:tcPr>
                <w:p w14:paraId="5BBF832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201744028100000317</w:t>
                  </w:r>
                </w:p>
              </w:tc>
            </w:tr>
            <w:tr w14:paraId="30349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76CD5E5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111</w:t>
                  </w:r>
                </w:p>
              </w:tc>
              <w:tc>
                <w:tcPr>
                  <w:tcW w:w="1401" w:type="dxa"/>
                  <w:vAlign w:val="center"/>
                </w:tcPr>
                <w:p w14:paraId="6ED9C06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广东创睿极光光电有限公司</w:t>
                  </w:r>
                </w:p>
              </w:tc>
              <w:tc>
                <w:tcPr>
                  <w:tcW w:w="390" w:type="dxa"/>
                  <w:vAlign w:val="center"/>
                </w:tcPr>
                <w:p w14:paraId="3255D98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087113A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计算机、通信和其他电子设备制造业</w:t>
                  </w:r>
                </w:p>
              </w:tc>
              <w:tc>
                <w:tcPr>
                  <w:tcW w:w="809" w:type="dxa"/>
                  <w:vAlign w:val="center"/>
                </w:tcPr>
                <w:p w14:paraId="15E00CC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1735</w:t>
                  </w:r>
                </w:p>
              </w:tc>
              <w:tc>
                <w:tcPr>
                  <w:tcW w:w="2408" w:type="dxa"/>
                  <w:vAlign w:val="center"/>
                </w:tcPr>
                <w:p w14:paraId="40D6E2C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年产约 2000 万条 LED 灯条</w:t>
                  </w:r>
                </w:p>
              </w:tc>
              <w:tc>
                <w:tcPr>
                  <w:tcW w:w="1346" w:type="dxa"/>
                  <w:vAlign w:val="center"/>
                </w:tcPr>
                <w:p w14:paraId="7DB8201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201944028100000140</w:t>
                  </w:r>
                </w:p>
              </w:tc>
            </w:tr>
            <w:tr w14:paraId="09B9F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0" w:hRule="atLeast"/>
                <w:jc w:val="center"/>
              </w:trPr>
              <w:tc>
                <w:tcPr>
                  <w:tcW w:w="331" w:type="dxa"/>
                  <w:vAlign w:val="center"/>
                </w:tcPr>
                <w:p w14:paraId="7B5D897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112</w:t>
                  </w:r>
                </w:p>
              </w:tc>
              <w:tc>
                <w:tcPr>
                  <w:tcW w:w="1401" w:type="dxa"/>
                  <w:vAlign w:val="center"/>
                </w:tcPr>
                <w:p w14:paraId="00431D6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昇翰科技（广东）有限公司</w:t>
                  </w:r>
                </w:p>
              </w:tc>
              <w:tc>
                <w:tcPr>
                  <w:tcW w:w="390" w:type="dxa"/>
                  <w:vAlign w:val="center"/>
                </w:tcPr>
                <w:p w14:paraId="355DD6B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已建</w:t>
                  </w:r>
                </w:p>
              </w:tc>
              <w:tc>
                <w:tcPr>
                  <w:tcW w:w="1083" w:type="dxa"/>
                  <w:vAlign w:val="center"/>
                </w:tcPr>
                <w:p w14:paraId="2E1B5E7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5C8CDF2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1700</w:t>
                  </w:r>
                </w:p>
              </w:tc>
              <w:tc>
                <w:tcPr>
                  <w:tcW w:w="2408" w:type="dxa"/>
                  <w:vAlign w:val="center"/>
                </w:tcPr>
                <w:p w14:paraId="3E6F240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生产加工滚珠螺母、滚珠丝杆、梯形螺母、梯形丝杆、传动</w:t>
                  </w:r>
                </w:p>
                <w:p w14:paraId="5F5A8B1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元件、直线导轨、直线滑块、自动化机械设备、电子元件、</w:t>
                  </w:r>
                </w:p>
                <w:p w14:paraId="289F1F1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电子材料、五金材料、自动化软硬件、电子产品。</w:t>
                  </w:r>
                </w:p>
              </w:tc>
              <w:tc>
                <w:tcPr>
                  <w:tcW w:w="1346" w:type="dxa"/>
                  <w:vAlign w:val="center"/>
                </w:tcPr>
                <w:p w14:paraId="15853BA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202044028100000048</w:t>
                  </w:r>
                </w:p>
              </w:tc>
            </w:tr>
            <w:tr w14:paraId="2D124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jc w:val="center"/>
              </w:trPr>
              <w:tc>
                <w:tcPr>
                  <w:tcW w:w="331" w:type="dxa"/>
                  <w:vAlign w:val="center"/>
                </w:tcPr>
                <w:p w14:paraId="497E200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113</w:t>
                  </w:r>
                </w:p>
              </w:tc>
              <w:tc>
                <w:tcPr>
                  <w:tcW w:w="1401" w:type="dxa"/>
                  <w:vAlign w:val="center"/>
                </w:tcPr>
                <w:p w14:paraId="6ECBC39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广东运南新材料有限公司</w:t>
                  </w:r>
                </w:p>
              </w:tc>
              <w:tc>
                <w:tcPr>
                  <w:tcW w:w="390" w:type="dxa"/>
                  <w:vAlign w:val="center"/>
                </w:tcPr>
                <w:p w14:paraId="0C59C61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在建</w:t>
                  </w:r>
                </w:p>
              </w:tc>
              <w:tc>
                <w:tcPr>
                  <w:tcW w:w="1083" w:type="dxa"/>
                  <w:vAlign w:val="center"/>
                </w:tcPr>
                <w:p w14:paraId="249A9CD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废弃资源综合利用业</w:t>
                  </w:r>
                </w:p>
              </w:tc>
              <w:tc>
                <w:tcPr>
                  <w:tcW w:w="809" w:type="dxa"/>
                  <w:vAlign w:val="center"/>
                </w:tcPr>
                <w:p w14:paraId="24FD7E7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37346.12</w:t>
                  </w:r>
                </w:p>
              </w:tc>
              <w:tc>
                <w:tcPr>
                  <w:tcW w:w="2408" w:type="dxa"/>
                  <w:vAlign w:val="center"/>
                </w:tcPr>
                <w:p w14:paraId="0619AC3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年产破碎料 7.1 万吨</w:t>
                  </w:r>
                </w:p>
              </w:tc>
              <w:tc>
                <w:tcPr>
                  <w:tcW w:w="1346" w:type="dxa"/>
                  <w:vAlign w:val="center"/>
                </w:tcPr>
                <w:p w14:paraId="77BEF25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韶环乐审〔2026〕05 号</w:t>
                  </w:r>
                </w:p>
              </w:tc>
            </w:tr>
            <w:tr w14:paraId="52FD0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jc w:val="center"/>
              </w:trPr>
              <w:tc>
                <w:tcPr>
                  <w:tcW w:w="331" w:type="dxa"/>
                  <w:vAlign w:val="center"/>
                </w:tcPr>
                <w:p w14:paraId="1D78B48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114</w:t>
                  </w:r>
                </w:p>
              </w:tc>
              <w:tc>
                <w:tcPr>
                  <w:tcW w:w="1401" w:type="dxa"/>
                  <w:vAlign w:val="center"/>
                </w:tcPr>
                <w:p w14:paraId="29842F8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韶关九为新材料有限公司</w:t>
                  </w:r>
                </w:p>
              </w:tc>
              <w:tc>
                <w:tcPr>
                  <w:tcW w:w="390" w:type="dxa"/>
                  <w:vAlign w:val="center"/>
                </w:tcPr>
                <w:p w14:paraId="42CD4B3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在建</w:t>
                  </w:r>
                </w:p>
              </w:tc>
              <w:tc>
                <w:tcPr>
                  <w:tcW w:w="1083" w:type="dxa"/>
                  <w:vAlign w:val="center"/>
                </w:tcPr>
                <w:p w14:paraId="73F8926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金属制品业</w:t>
                  </w:r>
                </w:p>
              </w:tc>
              <w:tc>
                <w:tcPr>
                  <w:tcW w:w="809" w:type="dxa"/>
                  <w:vAlign w:val="center"/>
                </w:tcPr>
                <w:p w14:paraId="0B0BCF0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52810.91</w:t>
                  </w:r>
                </w:p>
              </w:tc>
              <w:tc>
                <w:tcPr>
                  <w:tcW w:w="2408" w:type="dxa"/>
                  <w:vAlign w:val="center"/>
                </w:tcPr>
                <w:p w14:paraId="6BC833C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年产铝模板 50 万平方米</w:t>
                  </w:r>
                </w:p>
              </w:tc>
              <w:tc>
                <w:tcPr>
                  <w:tcW w:w="1346" w:type="dxa"/>
                  <w:vAlign w:val="center"/>
                </w:tcPr>
                <w:p w14:paraId="6FBE569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韶环乐审〔2025〕26 号</w:t>
                  </w:r>
                </w:p>
              </w:tc>
            </w:tr>
            <w:bookmarkEnd w:id="43"/>
          </w:tbl>
          <w:p w14:paraId="10EE78F4">
            <w:pPr>
              <w:pStyle w:val="17"/>
              <w:pageBreakBefore w:val="0"/>
              <w:numPr>
                <w:ilvl w:val="0"/>
                <w:numId w:val="8"/>
              </w:numPr>
              <w:kinsoku/>
              <w:overflowPunct/>
              <w:topLinePunct w:val="0"/>
              <w:bidi w:val="0"/>
              <w:snapToGrid/>
              <w:spacing w:line="240" w:lineRule="auto"/>
              <w:ind w:left="0" w:leftChars="0" w:firstLine="40" w:firstLineChars="0"/>
              <w:outlineLvl w:val="9"/>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园区已通过审批企业三废排放情况汇总表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98"/>
              <w:gridCol w:w="1441"/>
              <w:gridCol w:w="2493"/>
              <w:gridCol w:w="3016"/>
            </w:tblGrid>
            <w:tr w14:paraId="25044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78" w:type="pct"/>
                  <w:gridSpan w:val="3"/>
                  <w:vAlign w:val="center"/>
                </w:tcPr>
                <w:p w14:paraId="08ACB1D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76"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环境影响因素</w:t>
                  </w:r>
                </w:p>
              </w:tc>
              <w:tc>
                <w:tcPr>
                  <w:tcW w:w="1921" w:type="pct"/>
                  <w:vAlign w:val="center"/>
                </w:tcPr>
                <w:p w14:paraId="4949E0C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76"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排放量</w:t>
                  </w:r>
                </w:p>
              </w:tc>
            </w:tr>
            <w:tr w14:paraId="57474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2" w:type="pct"/>
                  <w:vMerge w:val="restart"/>
                  <w:vAlign w:val="center"/>
                </w:tcPr>
                <w:p w14:paraId="588666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76"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918" w:type="pct"/>
                  <w:vMerge w:val="restart"/>
                  <w:vAlign w:val="center"/>
                </w:tcPr>
                <w:p w14:paraId="55BDE7C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76"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587" w:type="pct"/>
                  <w:vAlign w:val="center"/>
                </w:tcPr>
                <w:p w14:paraId="74C4F4B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76"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废水量（m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w:t>
                  </w:r>
                </w:p>
              </w:tc>
              <w:tc>
                <w:tcPr>
                  <w:tcW w:w="3583" w:type="dxa"/>
                  <w:vAlign w:val="center"/>
                </w:tcPr>
                <w:p w14:paraId="728067F3">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4"/>
                      <w:szCs w:val="24"/>
                      <w:highlight w:val="none"/>
                      <w:vertAlign w:val="baseline"/>
                      <w:lang w:val="en-US" w:eastAsia="zh-CN"/>
                    </w:rPr>
                    <w:t>2462.21</w:t>
                  </w:r>
                </w:p>
              </w:tc>
            </w:tr>
            <w:tr w14:paraId="04775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2" w:type="pct"/>
                  <w:vMerge w:val="continue"/>
                  <w:vAlign w:val="center"/>
                </w:tcPr>
                <w:p w14:paraId="49CB3F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left"/>
                    <w:rPr>
                      <w:rFonts w:hint="default" w:ascii="Times New Roman" w:hAnsi="Times New Roman" w:eastAsia="宋体" w:cs="Times New Roman"/>
                      <w:color w:val="auto"/>
                      <w:sz w:val="21"/>
                      <w:szCs w:val="21"/>
                      <w:highlight w:val="none"/>
                    </w:rPr>
                  </w:pPr>
                </w:p>
              </w:tc>
              <w:tc>
                <w:tcPr>
                  <w:tcW w:w="918" w:type="pct"/>
                  <w:vMerge w:val="continue"/>
                  <w:vAlign w:val="center"/>
                </w:tcPr>
                <w:p w14:paraId="49C0BA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left"/>
                    <w:rPr>
                      <w:rFonts w:hint="default" w:ascii="Times New Roman" w:hAnsi="Times New Roman" w:eastAsia="宋体" w:cs="Times New Roman"/>
                      <w:color w:val="auto"/>
                      <w:sz w:val="21"/>
                      <w:szCs w:val="21"/>
                      <w:highlight w:val="none"/>
                    </w:rPr>
                  </w:pPr>
                </w:p>
              </w:tc>
              <w:tc>
                <w:tcPr>
                  <w:tcW w:w="1587" w:type="pct"/>
                  <w:vAlign w:val="center"/>
                </w:tcPr>
                <w:p w14:paraId="32827F8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76"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COD（t/a）</w:t>
                  </w:r>
                </w:p>
              </w:tc>
              <w:tc>
                <w:tcPr>
                  <w:tcW w:w="3583" w:type="dxa"/>
                  <w:vAlign w:val="center"/>
                </w:tcPr>
                <w:p w14:paraId="4BC66CC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4"/>
                      <w:szCs w:val="24"/>
                      <w:highlight w:val="none"/>
                      <w:vertAlign w:val="baseline"/>
                      <w:lang w:val="en-US" w:eastAsia="zh-CN"/>
                    </w:rPr>
                    <w:t>30.39</w:t>
                  </w:r>
                </w:p>
              </w:tc>
            </w:tr>
            <w:tr w14:paraId="57FDB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2" w:type="pct"/>
                  <w:vMerge w:val="continue"/>
                  <w:vAlign w:val="center"/>
                </w:tcPr>
                <w:p w14:paraId="3B0D42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left"/>
                    <w:rPr>
                      <w:rFonts w:hint="default" w:ascii="Times New Roman" w:hAnsi="Times New Roman" w:eastAsia="宋体" w:cs="Times New Roman"/>
                      <w:color w:val="auto"/>
                      <w:sz w:val="21"/>
                      <w:szCs w:val="21"/>
                      <w:highlight w:val="none"/>
                    </w:rPr>
                  </w:pPr>
                </w:p>
              </w:tc>
              <w:tc>
                <w:tcPr>
                  <w:tcW w:w="918" w:type="pct"/>
                  <w:vMerge w:val="continue"/>
                  <w:vAlign w:val="center"/>
                </w:tcPr>
                <w:p w14:paraId="3EB22C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left"/>
                    <w:rPr>
                      <w:rFonts w:hint="default" w:ascii="Times New Roman" w:hAnsi="Times New Roman" w:eastAsia="宋体" w:cs="Times New Roman"/>
                      <w:color w:val="auto"/>
                      <w:sz w:val="21"/>
                      <w:szCs w:val="21"/>
                      <w:highlight w:val="none"/>
                    </w:rPr>
                  </w:pPr>
                </w:p>
              </w:tc>
              <w:tc>
                <w:tcPr>
                  <w:tcW w:w="1587" w:type="pct"/>
                  <w:vAlign w:val="center"/>
                </w:tcPr>
                <w:p w14:paraId="70E8AFA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76"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氨氮（t/a）</w:t>
                  </w:r>
                </w:p>
              </w:tc>
              <w:tc>
                <w:tcPr>
                  <w:tcW w:w="3583" w:type="dxa"/>
                  <w:vAlign w:val="center"/>
                </w:tcPr>
                <w:p w14:paraId="0C9465B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4"/>
                      <w:szCs w:val="24"/>
                      <w:highlight w:val="none"/>
                      <w:vertAlign w:val="baseline"/>
                      <w:lang w:val="en-US" w:eastAsia="zh-CN"/>
                    </w:rPr>
                    <w:t>3.794</w:t>
                  </w:r>
                </w:p>
              </w:tc>
            </w:tr>
            <w:tr w14:paraId="3FB3B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2" w:type="pct"/>
                  <w:vMerge w:val="restart"/>
                  <w:vAlign w:val="center"/>
                </w:tcPr>
                <w:p w14:paraId="3B25F9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76"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918" w:type="pct"/>
                  <w:vMerge w:val="restart"/>
                  <w:vAlign w:val="center"/>
                </w:tcPr>
                <w:p w14:paraId="271613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76"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有组织排放</w:t>
                  </w:r>
                </w:p>
              </w:tc>
              <w:tc>
                <w:tcPr>
                  <w:tcW w:w="1587" w:type="pct"/>
                  <w:vAlign w:val="center"/>
                </w:tcPr>
                <w:p w14:paraId="638089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76"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（t/a）</w:t>
                  </w:r>
                </w:p>
              </w:tc>
              <w:tc>
                <w:tcPr>
                  <w:tcW w:w="3583" w:type="dxa"/>
                  <w:vAlign w:val="center"/>
                </w:tcPr>
                <w:p w14:paraId="22A109BC">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6"/>
                      <w:sz w:val="24"/>
                      <w:szCs w:val="24"/>
                      <w:highlight w:val="none"/>
                    </w:rPr>
                    <w:t>1.44</w:t>
                  </w:r>
                </w:p>
              </w:tc>
            </w:tr>
            <w:tr w14:paraId="6FDD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2" w:type="pct"/>
                  <w:vMerge w:val="continue"/>
                  <w:vAlign w:val="center"/>
                </w:tcPr>
                <w:p w14:paraId="36AB57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left"/>
                    <w:rPr>
                      <w:rFonts w:hint="default" w:ascii="Times New Roman" w:hAnsi="Times New Roman" w:eastAsia="宋体" w:cs="Times New Roman"/>
                      <w:color w:val="auto"/>
                      <w:sz w:val="21"/>
                      <w:szCs w:val="21"/>
                      <w:highlight w:val="none"/>
                    </w:rPr>
                  </w:pPr>
                </w:p>
              </w:tc>
              <w:tc>
                <w:tcPr>
                  <w:tcW w:w="918" w:type="pct"/>
                  <w:vMerge w:val="continue"/>
                  <w:vAlign w:val="center"/>
                </w:tcPr>
                <w:p w14:paraId="0E5E07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left"/>
                    <w:rPr>
                      <w:rFonts w:hint="default" w:ascii="Times New Roman" w:hAnsi="Times New Roman" w:eastAsia="宋体" w:cs="Times New Roman"/>
                      <w:color w:val="auto"/>
                      <w:sz w:val="21"/>
                      <w:szCs w:val="21"/>
                      <w:highlight w:val="none"/>
                    </w:rPr>
                  </w:pPr>
                </w:p>
              </w:tc>
              <w:tc>
                <w:tcPr>
                  <w:tcW w:w="1587" w:type="pct"/>
                  <w:vAlign w:val="center"/>
                </w:tcPr>
                <w:p w14:paraId="1A74D7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76"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氮氧化物（t/a）</w:t>
                  </w:r>
                </w:p>
              </w:tc>
              <w:tc>
                <w:tcPr>
                  <w:tcW w:w="3583" w:type="dxa"/>
                  <w:vAlign w:val="center"/>
                </w:tcPr>
                <w:p w14:paraId="0430E79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4"/>
                      <w:sz w:val="24"/>
                      <w:szCs w:val="24"/>
                      <w:highlight w:val="none"/>
                    </w:rPr>
                    <w:t>14.78</w:t>
                  </w:r>
                </w:p>
              </w:tc>
            </w:tr>
            <w:tr w14:paraId="7E1BC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2" w:type="pct"/>
                  <w:vMerge w:val="continue"/>
                  <w:vAlign w:val="center"/>
                </w:tcPr>
                <w:p w14:paraId="273BF5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left"/>
                    <w:rPr>
                      <w:rFonts w:hint="default" w:ascii="Times New Roman" w:hAnsi="Times New Roman" w:eastAsia="宋体" w:cs="Times New Roman"/>
                      <w:color w:val="auto"/>
                      <w:sz w:val="21"/>
                      <w:szCs w:val="21"/>
                      <w:highlight w:val="none"/>
                    </w:rPr>
                  </w:pPr>
                </w:p>
              </w:tc>
              <w:tc>
                <w:tcPr>
                  <w:tcW w:w="918" w:type="pct"/>
                  <w:vMerge w:val="continue"/>
                  <w:vAlign w:val="center"/>
                </w:tcPr>
                <w:p w14:paraId="3B2795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left"/>
                    <w:rPr>
                      <w:rFonts w:hint="default" w:ascii="Times New Roman" w:hAnsi="Times New Roman" w:eastAsia="宋体" w:cs="Times New Roman"/>
                      <w:color w:val="auto"/>
                      <w:sz w:val="21"/>
                      <w:szCs w:val="21"/>
                      <w:highlight w:val="none"/>
                    </w:rPr>
                  </w:pPr>
                </w:p>
              </w:tc>
              <w:tc>
                <w:tcPr>
                  <w:tcW w:w="1587" w:type="pct"/>
                  <w:vAlign w:val="center"/>
                </w:tcPr>
                <w:p w14:paraId="1C2CB7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76"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烟（粉）尘（t/a）</w:t>
                  </w:r>
                </w:p>
              </w:tc>
              <w:tc>
                <w:tcPr>
                  <w:tcW w:w="3583" w:type="dxa"/>
                  <w:vAlign w:val="center"/>
                </w:tcPr>
                <w:p w14:paraId="40C0055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4"/>
                      <w:szCs w:val="24"/>
                      <w:highlight w:val="none"/>
                      <w:vertAlign w:val="baseline"/>
                      <w:lang w:val="en-US" w:eastAsia="zh-CN"/>
                    </w:rPr>
                    <w:t>104.36</w:t>
                  </w:r>
                </w:p>
              </w:tc>
            </w:tr>
            <w:tr w14:paraId="3AFE2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2" w:type="pct"/>
                  <w:vMerge w:val="continue"/>
                  <w:vAlign w:val="center"/>
                </w:tcPr>
                <w:p w14:paraId="4C76ED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left"/>
                    <w:rPr>
                      <w:rFonts w:hint="default" w:ascii="Times New Roman" w:hAnsi="Times New Roman" w:eastAsia="宋体" w:cs="Times New Roman"/>
                      <w:color w:val="auto"/>
                      <w:sz w:val="21"/>
                      <w:szCs w:val="21"/>
                      <w:highlight w:val="none"/>
                    </w:rPr>
                  </w:pPr>
                </w:p>
              </w:tc>
              <w:tc>
                <w:tcPr>
                  <w:tcW w:w="918" w:type="pct"/>
                  <w:vMerge w:val="continue"/>
                  <w:vAlign w:val="center"/>
                </w:tcPr>
                <w:p w14:paraId="25A3BE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left"/>
                    <w:rPr>
                      <w:rFonts w:hint="default" w:ascii="Times New Roman" w:hAnsi="Times New Roman" w:eastAsia="宋体" w:cs="Times New Roman"/>
                      <w:color w:val="auto"/>
                      <w:sz w:val="21"/>
                      <w:szCs w:val="21"/>
                      <w:highlight w:val="none"/>
                    </w:rPr>
                  </w:pPr>
                </w:p>
              </w:tc>
              <w:tc>
                <w:tcPr>
                  <w:tcW w:w="1587" w:type="pct"/>
                  <w:vAlign w:val="center"/>
                </w:tcPr>
                <w:p w14:paraId="73DCDD8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76"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非甲烷总烃（t/a）</w:t>
                  </w:r>
                </w:p>
              </w:tc>
              <w:tc>
                <w:tcPr>
                  <w:tcW w:w="3583" w:type="dxa"/>
                  <w:vAlign w:val="center"/>
                </w:tcPr>
                <w:p w14:paraId="5ECDE7E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1"/>
                      <w:sz w:val="24"/>
                      <w:szCs w:val="24"/>
                      <w:highlight w:val="none"/>
                    </w:rPr>
                    <w:t>43.72</w:t>
                  </w:r>
                </w:p>
              </w:tc>
            </w:tr>
            <w:tr w14:paraId="732B4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2" w:type="pct"/>
                  <w:vMerge w:val="restart"/>
                  <w:vAlign w:val="center"/>
                </w:tcPr>
                <w:p w14:paraId="0B6221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76"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w:t>
                  </w:r>
                </w:p>
                <w:p w14:paraId="3355CE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76"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废物</w:t>
                  </w:r>
                </w:p>
              </w:tc>
              <w:tc>
                <w:tcPr>
                  <w:tcW w:w="2506" w:type="pct"/>
                  <w:gridSpan w:val="2"/>
                  <w:vAlign w:val="center"/>
                </w:tcPr>
                <w:p w14:paraId="46C3C1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76"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危险废物（t/a）</w:t>
                  </w:r>
                </w:p>
              </w:tc>
              <w:tc>
                <w:tcPr>
                  <w:tcW w:w="3583" w:type="dxa"/>
                  <w:vAlign w:val="center"/>
                </w:tcPr>
                <w:p w14:paraId="462DCDD2">
                  <w:pPr>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1"/>
                      <w:sz w:val="24"/>
                      <w:szCs w:val="24"/>
                      <w:highlight w:val="none"/>
                    </w:rPr>
                    <w:t>2278.37</w:t>
                  </w:r>
                  <w:r>
                    <w:rPr>
                      <w:rFonts w:hint="eastAsia" w:ascii="Times New Roman" w:hAnsi="Times New Roman" w:eastAsia="宋体" w:cs="Times New Roman"/>
                      <w:color w:val="auto"/>
                      <w:spacing w:val="-1"/>
                      <w:sz w:val="24"/>
                      <w:szCs w:val="24"/>
                      <w:highlight w:val="none"/>
                      <w:lang w:eastAsia="zh-CN"/>
                    </w:rPr>
                    <w:t>（</w:t>
                  </w:r>
                  <w:r>
                    <w:rPr>
                      <w:rFonts w:hint="eastAsia" w:ascii="Times New Roman" w:hAnsi="Times New Roman" w:eastAsia="宋体" w:cs="Times New Roman"/>
                      <w:color w:val="auto"/>
                      <w:spacing w:val="-1"/>
                      <w:sz w:val="24"/>
                      <w:szCs w:val="24"/>
                      <w:highlight w:val="none"/>
                      <w:lang w:val="en-US" w:eastAsia="zh-CN"/>
                    </w:rPr>
                    <w:t>委外处置</w:t>
                  </w:r>
                  <w:r>
                    <w:rPr>
                      <w:rFonts w:hint="eastAsia" w:ascii="Times New Roman" w:hAnsi="Times New Roman" w:eastAsia="宋体" w:cs="Times New Roman"/>
                      <w:color w:val="auto"/>
                      <w:spacing w:val="-1"/>
                      <w:sz w:val="24"/>
                      <w:szCs w:val="24"/>
                      <w:highlight w:val="none"/>
                      <w:lang w:eastAsia="zh-CN"/>
                    </w:rPr>
                    <w:t>）</w:t>
                  </w:r>
                </w:p>
              </w:tc>
            </w:tr>
            <w:tr w14:paraId="598D1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2" w:type="pct"/>
                  <w:vMerge w:val="continue"/>
                  <w:vAlign w:val="center"/>
                </w:tcPr>
                <w:p w14:paraId="02E42F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left"/>
                    <w:rPr>
                      <w:rFonts w:hint="default" w:ascii="Times New Roman" w:hAnsi="Times New Roman" w:eastAsia="宋体" w:cs="Times New Roman"/>
                      <w:color w:val="auto"/>
                      <w:sz w:val="21"/>
                      <w:szCs w:val="21"/>
                      <w:highlight w:val="none"/>
                    </w:rPr>
                  </w:pPr>
                </w:p>
              </w:tc>
              <w:tc>
                <w:tcPr>
                  <w:tcW w:w="2506" w:type="pct"/>
                  <w:gridSpan w:val="2"/>
                  <w:vAlign w:val="center"/>
                </w:tcPr>
                <w:p w14:paraId="73B430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76"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一般固废（t/a）</w:t>
                  </w:r>
                </w:p>
              </w:tc>
              <w:tc>
                <w:tcPr>
                  <w:tcW w:w="3583" w:type="dxa"/>
                  <w:vAlign w:val="center"/>
                </w:tcPr>
                <w:p w14:paraId="1BB2A8D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4"/>
                      <w:szCs w:val="24"/>
                      <w:highlight w:val="none"/>
                    </w:rPr>
                    <w:t>174050.52</w:t>
                  </w:r>
                  <w:r>
                    <w:rPr>
                      <w:rFonts w:hint="default" w:ascii="Times New Roman" w:hAnsi="Times New Roman" w:eastAsia="宋体" w:cs="Times New Roman"/>
                      <w:i w:val="0"/>
                      <w:iCs w:val="0"/>
                      <w:color w:val="auto"/>
                      <w:kern w:val="0"/>
                      <w:sz w:val="21"/>
                      <w:szCs w:val="21"/>
                      <w:highlight w:val="none"/>
                      <w:u w:val="none"/>
                      <w:lang w:val="en-US" w:eastAsia="zh-CN"/>
                    </w:rPr>
                    <w:t>（综合利用，环卫清运）</w:t>
                  </w:r>
                </w:p>
              </w:tc>
            </w:tr>
            <w:tr w14:paraId="2FBE5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72" w:type="pct"/>
                  <w:vMerge w:val="continue"/>
                  <w:vAlign w:val="center"/>
                </w:tcPr>
                <w:p w14:paraId="55B080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76" w:lineRule="auto"/>
                    <w:ind w:left="0" w:right="0"/>
                    <w:jc w:val="left"/>
                    <w:rPr>
                      <w:rFonts w:hint="default" w:ascii="Times New Roman" w:hAnsi="Times New Roman" w:eastAsia="宋体" w:cs="Times New Roman"/>
                      <w:color w:val="auto"/>
                      <w:sz w:val="21"/>
                      <w:szCs w:val="21"/>
                      <w:highlight w:val="none"/>
                    </w:rPr>
                  </w:pPr>
                </w:p>
              </w:tc>
              <w:tc>
                <w:tcPr>
                  <w:tcW w:w="2506" w:type="pct"/>
                  <w:gridSpan w:val="2"/>
                  <w:vAlign w:val="center"/>
                </w:tcPr>
                <w:p w14:paraId="01B07C0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76"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生活垃圾（t/a）</w:t>
                  </w:r>
                </w:p>
              </w:tc>
              <w:tc>
                <w:tcPr>
                  <w:tcW w:w="3583" w:type="dxa"/>
                  <w:vAlign w:val="center"/>
                </w:tcPr>
                <w:p w14:paraId="502ACA9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4"/>
                      <w:szCs w:val="24"/>
                      <w:highlight w:val="none"/>
                    </w:rPr>
                    <w:t>3129.21</w:t>
                  </w:r>
                  <w:r>
                    <w:rPr>
                      <w:rFonts w:hint="default" w:ascii="Times New Roman" w:hAnsi="Times New Roman" w:eastAsia="宋体" w:cs="Times New Roman"/>
                      <w:i w:val="0"/>
                      <w:iCs w:val="0"/>
                      <w:color w:val="auto"/>
                      <w:kern w:val="0"/>
                      <w:sz w:val="21"/>
                      <w:szCs w:val="21"/>
                      <w:highlight w:val="none"/>
                      <w:u w:val="none"/>
                      <w:lang w:val="en-US" w:eastAsia="zh-CN"/>
                    </w:rPr>
                    <w:t>（环卫清运）</w:t>
                  </w:r>
                </w:p>
              </w:tc>
            </w:tr>
          </w:tbl>
          <w:p w14:paraId="084F804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3、主要环境问题</w:t>
            </w:r>
          </w:p>
          <w:p w14:paraId="29D518ED">
            <w:pPr>
              <w:pageBreakBefore w:val="0"/>
              <w:wordWrap w:val="0"/>
              <w:overflowPunct/>
              <w:bidi w:val="0"/>
              <w:adjustRightInd w:val="0"/>
              <w:snapToGrid w:val="0"/>
              <w:ind w:firstLine="480" w:firstLineChars="200"/>
              <w:jc w:val="left"/>
              <w:rPr>
                <w:rFonts w:hint="default" w:ascii="Times New Roman" w:hAnsi="Times New Roman" w:cs="Times New Roman"/>
                <w:color w:val="auto"/>
                <w:szCs w:val="21"/>
                <w:highlight w:val="none"/>
              </w:rPr>
            </w:pPr>
            <w:r>
              <w:rPr>
                <w:rFonts w:hint="default" w:ascii="Times New Roman" w:hAnsi="Times New Roman" w:eastAsia="宋体" w:cs="Times New Roman"/>
                <w:color w:val="auto"/>
                <w:kern w:val="0"/>
                <w:sz w:val="24"/>
                <w:highlight w:val="none"/>
              </w:rPr>
              <w:t>环境质量现状监测数据表明，项目所在区域各类环境要素均能达到相应的环境规划要求，无突出环境问题。</w:t>
            </w:r>
          </w:p>
          <w:p w14:paraId="2DF748E8">
            <w:pPr>
              <w:pageBreakBefore w:val="0"/>
              <w:wordWrap w:val="0"/>
              <w:overflowPunct/>
              <w:bidi w:val="0"/>
              <w:adjustRightInd w:val="0"/>
              <w:snapToGrid w:val="0"/>
              <w:ind w:firstLine="480" w:firstLineChars="200"/>
              <w:jc w:val="center"/>
              <w:rPr>
                <w:rFonts w:hint="default" w:ascii="Times New Roman" w:hAnsi="Times New Roman" w:cs="Times New Roman"/>
                <w:color w:val="auto"/>
                <w:szCs w:val="21"/>
                <w:highlight w:val="none"/>
              </w:rPr>
            </w:pPr>
          </w:p>
          <w:p w14:paraId="1EBE65B6">
            <w:pPr>
              <w:pageBreakBefore w:val="0"/>
              <w:wordWrap w:val="0"/>
              <w:overflowPunct/>
              <w:bidi w:val="0"/>
              <w:adjustRightInd w:val="0"/>
              <w:snapToGrid w:val="0"/>
              <w:ind w:firstLine="480" w:firstLineChars="200"/>
              <w:jc w:val="center"/>
              <w:rPr>
                <w:rFonts w:hint="default" w:ascii="Times New Roman" w:hAnsi="Times New Roman" w:cs="Times New Roman"/>
                <w:color w:val="auto"/>
                <w:szCs w:val="21"/>
                <w:highlight w:val="none"/>
              </w:rPr>
            </w:pPr>
          </w:p>
          <w:p w14:paraId="31EA9CC7">
            <w:pPr>
              <w:pageBreakBefore w:val="0"/>
              <w:wordWrap w:val="0"/>
              <w:overflowPunct/>
              <w:bidi w:val="0"/>
              <w:adjustRightInd w:val="0"/>
              <w:snapToGrid w:val="0"/>
              <w:ind w:firstLine="480" w:firstLineChars="200"/>
              <w:jc w:val="center"/>
              <w:rPr>
                <w:rFonts w:hint="default" w:ascii="Times New Roman" w:hAnsi="Times New Roman" w:cs="Times New Roman"/>
                <w:color w:val="auto"/>
                <w:szCs w:val="21"/>
                <w:highlight w:val="none"/>
              </w:rPr>
            </w:pPr>
          </w:p>
          <w:p w14:paraId="7B5CF509">
            <w:pPr>
              <w:pageBreakBefore w:val="0"/>
              <w:wordWrap w:val="0"/>
              <w:overflowPunct/>
              <w:bidi w:val="0"/>
              <w:adjustRightInd w:val="0"/>
              <w:snapToGrid w:val="0"/>
              <w:ind w:firstLine="480" w:firstLineChars="200"/>
              <w:jc w:val="center"/>
              <w:rPr>
                <w:rFonts w:hint="default" w:ascii="Times New Roman" w:hAnsi="Times New Roman" w:cs="Times New Roman"/>
                <w:color w:val="auto"/>
                <w:highlight w:val="none"/>
              </w:rPr>
            </w:pPr>
          </w:p>
        </w:tc>
      </w:tr>
    </w:tbl>
    <w:p w14:paraId="5C3969F3">
      <w:pPr>
        <w:pageBreakBefore w:val="0"/>
        <w:wordWrap w:val="0"/>
        <w:overflowPunct/>
        <w:bidi w:val="0"/>
        <w:rPr>
          <w:rFonts w:hint="default" w:ascii="Times New Roman" w:hAnsi="Times New Roman" w:cs="Times New Roman"/>
          <w:color w:val="auto"/>
          <w:kern w:val="44"/>
          <w:sz w:val="30"/>
          <w:szCs w:val="30"/>
          <w:highlight w:val="none"/>
        </w:rPr>
      </w:pPr>
      <w:bookmarkStart w:id="44" w:name="_Toc29511"/>
      <w:r>
        <w:rPr>
          <w:rFonts w:hint="default" w:ascii="Times New Roman" w:hAnsi="Times New Roman" w:cs="Times New Roman"/>
          <w:color w:val="auto"/>
          <w:kern w:val="44"/>
          <w:sz w:val="30"/>
          <w:szCs w:val="30"/>
          <w:highlight w:val="none"/>
        </w:rPr>
        <w:br w:type="page"/>
      </w:r>
    </w:p>
    <w:p w14:paraId="6F567B9D">
      <w:pPr>
        <w:pStyle w:val="7"/>
        <w:pageBreakBefore w:val="0"/>
        <w:numPr>
          <w:ilvl w:val="0"/>
          <w:numId w:val="0"/>
        </w:numPr>
        <w:wordWrap w:val="0"/>
        <w:overflowPunct/>
        <w:bidi w:val="0"/>
        <w:rPr>
          <w:rFonts w:hint="default" w:ascii="Times New Roman" w:hAnsi="Times New Roman" w:cs="Times New Roman"/>
          <w:color w:val="auto"/>
          <w:highlight w:val="none"/>
        </w:rPr>
      </w:pPr>
      <w:bookmarkStart w:id="45" w:name="_Toc4052"/>
      <w:bookmarkStart w:id="46" w:name="_Toc13342"/>
      <w:r>
        <w:rPr>
          <w:rFonts w:hint="default" w:ascii="Times New Roman" w:hAnsi="Times New Roman" w:cs="Times New Roman"/>
          <w:color w:val="auto"/>
          <w:highlight w:val="none"/>
        </w:rPr>
        <w:t>三、区域环境质量现状、环境保护目标及评价标准</w:t>
      </w:r>
      <w:bookmarkEnd w:id="44"/>
      <w:bookmarkEnd w:id="45"/>
      <w:bookmarkEnd w:id="46"/>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8081"/>
      </w:tblGrid>
      <w:tr w14:paraId="71C57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trPr>
        <w:tc>
          <w:tcPr>
            <w:tcW w:w="262" w:type="pct"/>
            <w:vAlign w:val="center"/>
          </w:tcPr>
          <w:p w14:paraId="64986B96">
            <w:pPr>
              <w:keepNext/>
              <w:keepLines w:val="0"/>
              <w:pageBreakBefore w:val="0"/>
              <w:widowControl/>
              <w:numPr>
                <w:ilvl w:val="1"/>
                <w:numId w:val="0"/>
              </w:numPr>
              <w:tabs>
                <w:tab w:val="left" w:pos="420"/>
              </w:tabs>
              <w:kinsoku/>
              <w:wordWrap w:val="0"/>
              <w:overflowPunct/>
              <w:topLinePunct w:val="0"/>
              <w:autoSpaceDE/>
              <w:autoSpaceDN/>
              <w:bidi w:val="0"/>
              <w:adjustRightInd/>
              <w:snapToGrid/>
              <w:textAlignment w:val="auto"/>
              <w:outlineLvl w:val="9"/>
              <w:rPr>
                <w:rFonts w:hint="default" w:ascii="Times New Roman" w:hAnsi="Times New Roman" w:cs="Times New Roman"/>
                <w:color w:val="auto"/>
                <w:highlight w:val="none"/>
              </w:rPr>
            </w:pPr>
            <w:bookmarkStart w:id="47" w:name="_Toc21960"/>
            <w:bookmarkStart w:id="48" w:name="_Toc11366"/>
            <w:bookmarkStart w:id="49" w:name="_Toc21642"/>
            <w:bookmarkStart w:id="50" w:name="_Toc24283"/>
            <w:bookmarkStart w:id="51" w:name="_Toc14318"/>
            <w:r>
              <w:rPr>
                <w:rFonts w:hint="default" w:ascii="Times New Roman" w:hAnsi="Times New Roman" w:cs="Times New Roman"/>
                <w:color w:val="auto"/>
                <w:highlight w:val="none"/>
              </w:rPr>
              <w:t>区域环境质量现状</w:t>
            </w:r>
            <w:bookmarkEnd w:id="47"/>
            <w:bookmarkEnd w:id="48"/>
            <w:bookmarkEnd w:id="49"/>
            <w:bookmarkEnd w:id="50"/>
            <w:bookmarkEnd w:id="51"/>
          </w:p>
        </w:tc>
        <w:tc>
          <w:tcPr>
            <w:tcW w:w="4737" w:type="pct"/>
          </w:tcPr>
          <w:p w14:paraId="5B9104EA">
            <w:pPr>
              <w:pStyle w:val="9"/>
              <w:pageBreakBefore w:val="0"/>
              <w:numPr>
                <w:ilvl w:val="2"/>
                <w:numId w:val="0"/>
              </w:numPr>
              <w:wordWrap w:val="0"/>
              <w:overflowPunct/>
              <w:bidi w:val="0"/>
              <w:ind w:left="-2"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一、环境空气质量现状</w:t>
            </w:r>
          </w:p>
          <w:p w14:paraId="0A8BFE2E">
            <w:pPr>
              <w:pStyle w:val="2"/>
              <w:pageBreakBefore w:val="0"/>
              <w:wordWrap w:val="0"/>
              <w:overflowPunct/>
              <w:bidi w:val="0"/>
              <w:ind w:firstLine="480"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（1）项目所在区域达标判定</w:t>
            </w:r>
          </w:p>
          <w:p w14:paraId="743ED661">
            <w:pPr>
              <w:pStyle w:val="2"/>
              <w:pageBreakBefore w:val="0"/>
              <w:wordWrap w:val="0"/>
              <w:overflowPunct/>
              <w:bidi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根据《韶关市生态环境保护战略规划（2020-2035）》，本项目选址周围空气环境质量功能区划为二类功能区，因此项目所在区域环境空气质量执行国家</w:t>
            </w:r>
            <w:r>
              <w:rPr>
                <w:rFonts w:hint="eastAsia" w:ascii="Times New Roman" w:cs="Times New Roman"/>
                <w:color w:val="auto"/>
                <w:highlight w:val="none"/>
                <w:lang w:eastAsia="zh-CN"/>
              </w:rPr>
              <w:t>《环境空气质量标准》（GB3095-2026）过渡阶段浓度限值二级标准</w:t>
            </w:r>
            <w:r>
              <w:rPr>
                <w:rFonts w:hint="default" w:ascii="Times New Roman" w:hAnsi="Times New Roman" w:cs="Times New Roman"/>
                <w:color w:val="auto"/>
                <w:highlight w:val="none"/>
              </w:rPr>
              <w:t>。</w:t>
            </w:r>
          </w:p>
          <w:p w14:paraId="42BEC103">
            <w:pPr>
              <w:pStyle w:val="2"/>
              <w:pageBreakBefore w:val="0"/>
              <w:wordWrap w:val="0"/>
              <w:overflowPunct/>
              <w:bidi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根据《韶关市生态环境状况公报》（202</w:t>
            </w:r>
            <w:r>
              <w:rPr>
                <w:rFonts w:hint="eastAsia" w:ascii="Times New Roman" w:cs="Times New Roman"/>
                <w:color w:val="auto"/>
                <w:highlight w:val="none"/>
                <w:lang w:val="en-US" w:eastAsia="zh-CN"/>
              </w:rPr>
              <w:t>4</w:t>
            </w:r>
            <w:r>
              <w:rPr>
                <w:rFonts w:hint="default" w:ascii="Times New Roman" w:hAnsi="Times New Roman" w:cs="Times New Roman"/>
                <w:color w:val="auto"/>
                <w:highlight w:val="none"/>
              </w:rPr>
              <w:t>年），韶关市区各常规监测因子均可满足国家</w:t>
            </w:r>
            <w:r>
              <w:rPr>
                <w:rFonts w:hint="eastAsia" w:ascii="Times New Roman" w:cs="Times New Roman"/>
                <w:color w:val="auto"/>
                <w:highlight w:val="none"/>
                <w:lang w:eastAsia="zh-CN"/>
              </w:rPr>
              <w:t>《环境空气质量标准》（GB3095-2026）过渡阶段浓度限值二级标准</w:t>
            </w:r>
            <w:r>
              <w:rPr>
                <w:rFonts w:hint="default" w:ascii="Times New Roman" w:hAnsi="Times New Roman" w:cs="Times New Roman"/>
                <w:color w:val="auto"/>
                <w:highlight w:val="none"/>
              </w:rPr>
              <w:t>要求，本项目所在区域属于达标区，详见下表。</w:t>
            </w:r>
          </w:p>
          <w:p w14:paraId="78E87550">
            <w:pPr>
              <w:keepNext w:val="0"/>
              <w:keepLines w:val="0"/>
              <w:pageBreakBefore w:val="0"/>
              <w:widowControl w:val="0"/>
              <w:numPr>
                <w:ilvl w:val="0"/>
                <w:numId w:val="9"/>
              </w:numPr>
              <w:kinsoku/>
              <w:wordWrap w:val="0"/>
              <w:overflowPunct/>
              <w:topLinePunct w:val="0"/>
              <w:autoSpaceDE/>
              <w:autoSpaceDN/>
              <w:bidi w:val="0"/>
              <w:adjustRightInd/>
              <w:snapToGrid/>
              <w:spacing w:line="240" w:lineRule="auto"/>
              <w:ind w:left="0" w:leftChars="0" w:firstLine="40" w:firstLineChars="0"/>
              <w:jc w:val="center"/>
              <w:textAlignment w:val="auto"/>
              <w:rPr>
                <w:rFonts w:hint="default" w:ascii="Times New Roman" w:hAnsi="Times New Roman" w:cs="Times New Roman"/>
                <w:b/>
                <w:bCs/>
                <w:color w:val="auto"/>
                <w:sz w:val="21"/>
                <w:szCs w:val="21"/>
                <w:highlight w:val="none"/>
              </w:rPr>
            </w:pPr>
            <w:bookmarkStart w:id="52" w:name="_Toc26003"/>
            <w:bookmarkStart w:id="53" w:name="_Toc944"/>
            <w:bookmarkStart w:id="54" w:name="_Toc19677"/>
            <w:r>
              <w:rPr>
                <w:rFonts w:hint="default" w:ascii="Times New Roman" w:hAnsi="Times New Roman" w:cs="Times New Roman"/>
                <w:b/>
                <w:bCs/>
                <w:color w:val="auto"/>
                <w:sz w:val="21"/>
                <w:szCs w:val="21"/>
                <w:highlight w:val="none"/>
              </w:rPr>
              <w:t>区域空气质量现状评价表</w:t>
            </w:r>
          </w:p>
          <w:tbl>
            <w:tblPr>
              <w:tblStyle w:val="43"/>
              <w:tblW w:w="4998" w:type="pct"/>
              <w:tblInd w:w="1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980"/>
              <w:gridCol w:w="2482"/>
              <w:gridCol w:w="1048"/>
              <w:gridCol w:w="1059"/>
              <w:gridCol w:w="1263"/>
              <w:gridCol w:w="1020"/>
            </w:tblGrid>
            <w:tr w14:paraId="218D951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24" w:type="pct"/>
                  <w:vAlign w:val="center"/>
                </w:tcPr>
                <w:p w14:paraId="6F935F79">
                  <w:pPr>
                    <w:keepNext w:val="0"/>
                    <w:keepLines w:val="0"/>
                    <w:pageBreakBefore w:val="0"/>
                    <w:kinsoku/>
                    <w:wordWrap w:val="0"/>
                    <w:overflowPunct/>
                    <w:topLinePunct w:val="0"/>
                    <w:autoSpaceDE w:val="0"/>
                    <w:autoSpaceDN w:val="0"/>
                    <w:bidi w:val="0"/>
                    <w:adjustRightInd w:val="0"/>
                    <w:spacing w:line="240" w:lineRule="auto"/>
                    <w:jc w:val="center"/>
                    <w:rPr>
                      <w:rFonts w:hint="default" w:ascii="Times New Roman" w:hAnsi="Times New Roman" w:cs="Times New Roman"/>
                      <w:b/>
                      <w:bCs/>
                      <w:color w:val="auto"/>
                      <w:kern w:val="0"/>
                      <w:position w:val="-3"/>
                      <w:sz w:val="21"/>
                      <w:szCs w:val="21"/>
                      <w:highlight w:val="none"/>
                    </w:rPr>
                  </w:pPr>
                  <w:r>
                    <w:rPr>
                      <w:rFonts w:hint="default" w:ascii="Times New Roman" w:hAnsi="Times New Roman" w:cs="Times New Roman"/>
                      <w:b/>
                      <w:bCs/>
                      <w:color w:val="auto"/>
                      <w:kern w:val="0"/>
                      <w:position w:val="-3"/>
                      <w:sz w:val="21"/>
                      <w:szCs w:val="21"/>
                      <w:highlight w:val="none"/>
                    </w:rPr>
                    <w:t>污染物</w:t>
                  </w:r>
                </w:p>
              </w:tc>
              <w:tc>
                <w:tcPr>
                  <w:tcW w:w="1580" w:type="pct"/>
                  <w:vAlign w:val="center"/>
                </w:tcPr>
                <w:p w14:paraId="4DE61547">
                  <w:pPr>
                    <w:keepNext w:val="0"/>
                    <w:keepLines w:val="0"/>
                    <w:pageBreakBefore w:val="0"/>
                    <w:kinsoku/>
                    <w:wordWrap w:val="0"/>
                    <w:overflowPunct/>
                    <w:topLinePunct w:val="0"/>
                    <w:autoSpaceDE w:val="0"/>
                    <w:autoSpaceDN w:val="0"/>
                    <w:bidi w:val="0"/>
                    <w:adjustRightInd w:val="0"/>
                    <w:spacing w:line="240" w:lineRule="auto"/>
                    <w:jc w:val="center"/>
                    <w:rPr>
                      <w:rFonts w:hint="default" w:ascii="Times New Roman" w:hAnsi="Times New Roman" w:cs="Times New Roman"/>
                      <w:b/>
                      <w:bCs/>
                      <w:color w:val="auto"/>
                      <w:kern w:val="0"/>
                      <w:position w:val="-3"/>
                      <w:sz w:val="21"/>
                      <w:szCs w:val="21"/>
                      <w:highlight w:val="none"/>
                    </w:rPr>
                  </w:pPr>
                  <w:r>
                    <w:rPr>
                      <w:rFonts w:hint="default" w:ascii="Times New Roman" w:hAnsi="Times New Roman" w:cs="Times New Roman"/>
                      <w:b/>
                      <w:bCs/>
                      <w:color w:val="auto"/>
                      <w:kern w:val="0"/>
                      <w:position w:val="-3"/>
                      <w:sz w:val="21"/>
                      <w:szCs w:val="21"/>
                      <w:highlight w:val="none"/>
                    </w:rPr>
                    <w:t>年评价指标</w:t>
                  </w:r>
                </w:p>
              </w:tc>
              <w:tc>
                <w:tcPr>
                  <w:tcW w:w="667" w:type="pct"/>
                  <w:vAlign w:val="center"/>
                </w:tcPr>
                <w:p w14:paraId="1250A520">
                  <w:pPr>
                    <w:keepNext w:val="0"/>
                    <w:keepLines w:val="0"/>
                    <w:pageBreakBefore w:val="0"/>
                    <w:kinsoku/>
                    <w:wordWrap w:val="0"/>
                    <w:overflowPunct/>
                    <w:topLinePunct w:val="0"/>
                    <w:autoSpaceDE w:val="0"/>
                    <w:autoSpaceDN w:val="0"/>
                    <w:bidi w:val="0"/>
                    <w:adjustRightInd w:val="0"/>
                    <w:spacing w:line="240" w:lineRule="auto"/>
                    <w:jc w:val="center"/>
                    <w:rPr>
                      <w:rFonts w:hint="default" w:ascii="Times New Roman" w:hAnsi="Times New Roman" w:cs="Times New Roman"/>
                      <w:b/>
                      <w:bCs/>
                      <w:color w:val="auto"/>
                      <w:kern w:val="0"/>
                      <w:position w:val="-3"/>
                      <w:sz w:val="21"/>
                      <w:szCs w:val="21"/>
                      <w:highlight w:val="none"/>
                    </w:rPr>
                  </w:pPr>
                  <w:r>
                    <w:rPr>
                      <w:rFonts w:hint="default" w:ascii="Times New Roman" w:hAnsi="Times New Roman" w:cs="Times New Roman"/>
                      <w:b/>
                      <w:bCs/>
                      <w:color w:val="auto"/>
                      <w:kern w:val="0"/>
                      <w:position w:val="-3"/>
                      <w:sz w:val="21"/>
                      <w:szCs w:val="21"/>
                      <w:highlight w:val="none"/>
                    </w:rPr>
                    <w:t>现状浓度</w:t>
                  </w:r>
                </w:p>
              </w:tc>
              <w:tc>
                <w:tcPr>
                  <w:tcW w:w="674" w:type="pct"/>
                  <w:vAlign w:val="center"/>
                </w:tcPr>
                <w:p w14:paraId="04955591">
                  <w:pPr>
                    <w:keepNext w:val="0"/>
                    <w:keepLines w:val="0"/>
                    <w:pageBreakBefore w:val="0"/>
                    <w:kinsoku/>
                    <w:wordWrap w:val="0"/>
                    <w:overflowPunct/>
                    <w:topLinePunct w:val="0"/>
                    <w:autoSpaceDE w:val="0"/>
                    <w:autoSpaceDN w:val="0"/>
                    <w:bidi w:val="0"/>
                    <w:adjustRightInd w:val="0"/>
                    <w:spacing w:line="240" w:lineRule="auto"/>
                    <w:jc w:val="center"/>
                    <w:rPr>
                      <w:rFonts w:hint="default" w:ascii="Times New Roman" w:hAnsi="Times New Roman" w:cs="Times New Roman"/>
                      <w:b/>
                      <w:bCs/>
                      <w:color w:val="auto"/>
                      <w:kern w:val="0"/>
                      <w:position w:val="-3"/>
                      <w:sz w:val="21"/>
                      <w:szCs w:val="21"/>
                      <w:highlight w:val="none"/>
                    </w:rPr>
                  </w:pPr>
                  <w:r>
                    <w:rPr>
                      <w:rFonts w:hint="default" w:ascii="Times New Roman" w:hAnsi="Times New Roman" w:cs="Times New Roman"/>
                      <w:b/>
                      <w:bCs/>
                      <w:color w:val="auto"/>
                      <w:kern w:val="0"/>
                      <w:position w:val="-3"/>
                      <w:sz w:val="21"/>
                      <w:szCs w:val="21"/>
                      <w:highlight w:val="none"/>
                    </w:rPr>
                    <w:t>标准值</w:t>
                  </w:r>
                </w:p>
              </w:tc>
              <w:tc>
                <w:tcPr>
                  <w:tcW w:w="804" w:type="pct"/>
                  <w:vAlign w:val="center"/>
                </w:tcPr>
                <w:p w14:paraId="359EC1D0">
                  <w:pPr>
                    <w:keepNext w:val="0"/>
                    <w:keepLines w:val="0"/>
                    <w:pageBreakBefore w:val="0"/>
                    <w:kinsoku/>
                    <w:wordWrap w:val="0"/>
                    <w:overflowPunct/>
                    <w:topLinePunct w:val="0"/>
                    <w:autoSpaceDE w:val="0"/>
                    <w:autoSpaceDN w:val="0"/>
                    <w:bidi w:val="0"/>
                    <w:adjustRightInd w:val="0"/>
                    <w:spacing w:line="240" w:lineRule="auto"/>
                    <w:jc w:val="center"/>
                    <w:rPr>
                      <w:rFonts w:hint="default" w:ascii="Times New Roman" w:hAnsi="Times New Roman" w:cs="Times New Roman"/>
                      <w:b/>
                      <w:bCs/>
                      <w:color w:val="auto"/>
                      <w:kern w:val="0"/>
                      <w:position w:val="-3"/>
                      <w:sz w:val="21"/>
                      <w:szCs w:val="21"/>
                      <w:highlight w:val="none"/>
                    </w:rPr>
                  </w:pPr>
                  <w:r>
                    <w:rPr>
                      <w:rFonts w:hint="default" w:ascii="Times New Roman" w:hAnsi="Times New Roman" w:cs="Times New Roman"/>
                      <w:b/>
                      <w:bCs/>
                      <w:color w:val="auto"/>
                      <w:kern w:val="0"/>
                      <w:position w:val="-3"/>
                      <w:sz w:val="21"/>
                      <w:szCs w:val="21"/>
                      <w:highlight w:val="none"/>
                    </w:rPr>
                    <w:t>占标率%</w:t>
                  </w:r>
                </w:p>
              </w:tc>
              <w:tc>
                <w:tcPr>
                  <w:tcW w:w="649" w:type="pct"/>
                  <w:vAlign w:val="center"/>
                </w:tcPr>
                <w:p w14:paraId="21DEAB32">
                  <w:pPr>
                    <w:keepNext w:val="0"/>
                    <w:keepLines w:val="0"/>
                    <w:pageBreakBefore w:val="0"/>
                    <w:kinsoku/>
                    <w:wordWrap w:val="0"/>
                    <w:overflowPunct/>
                    <w:topLinePunct w:val="0"/>
                    <w:autoSpaceDE w:val="0"/>
                    <w:autoSpaceDN w:val="0"/>
                    <w:bidi w:val="0"/>
                    <w:adjustRightInd w:val="0"/>
                    <w:spacing w:line="240" w:lineRule="auto"/>
                    <w:jc w:val="center"/>
                    <w:rPr>
                      <w:rFonts w:hint="default" w:ascii="Times New Roman" w:hAnsi="Times New Roman" w:cs="Times New Roman"/>
                      <w:b/>
                      <w:bCs/>
                      <w:color w:val="auto"/>
                      <w:kern w:val="0"/>
                      <w:position w:val="-3"/>
                      <w:sz w:val="21"/>
                      <w:szCs w:val="21"/>
                      <w:highlight w:val="none"/>
                    </w:rPr>
                  </w:pPr>
                  <w:r>
                    <w:rPr>
                      <w:rFonts w:hint="default" w:ascii="Times New Roman" w:hAnsi="Times New Roman" w:cs="Times New Roman"/>
                      <w:b/>
                      <w:bCs/>
                      <w:color w:val="auto"/>
                      <w:kern w:val="0"/>
                      <w:position w:val="-3"/>
                      <w:sz w:val="21"/>
                      <w:szCs w:val="21"/>
                      <w:highlight w:val="none"/>
                    </w:rPr>
                    <w:t>达标情况</w:t>
                  </w:r>
                </w:p>
              </w:tc>
            </w:tr>
            <w:tr w14:paraId="5DBBEF9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24" w:type="pct"/>
                  <w:vAlign w:val="center"/>
                </w:tcPr>
                <w:p w14:paraId="2C58925A">
                  <w:pPr>
                    <w:keepNext w:val="0"/>
                    <w:keepLines w:val="0"/>
                    <w:pageBreakBefore w:val="0"/>
                    <w:kinsoku/>
                    <w:wordWrap w:val="0"/>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 w:val="21"/>
                      <w:szCs w:val="21"/>
                      <w:highlight w:val="none"/>
                      <w:vertAlign w:val="subscript"/>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p>
              </w:tc>
              <w:tc>
                <w:tcPr>
                  <w:tcW w:w="1580" w:type="pct"/>
                  <w:vAlign w:val="center"/>
                </w:tcPr>
                <w:p w14:paraId="1C1D7580">
                  <w:pPr>
                    <w:keepNext w:val="0"/>
                    <w:keepLines w:val="0"/>
                    <w:pageBreakBefore w:val="0"/>
                    <w:kinsoku/>
                    <w:wordWrap w:val="0"/>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年平均质量浓度</w:t>
                  </w:r>
                </w:p>
              </w:tc>
              <w:tc>
                <w:tcPr>
                  <w:tcW w:w="667" w:type="pct"/>
                  <w:vAlign w:val="center"/>
                </w:tcPr>
                <w:p w14:paraId="4040F7A2">
                  <w:pPr>
                    <w:pStyle w:val="20"/>
                    <w:keepNext w:val="0"/>
                    <w:keepLines w:val="0"/>
                    <w:pageBreakBefore w:val="0"/>
                    <w:kinsoku/>
                    <w:wordWrap w:val="0"/>
                    <w:overflowPunct/>
                    <w:topLinePunct w:val="0"/>
                    <w:bidi w:val="0"/>
                    <w:spacing w:line="240" w:lineRule="auto"/>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μ</w:t>
                  </w:r>
                  <w:r>
                    <w:rPr>
                      <w:rFonts w:hint="default" w:ascii="Times New Roman" w:hAnsi="Times New Roman" w:cs="Times New Roman"/>
                      <w:color w:val="auto"/>
                      <w:sz w:val="21"/>
                      <w:szCs w:val="21"/>
                      <w:highlight w:val="none"/>
                    </w:rPr>
                    <w:t>g/m</w:t>
                  </w:r>
                  <w:r>
                    <w:rPr>
                      <w:rFonts w:hint="eastAsia" w:ascii="Times New Roman" w:hAnsi="Times New Roman" w:cs="Times New Roman"/>
                      <w:color w:val="auto"/>
                      <w:sz w:val="21"/>
                      <w:szCs w:val="21"/>
                      <w:highlight w:val="none"/>
                      <w:vertAlign w:val="superscript"/>
                      <w:lang w:val="en-US" w:eastAsia="zh-CN"/>
                    </w:rPr>
                    <w:t>3</w:t>
                  </w:r>
                </w:p>
              </w:tc>
              <w:tc>
                <w:tcPr>
                  <w:tcW w:w="674" w:type="pct"/>
                  <w:vAlign w:val="center"/>
                </w:tcPr>
                <w:p w14:paraId="02C4C8D5">
                  <w:pPr>
                    <w:keepNext w:val="0"/>
                    <w:keepLines w:val="0"/>
                    <w:pageBreakBefore w:val="0"/>
                    <w:kinsoku/>
                    <w:wordWrap w:val="0"/>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r>
                    <w:rPr>
                      <w:rFonts w:hint="default" w:ascii="Times New Roman" w:hAnsi="Times New Roman" w:cs="Times New Roman"/>
                      <w:color w:val="auto"/>
                      <w:sz w:val="21"/>
                      <w:szCs w:val="21"/>
                      <w:highlight w:val="none"/>
                      <w:lang w:val="en-US" w:eastAsia="zh-CN"/>
                    </w:rPr>
                    <w:t>μ</w:t>
                  </w:r>
                  <w:r>
                    <w:rPr>
                      <w:rFonts w:hint="default" w:ascii="Times New Roman" w:hAnsi="Times New Roman" w:cs="Times New Roman"/>
                      <w:color w:val="auto"/>
                      <w:sz w:val="21"/>
                      <w:szCs w:val="21"/>
                      <w:highlight w:val="none"/>
                    </w:rPr>
                    <w:t>g/m</w:t>
                  </w:r>
                  <w:r>
                    <w:rPr>
                      <w:rFonts w:hint="default" w:ascii="Times New Roman" w:hAnsi="Times New Roman" w:cs="Times New Roman"/>
                      <w:color w:val="auto"/>
                      <w:sz w:val="21"/>
                      <w:szCs w:val="21"/>
                      <w:highlight w:val="none"/>
                      <w:vertAlign w:val="superscript"/>
                    </w:rPr>
                    <w:t>3</w:t>
                  </w:r>
                </w:p>
              </w:tc>
              <w:tc>
                <w:tcPr>
                  <w:tcW w:w="1436" w:type="dxa"/>
                  <w:vAlign w:val="center"/>
                </w:tcPr>
                <w:p w14:paraId="7F46B153">
                  <w:pPr>
                    <w:keepNext w:val="0"/>
                    <w:keepLines w:val="0"/>
                    <w:pageBreakBefore w:val="0"/>
                    <w:widowControl/>
                    <w:kinsoku/>
                    <w:wordWrap w:val="0"/>
                    <w:overflowPunct/>
                    <w:topLinePunct w:val="0"/>
                    <w:bidi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649" w:type="pct"/>
                  <w:vAlign w:val="center"/>
                </w:tcPr>
                <w:p w14:paraId="717676C0">
                  <w:pPr>
                    <w:keepNext w:val="0"/>
                    <w:keepLines w:val="0"/>
                    <w:pageBreakBefore w:val="0"/>
                    <w:kinsoku/>
                    <w:wordWrap w:val="0"/>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07030C2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24" w:type="pct"/>
                  <w:vAlign w:val="center"/>
                </w:tcPr>
                <w:p w14:paraId="428E0B36">
                  <w:pPr>
                    <w:keepNext w:val="0"/>
                    <w:keepLines w:val="0"/>
                    <w:pageBreakBefore w:val="0"/>
                    <w:kinsoku/>
                    <w:wordWrap w:val="0"/>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2</w:t>
                  </w:r>
                </w:p>
              </w:tc>
              <w:tc>
                <w:tcPr>
                  <w:tcW w:w="1580" w:type="pct"/>
                  <w:vAlign w:val="center"/>
                </w:tcPr>
                <w:p w14:paraId="1C554F21">
                  <w:pPr>
                    <w:keepNext w:val="0"/>
                    <w:keepLines w:val="0"/>
                    <w:pageBreakBefore w:val="0"/>
                    <w:kinsoku/>
                    <w:wordWrap w:val="0"/>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年平均质量浓度</w:t>
                  </w:r>
                </w:p>
              </w:tc>
              <w:tc>
                <w:tcPr>
                  <w:tcW w:w="667" w:type="pct"/>
                  <w:vAlign w:val="center"/>
                </w:tcPr>
                <w:p w14:paraId="3FD8936B">
                  <w:pPr>
                    <w:keepNext w:val="0"/>
                    <w:keepLines w:val="0"/>
                    <w:pageBreakBefore w:val="0"/>
                    <w:kinsoku/>
                    <w:wordWrap w:val="0"/>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12</w:t>
                  </w:r>
                  <w:r>
                    <w:rPr>
                      <w:rFonts w:hint="default" w:ascii="Times New Roman" w:hAnsi="Times New Roman" w:cs="Times New Roman"/>
                      <w:color w:val="auto"/>
                      <w:sz w:val="21"/>
                      <w:szCs w:val="21"/>
                      <w:highlight w:val="none"/>
                      <w:lang w:val="en-US" w:eastAsia="zh-CN"/>
                    </w:rPr>
                    <w:t>μ</w:t>
                  </w:r>
                  <w:r>
                    <w:rPr>
                      <w:rFonts w:hint="default" w:ascii="Times New Roman" w:hAnsi="Times New Roman" w:cs="Times New Roman"/>
                      <w:color w:val="auto"/>
                      <w:sz w:val="21"/>
                      <w:szCs w:val="21"/>
                      <w:highlight w:val="none"/>
                    </w:rPr>
                    <w:t>g/m</w:t>
                  </w:r>
                  <w:r>
                    <w:rPr>
                      <w:rFonts w:hint="default" w:ascii="Times New Roman" w:hAnsi="Times New Roman" w:cs="Times New Roman"/>
                      <w:color w:val="auto"/>
                      <w:sz w:val="21"/>
                      <w:szCs w:val="21"/>
                      <w:highlight w:val="none"/>
                      <w:vertAlign w:val="superscript"/>
                    </w:rPr>
                    <w:t>3</w:t>
                  </w:r>
                </w:p>
              </w:tc>
              <w:tc>
                <w:tcPr>
                  <w:tcW w:w="674" w:type="pct"/>
                  <w:vAlign w:val="center"/>
                </w:tcPr>
                <w:p w14:paraId="00ECD55F">
                  <w:pPr>
                    <w:keepNext w:val="0"/>
                    <w:keepLines w:val="0"/>
                    <w:pageBreakBefore w:val="0"/>
                    <w:kinsoku/>
                    <w:wordWrap w:val="0"/>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w:t>
                  </w:r>
                  <w:r>
                    <w:rPr>
                      <w:rFonts w:hint="default" w:ascii="Times New Roman" w:hAnsi="Times New Roman" w:cs="Times New Roman"/>
                      <w:color w:val="auto"/>
                      <w:sz w:val="21"/>
                      <w:szCs w:val="21"/>
                      <w:highlight w:val="none"/>
                      <w:lang w:val="en-US" w:eastAsia="zh-CN"/>
                    </w:rPr>
                    <w:t>μ</w:t>
                  </w:r>
                  <w:r>
                    <w:rPr>
                      <w:rFonts w:hint="default" w:ascii="Times New Roman" w:hAnsi="Times New Roman" w:cs="Times New Roman"/>
                      <w:color w:val="auto"/>
                      <w:sz w:val="21"/>
                      <w:szCs w:val="21"/>
                      <w:highlight w:val="none"/>
                    </w:rPr>
                    <w:t>g/m</w:t>
                  </w:r>
                  <w:r>
                    <w:rPr>
                      <w:rFonts w:hint="default" w:ascii="Times New Roman" w:hAnsi="Times New Roman" w:cs="Times New Roman"/>
                      <w:color w:val="auto"/>
                      <w:sz w:val="21"/>
                      <w:szCs w:val="21"/>
                      <w:highlight w:val="none"/>
                      <w:vertAlign w:val="superscript"/>
                    </w:rPr>
                    <w:t>3</w:t>
                  </w:r>
                </w:p>
              </w:tc>
              <w:tc>
                <w:tcPr>
                  <w:tcW w:w="1436" w:type="dxa"/>
                  <w:vAlign w:val="center"/>
                </w:tcPr>
                <w:p w14:paraId="6F25EAAD">
                  <w:pPr>
                    <w:keepNext w:val="0"/>
                    <w:keepLines w:val="0"/>
                    <w:pageBreakBefore w:val="0"/>
                    <w:widowControl/>
                    <w:kinsoku/>
                    <w:wordWrap w:val="0"/>
                    <w:overflowPunct/>
                    <w:topLinePunct w:val="0"/>
                    <w:bidi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30.0</w:t>
                  </w:r>
                </w:p>
              </w:tc>
              <w:tc>
                <w:tcPr>
                  <w:tcW w:w="649" w:type="pct"/>
                  <w:vAlign w:val="center"/>
                </w:tcPr>
                <w:p w14:paraId="79D1B3BC">
                  <w:pPr>
                    <w:keepNext w:val="0"/>
                    <w:keepLines w:val="0"/>
                    <w:pageBreakBefore w:val="0"/>
                    <w:kinsoku/>
                    <w:wordWrap w:val="0"/>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0BDDE6E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24" w:type="pct"/>
                  <w:vAlign w:val="center"/>
                </w:tcPr>
                <w:p w14:paraId="6F4D6756">
                  <w:pPr>
                    <w:keepNext w:val="0"/>
                    <w:keepLines w:val="0"/>
                    <w:pageBreakBefore w:val="0"/>
                    <w:kinsoku/>
                    <w:wordWrap w:val="0"/>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10</w:t>
                  </w:r>
                </w:p>
              </w:tc>
              <w:tc>
                <w:tcPr>
                  <w:tcW w:w="1580" w:type="pct"/>
                  <w:vAlign w:val="center"/>
                </w:tcPr>
                <w:p w14:paraId="702860CA">
                  <w:pPr>
                    <w:keepNext w:val="0"/>
                    <w:keepLines w:val="0"/>
                    <w:pageBreakBefore w:val="0"/>
                    <w:kinsoku/>
                    <w:wordWrap w:val="0"/>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年平均质量浓度</w:t>
                  </w:r>
                </w:p>
              </w:tc>
              <w:tc>
                <w:tcPr>
                  <w:tcW w:w="667" w:type="pct"/>
                  <w:vAlign w:val="center"/>
                </w:tcPr>
                <w:p w14:paraId="3F5E55B0">
                  <w:pPr>
                    <w:keepNext w:val="0"/>
                    <w:keepLines w:val="0"/>
                    <w:pageBreakBefore w:val="0"/>
                    <w:kinsoku/>
                    <w:wordWrap w:val="0"/>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31</w:t>
                  </w:r>
                  <w:r>
                    <w:rPr>
                      <w:rFonts w:hint="default" w:ascii="Times New Roman" w:hAnsi="Times New Roman" w:cs="Times New Roman"/>
                      <w:color w:val="auto"/>
                      <w:sz w:val="21"/>
                      <w:szCs w:val="21"/>
                      <w:highlight w:val="none"/>
                      <w:lang w:val="en-US" w:eastAsia="zh-CN"/>
                    </w:rPr>
                    <w:t>μ</w:t>
                  </w:r>
                  <w:r>
                    <w:rPr>
                      <w:rFonts w:hint="default" w:ascii="Times New Roman" w:hAnsi="Times New Roman" w:cs="Times New Roman"/>
                      <w:color w:val="auto"/>
                      <w:sz w:val="21"/>
                      <w:szCs w:val="21"/>
                      <w:highlight w:val="none"/>
                    </w:rPr>
                    <w:t>g/m</w:t>
                  </w:r>
                  <w:r>
                    <w:rPr>
                      <w:rFonts w:hint="default" w:ascii="Times New Roman" w:hAnsi="Times New Roman" w:cs="Times New Roman"/>
                      <w:color w:val="auto"/>
                      <w:sz w:val="21"/>
                      <w:szCs w:val="21"/>
                      <w:highlight w:val="none"/>
                      <w:vertAlign w:val="superscript"/>
                    </w:rPr>
                    <w:t>3</w:t>
                  </w:r>
                </w:p>
              </w:tc>
              <w:tc>
                <w:tcPr>
                  <w:tcW w:w="674" w:type="pct"/>
                  <w:vAlign w:val="center"/>
                </w:tcPr>
                <w:p w14:paraId="58549D12">
                  <w:pPr>
                    <w:keepNext w:val="0"/>
                    <w:keepLines w:val="0"/>
                    <w:pageBreakBefore w:val="0"/>
                    <w:kinsoku/>
                    <w:wordWrap w:val="0"/>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60</w:t>
                  </w:r>
                  <w:r>
                    <w:rPr>
                      <w:rFonts w:hint="default" w:ascii="Times New Roman" w:hAnsi="Times New Roman" w:cs="Times New Roman"/>
                      <w:color w:val="auto"/>
                      <w:sz w:val="21"/>
                      <w:szCs w:val="21"/>
                      <w:highlight w:val="none"/>
                      <w:lang w:val="en-US" w:eastAsia="zh-CN"/>
                    </w:rPr>
                    <w:t>μ</w:t>
                  </w:r>
                  <w:r>
                    <w:rPr>
                      <w:rFonts w:hint="default" w:ascii="Times New Roman" w:hAnsi="Times New Roman" w:cs="Times New Roman"/>
                      <w:color w:val="auto"/>
                      <w:sz w:val="21"/>
                      <w:szCs w:val="21"/>
                      <w:highlight w:val="none"/>
                    </w:rPr>
                    <w:t>g/m</w:t>
                  </w:r>
                  <w:r>
                    <w:rPr>
                      <w:rFonts w:hint="default" w:ascii="Times New Roman" w:hAnsi="Times New Roman" w:cs="Times New Roman"/>
                      <w:color w:val="auto"/>
                      <w:sz w:val="21"/>
                      <w:szCs w:val="21"/>
                      <w:highlight w:val="none"/>
                      <w:vertAlign w:val="superscript"/>
                    </w:rPr>
                    <w:t>3</w:t>
                  </w:r>
                </w:p>
              </w:tc>
              <w:tc>
                <w:tcPr>
                  <w:tcW w:w="1436" w:type="dxa"/>
                  <w:vAlign w:val="center"/>
                </w:tcPr>
                <w:p w14:paraId="5E785394">
                  <w:pPr>
                    <w:keepNext w:val="0"/>
                    <w:keepLines w:val="0"/>
                    <w:pageBreakBefore w:val="0"/>
                    <w:widowControl/>
                    <w:kinsoku/>
                    <w:wordWrap w:val="0"/>
                    <w:overflowPunct/>
                    <w:topLinePunct w:val="0"/>
                    <w:bidi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51.7</w:t>
                  </w:r>
                </w:p>
              </w:tc>
              <w:tc>
                <w:tcPr>
                  <w:tcW w:w="649" w:type="pct"/>
                  <w:vAlign w:val="center"/>
                </w:tcPr>
                <w:p w14:paraId="48A466DF">
                  <w:pPr>
                    <w:keepNext w:val="0"/>
                    <w:keepLines w:val="0"/>
                    <w:pageBreakBefore w:val="0"/>
                    <w:kinsoku/>
                    <w:wordWrap w:val="0"/>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0147221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24" w:type="pct"/>
                  <w:vAlign w:val="center"/>
                </w:tcPr>
                <w:p w14:paraId="7CCFBC7A">
                  <w:pPr>
                    <w:keepNext w:val="0"/>
                    <w:keepLines w:val="0"/>
                    <w:pageBreakBefore w:val="0"/>
                    <w:kinsoku/>
                    <w:wordWrap w:val="0"/>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2.5</w:t>
                  </w:r>
                </w:p>
              </w:tc>
              <w:tc>
                <w:tcPr>
                  <w:tcW w:w="1580" w:type="pct"/>
                  <w:vAlign w:val="center"/>
                </w:tcPr>
                <w:p w14:paraId="0D804899">
                  <w:pPr>
                    <w:keepNext w:val="0"/>
                    <w:keepLines w:val="0"/>
                    <w:pageBreakBefore w:val="0"/>
                    <w:kinsoku/>
                    <w:wordWrap w:val="0"/>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年平均质量浓度</w:t>
                  </w:r>
                </w:p>
              </w:tc>
              <w:tc>
                <w:tcPr>
                  <w:tcW w:w="667" w:type="pct"/>
                  <w:vAlign w:val="center"/>
                </w:tcPr>
                <w:p w14:paraId="36240973">
                  <w:pPr>
                    <w:keepNext w:val="0"/>
                    <w:keepLines w:val="0"/>
                    <w:pageBreakBefore w:val="0"/>
                    <w:kinsoku/>
                    <w:wordWrap w:val="0"/>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21</w:t>
                  </w:r>
                  <w:r>
                    <w:rPr>
                      <w:rFonts w:hint="default" w:ascii="Times New Roman" w:hAnsi="Times New Roman" w:cs="Times New Roman"/>
                      <w:color w:val="auto"/>
                      <w:sz w:val="21"/>
                      <w:szCs w:val="21"/>
                      <w:highlight w:val="none"/>
                      <w:lang w:val="en-US" w:eastAsia="zh-CN"/>
                    </w:rPr>
                    <w:t>μ</w:t>
                  </w:r>
                  <w:r>
                    <w:rPr>
                      <w:rFonts w:hint="default" w:ascii="Times New Roman" w:hAnsi="Times New Roman" w:cs="Times New Roman"/>
                      <w:color w:val="auto"/>
                      <w:sz w:val="21"/>
                      <w:szCs w:val="21"/>
                      <w:highlight w:val="none"/>
                    </w:rPr>
                    <w:t>g/m</w:t>
                  </w:r>
                  <w:r>
                    <w:rPr>
                      <w:rFonts w:hint="default" w:ascii="Times New Roman" w:hAnsi="Times New Roman" w:cs="Times New Roman"/>
                      <w:color w:val="auto"/>
                      <w:sz w:val="21"/>
                      <w:szCs w:val="21"/>
                      <w:highlight w:val="none"/>
                      <w:vertAlign w:val="superscript"/>
                    </w:rPr>
                    <w:t>3</w:t>
                  </w:r>
                </w:p>
              </w:tc>
              <w:tc>
                <w:tcPr>
                  <w:tcW w:w="674" w:type="pct"/>
                  <w:vAlign w:val="center"/>
                </w:tcPr>
                <w:p w14:paraId="33FD08C3">
                  <w:pPr>
                    <w:keepNext w:val="0"/>
                    <w:keepLines w:val="0"/>
                    <w:pageBreakBefore w:val="0"/>
                    <w:kinsoku/>
                    <w:wordWrap w:val="0"/>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30</w:t>
                  </w:r>
                  <w:r>
                    <w:rPr>
                      <w:rFonts w:hint="default" w:ascii="Times New Roman" w:hAnsi="Times New Roman" w:cs="Times New Roman"/>
                      <w:color w:val="auto"/>
                      <w:sz w:val="21"/>
                      <w:szCs w:val="21"/>
                      <w:highlight w:val="none"/>
                      <w:lang w:val="en-US" w:eastAsia="zh-CN"/>
                    </w:rPr>
                    <w:t>μ</w:t>
                  </w:r>
                  <w:r>
                    <w:rPr>
                      <w:rFonts w:hint="default" w:ascii="Times New Roman" w:hAnsi="Times New Roman" w:cs="Times New Roman"/>
                      <w:color w:val="auto"/>
                      <w:sz w:val="21"/>
                      <w:szCs w:val="21"/>
                      <w:highlight w:val="none"/>
                    </w:rPr>
                    <w:t>g/m</w:t>
                  </w:r>
                  <w:r>
                    <w:rPr>
                      <w:rFonts w:hint="default" w:ascii="Times New Roman" w:hAnsi="Times New Roman" w:cs="Times New Roman"/>
                      <w:color w:val="auto"/>
                      <w:sz w:val="21"/>
                      <w:szCs w:val="21"/>
                      <w:highlight w:val="none"/>
                      <w:vertAlign w:val="superscript"/>
                    </w:rPr>
                    <w:t>3</w:t>
                  </w:r>
                </w:p>
              </w:tc>
              <w:tc>
                <w:tcPr>
                  <w:tcW w:w="1436" w:type="dxa"/>
                  <w:vAlign w:val="center"/>
                </w:tcPr>
                <w:p w14:paraId="46DD0AF7">
                  <w:pPr>
                    <w:keepNext w:val="0"/>
                    <w:keepLines w:val="0"/>
                    <w:pageBreakBefore w:val="0"/>
                    <w:widowControl/>
                    <w:kinsoku/>
                    <w:wordWrap w:val="0"/>
                    <w:overflowPunct/>
                    <w:topLinePunct w:val="0"/>
                    <w:bidi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70.0</w:t>
                  </w:r>
                </w:p>
              </w:tc>
              <w:tc>
                <w:tcPr>
                  <w:tcW w:w="649" w:type="pct"/>
                  <w:vAlign w:val="center"/>
                </w:tcPr>
                <w:p w14:paraId="2D651B00">
                  <w:pPr>
                    <w:keepNext w:val="0"/>
                    <w:keepLines w:val="0"/>
                    <w:pageBreakBefore w:val="0"/>
                    <w:kinsoku/>
                    <w:wordWrap w:val="0"/>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03DE9C8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24" w:type="pct"/>
                  <w:vAlign w:val="center"/>
                </w:tcPr>
                <w:p w14:paraId="540255E2">
                  <w:pPr>
                    <w:keepNext w:val="0"/>
                    <w:keepLines w:val="0"/>
                    <w:pageBreakBefore w:val="0"/>
                    <w:kinsoku/>
                    <w:wordWrap w:val="0"/>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w:t>
                  </w:r>
                </w:p>
              </w:tc>
              <w:tc>
                <w:tcPr>
                  <w:tcW w:w="1580" w:type="pct"/>
                  <w:vAlign w:val="center"/>
                </w:tcPr>
                <w:p w14:paraId="2B0C7716">
                  <w:pPr>
                    <w:keepNext w:val="0"/>
                    <w:keepLines w:val="0"/>
                    <w:pageBreakBefore w:val="0"/>
                    <w:kinsoku/>
                    <w:wordWrap w:val="0"/>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24小时均值第95百分位数</w:t>
                  </w:r>
                </w:p>
              </w:tc>
              <w:tc>
                <w:tcPr>
                  <w:tcW w:w="667" w:type="pct"/>
                  <w:vAlign w:val="center"/>
                </w:tcPr>
                <w:p w14:paraId="33BEEFE2">
                  <w:pPr>
                    <w:keepNext w:val="0"/>
                    <w:keepLines w:val="0"/>
                    <w:pageBreakBefore w:val="0"/>
                    <w:kinsoku/>
                    <w:wordWrap w:val="0"/>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1.0</w:t>
                  </w: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tc>
              <w:tc>
                <w:tcPr>
                  <w:tcW w:w="674" w:type="pct"/>
                  <w:vAlign w:val="center"/>
                </w:tcPr>
                <w:p w14:paraId="4A9FA9F0">
                  <w:pPr>
                    <w:keepNext w:val="0"/>
                    <w:keepLines w:val="0"/>
                    <w:pageBreakBefore w:val="0"/>
                    <w:kinsoku/>
                    <w:wordWrap w:val="0"/>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4mg/m</w:t>
                  </w:r>
                  <w:r>
                    <w:rPr>
                      <w:rFonts w:hint="default" w:ascii="Times New Roman" w:hAnsi="Times New Roman" w:cs="Times New Roman"/>
                      <w:color w:val="auto"/>
                      <w:sz w:val="21"/>
                      <w:szCs w:val="21"/>
                      <w:highlight w:val="none"/>
                      <w:vertAlign w:val="superscript"/>
                    </w:rPr>
                    <w:t>3</w:t>
                  </w:r>
                </w:p>
              </w:tc>
              <w:tc>
                <w:tcPr>
                  <w:tcW w:w="1436" w:type="dxa"/>
                  <w:vAlign w:val="center"/>
                </w:tcPr>
                <w:p w14:paraId="68D5B496">
                  <w:pPr>
                    <w:keepNext w:val="0"/>
                    <w:keepLines w:val="0"/>
                    <w:pageBreakBefore w:val="0"/>
                    <w:widowControl/>
                    <w:kinsoku/>
                    <w:wordWrap w:val="0"/>
                    <w:overflowPunct/>
                    <w:topLinePunct w:val="0"/>
                    <w:bidi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25.0</w:t>
                  </w:r>
                </w:p>
              </w:tc>
              <w:tc>
                <w:tcPr>
                  <w:tcW w:w="649" w:type="pct"/>
                  <w:vAlign w:val="center"/>
                </w:tcPr>
                <w:p w14:paraId="7FEF118C">
                  <w:pPr>
                    <w:keepNext w:val="0"/>
                    <w:keepLines w:val="0"/>
                    <w:pageBreakBefore w:val="0"/>
                    <w:kinsoku/>
                    <w:wordWrap w:val="0"/>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400D213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24" w:type="pct"/>
                  <w:vAlign w:val="center"/>
                </w:tcPr>
                <w:p w14:paraId="36C734C7">
                  <w:pPr>
                    <w:keepNext w:val="0"/>
                    <w:keepLines w:val="0"/>
                    <w:pageBreakBefore w:val="0"/>
                    <w:kinsoku/>
                    <w:wordWrap w:val="0"/>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O</w:t>
                  </w:r>
                  <w:r>
                    <w:rPr>
                      <w:rFonts w:hint="default" w:ascii="Times New Roman" w:hAnsi="Times New Roman" w:cs="Times New Roman"/>
                      <w:color w:val="auto"/>
                      <w:sz w:val="21"/>
                      <w:szCs w:val="21"/>
                      <w:highlight w:val="none"/>
                      <w:vertAlign w:val="subscript"/>
                    </w:rPr>
                    <w:t>3</w:t>
                  </w:r>
                </w:p>
              </w:tc>
              <w:tc>
                <w:tcPr>
                  <w:tcW w:w="1580" w:type="pct"/>
                  <w:vAlign w:val="center"/>
                </w:tcPr>
                <w:p w14:paraId="3CEE5361">
                  <w:pPr>
                    <w:keepNext w:val="0"/>
                    <w:keepLines w:val="0"/>
                    <w:pageBreakBefore w:val="0"/>
                    <w:kinsoku/>
                    <w:wordWrap w:val="0"/>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日最大8小时平均第90百分位数</w:t>
                  </w:r>
                </w:p>
              </w:tc>
              <w:tc>
                <w:tcPr>
                  <w:tcW w:w="667" w:type="pct"/>
                  <w:vAlign w:val="center"/>
                </w:tcPr>
                <w:p w14:paraId="2CFBFA60">
                  <w:pPr>
                    <w:keepNext w:val="0"/>
                    <w:keepLines w:val="0"/>
                    <w:pageBreakBefore w:val="0"/>
                    <w:kinsoku/>
                    <w:wordWrap w:val="0"/>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108</w:t>
                  </w:r>
                  <w:r>
                    <w:rPr>
                      <w:rFonts w:hint="default" w:ascii="Times New Roman" w:hAnsi="Times New Roman" w:cs="Times New Roman"/>
                      <w:color w:val="auto"/>
                      <w:sz w:val="21"/>
                      <w:szCs w:val="21"/>
                      <w:highlight w:val="none"/>
                      <w:lang w:val="en-US" w:eastAsia="zh-CN"/>
                    </w:rPr>
                    <w:t>μ</w:t>
                  </w:r>
                  <w:r>
                    <w:rPr>
                      <w:rFonts w:hint="default" w:ascii="Times New Roman" w:hAnsi="Times New Roman" w:cs="Times New Roman"/>
                      <w:color w:val="auto"/>
                      <w:sz w:val="21"/>
                      <w:szCs w:val="21"/>
                      <w:highlight w:val="none"/>
                    </w:rPr>
                    <w:t>g/m</w:t>
                  </w:r>
                  <w:r>
                    <w:rPr>
                      <w:rFonts w:hint="default" w:ascii="Times New Roman" w:hAnsi="Times New Roman" w:cs="Times New Roman"/>
                      <w:color w:val="auto"/>
                      <w:sz w:val="21"/>
                      <w:szCs w:val="21"/>
                      <w:highlight w:val="none"/>
                      <w:vertAlign w:val="superscript"/>
                    </w:rPr>
                    <w:t>3</w:t>
                  </w:r>
                </w:p>
              </w:tc>
              <w:tc>
                <w:tcPr>
                  <w:tcW w:w="674" w:type="pct"/>
                  <w:vAlign w:val="center"/>
                </w:tcPr>
                <w:p w14:paraId="175E11B8">
                  <w:pPr>
                    <w:keepNext w:val="0"/>
                    <w:keepLines w:val="0"/>
                    <w:pageBreakBefore w:val="0"/>
                    <w:kinsoku/>
                    <w:wordWrap w:val="0"/>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160</w:t>
                  </w:r>
                  <w:r>
                    <w:rPr>
                      <w:rFonts w:hint="default" w:ascii="Times New Roman" w:hAnsi="Times New Roman" w:cs="Times New Roman"/>
                      <w:color w:val="auto"/>
                      <w:sz w:val="21"/>
                      <w:szCs w:val="21"/>
                      <w:highlight w:val="none"/>
                      <w:lang w:val="en-US" w:eastAsia="zh-CN"/>
                    </w:rPr>
                    <w:t>μ</w:t>
                  </w:r>
                  <w:r>
                    <w:rPr>
                      <w:rFonts w:hint="default" w:ascii="Times New Roman" w:hAnsi="Times New Roman" w:cs="Times New Roman"/>
                      <w:color w:val="auto"/>
                      <w:sz w:val="21"/>
                      <w:szCs w:val="21"/>
                      <w:highlight w:val="none"/>
                    </w:rPr>
                    <w:t>g/m</w:t>
                  </w:r>
                  <w:r>
                    <w:rPr>
                      <w:rFonts w:hint="default" w:ascii="Times New Roman" w:hAnsi="Times New Roman" w:cs="Times New Roman"/>
                      <w:color w:val="auto"/>
                      <w:sz w:val="21"/>
                      <w:szCs w:val="21"/>
                      <w:highlight w:val="none"/>
                      <w:vertAlign w:val="superscript"/>
                    </w:rPr>
                    <w:t>3</w:t>
                  </w:r>
                </w:p>
              </w:tc>
              <w:tc>
                <w:tcPr>
                  <w:tcW w:w="1436" w:type="dxa"/>
                  <w:vAlign w:val="center"/>
                </w:tcPr>
                <w:p w14:paraId="06A22559">
                  <w:pPr>
                    <w:keepNext w:val="0"/>
                    <w:keepLines w:val="0"/>
                    <w:pageBreakBefore w:val="0"/>
                    <w:widowControl/>
                    <w:kinsoku/>
                    <w:wordWrap w:val="0"/>
                    <w:overflowPunct/>
                    <w:topLinePunct w:val="0"/>
                    <w:bidi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67.5</w:t>
                  </w:r>
                </w:p>
              </w:tc>
              <w:tc>
                <w:tcPr>
                  <w:tcW w:w="649" w:type="pct"/>
                  <w:vAlign w:val="center"/>
                </w:tcPr>
                <w:p w14:paraId="2C8EA3B7">
                  <w:pPr>
                    <w:keepNext w:val="0"/>
                    <w:keepLines w:val="0"/>
                    <w:pageBreakBefore w:val="0"/>
                    <w:kinsoku/>
                    <w:wordWrap w:val="0"/>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bookmarkEnd w:id="52"/>
            <w:bookmarkEnd w:id="53"/>
            <w:bookmarkEnd w:id="54"/>
          </w:tbl>
          <w:p w14:paraId="00656C9D">
            <w:pPr>
              <w:keepNext w:val="0"/>
              <w:keepLines w:val="0"/>
              <w:pageBreakBefore w:val="0"/>
              <w:widowControl w:val="0"/>
              <w:kinsoku/>
              <w:wordWrap w:val="0"/>
              <w:overflowPunct/>
              <w:topLinePunct w:val="0"/>
              <w:autoSpaceDE/>
              <w:autoSpaceDN/>
              <w:bidi w:val="0"/>
              <w:adjustRightInd/>
              <w:snapToGrid/>
              <w:spacing w:before="156" w:beforeLines="50"/>
              <w:ind w:firstLine="480" w:firstLineChars="200"/>
              <w:jc w:val="left"/>
              <w:textAlignment w:val="auto"/>
              <w:rPr>
                <w:rFonts w:hint="default" w:ascii="Times New Roman" w:hAnsi="Times New Roman" w:cs="Times New Roman"/>
                <w:color w:val="auto"/>
                <w:highlight w:val="none"/>
              </w:rPr>
            </w:pPr>
            <w:r>
              <w:rPr>
                <w:rFonts w:hint="default" w:ascii="Times New Roman" w:hAnsi="Times New Roman" w:cs="Times New Roman"/>
                <w:b/>
                <w:bCs/>
                <w:color w:val="auto"/>
                <w:highlight w:val="none"/>
              </w:rPr>
              <w:t>（</w:t>
            </w:r>
            <w:r>
              <w:rPr>
                <w:rFonts w:hint="eastAsia" w:cs="Times New Roman"/>
                <w:b/>
                <w:bCs/>
                <w:color w:val="auto"/>
                <w:highlight w:val="none"/>
                <w:lang w:val="en-US" w:eastAsia="zh-CN"/>
              </w:rPr>
              <w:t>2）</w:t>
            </w:r>
            <w:r>
              <w:rPr>
                <w:rFonts w:hint="default" w:ascii="Times New Roman" w:hAnsi="Times New Roman" w:cs="Times New Roman"/>
                <w:b/>
                <w:bCs/>
                <w:color w:val="auto"/>
                <w:highlight w:val="none"/>
              </w:rPr>
              <w:t>特征因子补充监测</w:t>
            </w:r>
          </w:p>
          <w:p w14:paraId="230B50B7">
            <w:pPr>
              <w:keepNext w:val="0"/>
              <w:keepLines w:val="0"/>
              <w:pageBreakBefore w:val="0"/>
              <w:widowControl/>
              <w:suppressLineNumbers w:val="0"/>
              <w:wordWrap w:val="0"/>
              <w:overflowPunct/>
              <w:bidi w:val="0"/>
              <w:ind w:firstLine="480" w:firstLineChars="200"/>
              <w:jc w:val="left"/>
              <w:rPr>
                <w:rFonts w:hint="default" w:ascii="Times New Roman" w:hAnsi="Times New Roman" w:cs="Times New Roman"/>
                <w:bCs/>
                <w:color w:val="auto"/>
                <w:szCs w:val="22"/>
                <w:highlight w:val="none"/>
              </w:rPr>
            </w:pPr>
            <w:r>
              <w:rPr>
                <w:rFonts w:hint="default" w:ascii="Times New Roman" w:hAnsi="Times New Roman" w:cs="Times New Roman"/>
                <w:bCs/>
                <w:color w:val="auto"/>
                <w:szCs w:val="22"/>
                <w:highlight w:val="none"/>
              </w:rPr>
              <w:t>为了进一步了解本项目所在区域的环境空气质量，本项目引用《乐昌产业转移工业园202</w:t>
            </w:r>
            <w:r>
              <w:rPr>
                <w:rFonts w:hint="eastAsia" w:cs="Times New Roman"/>
                <w:bCs/>
                <w:color w:val="auto"/>
                <w:szCs w:val="22"/>
                <w:highlight w:val="none"/>
                <w:lang w:val="en-US" w:eastAsia="zh-CN"/>
              </w:rPr>
              <w:t>3</w:t>
            </w:r>
            <w:r>
              <w:rPr>
                <w:rFonts w:hint="default" w:ascii="Times New Roman" w:hAnsi="Times New Roman" w:cs="Times New Roman"/>
                <w:bCs/>
                <w:color w:val="auto"/>
                <w:szCs w:val="22"/>
                <w:highlight w:val="none"/>
              </w:rPr>
              <w:t>年度环境管理状况评估监测》（报告编号</w:t>
            </w:r>
            <w:r>
              <w:rPr>
                <w:rFonts w:hint="default" w:ascii="Times New Roman" w:hAnsi="Times New Roman" w:cs="Times New Roman"/>
                <w:bCs/>
                <w:color w:val="auto"/>
                <w:szCs w:val="22"/>
                <w:highlight w:val="none"/>
                <w:lang w:eastAsia="zh-CN"/>
              </w:rPr>
              <w:t>：</w:t>
            </w:r>
            <w:r>
              <w:rPr>
                <w:rFonts w:hint="eastAsia" w:cs="Times New Roman"/>
                <w:bCs/>
                <w:color w:val="auto"/>
                <w:szCs w:val="22"/>
                <w:highlight w:val="none"/>
                <w:lang w:val="en-US" w:eastAsia="zh-CN"/>
              </w:rPr>
              <w:t>QHT-202312271026</w:t>
            </w:r>
            <w:r>
              <w:rPr>
                <w:rFonts w:hint="default" w:ascii="Times New Roman" w:hAnsi="Times New Roman" w:cs="Times New Roman"/>
                <w:bCs/>
                <w:color w:val="auto"/>
                <w:szCs w:val="22"/>
                <w:highlight w:val="none"/>
              </w:rPr>
              <w:t>）用于评价TSP</w:t>
            </w:r>
            <w:r>
              <w:rPr>
                <w:rFonts w:hint="eastAsia" w:cs="Times New Roman"/>
                <w:bCs/>
                <w:color w:val="auto"/>
                <w:szCs w:val="22"/>
                <w:highlight w:val="none"/>
                <w:lang w:eastAsia="zh-CN"/>
              </w:rPr>
              <w:t>、</w:t>
            </w:r>
            <w:r>
              <w:rPr>
                <w:rFonts w:hint="eastAsia" w:cs="Times New Roman"/>
                <w:bCs/>
                <w:color w:val="auto"/>
                <w:szCs w:val="22"/>
                <w:highlight w:val="none"/>
                <w:lang w:val="en-US" w:eastAsia="zh-CN"/>
              </w:rPr>
              <w:t>非甲烷总烃、二甲苯、臭气浓度环境质量</w:t>
            </w:r>
            <w:r>
              <w:rPr>
                <w:rFonts w:hint="default" w:ascii="Times New Roman" w:hAnsi="Times New Roman" w:cs="Times New Roman"/>
                <w:bCs/>
                <w:color w:val="auto"/>
                <w:szCs w:val="22"/>
                <w:highlight w:val="none"/>
              </w:rPr>
              <w:t>现状。</w:t>
            </w:r>
            <w:r>
              <w:rPr>
                <w:rFonts w:hint="default" w:ascii="Times New Roman" w:hAnsi="Times New Roman" w:eastAsia="宋体" w:cs="Times New Roman"/>
                <w:color w:val="auto"/>
                <w:kern w:val="0"/>
                <w:sz w:val="24"/>
                <w:szCs w:val="24"/>
                <w:highlight w:val="none"/>
                <w:lang w:val="en-US" w:eastAsia="zh-CN"/>
              </w:rPr>
              <w:t>深圳市清华环科检测技术有限公司</w:t>
            </w:r>
            <w:r>
              <w:rPr>
                <w:rFonts w:hint="default" w:ascii="Times New Roman" w:hAnsi="Times New Roman" w:cs="Times New Roman"/>
                <w:bCs/>
                <w:color w:val="auto"/>
                <w:szCs w:val="22"/>
                <w:highlight w:val="none"/>
                <w:lang w:eastAsia="zh-CN"/>
              </w:rPr>
              <w:t>于</w:t>
            </w:r>
            <w:r>
              <w:rPr>
                <w:rFonts w:hint="default" w:ascii="Times New Roman" w:hAnsi="Times New Roman" w:cs="Times New Roman"/>
                <w:color w:val="auto"/>
                <w:highlight w:val="none"/>
              </w:rPr>
              <w:t>202</w:t>
            </w:r>
            <w:r>
              <w:rPr>
                <w:rFonts w:hint="eastAsia" w:cs="Times New Roman"/>
                <w:color w:val="auto"/>
                <w:highlight w:val="none"/>
                <w:lang w:val="en-US" w:eastAsia="zh-CN"/>
              </w:rPr>
              <w:t>3</w:t>
            </w:r>
            <w:r>
              <w:rPr>
                <w:rFonts w:hint="default" w:ascii="Times New Roman" w:hAnsi="Times New Roman" w:cs="Times New Roman"/>
                <w:color w:val="auto"/>
                <w:highlight w:val="none"/>
              </w:rPr>
              <w:t>年12月</w:t>
            </w:r>
            <w:r>
              <w:rPr>
                <w:rFonts w:hint="eastAsia" w:cs="Times New Roman"/>
                <w:color w:val="auto"/>
                <w:highlight w:val="none"/>
                <w:lang w:val="en-US" w:eastAsia="zh-CN"/>
              </w:rPr>
              <w:t>19</w:t>
            </w:r>
            <w:r>
              <w:rPr>
                <w:rFonts w:hint="default" w:ascii="Times New Roman" w:hAnsi="Times New Roman" w:cs="Times New Roman"/>
                <w:color w:val="auto"/>
                <w:highlight w:val="none"/>
              </w:rPr>
              <w:t>日-202</w:t>
            </w:r>
            <w:r>
              <w:rPr>
                <w:rFonts w:hint="eastAsia" w:cs="Times New Roman"/>
                <w:color w:val="auto"/>
                <w:highlight w:val="none"/>
                <w:lang w:val="en-US" w:eastAsia="zh-CN"/>
              </w:rPr>
              <w:t>3</w:t>
            </w:r>
            <w:r>
              <w:rPr>
                <w:rFonts w:hint="default" w:ascii="Times New Roman" w:hAnsi="Times New Roman" w:cs="Times New Roman"/>
                <w:color w:val="auto"/>
                <w:highlight w:val="none"/>
              </w:rPr>
              <w:t>年12月2</w:t>
            </w:r>
            <w:r>
              <w:rPr>
                <w:rFonts w:hint="eastAsia" w:cs="Times New Roman"/>
                <w:color w:val="auto"/>
                <w:highlight w:val="none"/>
                <w:lang w:val="en-US" w:eastAsia="zh-CN"/>
              </w:rPr>
              <w:t>5</w:t>
            </w:r>
            <w:r>
              <w:rPr>
                <w:rFonts w:hint="default" w:ascii="Times New Roman" w:hAnsi="Times New Roman" w:cs="Times New Roman"/>
                <w:color w:val="auto"/>
                <w:highlight w:val="none"/>
              </w:rPr>
              <w:t>在本项目</w:t>
            </w:r>
            <w:r>
              <w:rPr>
                <w:rFonts w:hint="eastAsia" w:cs="Times New Roman"/>
                <w:color w:val="auto"/>
                <w:highlight w:val="none"/>
                <w:lang w:val="en-US" w:eastAsia="zh-CN"/>
              </w:rPr>
              <w:t>南</w:t>
            </w:r>
            <w:r>
              <w:rPr>
                <w:rFonts w:hint="default" w:ascii="Times New Roman" w:hAnsi="Times New Roman" w:cs="Times New Roman"/>
                <w:color w:val="auto"/>
                <w:highlight w:val="none"/>
              </w:rPr>
              <w:t>侧</w:t>
            </w:r>
            <w:r>
              <w:rPr>
                <w:rFonts w:hint="eastAsia" w:cs="Times New Roman"/>
                <w:color w:val="auto"/>
                <w:highlight w:val="none"/>
                <w:lang w:val="en-US" w:eastAsia="zh-CN"/>
              </w:rPr>
              <w:t>4303</w:t>
            </w:r>
            <w:r>
              <w:rPr>
                <w:rFonts w:hint="default" w:ascii="Times New Roman" w:hAnsi="Times New Roman" w:cs="Times New Roman"/>
                <w:color w:val="auto"/>
                <w:highlight w:val="none"/>
              </w:rPr>
              <w:t>m处G1</w:t>
            </w:r>
            <w:r>
              <w:rPr>
                <w:rFonts w:hint="eastAsia" w:cs="Times New Roman"/>
                <w:color w:val="auto"/>
                <w:highlight w:val="none"/>
                <w:lang w:val="en-US" w:eastAsia="zh-CN"/>
              </w:rPr>
              <w:t>和</w:t>
            </w:r>
            <w:r>
              <w:rPr>
                <w:rFonts w:hint="default" w:ascii="Times New Roman" w:hAnsi="Times New Roman" w:cs="Times New Roman"/>
                <w:color w:val="auto"/>
                <w:highlight w:val="none"/>
              </w:rPr>
              <w:t>村地进行采样监测的监测数据，连续监测7天。</w:t>
            </w:r>
          </w:p>
          <w:p w14:paraId="3D3D147E">
            <w:pPr>
              <w:pageBreakBefore w:val="0"/>
              <w:widowControl w:val="0"/>
              <w:kinsoku/>
              <w:wordWrap w:val="0"/>
              <w:overflowPunct/>
              <w:topLinePunct w:val="0"/>
              <w:bidi w:val="0"/>
              <w:ind w:firstLine="480" w:firstLineChars="200"/>
              <w:jc w:val="left"/>
              <w:textAlignment w:val="auto"/>
              <w:outlineLvl w:val="9"/>
              <w:rPr>
                <w:rFonts w:hint="default" w:ascii="Times New Roman" w:hAnsi="Times New Roman" w:eastAsia="宋体" w:cs="Times New Roman"/>
                <w:bCs/>
                <w:color w:val="auto"/>
                <w:szCs w:val="22"/>
                <w:highlight w:val="none"/>
                <w:lang w:val="en-US" w:eastAsia="zh-CN"/>
              </w:rPr>
            </w:pPr>
            <w:r>
              <w:rPr>
                <w:rFonts w:hint="default" w:ascii="Times New Roman" w:hAnsi="Times New Roman" w:cs="Times New Roman"/>
                <w:bCs/>
                <w:color w:val="auto"/>
                <w:szCs w:val="22"/>
                <w:highlight w:val="none"/>
              </w:rPr>
              <w:t>根据《建设项目环境影响报告表编制技术指南（污染影响类）》（试行）：排放国家、地方环境空气质量标准中有标准限值要求的特征污染物时，引用建设项目周边5千米范围内近3年的现有监测数据</w:t>
            </w:r>
            <w:r>
              <w:rPr>
                <w:rFonts w:hint="eastAsia" w:cs="Times New Roman"/>
                <w:bCs/>
                <w:color w:val="auto"/>
                <w:szCs w:val="22"/>
                <w:highlight w:val="none"/>
                <w:lang w:eastAsia="zh-CN"/>
              </w:rPr>
              <w:t>，</w:t>
            </w:r>
            <w:r>
              <w:rPr>
                <w:rFonts w:hint="eastAsia" w:cs="Times New Roman"/>
                <w:bCs/>
                <w:color w:val="auto"/>
                <w:szCs w:val="22"/>
                <w:highlight w:val="none"/>
                <w:lang w:val="en-US" w:eastAsia="zh-CN"/>
              </w:rPr>
              <w:t>数据引用符合要求。</w:t>
            </w:r>
          </w:p>
          <w:p w14:paraId="52D44842">
            <w:pPr>
              <w:pageBreakBefore w:val="0"/>
              <w:widowControl w:val="0"/>
              <w:kinsoku/>
              <w:wordWrap w:val="0"/>
              <w:overflowPunct/>
              <w:topLinePunct w:val="0"/>
              <w:bidi w:val="0"/>
              <w:ind w:firstLine="480" w:firstLineChars="200"/>
              <w:jc w:val="left"/>
              <w:textAlignment w:val="auto"/>
              <w:outlineLvl w:val="9"/>
              <w:rPr>
                <w:rFonts w:hint="default" w:ascii="Times New Roman" w:hAnsi="Times New Roman" w:cs="Times New Roman"/>
                <w:b/>
                <w:bCs/>
                <w:color w:val="auto"/>
                <w:sz w:val="21"/>
                <w:szCs w:val="21"/>
                <w:highlight w:val="none"/>
              </w:rPr>
            </w:pPr>
            <w:r>
              <w:rPr>
                <w:rFonts w:hint="default" w:ascii="Times New Roman" w:hAnsi="Times New Roman" w:cs="Times New Roman"/>
                <w:bCs/>
                <w:color w:val="auto"/>
                <w:szCs w:val="22"/>
                <w:highlight w:val="none"/>
              </w:rPr>
              <w:t>本项目其他污染物补充监测点位基本信息见表3-2，其他污染物环境质量现状（监测结果）表3-3。</w:t>
            </w:r>
          </w:p>
          <w:p w14:paraId="1AEE2273">
            <w:pPr>
              <w:keepNext w:val="0"/>
              <w:keepLines w:val="0"/>
              <w:pageBreakBefore w:val="0"/>
              <w:widowControl w:val="0"/>
              <w:numPr>
                <w:ilvl w:val="0"/>
                <w:numId w:val="9"/>
              </w:numPr>
              <w:kinsoku/>
              <w:wordWrap w:val="0"/>
              <w:overflowPunct/>
              <w:topLinePunct w:val="0"/>
              <w:autoSpaceDE/>
              <w:autoSpaceDN/>
              <w:bidi w:val="0"/>
              <w:adjustRightInd/>
              <w:snapToGrid/>
              <w:spacing w:line="240" w:lineRule="auto"/>
              <w:ind w:left="0" w:leftChars="0" w:firstLine="40" w:firstLineChars="0"/>
              <w:jc w:val="center"/>
              <w:textAlignment w:val="auto"/>
              <w:rPr>
                <w:rFonts w:hint="default" w:ascii="Times New Roman" w:hAnsi="Times New Roman" w:cs="Times New Roman"/>
                <w:b/>
                <w:bCs/>
                <w:color w:val="auto"/>
                <w:sz w:val="21"/>
                <w:szCs w:val="21"/>
                <w:highlight w:val="none"/>
              </w:rPr>
            </w:pPr>
            <w:bookmarkStart w:id="55" w:name="_Toc8763"/>
            <w:bookmarkStart w:id="56" w:name="_Toc20439"/>
            <w:bookmarkStart w:id="57" w:name="_Toc8230"/>
            <w:bookmarkStart w:id="58" w:name="_Toc17582"/>
            <w:bookmarkStart w:id="59" w:name="_Toc6616"/>
            <w:r>
              <w:rPr>
                <w:rFonts w:hint="default" w:ascii="Times New Roman" w:hAnsi="Times New Roman" w:cs="Times New Roman"/>
                <w:b/>
                <w:bCs/>
                <w:color w:val="auto"/>
                <w:sz w:val="21"/>
                <w:szCs w:val="21"/>
                <w:highlight w:val="none"/>
              </w:rPr>
              <w:t>其他污染物补充监测点位基本信息</w:t>
            </w:r>
            <w:bookmarkEnd w:id="55"/>
            <w:bookmarkEnd w:id="56"/>
            <w:bookmarkEnd w:id="57"/>
            <w:bookmarkEnd w:id="58"/>
            <w:bookmarkEnd w:id="59"/>
          </w:p>
          <w:tbl>
            <w:tblPr>
              <w:tblStyle w:val="4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37"/>
              <w:gridCol w:w="1156"/>
              <w:gridCol w:w="1169"/>
              <w:gridCol w:w="1184"/>
              <w:gridCol w:w="1177"/>
              <w:gridCol w:w="977"/>
              <w:gridCol w:w="1049"/>
            </w:tblGrid>
            <w:tr w14:paraId="2A32D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24" w:type="pct"/>
                  <w:vMerge w:val="restart"/>
                  <w:shd w:val="clear" w:color="auto" w:fill="auto"/>
                  <w:vAlign w:val="center"/>
                </w:tcPr>
                <w:p w14:paraId="3B9814D5">
                  <w:pPr>
                    <w:pStyle w:val="2"/>
                    <w:pageBreakBefore w:val="0"/>
                    <w:widowControl w:val="0"/>
                    <w:kinsoku/>
                    <w:wordWrap w:val="0"/>
                    <w:overflowPunct/>
                    <w:topLinePunct w:val="0"/>
                    <w:bidi w:val="0"/>
                    <w:snapToGrid w:val="0"/>
                    <w:spacing w:line="240" w:lineRule="auto"/>
                    <w:jc w:val="center"/>
                    <w:textAlignment w:val="auto"/>
                    <w:outlineLvl w:val="9"/>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监测点名称</w:t>
                  </w:r>
                </w:p>
              </w:tc>
              <w:tc>
                <w:tcPr>
                  <w:tcW w:w="1480" w:type="pct"/>
                  <w:gridSpan w:val="2"/>
                  <w:shd w:val="clear" w:color="auto" w:fill="auto"/>
                  <w:vAlign w:val="center"/>
                </w:tcPr>
                <w:p w14:paraId="58A3DCBE">
                  <w:pPr>
                    <w:pStyle w:val="2"/>
                    <w:pageBreakBefore w:val="0"/>
                    <w:widowControl w:val="0"/>
                    <w:kinsoku/>
                    <w:wordWrap w:val="0"/>
                    <w:overflowPunct/>
                    <w:topLinePunct w:val="0"/>
                    <w:bidi w:val="0"/>
                    <w:snapToGrid w:val="0"/>
                    <w:spacing w:line="240" w:lineRule="auto"/>
                    <w:jc w:val="center"/>
                    <w:textAlignment w:val="auto"/>
                    <w:outlineLvl w:val="9"/>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监测点坐标/m</w:t>
                  </w:r>
                </w:p>
              </w:tc>
              <w:tc>
                <w:tcPr>
                  <w:tcW w:w="754" w:type="pct"/>
                  <w:vMerge w:val="restart"/>
                  <w:shd w:val="clear" w:color="auto" w:fill="auto"/>
                  <w:vAlign w:val="center"/>
                </w:tcPr>
                <w:p w14:paraId="64967312">
                  <w:pPr>
                    <w:pStyle w:val="2"/>
                    <w:pageBreakBefore w:val="0"/>
                    <w:widowControl w:val="0"/>
                    <w:kinsoku/>
                    <w:wordWrap w:val="0"/>
                    <w:overflowPunct/>
                    <w:topLinePunct w:val="0"/>
                    <w:bidi w:val="0"/>
                    <w:snapToGrid w:val="0"/>
                    <w:spacing w:line="240" w:lineRule="auto"/>
                    <w:jc w:val="center"/>
                    <w:textAlignment w:val="auto"/>
                    <w:outlineLvl w:val="9"/>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监测因子</w:t>
                  </w:r>
                </w:p>
              </w:tc>
              <w:tc>
                <w:tcPr>
                  <w:tcW w:w="749" w:type="pct"/>
                  <w:vMerge w:val="restart"/>
                  <w:shd w:val="clear" w:color="auto" w:fill="auto"/>
                  <w:vAlign w:val="center"/>
                </w:tcPr>
                <w:p w14:paraId="7680FB6D">
                  <w:pPr>
                    <w:pStyle w:val="2"/>
                    <w:pageBreakBefore w:val="0"/>
                    <w:widowControl w:val="0"/>
                    <w:kinsoku/>
                    <w:wordWrap w:val="0"/>
                    <w:overflowPunct/>
                    <w:topLinePunct w:val="0"/>
                    <w:bidi w:val="0"/>
                    <w:snapToGrid w:val="0"/>
                    <w:spacing w:line="240" w:lineRule="auto"/>
                    <w:jc w:val="center"/>
                    <w:textAlignment w:val="auto"/>
                    <w:outlineLvl w:val="9"/>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监测时段</w:t>
                  </w:r>
                </w:p>
              </w:tc>
              <w:tc>
                <w:tcPr>
                  <w:tcW w:w="622" w:type="pct"/>
                  <w:vMerge w:val="restart"/>
                  <w:shd w:val="clear" w:color="auto" w:fill="auto"/>
                  <w:vAlign w:val="center"/>
                </w:tcPr>
                <w:p w14:paraId="14C0E418">
                  <w:pPr>
                    <w:pStyle w:val="2"/>
                    <w:pageBreakBefore w:val="0"/>
                    <w:widowControl w:val="0"/>
                    <w:kinsoku/>
                    <w:wordWrap w:val="0"/>
                    <w:overflowPunct/>
                    <w:topLinePunct w:val="0"/>
                    <w:bidi w:val="0"/>
                    <w:snapToGrid w:val="0"/>
                    <w:spacing w:line="240" w:lineRule="auto"/>
                    <w:jc w:val="center"/>
                    <w:textAlignment w:val="auto"/>
                    <w:outlineLvl w:val="9"/>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相对厂址方位</w:t>
                  </w:r>
                </w:p>
              </w:tc>
              <w:tc>
                <w:tcPr>
                  <w:tcW w:w="668" w:type="pct"/>
                  <w:vMerge w:val="restart"/>
                  <w:shd w:val="clear" w:color="auto" w:fill="auto"/>
                  <w:vAlign w:val="center"/>
                </w:tcPr>
                <w:p w14:paraId="4C1C9F3D">
                  <w:pPr>
                    <w:pStyle w:val="2"/>
                    <w:pageBreakBefore w:val="0"/>
                    <w:widowControl w:val="0"/>
                    <w:kinsoku/>
                    <w:wordWrap w:val="0"/>
                    <w:overflowPunct/>
                    <w:topLinePunct w:val="0"/>
                    <w:bidi w:val="0"/>
                    <w:snapToGrid w:val="0"/>
                    <w:spacing w:line="240" w:lineRule="auto"/>
                    <w:jc w:val="center"/>
                    <w:textAlignment w:val="auto"/>
                    <w:outlineLvl w:val="9"/>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相对厂界距离/m</w:t>
                  </w:r>
                </w:p>
              </w:tc>
            </w:tr>
            <w:tr w14:paraId="5CAF7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24" w:type="pct"/>
                  <w:vMerge w:val="continue"/>
                  <w:shd w:val="clear" w:color="auto" w:fill="auto"/>
                  <w:vAlign w:val="center"/>
                </w:tcPr>
                <w:p w14:paraId="74304E44">
                  <w:pPr>
                    <w:pStyle w:val="2"/>
                    <w:pageBreakBefore w:val="0"/>
                    <w:widowControl w:val="0"/>
                    <w:kinsoku/>
                    <w:wordWrap w:val="0"/>
                    <w:overflowPunct/>
                    <w:topLinePunct w:val="0"/>
                    <w:bidi w:val="0"/>
                    <w:snapToGrid w:val="0"/>
                    <w:spacing w:line="240" w:lineRule="auto"/>
                    <w:jc w:val="center"/>
                    <w:textAlignment w:val="auto"/>
                    <w:outlineLvl w:val="9"/>
                    <w:rPr>
                      <w:rFonts w:hint="default" w:ascii="Times New Roman" w:hAnsi="Times New Roman" w:cs="Times New Roman"/>
                      <w:color w:val="auto"/>
                      <w:sz w:val="21"/>
                      <w:szCs w:val="21"/>
                      <w:highlight w:val="none"/>
                    </w:rPr>
                  </w:pPr>
                </w:p>
              </w:tc>
              <w:tc>
                <w:tcPr>
                  <w:tcW w:w="736" w:type="pct"/>
                  <w:shd w:val="clear" w:color="auto" w:fill="auto"/>
                  <w:vAlign w:val="center"/>
                </w:tcPr>
                <w:p w14:paraId="6C5E4783">
                  <w:pPr>
                    <w:pStyle w:val="2"/>
                    <w:pageBreakBefore w:val="0"/>
                    <w:widowControl w:val="0"/>
                    <w:kinsoku/>
                    <w:wordWrap w:val="0"/>
                    <w:overflowPunct/>
                    <w:topLinePunct w:val="0"/>
                    <w:bidi w:val="0"/>
                    <w:snapToGrid w:val="0"/>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eastAsia" w:ascii="Times New Roman" w:cs="Times New Roman"/>
                      <w:b/>
                      <w:bCs/>
                      <w:color w:val="auto"/>
                      <w:sz w:val="21"/>
                      <w:szCs w:val="21"/>
                      <w:highlight w:val="none"/>
                      <w:lang w:val="en-US" w:eastAsia="zh-CN"/>
                    </w:rPr>
                    <w:t>经度</w:t>
                  </w:r>
                </w:p>
              </w:tc>
              <w:tc>
                <w:tcPr>
                  <w:tcW w:w="744" w:type="pct"/>
                  <w:shd w:val="clear" w:color="auto" w:fill="auto"/>
                  <w:vAlign w:val="center"/>
                </w:tcPr>
                <w:p w14:paraId="0A3B5A2C">
                  <w:pPr>
                    <w:pStyle w:val="2"/>
                    <w:pageBreakBefore w:val="0"/>
                    <w:widowControl w:val="0"/>
                    <w:kinsoku/>
                    <w:wordWrap w:val="0"/>
                    <w:overflowPunct/>
                    <w:topLinePunct w:val="0"/>
                    <w:bidi w:val="0"/>
                    <w:snapToGrid w:val="0"/>
                    <w:spacing w:line="240" w:lineRule="auto"/>
                    <w:jc w:val="center"/>
                    <w:textAlignment w:val="auto"/>
                    <w:outlineLvl w:val="9"/>
                    <w:rPr>
                      <w:rFonts w:hint="default" w:ascii="Times New Roman" w:hAnsi="Times New Roman" w:cs="Times New Roman"/>
                      <w:b/>
                      <w:bCs/>
                      <w:color w:val="auto"/>
                      <w:sz w:val="21"/>
                      <w:szCs w:val="21"/>
                      <w:highlight w:val="none"/>
                    </w:rPr>
                  </w:pPr>
                  <w:r>
                    <w:rPr>
                      <w:rFonts w:hint="eastAsia" w:ascii="Times New Roman" w:cs="Times New Roman"/>
                      <w:b/>
                      <w:bCs/>
                      <w:color w:val="auto"/>
                      <w:sz w:val="21"/>
                      <w:szCs w:val="21"/>
                      <w:highlight w:val="none"/>
                      <w:lang w:val="en-US" w:eastAsia="zh-CN"/>
                    </w:rPr>
                    <w:t>纬度</w:t>
                  </w:r>
                </w:p>
              </w:tc>
              <w:tc>
                <w:tcPr>
                  <w:tcW w:w="754" w:type="pct"/>
                  <w:vMerge w:val="continue"/>
                  <w:shd w:val="clear" w:color="auto" w:fill="auto"/>
                  <w:vAlign w:val="center"/>
                </w:tcPr>
                <w:p w14:paraId="3C263458">
                  <w:pPr>
                    <w:pStyle w:val="2"/>
                    <w:pageBreakBefore w:val="0"/>
                    <w:widowControl w:val="0"/>
                    <w:kinsoku/>
                    <w:wordWrap w:val="0"/>
                    <w:overflowPunct/>
                    <w:topLinePunct w:val="0"/>
                    <w:bidi w:val="0"/>
                    <w:snapToGrid w:val="0"/>
                    <w:spacing w:line="240" w:lineRule="auto"/>
                    <w:jc w:val="center"/>
                    <w:textAlignment w:val="auto"/>
                    <w:outlineLvl w:val="9"/>
                    <w:rPr>
                      <w:rFonts w:hint="default" w:ascii="Times New Roman" w:hAnsi="Times New Roman" w:cs="Times New Roman"/>
                      <w:color w:val="auto"/>
                      <w:sz w:val="21"/>
                      <w:szCs w:val="21"/>
                      <w:highlight w:val="none"/>
                    </w:rPr>
                  </w:pPr>
                </w:p>
              </w:tc>
              <w:tc>
                <w:tcPr>
                  <w:tcW w:w="749" w:type="pct"/>
                  <w:vMerge w:val="continue"/>
                  <w:shd w:val="clear" w:color="auto" w:fill="auto"/>
                  <w:vAlign w:val="center"/>
                </w:tcPr>
                <w:p w14:paraId="56315F92">
                  <w:pPr>
                    <w:pStyle w:val="2"/>
                    <w:pageBreakBefore w:val="0"/>
                    <w:widowControl w:val="0"/>
                    <w:kinsoku/>
                    <w:wordWrap w:val="0"/>
                    <w:overflowPunct/>
                    <w:topLinePunct w:val="0"/>
                    <w:bidi w:val="0"/>
                    <w:snapToGrid w:val="0"/>
                    <w:spacing w:line="240" w:lineRule="auto"/>
                    <w:jc w:val="center"/>
                    <w:textAlignment w:val="auto"/>
                    <w:outlineLvl w:val="9"/>
                    <w:rPr>
                      <w:rFonts w:hint="default" w:ascii="Times New Roman" w:hAnsi="Times New Roman" w:cs="Times New Roman"/>
                      <w:color w:val="auto"/>
                      <w:sz w:val="21"/>
                      <w:szCs w:val="21"/>
                      <w:highlight w:val="none"/>
                    </w:rPr>
                  </w:pPr>
                </w:p>
              </w:tc>
              <w:tc>
                <w:tcPr>
                  <w:tcW w:w="622" w:type="pct"/>
                  <w:vMerge w:val="continue"/>
                  <w:shd w:val="clear" w:color="auto" w:fill="auto"/>
                  <w:vAlign w:val="center"/>
                </w:tcPr>
                <w:p w14:paraId="1C065BFA">
                  <w:pPr>
                    <w:pStyle w:val="2"/>
                    <w:pageBreakBefore w:val="0"/>
                    <w:widowControl w:val="0"/>
                    <w:kinsoku/>
                    <w:wordWrap w:val="0"/>
                    <w:overflowPunct/>
                    <w:topLinePunct w:val="0"/>
                    <w:bidi w:val="0"/>
                    <w:snapToGrid w:val="0"/>
                    <w:spacing w:line="240" w:lineRule="auto"/>
                    <w:jc w:val="center"/>
                    <w:textAlignment w:val="auto"/>
                    <w:outlineLvl w:val="9"/>
                    <w:rPr>
                      <w:rFonts w:hint="default" w:ascii="Times New Roman" w:hAnsi="Times New Roman" w:cs="Times New Roman"/>
                      <w:color w:val="auto"/>
                      <w:sz w:val="21"/>
                      <w:szCs w:val="21"/>
                      <w:highlight w:val="none"/>
                    </w:rPr>
                  </w:pPr>
                </w:p>
              </w:tc>
              <w:tc>
                <w:tcPr>
                  <w:tcW w:w="668" w:type="pct"/>
                  <w:vMerge w:val="continue"/>
                  <w:shd w:val="clear" w:color="auto" w:fill="auto"/>
                  <w:vAlign w:val="center"/>
                </w:tcPr>
                <w:p w14:paraId="54E30F54">
                  <w:pPr>
                    <w:pStyle w:val="2"/>
                    <w:pageBreakBefore w:val="0"/>
                    <w:widowControl w:val="0"/>
                    <w:kinsoku/>
                    <w:wordWrap w:val="0"/>
                    <w:overflowPunct/>
                    <w:topLinePunct w:val="0"/>
                    <w:bidi w:val="0"/>
                    <w:snapToGrid w:val="0"/>
                    <w:spacing w:line="240" w:lineRule="auto"/>
                    <w:jc w:val="center"/>
                    <w:textAlignment w:val="auto"/>
                    <w:outlineLvl w:val="9"/>
                    <w:rPr>
                      <w:rFonts w:hint="default" w:ascii="Times New Roman" w:hAnsi="Times New Roman" w:cs="Times New Roman"/>
                      <w:color w:val="auto"/>
                      <w:sz w:val="21"/>
                      <w:szCs w:val="21"/>
                      <w:highlight w:val="none"/>
                    </w:rPr>
                  </w:pPr>
                </w:p>
              </w:tc>
            </w:tr>
            <w:tr w14:paraId="42294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24" w:type="pct"/>
                  <w:shd w:val="clear" w:color="auto" w:fill="auto"/>
                  <w:vAlign w:val="center"/>
                </w:tcPr>
                <w:p w14:paraId="642D16C5">
                  <w:pPr>
                    <w:pStyle w:val="2"/>
                    <w:pageBreakBefore w:val="0"/>
                    <w:widowControl w:val="0"/>
                    <w:kinsoku/>
                    <w:wordWrap w:val="0"/>
                    <w:overflowPunct/>
                    <w:topLinePunct w:val="0"/>
                    <w:bidi w:val="0"/>
                    <w:snapToGrid w:val="0"/>
                    <w:spacing w:line="240" w:lineRule="auto"/>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G1</w:t>
                  </w:r>
                  <w:r>
                    <w:rPr>
                      <w:rFonts w:hint="eastAsia" w:ascii="Times New Roman" w:cs="Times New Roman"/>
                      <w:color w:val="auto"/>
                      <w:sz w:val="21"/>
                      <w:szCs w:val="21"/>
                      <w:highlight w:val="none"/>
                      <w:lang w:val="en-US" w:eastAsia="zh-CN"/>
                    </w:rPr>
                    <w:t>和</w:t>
                  </w:r>
                  <w:r>
                    <w:rPr>
                      <w:rFonts w:hint="default" w:ascii="Times New Roman" w:hAnsi="Times New Roman" w:cs="Times New Roman"/>
                      <w:color w:val="auto"/>
                      <w:sz w:val="21"/>
                      <w:szCs w:val="21"/>
                      <w:highlight w:val="none"/>
                    </w:rPr>
                    <w:t>村</w:t>
                  </w:r>
                </w:p>
              </w:tc>
              <w:tc>
                <w:tcPr>
                  <w:tcW w:w="736" w:type="pct"/>
                  <w:shd w:val="clear" w:color="auto" w:fill="auto"/>
                  <w:vAlign w:val="center"/>
                </w:tcPr>
                <w:p w14:paraId="1DEEA7DB">
                  <w:pPr>
                    <w:pStyle w:val="2"/>
                    <w:pageBreakBefore w:val="0"/>
                    <w:widowControl w:val="0"/>
                    <w:kinsoku/>
                    <w:wordWrap w:val="0"/>
                    <w:overflowPunct/>
                    <w:topLinePunct w:val="0"/>
                    <w:bidi w:val="0"/>
                    <w:spacing w:line="240" w:lineRule="auto"/>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113.4209907</w:t>
                  </w:r>
                </w:p>
              </w:tc>
              <w:tc>
                <w:tcPr>
                  <w:tcW w:w="744" w:type="pct"/>
                  <w:shd w:val="clear" w:color="auto" w:fill="auto"/>
                  <w:vAlign w:val="center"/>
                </w:tcPr>
                <w:p w14:paraId="37F03B4E">
                  <w:pPr>
                    <w:pStyle w:val="2"/>
                    <w:pageBreakBefore w:val="0"/>
                    <w:widowControl w:val="0"/>
                    <w:kinsoku/>
                    <w:wordWrap w:val="0"/>
                    <w:overflowPunct/>
                    <w:topLinePunct w:val="0"/>
                    <w:bidi w:val="0"/>
                    <w:spacing w:line="240" w:lineRule="auto"/>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25.1260272</w:t>
                  </w:r>
                </w:p>
              </w:tc>
              <w:tc>
                <w:tcPr>
                  <w:tcW w:w="754" w:type="pct"/>
                  <w:shd w:val="clear" w:color="auto" w:fill="auto"/>
                  <w:vAlign w:val="center"/>
                </w:tcPr>
                <w:p w14:paraId="23A0C50E">
                  <w:pPr>
                    <w:pStyle w:val="2"/>
                    <w:pageBreakBefore w:val="0"/>
                    <w:widowControl w:val="0"/>
                    <w:kinsoku/>
                    <w:overflowPunct/>
                    <w:topLinePunct w:val="0"/>
                    <w:bidi w:val="0"/>
                    <w:spacing w:line="240" w:lineRule="auto"/>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TSP</w:t>
                  </w:r>
                  <w:r>
                    <w:rPr>
                      <w:rFonts w:hint="eastAsia" w:ascii="Times New Roman" w:cs="Times New Roman"/>
                      <w:color w:val="auto"/>
                      <w:sz w:val="21"/>
                      <w:szCs w:val="21"/>
                      <w:highlight w:val="none"/>
                      <w:lang w:eastAsia="zh-CN"/>
                    </w:rPr>
                    <w:t>、</w:t>
                  </w:r>
                  <w:r>
                    <w:rPr>
                      <w:rFonts w:hint="eastAsia" w:ascii="Times New Roman" w:cs="Times New Roman"/>
                      <w:color w:val="auto"/>
                      <w:sz w:val="21"/>
                      <w:szCs w:val="21"/>
                      <w:highlight w:val="none"/>
                      <w:lang w:val="en-US" w:eastAsia="zh-CN"/>
                    </w:rPr>
                    <w:t>非甲烷总烃、二甲苯、臭气浓度</w:t>
                  </w:r>
                </w:p>
              </w:tc>
              <w:tc>
                <w:tcPr>
                  <w:tcW w:w="749" w:type="pct"/>
                  <w:shd w:val="clear" w:color="auto" w:fill="auto"/>
                  <w:vAlign w:val="center"/>
                </w:tcPr>
                <w:p w14:paraId="6430F5DA">
                  <w:pPr>
                    <w:pStyle w:val="2"/>
                    <w:pageBreakBefore w:val="0"/>
                    <w:widowControl w:val="0"/>
                    <w:kinsoku/>
                    <w:overflowPunct/>
                    <w:topLinePunct w:val="0"/>
                    <w:bidi w:val="0"/>
                    <w:spacing w:line="240" w:lineRule="auto"/>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202</w:t>
                  </w:r>
                  <w:r>
                    <w:rPr>
                      <w:rFonts w:hint="eastAsia" w:ascii="Times New Roman" w:cs="Times New Roman"/>
                      <w:bCs/>
                      <w:color w:val="auto"/>
                      <w:sz w:val="21"/>
                      <w:szCs w:val="21"/>
                      <w:highlight w:val="none"/>
                      <w:lang w:val="en-US" w:eastAsia="zh-CN"/>
                    </w:rPr>
                    <w:t>3</w:t>
                  </w:r>
                  <w:r>
                    <w:rPr>
                      <w:rFonts w:hint="default" w:ascii="Times New Roman" w:hAnsi="Times New Roman" w:cs="Times New Roman"/>
                      <w:bCs/>
                      <w:color w:val="auto"/>
                      <w:sz w:val="21"/>
                      <w:szCs w:val="21"/>
                      <w:highlight w:val="none"/>
                    </w:rPr>
                    <w:t>年12月</w:t>
                  </w:r>
                  <w:r>
                    <w:rPr>
                      <w:rFonts w:hint="eastAsia" w:ascii="Times New Roman" w:cs="Times New Roman"/>
                      <w:bCs/>
                      <w:color w:val="auto"/>
                      <w:sz w:val="21"/>
                      <w:szCs w:val="21"/>
                      <w:highlight w:val="none"/>
                      <w:lang w:val="en-US" w:eastAsia="zh-CN"/>
                    </w:rPr>
                    <w:t>19</w:t>
                  </w:r>
                  <w:r>
                    <w:rPr>
                      <w:rFonts w:hint="default" w:ascii="Times New Roman" w:hAnsi="Times New Roman" w:cs="Times New Roman"/>
                      <w:bCs/>
                      <w:color w:val="auto"/>
                      <w:sz w:val="21"/>
                      <w:szCs w:val="21"/>
                      <w:highlight w:val="none"/>
                    </w:rPr>
                    <w:t>日</w:t>
                  </w:r>
                  <w:r>
                    <w:rPr>
                      <w:rFonts w:hint="eastAsia" w:ascii="Times New Roman" w:cs="Times New Roman"/>
                      <w:bCs/>
                      <w:color w:val="auto"/>
                      <w:sz w:val="21"/>
                      <w:szCs w:val="21"/>
                      <w:highlight w:val="none"/>
                      <w:lang w:val="en-US" w:eastAsia="zh-CN"/>
                    </w:rPr>
                    <w:t>~</w:t>
                  </w:r>
                  <w:r>
                    <w:rPr>
                      <w:rFonts w:hint="default" w:ascii="Times New Roman" w:hAnsi="Times New Roman" w:cs="Times New Roman"/>
                      <w:bCs/>
                      <w:color w:val="auto"/>
                      <w:sz w:val="21"/>
                      <w:szCs w:val="21"/>
                      <w:highlight w:val="none"/>
                    </w:rPr>
                    <w:t>202</w:t>
                  </w:r>
                  <w:r>
                    <w:rPr>
                      <w:rFonts w:hint="eastAsia" w:ascii="Times New Roman" w:cs="Times New Roman"/>
                      <w:bCs/>
                      <w:color w:val="auto"/>
                      <w:sz w:val="21"/>
                      <w:szCs w:val="21"/>
                      <w:highlight w:val="none"/>
                      <w:lang w:val="en-US" w:eastAsia="zh-CN"/>
                    </w:rPr>
                    <w:t>3</w:t>
                  </w:r>
                  <w:r>
                    <w:rPr>
                      <w:rFonts w:hint="default" w:ascii="Times New Roman" w:hAnsi="Times New Roman" w:cs="Times New Roman"/>
                      <w:bCs/>
                      <w:color w:val="auto"/>
                      <w:sz w:val="21"/>
                      <w:szCs w:val="21"/>
                      <w:highlight w:val="none"/>
                    </w:rPr>
                    <w:t>年12月2</w:t>
                  </w:r>
                  <w:r>
                    <w:rPr>
                      <w:rFonts w:hint="eastAsia" w:ascii="Times New Roman" w:cs="Times New Roman"/>
                      <w:bCs/>
                      <w:color w:val="auto"/>
                      <w:sz w:val="21"/>
                      <w:szCs w:val="21"/>
                      <w:highlight w:val="none"/>
                      <w:lang w:val="en-US" w:eastAsia="zh-CN"/>
                    </w:rPr>
                    <w:t>5</w:t>
                  </w:r>
                  <w:r>
                    <w:rPr>
                      <w:rFonts w:hint="default" w:ascii="Times New Roman" w:hAnsi="Times New Roman" w:cs="Times New Roman"/>
                      <w:bCs/>
                      <w:color w:val="auto"/>
                      <w:sz w:val="21"/>
                      <w:szCs w:val="21"/>
                      <w:highlight w:val="none"/>
                    </w:rPr>
                    <w:t>日</w:t>
                  </w:r>
                </w:p>
              </w:tc>
              <w:tc>
                <w:tcPr>
                  <w:tcW w:w="622" w:type="pct"/>
                  <w:shd w:val="clear" w:color="auto" w:fill="auto"/>
                  <w:vAlign w:val="center"/>
                </w:tcPr>
                <w:p w14:paraId="67716DAD">
                  <w:pPr>
                    <w:pStyle w:val="2"/>
                    <w:pageBreakBefore w:val="0"/>
                    <w:widowControl w:val="0"/>
                    <w:kinsoku/>
                    <w:overflowPunct/>
                    <w:topLinePunct w:val="0"/>
                    <w:bidi w:val="0"/>
                    <w:snapToGrid w:val="0"/>
                    <w:spacing w:line="240" w:lineRule="auto"/>
                    <w:jc w:val="center"/>
                    <w:textAlignment w:val="auto"/>
                    <w:outlineLvl w:val="9"/>
                    <w:rPr>
                      <w:rFonts w:hint="eastAsia" w:ascii="Times New Roman" w:hAnsi="Times New Roman" w:eastAsia="宋体" w:cs="Times New Roman"/>
                      <w:color w:val="auto"/>
                      <w:sz w:val="21"/>
                      <w:szCs w:val="21"/>
                      <w:highlight w:val="none"/>
                      <w:lang w:eastAsia="zh-CN"/>
                    </w:rPr>
                  </w:pPr>
                  <w:r>
                    <w:rPr>
                      <w:rFonts w:hint="eastAsia" w:ascii="Times New Roman" w:cs="Times New Roman"/>
                      <w:color w:val="auto"/>
                      <w:sz w:val="21"/>
                      <w:szCs w:val="21"/>
                      <w:highlight w:val="none"/>
                      <w:lang w:val="en-US" w:eastAsia="zh-CN"/>
                    </w:rPr>
                    <w:t>南</w:t>
                  </w:r>
                </w:p>
              </w:tc>
              <w:tc>
                <w:tcPr>
                  <w:tcW w:w="668" w:type="pct"/>
                  <w:shd w:val="clear" w:color="auto" w:fill="auto"/>
                  <w:vAlign w:val="center"/>
                </w:tcPr>
                <w:p w14:paraId="66055435">
                  <w:pPr>
                    <w:pStyle w:val="2"/>
                    <w:pageBreakBefore w:val="0"/>
                    <w:widowControl w:val="0"/>
                    <w:kinsoku/>
                    <w:overflowPunct/>
                    <w:topLinePunct w:val="0"/>
                    <w:bidi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4303</w:t>
                  </w:r>
                </w:p>
              </w:tc>
            </w:tr>
          </w:tbl>
          <w:p w14:paraId="68D6D552">
            <w:pPr>
              <w:keepNext w:val="0"/>
              <w:keepLines w:val="0"/>
              <w:pageBreakBefore w:val="0"/>
              <w:widowControl w:val="0"/>
              <w:numPr>
                <w:ilvl w:val="0"/>
                <w:numId w:val="9"/>
              </w:numPr>
              <w:kinsoku/>
              <w:wordWrap w:val="0"/>
              <w:overflowPunct/>
              <w:topLinePunct w:val="0"/>
              <w:autoSpaceDE/>
              <w:autoSpaceDN/>
              <w:bidi w:val="0"/>
              <w:adjustRightInd/>
              <w:snapToGrid/>
              <w:spacing w:line="240" w:lineRule="auto"/>
              <w:ind w:left="0" w:leftChars="0" w:firstLine="40" w:firstLineChars="0"/>
              <w:jc w:val="center"/>
              <w:textAlignment w:val="auto"/>
              <w:rPr>
                <w:rFonts w:hint="default" w:ascii="Times New Roman" w:hAnsi="Times New Roman" w:eastAsia="宋体" w:cs="Times New Roman"/>
                <w:b/>
                <w:bCs/>
                <w:color w:val="auto"/>
                <w:sz w:val="21"/>
                <w:szCs w:val="21"/>
                <w:highlight w:val="none"/>
                <w:lang w:val="en-GB"/>
              </w:rPr>
            </w:pPr>
            <w:bookmarkStart w:id="60" w:name="_Toc24683"/>
            <w:bookmarkStart w:id="61" w:name="_Toc8233"/>
            <w:bookmarkStart w:id="62" w:name="_Toc13955"/>
            <w:bookmarkStart w:id="63" w:name="_Toc24731"/>
            <w:bookmarkStart w:id="64" w:name="_Toc14846"/>
            <w:r>
              <w:rPr>
                <w:rFonts w:hint="default" w:ascii="Times New Roman" w:hAnsi="Times New Roman" w:eastAsia="宋体" w:cs="Times New Roman"/>
                <w:b/>
                <w:bCs/>
                <w:color w:val="auto"/>
                <w:sz w:val="21"/>
                <w:szCs w:val="21"/>
                <w:highlight w:val="none"/>
                <w:lang w:val="en-GB"/>
              </w:rPr>
              <w:t xml:space="preserve"> 其他污染物环境质量现状（监测结果）表</w:t>
            </w:r>
            <w:bookmarkEnd w:id="60"/>
            <w:bookmarkEnd w:id="61"/>
            <w:bookmarkEnd w:id="62"/>
            <w:bookmarkEnd w:id="63"/>
            <w:bookmarkEnd w:id="64"/>
          </w:p>
          <w:tbl>
            <w:tblPr>
              <w:tblStyle w:val="4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53"/>
              <w:gridCol w:w="862"/>
              <w:gridCol w:w="889"/>
              <w:gridCol w:w="1107"/>
              <w:gridCol w:w="1316"/>
              <w:gridCol w:w="1081"/>
              <w:gridCol w:w="699"/>
              <w:gridCol w:w="742"/>
            </w:tblGrid>
            <w:tr w14:paraId="47A65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34" w:type="pct"/>
                  <w:vMerge w:val="restart"/>
                  <w:shd w:val="clear" w:color="auto" w:fill="auto"/>
                  <w:vAlign w:val="center"/>
                </w:tcPr>
                <w:p w14:paraId="0FDD9CDF">
                  <w:pPr>
                    <w:pStyle w:val="21"/>
                    <w:pageBreakBefore w:val="0"/>
                    <w:widowControl w:val="0"/>
                    <w:kinsoku/>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监测点位</w:t>
                  </w:r>
                </w:p>
              </w:tc>
              <w:tc>
                <w:tcPr>
                  <w:tcW w:w="549" w:type="pct"/>
                  <w:vMerge w:val="restart"/>
                  <w:shd w:val="clear" w:color="auto" w:fill="auto"/>
                  <w:vAlign w:val="center"/>
                </w:tcPr>
                <w:p w14:paraId="32103CD3">
                  <w:pPr>
                    <w:pStyle w:val="21"/>
                    <w:pageBreakBefore w:val="0"/>
                    <w:widowControl w:val="0"/>
                    <w:kinsoku/>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污染物</w:t>
                  </w:r>
                </w:p>
              </w:tc>
              <w:tc>
                <w:tcPr>
                  <w:tcW w:w="566" w:type="pct"/>
                  <w:vMerge w:val="restart"/>
                  <w:shd w:val="clear" w:color="auto" w:fill="auto"/>
                  <w:vAlign w:val="center"/>
                </w:tcPr>
                <w:p w14:paraId="132442A1">
                  <w:pPr>
                    <w:pStyle w:val="21"/>
                    <w:pageBreakBefore w:val="0"/>
                    <w:widowControl w:val="0"/>
                    <w:kinsoku/>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平均</w:t>
                  </w:r>
                </w:p>
                <w:p w14:paraId="0A790480">
                  <w:pPr>
                    <w:pStyle w:val="21"/>
                    <w:pageBreakBefore w:val="0"/>
                    <w:widowControl w:val="0"/>
                    <w:kinsoku/>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时间</w:t>
                  </w:r>
                </w:p>
              </w:tc>
              <w:tc>
                <w:tcPr>
                  <w:tcW w:w="705" w:type="pct"/>
                  <w:vMerge w:val="restart"/>
                  <w:shd w:val="clear" w:color="auto" w:fill="auto"/>
                  <w:vAlign w:val="center"/>
                </w:tcPr>
                <w:p w14:paraId="00DA1F6E">
                  <w:pPr>
                    <w:pStyle w:val="21"/>
                    <w:pageBreakBefore w:val="0"/>
                    <w:widowControl w:val="0"/>
                    <w:kinsoku/>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评价标准/</w:t>
                  </w:r>
                </w:p>
              </w:tc>
              <w:tc>
                <w:tcPr>
                  <w:tcW w:w="838" w:type="pct"/>
                  <w:vMerge w:val="restart"/>
                  <w:shd w:val="clear" w:color="auto" w:fill="auto"/>
                  <w:vAlign w:val="center"/>
                </w:tcPr>
                <w:p w14:paraId="140348A7">
                  <w:pPr>
                    <w:pStyle w:val="21"/>
                    <w:pageBreakBefore w:val="0"/>
                    <w:widowControl w:val="0"/>
                    <w:kinsoku/>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监测浓度范围/（</w:t>
                  </w:r>
                  <w:r>
                    <w:rPr>
                      <w:rFonts w:hint="default" w:ascii="Times New Roman" w:hAnsi="Times New Roman" w:cs="Times New Roman"/>
                      <w:b/>
                      <w:color w:val="auto"/>
                      <w:kern w:val="0"/>
                      <w:sz w:val="21"/>
                      <w:szCs w:val="21"/>
                      <w:highlight w:val="none"/>
                    </w:rPr>
                    <w:t>mg/m</w:t>
                  </w:r>
                  <w:r>
                    <w:rPr>
                      <w:rFonts w:hint="default" w:ascii="Times New Roman" w:hAnsi="Times New Roman" w:cs="Times New Roman"/>
                      <w:b/>
                      <w:color w:val="auto"/>
                      <w:kern w:val="0"/>
                      <w:sz w:val="21"/>
                      <w:szCs w:val="21"/>
                      <w:highlight w:val="none"/>
                      <w:vertAlign w:val="superscript"/>
                    </w:rPr>
                    <w:t>3</w:t>
                  </w:r>
                  <w:r>
                    <w:rPr>
                      <w:rFonts w:hint="default" w:ascii="Times New Roman" w:hAnsi="Times New Roman" w:cs="Times New Roman"/>
                      <w:b/>
                      <w:color w:val="auto"/>
                      <w:sz w:val="21"/>
                      <w:szCs w:val="21"/>
                      <w:highlight w:val="none"/>
                    </w:rPr>
                    <w:t>）</w:t>
                  </w:r>
                </w:p>
              </w:tc>
              <w:tc>
                <w:tcPr>
                  <w:tcW w:w="688" w:type="pct"/>
                  <w:vMerge w:val="restart"/>
                  <w:shd w:val="clear" w:color="auto" w:fill="auto"/>
                  <w:vAlign w:val="center"/>
                </w:tcPr>
                <w:p w14:paraId="3F3DB7D3">
                  <w:pPr>
                    <w:pStyle w:val="21"/>
                    <w:pageBreakBefore w:val="0"/>
                    <w:widowControl w:val="0"/>
                    <w:kinsoku/>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最大浓度占标率/%</w:t>
                  </w:r>
                </w:p>
              </w:tc>
              <w:tc>
                <w:tcPr>
                  <w:tcW w:w="445" w:type="pct"/>
                  <w:vMerge w:val="restart"/>
                  <w:shd w:val="clear" w:color="auto" w:fill="auto"/>
                  <w:vAlign w:val="center"/>
                </w:tcPr>
                <w:p w14:paraId="510F7470">
                  <w:pPr>
                    <w:pStyle w:val="21"/>
                    <w:pageBreakBefore w:val="0"/>
                    <w:widowControl w:val="0"/>
                    <w:kinsoku/>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超标频率/%</w:t>
                  </w:r>
                </w:p>
              </w:tc>
              <w:tc>
                <w:tcPr>
                  <w:tcW w:w="472" w:type="pct"/>
                  <w:vMerge w:val="restart"/>
                  <w:shd w:val="clear" w:color="auto" w:fill="auto"/>
                  <w:vAlign w:val="center"/>
                </w:tcPr>
                <w:p w14:paraId="75995D1D">
                  <w:pPr>
                    <w:pStyle w:val="21"/>
                    <w:pageBreakBefore w:val="0"/>
                    <w:widowControl w:val="0"/>
                    <w:kinsoku/>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达标情况</w:t>
                  </w:r>
                </w:p>
              </w:tc>
            </w:tr>
            <w:tr w14:paraId="4D9B8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34" w:type="pct"/>
                  <w:vMerge w:val="continue"/>
                  <w:shd w:val="clear" w:color="auto" w:fill="auto"/>
                  <w:vAlign w:val="center"/>
                </w:tcPr>
                <w:p w14:paraId="665C349C">
                  <w:pPr>
                    <w:pStyle w:val="21"/>
                    <w:pageBreakBefore w:val="0"/>
                    <w:widowControl w:val="0"/>
                    <w:kinsoku/>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b/>
                      <w:color w:val="auto"/>
                      <w:sz w:val="21"/>
                      <w:szCs w:val="21"/>
                      <w:highlight w:val="none"/>
                    </w:rPr>
                  </w:pPr>
                </w:p>
              </w:tc>
              <w:tc>
                <w:tcPr>
                  <w:tcW w:w="549" w:type="pct"/>
                  <w:vMerge w:val="continue"/>
                  <w:shd w:val="clear" w:color="auto" w:fill="auto"/>
                  <w:vAlign w:val="center"/>
                </w:tcPr>
                <w:p w14:paraId="7A62AEA2">
                  <w:pPr>
                    <w:pStyle w:val="21"/>
                    <w:pageBreakBefore w:val="0"/>
                    <w:widowControl w:val="0"/>
                    <w:kinsoku/>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b/>
                      <w:color w:val="auto"/>
                      <w:sz w:val="21"/>
                      <w:szCs w:val="21"/>
                      <w:highlight w:val="none"/>
                    </w:rPr>
                  </w:pPr>
                </w:p>
              </w:tc>
              <w:tc>
                <w:tcPr>
                  <w:tcW w:w="566" w:type="pct"/>
                  <w:vMerge w:val="continue"/>
                  <w:shd w:val="clear" w:color="auto" w:fill="auto"/>
                  <w:vAlign w:val="center"/>
                </w:tcPr>
                <w:p w14:paraId="58722CFC">
                  <w:pPr>
                    <w:pStyle w:val="21"/>
                    <w:pageBreakBefore w:val="0"/>
                    <w:widowControl w:val="0"/>
                    <w:kinsoku/>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b/>
                      <w:color w:val="auto"/>
                      <w:sz w:val="21"/>
                      <w:szCs w:val="21"/>
                      <w:highlight w:val="none"/>
                    </w:rPr>
                  </w:pPr>
                </w:p>
              </w:tc>
              <w:tc>
                <w:tcPr>
                  <w:tcW w:w="705" w:type="pct"/>
                  <w:vMerge w:val="continue"/>
                  <w:shd w:val="clear" w:color="auto" w:fill="auto"/>
                  <w:vAlign w:val="center"/>
                </w:tcPr>
                <w:p w14:paraId="4B273DBB">
                  <w:pPr>
                    <w:pStyle w:val="21"/>
                    <w:pageBreakBefore w:val="0"/>
                    <w:widowControl w:val="0"/>
                    <w:kinsoku/>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b/>
                      <w:color w:val="auto"/>
                      <w:sz w:val="21"/>
                      <w:szCs w:val="21"/>
                      <w:highlight w:val="none"/>
                    </w:rPr>
                  </w:pPr>
                </w:p>
              </w:tc>
              <w:tc>
                <w:tcPr>
                  <w:tcW w:w="838" w:type="pct"/>
                  <w:vMerge w:val="continue"/>
                  <w:shd w:val="clear" w:color="auto" w:fill="auto"/>
                  <w:vAlign w:val="center"/>
                </w:tcPr>
                <w:p w14:paraId="55D36893">
                  <w:pPr>
                    <w:pStyle w:val="21"/>
                    <w:pageBreakBefore w:val="0"/>
                    <w:widowControl w:val="0"/>
                    <w:kinsoku/>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b/>
                      <w:color w:val="auto"/>
                      <w:sz w:val="21"/>
                      <w:szCs w:val="21"/>
                      <w:highlight w:val="none"/>
                    </w:rPr>
                  </w:pPr>
                </w:p>
              </w:tc>
              <w:tc>
                <w:tcPr>
                  <w:tcW w:w="688" w:type="pct"/>
                  <w:vMerge w:val="continue"/>
                  <w:shd w:val="clear" w:color="auto" w:fill="auto"/>
                  <w:vAlign w:val="center"/>
                </w:tcPr>
                <w:p w14:paraId="6C9A469A">
                  <w:pPr>
                    <w:pStyle w:val="21"/>
                    <w:pageBreakBefore w:val="0"/>
                    <w:widowControl w:val="0"/>
                    <w:kinsoku/>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b/>
                      <w:color w:val="auto"/>
                      <w:sz w:val="21"/>
                      <w:szCs w:val="21"/>
                      <w:highlight w:val="none"/>
                    </w:rPr>
                  </w:pPr>
                </w:p>
              </w:tc>
              <w:tc>
                <w:tcPr>
                  <w:tcW w:w="445" w:type="pct"/>
                  <w:vMerge w:val="continue"/>
                  <w:shd w:val="clear" w:color="auto" w:fill="auto"/>
                  <w:vAlign w:val="center"/>
                </w:tcPr>
                <w:p w14:paraId="1F0D3E9B">
                  <w:pPr>
                    <w:pStyle w:val="21"/>
                    <w:pageBreakBefore w:val="0"/>
                    <w:widowControl w:val="0"/>
                    <w:kinsoku/>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b/>
                      <w:color w:val="auto"/>
                      <w:sz w:val="21"/>
                      <w:szCs w:val="21"/>
                      <w:highlight w:val="none"/>
                    </w:rPr>
                  </w:pPr>
                </w:p>
              </w:tc>
              <w:tc>
                <w:tcPr>
                  <w:tcW w:w="472" w:type="pct"/>
                  <w:vMerge w:val="continue"/>
                  <w:shd w:val="clear" w:color="auto" w:fill="auto"/>
                  <w:vAlign w:val="center"/>
                </w:tcPr>
                <w:p w14:paraId="748F8B8D">
                  <w:pPr>
                    <w:pStyle w:val="21"/>
                    <w:pageBreakBefore w:val="0"/>
                    <w:widowControl w:val="0"/>
                    <w:kinsoku/>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b/>
                      <w:color w:val="auto"/>
                      <w:sz w:val="21"/>
                      <w:szCs w:val="21"/>
                      <w:highlight w:val="none"/>
                    </w:rPr>
                  </w:pPr>
                </w:p>
              </w:tc>
            </w:tr>
            <w:tr w14:paraId="79ACC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34" w:type="pct"/>
                  <w:vMerge w:val="restart"/>
                  <w:shd w:val="clear" w:color="auto" w:fill="auto"/>
                  <w:vAlign w:val="center"/>
                </w:tcPr>
                <w:p w14:paraId="64722F25">
                  <w:pPr>
                    <w:pStyle w:val="21"/>
                    <w:pageBreakBefore w:val="0"/>
                    <w:widowControl w:val="0"/>
                    <w:kinsoku/>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bCs/>
                      <w:color w:val="auto"/>
                      <w:kern w:val="0"/>
                      <w:sz w:val="21"/>
                      <w:szCs w:val="21"/>
                      <w:highlight w:val="none"/>
                    </w:rPr>
                  </w:pPr>
                  <w:r>
                    <w:rPr>
                      <w:rFonts w:hint="default" w:ascii="Times New Roman" w:hAnsi="Times New Roman" w:cs="Times New Roman"/>
                      <w:color w:val="auto"/>
                      <w:sz w:val="21"/>
                      <w:szCs w:val="21"/>
                      <w:highlight w:val="none"/>
                    </w:rPr>
                    <w:t>G1</w:t>
                  </w:r>
                  <w:r>
                    <w:rPr>
                      <w:rFonts w:hint="eastAsia" w:cs="Times New Roman"/>
                      <w:color w:val="auto"/>
                      <w:sz w:val="21"/>
                      <w:szCs w:val="21"/>
                      <w:highlight w:val="none"/>
                      <w:lang w:val="en-US" w:eastAsia="zh-CN"/>
                    </w:rPr>
                    <w:t>和</w:t>
                  </w:r>
                  <w:r>
                    <w:rPr>
                      <w:rFonts w:hint="default" w:ascii="Times New Roman" w:hAnsi="Times New Roman" w:cs="Times New Roman"/>
                      <w:color w:val="auto"/>
                      <w:sz w:val="21"/>
                      <w:szCs w:val="21"/>
                      <w:highlight w:val="none"/>
                    </w:rPr>
                    <w:t>村</w:t>
                  </w:r>
                </w:p>
              </w:tc>
              <w:tc>
                <w:tcPr>
                  <w:tcW w:w="549" w:type="pct"/>
                  <w:shd w:val="clear" w:color="auto" w:fill="auto"/>
                  <w:vAlign w:val="center"/>
                </w:tcPr>
                <w:p w14:paraId="0E968FFB">
                  <w:pPr>
                    <w:pStyle w:val="59"/>
                    <w:pageBreakBefore w:val="0"/>
                    <w:widowControl w:val="0"/>
                    <w:kinsoku/>
                    <w:overflowPunct/>
                    <w:topLinePunct w:val="0"/>
                    <w:bidi w:val="0"/>
                    <w:spacing w:before="46" w:after="46" w:line="240" w:lineRule="auto"/>
                    <w:textAlignment w:val="auto"/>
                    <w:outlineLvl w:val="9"/>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TSP</w:t>
                  </w:r>
                </w:p>
              </w:tc>
              <w:tc>
                <w:tcPr>
                  <w:tcW w:w="566" w:type="pct"/>
                  <w:shd w:val="clear" w:color="auto" w:fill="auto"/>
                  <w:vAlign w:val="center"/>
                </w:tcPr>
                <w:p w14:paraId="038A6E4E">
                  <w:pPr>
                    <w:pStyle w:val="59"/>
                    <w:pageBreakBefore w:val="0"/>
                    <w:widowControl w:val="0"/>
                    <w:kinsoku/>
                    <w:overflowPunct/>
                    <w:topLinePunct w:val="0"/>
                    <w:bidi w:val="0"/>
                    <w:spacing w:before="46" w:after="46" w:line="240" w:lineRule="auto"/>
                    <w:textAlignment w:val="auto"/>
                    <w:outlineLvl w:val="9"/>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日均值</w:t>
                  </w:r>
                </w:p>
              </w:tc>
              <w:tc>
                <w:tcPr>
                  <w:tcW w:w="705" w:type="pct"/>
                  <w:shd w:val="clear" w:color="auto" w:fill="auto"/>
                  <w:vAlign w:val="center"/>
                </w:tcPr>
                <w:p w14:paraId="4DF89E71">
                  <w:pPr>
                    <w:pStyle w:val="59"/>
                    <w:pageBreakBefore w:val="0"/>
                    <w:widowControl w:val="0"/>
                    <w:kinsoku/>
                    <w:overflowPunct/>
                    <w:topLinePunct w:val="0"/>
                    <w:bidi w:val="0"/>
                    <w:spacing w:before="46" w:after="46" w:line="240" w:lineRule="auto"/>
                    <w:textAlignment w:val="auto"/>
                    <w:outlineLvl w:val="9"/>
                    <w:rPr>
                      <w:rFonts w:hint="default" w:ascii="Times New Roman" w:hAnsi="Times New Roman" w:cs="Times New Roman"/>
                      <w:bCs/>
                      <w:color w:val="auto"/>
                      <w:sz w:val="21"/>
                      <w:highlight w:val="none"/>
                    </w:rPr>
                  </w:pPr>
                  <w:r>
                    <w:rPr>
                      <w:rFonts w:hint="eastAsia" w:cs="Times New Roman"/>
                      <w:bCs/>
                      <w:color w:val="auto"/>
                      <w:sz w:val="21"/>
                      <w:highlight w:val="none"/>
                      <w:lang w:val="en-US" w:eastAsia="zh-CN"/>
                    </w:rPr>
                    <w:t>0.2m</w:t>
                  </w:r>
                  <w:r>
                    <w:rPr>
                      <w:rFonts w:hint="default" w:ascii="Times New Roman" w:hAnsi="Times New Roman" w:cs="Times New Roman"/>
                      <w:b w:val="0"/>
                      <w:bCs/>
                      <w:color w:val="auto"/>
                      <w:kern w:val="0"/>
                      <w:sz w:val="21"/>
                      <w:szCs w:val="21"/>
                      <w:highlight w:val="none"/>
                    </w:rPr>
                    <w:t>g/m</w:t>
                  </w:r>
                  <w:r>
                    <w:rPr>
                      <w:rFonts w:hint="default" w:ascii="Times New Roman" w:hAnsi="Times New Roman" w:cs="Times New Roman"/>
                      <w:b w:val="0"/>
                      <w:bCs/>
                      <w:color w:val="auto"/>
                      <w:kern w:val="0"/>
                      <w:sz w:val="21"/>
                      <w:szCs w:val="21"/>
                      <w:highlight w:val="none"/>
                      <w:vertAlign w:val="superscript"/>
                    </w:rPr>
                    <w:t>3</w:t>
                  </w:r>
                </w:p>
              </w:tc>
              <w:tc>
                <w:tcPr>
                  <w:tcW w:w="838" w:type="pct"/>
                  <w:shd w:val="clear" w:color="auto" w:fill="auto"/>
                  <w:vAlign w:val="center"/>
                </w:tcPr>
                <w:p w14:paraId="5D7AD107">
                  <w:pPr>
                    <w:pStyle w:val="21"/>
                    <w:pageBreakBefore w:val="0"/>
                    <w:widowControl w:val="0"/>
                    <w:kinsoku/>
                    <w:overflowPunct/>
                    <w:topLinePunct w:val="0"/>
                    <w:bidi w:val="0"/>
                    <w:spacing w:line="240" w:lineRule="auto"/>
                    <w:ind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w:t>
                  </w:r>
                  <w:r>
                    <w:rPr>
                      <w:rFonts w:hint="eastAsia" w:cs="Times New Roman"/>
                      <w:color w:val="auto"/>
                      <w:kern w:val="0"/>
                      <w:sz w:val="21"/>
                      <w:szCs w:val="21"/>
                      <w:highlight w:val="none"/>
                      <w:lang w:val="en-US" w:eastAsia="zh-CN"/>
                    </w:rPr>
                    <w:t>100</w:t>
                  </w:r>
                  <w:r>
                    <w:rPr>
                      <w:rFonts w:hint="default" w:ascii="Times New Roman" w:hAnsi="Times New Roman" w:cs="Times New Roman"/>
                      <w:color w:val="auto"/>
                      <w:kern w:val="0"/>
                      <w:sz w:val="21"/>
                      <w:szCs w:val="21"/>
                      <w:highlight w:val="none"/>
                    </w:rPr>
                    <w:t>~0.1</w:t>
                  </w:r>
                  <w:r>
                    <w:rPr>
                      <w:rFonts w:hint="eastAsia" w:cs="Times New Roman"/>
                      <w:color w:val="auto"/>
                      <w:kern w:val="0"/>
                      <w:sz w:val="21"/>
                      <w:szCs w:val="21"/>
                      <w:highlight w:val="none"/>
                      <w:lang w:val="en-US" w:eastAsia="zh-CN"/>
                    </w:rPr>
                    <w:t>11</w:t>
                  </w:r>
                </w:p>
              </w:tc>
              <w:tc>
                <w:tcPr>
                  <w:tcW w:w="688" w:type="pct"/>
                  <w:shd w:val="clear" w:color="auto" w:fill="auto"/>
                  <w:vAlign w:val="center"/>
                </w:tcPr>
                <w:p w14:paraId="5425A299">
                  <w:pPr>
                    <w:pStyle w:val="21"/>
                    <w:pageBreakBefore w:val="0"/>
                    <w:widowControl w:val="0"/>
                    <w:kinsoku/>
                    <w:overflowPunct/>
                    <w:topLinePunct w:val="0"/>
                    <w:bidi w:val="0"/>
                    <w:spacing w:line="240" w:lineRule="auto"/>
                    <w:ind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55.6</w:t>
                  </w:r>
                </w:p>
              </w:tc>
              <w:tc>
                <w:tcPr>
                  <w:tcW w:w="445" w:type="pct"/>
                  <w:shd w:val="clear" w:color="auto" w:fill="auto"/>
                  <w:vAlign w:val="center"/>
                </w:tcPr>
                <w:p w14:paraId="6FE98B83">
                  <w:pPr>
                    <w:pageBreakBefore w:val="0"/>
                    <w:widowControl w:val="0"/>
                    <w:kinsoku/>
                    <w:overflowPunct/>
                    <w:topLinePunct w:val="0"/>
                    <w:bidi w:val="0"/>
                    <w:spacing w:line="240" w:lineRule="auto"/>
                    <w:jc w:val="center"/>
                    <w:textAlignment w:val="auto"/>
                    <w:outlineLvl w:val="9"/>
                    <w:rPr>
                      <w:rFonts w:hint="default" w:ascii="Times New Roman" w:hAnsi="Times New Roman" w:cs="Times New Roman"/>
                      <w:bCs/>
                      <w:color w:val="auto"/>
                      <w:kern w:val="0"/>
                      <w:sz w:val="21"/>
                      <w:szCs w:val="21"/>
                      <w:highlight w:val="none"/>
                    </w:rPr>
                  </w:pPr>
                  <w:r>
                    <w:rPr>
                      <w:rFonts w:hint="default" w:ascii="Times New Roman" w:hAnsi="Times New Roman" w:cs="Times New Roman"/>
                      <w:color w:val="auto"/>
                      <w:sz w:val="21"/>
                      <w:szCs w:val="21"/>
                      <w:highlight w:val="none"/>
                    </w:rPr>
                    <w:t>0</w:t>
                  </w:r>
                </w:p>
              </w:tc>
              <w:tc>
                <w:tcPr>
                  <w:tcW w:w="472" w:type="pct"/>
                  <w:shd w:val="clear" w:color="auto" w:fill="auto"/>
                  <w:vAlign w:val="center"/>
                </w:tcPr>
                <w:p w14:paraId="7B45AB1B">
                  <w:pPr>
                    <w:pageBreakBefore w:val="0"/>
                    <w:widowControl w:val="0"/>
                    <w:kinsoku/>
                    <w:overflowPunct/>
                    <w:topLinePunct w:val="0"/>
                    <w:bidi w:val="0"/>
                    <w:spacing w:line="240" w:lineRule="auto"/>
                    <w:jc w:val="center"/>
                    <w:textAlignment w:val="auto"/>
                    <w:outlineLvl w:val="9"/>
                    <w:rPr>
                      <w:rFonts w:hint="default" w:ascii="Times New Roman" w:hAnsi="Times New Roman" w:cs="Times New Roman"/>
                      <w:bCs/>
                      <w:color w:val="auto"/>
                      <w:kern w:val="0"/>
                      <w:sz w:val="21"/>
                      <w:szCs w:val="21"/>
                      <w:highlight w:val="none"/>
                    </w:rPr>
                  </w:pPr>
                  <w:r>
                    <w:rPr>
                      <w:rFonts w:hint="default" w:ascii="Times New Roman" w:hAnsi="Times New Roman" w:cs="Times New Roman"/>
                      <w:color w:val="auto"/>
                      <w:sz w:val="21"/>
                      <w:szCs w:val="21"/>
                      <w:highlight w:val="none"/>
                    </w:rPr>
                    <w:t>达标</w:t>
                  </w:r>
                </w:p>
              </w:tc>
            </w:tr>
            <w:tr w14:paraId="26F86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34" w:type="pct"/>
                  <w:vMerge w:val="continue"/>
                  <w:shd w:val="clear" w:color="auto" w:fill="auto"/>
                  <w:vAlign w:val="center"/>
                </w:tcPr>
                <w:p w14:paraId="4BDEACC2">
                  <w:pPr>
                    <w:pStyle w:val="21"/>
                    <w:pageBreakBefore w:val="0"/>
                    <w:widowControl w:val="0"/>
                    <w:kinsoku/>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highlight w:val="none"/>
                    </w:rPr>
                  </w:pPr>
                </w:p>
              </w:tc>
              <w:tc>
                <w:tcPr>
                  <w:tcW w:w="549" w:type="pct"/>
                  <w:shd w:val="clear" w:color="auto" w:fill="auto"/>
                  <w:vAlign w:val="center"/>
                </w:tcPr>
                <w:p w14:paraId="7F90D412">
                  <w:pPr>
                    <w:pStyle w:val="59"/>
                    <w:pageBreakBefore w:val="0"/>
                    <w:widowControl w:val="0"/>
                    <w:kinsoku/>
                    <w:overflowPunct/>
                    <w:topLinePunct w:val="0"/>
                    <w:bidi w:val="0"/>
                    <w:spacing w:before="46" w:after="46" w:line="240" w:lineRule="auto"/>
                    <w:textAlignment w:val="auto"/>
                    <w:outlineLvl w:val="9"/>
                    <w:rPr>
                      <w:rFonts w:hint="default" w:ascii="Times New Roman" w:hAnsi="Times New Roman" w:eastAsia="宋体" w:cs="Times New Roman"/>
                      <w:bCs/>
                      <w:color w:val="auto"/>
                      <w:sz w:val="21"/>
                      <w:highlight w:val="none"/>
                      <w:lang w:val="en-US" w:eastAsia="zh-CN"/>
                    </w:rPr>
                  </w:pPr>
                  <w:r>
                    <w:rPr>
                      <w:rFonts w:hint="eastAsia" w:cs="Times New Roman"/>
                      <w:bCs/>
                      <w:color w:val="auto"/>
                      <w:sz w:val="21"/>
                      <w:highlight w:val="none"/>
                      <w:lang w:val="en-US" w:eastAsia="zh-CN"/>
                    </w:rPr>
                    <w:t>非甲烷总烃</w:t>
                  </w:r>
                </w:p>
              </w:tc>
              <w:tc>
                <w:tcPr>
                  <w:tcW w:w="566" w:type="pct"/>
                  <w:shd w:val="clear" w:color="auto" w:fill="auto"/>
                  <w:vAlign w:val="center"/>
                </w:tcPr>
                <w:p w14:paraId="1BBE4858">
                  <w:pPr>
                    <w:pStyle w:val="59"/>
                    <w:pageBreakBefore w:val="0"/>
                    <w:widowControl w:val="0"/>
                    <w:kinsoku/>
                    <w:overflowPunct/>
                    <w:topLinePunct w:val="0"/>
                    <w:bidi w:val="0"/>
                    <w:spacing w:before="46" w:after="46" w:line="240" w:lineRule="auto"/>
                    <w:textAlignment w:val="auto"/>
                    <w:outlineLvl w:val="9"/>
                    <w:rPr>
                      <w:rFonts w:hint="default" w:ascii="Times New Roman" w:hAnsi="Times New Roman" w:eastAsia="宋体" w:cs="Times New Roman"/>
                      <w:bCs/>
                      <w:color w:val="auto"/>
                      <w:sz w:val="21"/>
                      <w:highlight w:val="none"/>
                      <w:lang w:val="en-US" w:eastAsia="zh-CN"/>
                    </w:rPr>
                  </w:pPr>
                  <w:r>
                    <w:rPr>
                      <w:rFonts w:hint="eastAsia" w:cs="Times New Roman"/>
                      <w:bCs/>
                      <w:color w:val="auto"/>
                      <w:sz w:val="21"/>
                      <w:highlight w:val="none"/>
                      <w:lang w:val="en-US" w:eastAsia="zh-CN"/>
                    </w:rPr>
                    <w:t>小时值</w:t>
                  </w:r>
                </w:p>
              </w:tc>
              <w:tc>
                <w:tcPr>
                  <w:tcW w:w="705" w:type="pct"/>
                  <w:shd w:val="clear" w:color="auto" w:fill="auto"/>
                  <w:vAlign w:val="center"/>
                </w:tcPr>
                <w:p w14:paraId="22695325">
                  <w:pPr>
                    <w:pStyle w:val="59"/>
                    <w:pageBreakBefore w:val="0"/>
                    <w:widowControl w:val="0"/>
                    <w:kinsoku/>
                    <w:overflowPunct/>
                    <w:topLinePunct w:val="0"/>
                    <w:bidi w:val="0"/>
                    <w:spacing w:before="46" w:after="46" w:line="240" w:lineRule="auto"/>
                    <w:textAlignment w:val="auto"/>
                    <w:outlineLvl w:val="9"/>
                    <w:rPr>
                      <w:rFonts w:hint="default" w:ascii="Times New Roman" w:hAnsi="Times New Roman" w:eastAsia="宋体" w:cs="Times New Roman"/>
                      <w:bCs/>
                      <w:color w:val="auto"/>
                      <w:sz w:val="21"/>
                      <w:highlight w:val="none"/>
                      <w:lang w:val="en-US" w:eastAsia="zh-CN"/>
                    </w:rPr>
                  </w:pPr>
                  <w:r>
                    <w:rPr>
                      <w:rFonts w:hint="eastAsia" w:cs="Times New Roman"/>
                      <w:bCs/>
                      <w:color w:val="auto"/>
                      <w:sz w:val="21"/>
                      <w:highlight w:val="none"/>
                      <w:lang w:val="en-US" w:eastAsia="zh-CN"/>
                    </w:rPr>
                    <w:t>2.0mg/</w:t>
                  </w:r>
                  <w:r>
                    <w:rPr>
                      <w:rFonts w:hint="default" w:ascii="Times New Roman" w:hAnsi="Times New Roman" w:cs="Times New Roman"/>
                      <w:b w:val="0"/>
                      <w:bCs/>
                      <w:color w:val="auto"/>
                      <w:kern w:val="0"/>
                      <w:sz w:val="21"/>
                      <w:szCs w:val="21"/>
                      <w:highlight w:val="none"/>
                    </w:rPr>
                    <w:t>m</w:t>
                  </w:r>
                  <w:r>
                    <w:rPr>
                      <w:rFonts w:hint="default" w:ascii="Times New Roman" w:hAnsi="Times New Roman" w:cs="Times New Roman"/>
                      <w:b w:val="0"/>
                      <w:bCs/>
                      <w:color w:val="auto"/>
                      <w:kern w:val="0"/>
                      <w:sz w:val="21"/>
                      <w:szCs w:val="21"/>
                      <w:highlight w:val="none"/>
                      <w:vertAlign w:val="superscript"/>
                    </w:rPr>
                    <w:t>3</w:t>
                  </w:r>
                </w:p>
              </w:tc>
              <w:tc>
                <w:tcPr>
                  <w:tcW w:w="838" w:type="pct"/>
                  <w:shd w:val="clear" w:color="auto" w:fill="auto"/>
                  <w:vAlign w:val="center"/>
                </w:tcPr>
                <w:p w14:paraId="2BEA7ADD">
                  <w:pPr>
                    <w:pStyle w:val="21"/>
                    <w:pageBreakBefore w:val="0"/>
                    <w:widowControl w:val="0"/>
                    <w:kinsoku/>
                    <w:overflowPunct/>
                    <w:topLinePunct w:val="0"/>
                    <w:bidi w:val="0"/>
                    <w:spacing w:line="240" w:lineRule="auto"/>
                    <w:ind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0.812~0.972</w:t>
                  </w:r>
                </w:p>
              </w:tc>
              <w:tc>
                <w:tcPr>
                  <w:tcW w:w="688" w:type="pct"/>
                  <w:shd w:val="clear" w:color="auto" w:fill="auto"/>
                  <w:vAlign w:val="center"/>
                </w:tcPr>
                <w:p w14:paraId="51978BDC">
                  <w:pPr>
                    <w:pStyle w:val="21"/>
                    <w:pageBreakBefore w:val="0"/>
                    <w:widowControl w:val="0"/>
                    <w:kinsoku/>
                    <w:overflowPunct/>
                    <w:topLinePunct w:val="0"/>
                    <w:bidi w:val="0"/>
                    <w:spacing w:line="240" w:lineRule="auto"/>
                    <w:ind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48.6</w:t>
                  </w:r>
                </w:p>
              </w:tc>
              <w:tc>
                <w:tcPr>
                  <w:tcW w:w="445" w:type="pct"/>
                  <w:shd w:val="clear" w:color="auto" w:fill="auto"/>
                  <w:vAlign w:val="center"/>
                </w:tcPr>
                <w:p w14:paraId="0F25D6EB">
                  <w:pPr>
                    <w:pageBreakBefore w:val="0"/>
                    <w:widowControl w:val="0"/>
                    <w:kinsoku/>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472" w:type="pct"/>
                  <w:shd w:val="clear" w:color="auto" w:fill="auto"/>
                  <w:vAlign w:val="center"/>
                </w:tcPr>
                <w:p w14:paraId="5B4EFE94">
                  <w:pPr>
                    <w:pageBreakBefore w:val="0"/>
                    <w:widowControl w:val="0"/>
                    <w:kinsoku/>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14:paraId="41FD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34" w:type="pct"/>
                  <w:vMerge w:val="continue"/>
                  <w:shd w:val="clear" w:color="auto" w:fill="auto"/>
                  <w:vAlign w:val="center"/>
                </w:tcPr>
                <w:p w14:paraId="6953BAE8">
                  <w:pPr>
                    <w:pStyle w:val="21"/>
                    <w:pageBreakBefore w:val="0"/>
                    <w:widowControl w:val="0"/>
                    <w:kinsoku/>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highlight w:val="none"/>
                    </w:rPr>
                  </w:pPr>
                </w:p>
              </w:tc>
              <w:tc>
                <w:tcPr>
                  <w:tcW w:w="549" w:type="pct"/>
                  <w:shd w:val="clear" w:color="auto" w:fill="auto"/>
                  <w:vAlign w:val="center"/>
                </w:tcPr>
                <w:p w14:paraId="04C377A0">
                  <w:pPr>
                    <w:pStyle w:val="59"/>
                    <w:pageBreakBefore w:val="0"/>
                    <w:widowControl w:val="0"/>
                    <w:kinsoku/>
                    <w:overflowPunct/>
                    <w:topLinePunct w:val="0"/>
                    <w:bidi w:val="0"/>
                    <w:spacing w:before="46" w:after="46" w:line="240" w:lineRule="auto"/>
                    <w:textAlignment w:val="auto"/>
                    <w:outlineLvl w:val="9"/>
                    <w:rPr>
                      <w:rFonts w:hint="default" w:cs="Times New Roman"/>
                      <w:bCs/>
                      <w:color w:val="auto"/>
                      <w:sz w:val="21"/>
                      <w:highlight w:val="none"/>
                      <w:lang w:val="en-US" w:eastAsia="zh-CN"/>
                    </w:rPr>
                  </w:pPr>
                  <w:r>
                    <w:rPr>
                      <w:rFonts w:hint="eastAsia" w:cs="Times New Roman"/>
                      <w:bCs/>
                      <w:color w:val="auto"/>
                      <w:sz w:val="21"/>
                      <w:highlight w:val="none"/>
                      <w:lang w:val="en-US" w:eastAsia="zh-CN"/>
                    </w:rPr>
                    <w:t>二甲苯</w:t>
                  </w:r>
                </w:p>
              </w:tc>
              <w:tc>
                <w:tcPr>
                  <w:tcW w:w="566" w:type="pct"/>
                  <w:shd w:val="clear" w:color="auto" w:fill="auto"/>
                  <w:vAlign w:val="center"/>
                </w:tcPr>
                <w:p w14:paraId="7EA3018C">
                  <w:pPr>
                    <w:pStyle w:val="59"/>
                    <w:pageBreakBefore w:val="0"/>
                    <w:widowControl w:val="0"/>
                    <w:kinsoku/>
                    <w:overflowPunct/>
                    <w:topLinePunct w:val="0"/>
                    <w:bidi w:val="0"/>
                    <w:spacing w:before="46" w:after="46" w:line="240" w:lineRule="auto"/>
                    <w:textAlignment w:val="auto"/>
                    <w:outlineLvl w:val="9"/>
                    <w:rPr>
                      <w:rFonts w:hint="eastAsia" w:cs="Times New Roman"/>
                      <w:bCs/>
                      <w:color w:val="auto"/>
                      <w:sz w:val="21"/>
                      <w:highlight w:val="none"/>
                      <w:lang w:val="en-US" w:eastAsia="zh-CN"/>
                    </w:rPr>
                  </w:pPr>
                  <w:r>
                    <w:rPr>
                      <w:rFonts w:hint="eastAsia" w:cs="Times New Roman"/>
                      <w:bCs/>
                      <w:color w:val="auto"/>
                      <w:sz w:val="21"/>
                      <w:highlight w:val="none"/>
                      <w:lang w:val="en-US" w:eastAsia="zh-CN"/>
                    </w:rPr>
                    <w:t>小时值</w:t>
                  </w:r>
                </w:p>
              </w:tc>
              <w:tc>
                <w:tcPr>
                  <w:tcW w:w="705" w:type="pct"/>
                  <w:shd w:val="clear" w:color="auto" w:fill="auto"/>
                  <w:vAlign w:val="center"/>
                </w:tcPr>
                <w:p w14:paraId="417718A5">
                  <w:pPr>
                    <w:pStyle w:val="59"/>
                    <w:pageBreakBefore w:val="0"/>
                    <w:widowControl w:val="0"/>
                    <w:kinsoku/>
                    <w:overflowPunct/>
                    <w:topLinePunct w:val="0"/>
                    <w:bidi w:val="0"/>
                    <w:spacing w:before="46" w:after="46" w:line="240" w:lineRule="auto"/>
                    <w:textAlignment w:val="auto"/>
                    <w:outlineLvl w:val="9"/>
                    <w:rPr>
                      <w:rFonts w:hint="eastAsia" w:cs="Times New Roman"/>
                      <w:bCs/>
                      <w:color w:val="auto"/>
                      <w:sz w:val="21"/>
                      <w:highlight w:val="none"/>
                      <w:lang w:val="en-US" w:eastAsia="zh-CN"/>
                    </w:rPr>
                  </w:pPr>
                  <w:r>
                    <w:rPr>
                      <w:rFonts w:hint="eastAsia" w:cs="Times New Roman"/>
                      <w:bCs/>
                      <w:color w:val="auto"/>
                      <w:sz w:val="21"/>
                      <w:highlight w:val="none"/>
                      <w:lang w:val="en-US" w:eastAsia="zh-CN"/>
                    </w:rPr>
                    <w:t>0.2m</w:t>
                  </w:r>
                  <w:r>
                    <w:rPr>
                      <w:rFonts w:hint="default" w:ascii="Times New Roman" w:hAnsi="Times New Roman" w:cs="Times New Roman"/>
                      <w:b w:val="0"/>
                      <w:bCs/>
                      <w:color w:val="auto"/>
                      <w:kern w:val="0"/>
                      <w:sz w:val="21"/>
                      <w:szCs w:val="21"/>
                      <w:highlight w:val="none"/>
                    </w:rPr>
                    <w:t>g/m</w:t>
                  </w:r>
                  <w:r>
                    <w:rPr>
                      <w:rFonts w:hint="default" w:ascii="Times New Roman" w:hAnsi="Times New Roman" w:cs="Times New Roman"/>
                      <w:b w:val="0"/>
                      <w:bCs/>
                      <w:color w:val="auto"/>
                      <w:kern w:val="0"/>
                      <w:sz w:val="21"/>
                      <w:szCs w:val="21"/>
                      <w:highlight w:val="none"/>
                      <w:vertAlign w:val="superscript"/>
                    </w:rPr>
                    <w:t>3</w:t>
                  </w:r>
                </w:p>
              </w:tc>
              <w:tc>
                <w:tcPr>
                  <w:tcW w:w="838" w:type="pct"/>
                  <w:shd w:val="clear" w:color="auto" w:fill="auto"/>
                  <w:vAlign w:val="center"/>
                </w:tcPr>
                <w:p w14:paraId="176C8BFB">
                  <w:pPr>
                    <w:pStyle w:val="21"/>
                    <w:pageBreakBefore w:val="0"/>
                    <w:widowControl w:val="0"/>
                    <w:kinsoku/>
                    <w:overflowPunct/>
                    <w:topLinePunct w:val="0"/>
                    <w:bidi w:val="0"/>
                    <w:spacing w:line="240" w:lineRule="auto"/>
                    <w:ind w:firstLine="0" w:firstLineChars="0"/>
                    <w:jc w:val="center"/>
                    <w:textAlignment w:val="auto"/>
                    <w:outlineLvl w:val="9"/>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&lt;0.5×10</w:t>
                  </w:r>
                  <w:r>
                    <w:rPr>
                      <w:rFonts w:hint="eastAsia" w:cs="Times New Roman"/>
                      <w:color w:val="auto"/>
                      <w:kern w:val="0"/>
                      <w:sz w:val="21"/>
                      <w:szCs w:val="21"/>
                      <w:highlight w:val="none"/>
                      <w:vertAlign w:val="superscript"/>
                      <w:lang w:val="en-US" w:eastAsia="zh-CN"/>
                    </w:rPr>
                    <w:t>-4</w:t>
                  </w:r>
                </w:p>
              </w:tc>
              <w:tc>
                <w:tcPr>
                  <w:tcW w:w="688" w:type="pct"/>
                  <w:shd w:val="clear" w:color="auto" w:fill="auto"/>
                  <w:vAlign w:val="center"/>
                </w:tcPr>
                <w:p w14:paraId="20185A9D">
                  <w:pPr>
                    <w:pStyle w:val="21"/>
                    <w:pageBreakBefore w:val="0"/>
                    <w:widowControl w:val="0"/>
                    <w:kinsoku/>
                    <w:overflowPunct/>
                    <w:topLinePunct w:val="0"/>
                    <w:bidi w:val="0"/>
                    <w:spacing w:line="240" w:lineRule="auto"/>
                    <w:ind w:firstLine="0" w:firstLineChars="0"/>
                    <w:jc w:val="center"/>
                    <w:textAlignment w:val="auto"/>
                    <w:outlineLvl w:val="9"/>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0.0025</w:t>
                  </w:r>
                </w:p>
              </w:tc>
              <w:tc>
                <w:tcPr>
                  <w:tcW w:w="445" w:type="pct"/>
                  <w:shd w:val="clear" w:color="auto" w:fill="auto"/>
                  <w:vAlign w:val="center"/>
                </w:tcPr>
                <w:p w14:paraId="0BA3B6F4">
                  <w:pPr>
                    <w:pageBreakBefore w:val="0"/>
                    <w:widowControl w:val="0"/>
                    <w:kinsoku/>
                    <w:overflowPunct/>
                    <w:topLinePunct w:val="0"/>
                    <w:bidi w:val="0"/>
                    <w:spacing w:line="240" w:lineRule="auto"/>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472" w:type="pct"/>
                  <w:shd w:val="clear" w:color="auto" w:fill="auto"/>
                  <w:vAlign w:val="center"/>
                </w:tcPr>
                <w:p w14:paraId="5F464F64">
                  <w:pPr>
                    <w:pageBreakBefore w:val="0"/>
                    <w:widowControl w:val="0"/>
                    <w:kinsoku/>
                    <w:overflowPunct/>
                    <w:topLinePunct w:val="0"/>
                    <w:bidi w:val="0"/>
                    <w:spacing w:line="240" w:lineRule="auto"/>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14:paraId="3A644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34" w:type="pct"/>
                  <w:vMerge w:val="continue"/>
                  <w:shd w:val="clear" w:color="auto" w:fill="auto"/>
                  <w:vAlign w:val="center"/>
                </w:tcPr>
                <w:p w14:paraId="18763316">
                  <w:pPr>
                    <w:pStyle w:val="21"/>
                    <w:pageBreakBefore w:val="0"/>
                    <w:widowControl w:val="0"/>
                    <w:kinsoku/>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highlight w:val="none"/>
                    </w:rPr>
                  </w:pPr>
                </w:p>
              </w:tc>
              <w:tc>
                <w:tcPr>
                  <w:tcW w:w="549" w:type="pct"/>
                  <w:shd w:val="clear" w:color="auto" w:fill="auto"/>
                  <w:vAlign w:val="center"/>
                </w:tcPr>
                <w:p w14:paraId="487330D1">
                  <w:pPr>
                    <w:pStyle w:val="59"/>
                    <w:pageBreakBefore w:val="0"/>
                    <w:widowControl w:val="0"/>
                    <w:kinsoku/>
                    <w:overflowPunct/>
                    <w:topLinePunct w:val="0"/>
                    <w:bidi w:val="0"/>
                    <w:spacing w:before="46" w:after="46" w:line="240" w:lineRule="auto"/>
                    <w:textAlignment w:val="auto"/>
                    <w:outlineLvl w:val="9"/>
                    <w:rPr>
                      <w:rFonts w:hint="default" w:cs="Times New Roman"/>
                      <w:bCs/>
                      <w:color w:val="auto"/>
                      <w:sz w:val="21"/>
                      <w:highlight w:val="none"/>
                      <w:lang w:val="en-US" w:eastAsia="zh-CN"/>
                    </w:rPr>
                  </w:pPr>
                  <w:r>
                    <w:rPr>
                      <w:rFonts w:hint="eastAsia" w:cs="Times New Roman"/>
                      <w:bCs/>
                      <w:color w:val="auto"/>
                      <w:sz w:val="21"/>
                      <w:highlight w:val="none"/>
                      <w:lang w:val="en-US" w:eastAsia="zh-CN"/>
                    </w:rPr>
                    <w:t>臭气浓度</w:t>
                  </w:r>
                </w:p>
              </w:tc>
              <w:tc>
                <w:tcPr>
                  <w:tcW w:w="566" w:type="pct"/>
                  <w:shd w:val="clear" w:color="auto" w:fill="auto"/>
                  <w:vAlign w:val="center"/>
                </w:tcPr>
                <w:p w14:paraId="631E935F">
                  <w:pPr>
                    <w:pStyle w:val="59"/>
                    <w:pageBreakBefore w:val="0"/>
                    <w:widowControl w:val="0"/>
                    <w:kinsoku/>
                    <w:overflowPunct/>
                    <w:topLinePunct w:val="0"/>
                    <w:bidi w:val="0"/>
                    <w:spacing w:before="46" w:after="46" w:line="240" w:lineRule="auto"/>
                    <w:textAlignment w:val="auto"/>
                    <w:outlineLvl w:val="9"/>
                    <w:rPr>
                      <w:rFonts w:hint="default" w:cs="Times New Roman"/>
                      <w:bCs/>
                      <w:color w:val="auto"/>
                      <w:sz w:val="21"/>
                      <w:highlight w:val="none"/>
                      <w:lang w:val="en-US" w:eastAsia="zh-CN"/>
                    </w:rPr>
                  </w:pPr>
                  <w:r>
                    <w:rPr>
                      <w:rFonts w:hint="eastAsia" w:cs="Times New Roman"/>
                      <w:bCs/>
                      <w:color w:val="auto"/>
                      <w:sz w:val="21"/>
                      <w:highlight w:val="none"/>
                      <w:lang w:val="en-US" w:eastAsia="zh-CN"/>
                    </w:rPr>
                    <w:t>小时值</w:t>
                  </w:r>
                </w:p>
              </w:tc>
              <w:tc>
                <w:tcPr>
                  <w:tcW w:w="705" w:type="pct"/>
                  <w:shd w:val="clear" w:color="auto" w:fill="auto"/>
                  <w:vAlign w:val="center"/>
                </w:tcPr>
                <w:p w14:paraId="37EDE07A">
                  <w:pPr>
                    <w:pStyle w:val="59"/>
                    <w:pageBreakBefore w:val="0"/>
                    <w:widowControl w:val="0"/>
                    <w:kinsoku/>
                    <w:overflowPunct/>
                    <w:topLinePunct w:val="0"/>
                    <w:bidi w:val="0"/>
                    <w:spacing w:before="46" w:after="46" w:line="240" w:lineRule="auto"/>
                    <w:textAlignment w:val="auto"/>
                    <w:outlineLvl w:val="9"/>
                    <w:rPr>
                      <w:rFonts w:hint="default" w:cs="Times New Roman"/>
                      <w:bCs/>
                      <w:color w:val="auto"/>
                      <w:sz w:val="21"/>
                      <w:highlight w:val="none"/>
                      <w:lang w:val="en-US" w:eastAsia="zh-CN"/>
                    </w:rPr>
                  </w:pPr>
                  <w:r>
                    <w:rPr>
                      <w:rFonts w:hint="eastAsia" w:cs="Times New Roman"/>
                      <w:bCs/>
                      <w:color w:val="auto"/>
                      <w:sz w:val="21"/>
                      <w:highlight w:val="none"/>
                      <w:lang w:val="en-US" w:eastAsia="zh-CN"/>
                    </w:rPr>
                    <w:t>/</w:t>
                  </w:r>
                </w:p>
              </w:tc>
              <w:tc>
                <w:tcPr>
                  <w:tcW w:w="838" w:type="pct"/>
                  <w:shd w:val="clear" w:color="auto" w:fill="auto"/>
                  <w:vAlign w:val="center"/>
                </w:tcPr>
                <w:p w14:paraId="684B3093">
                  <w:pPr>
                    <w:pStyle w:val="21"/>
                    <w:pageBreakBefore w:val="0"/>
                    <w:widowControl w:val="0"/>
                    <w:kinsoku/>
                    <w:overflowPunct/>
                    <w:topLinePunct w:val="0"/>
                    <w:bidi w:val="0"/>
                    <w:spacing w:line="240" w:lineRule="auto"/>
                    <w:ind w:firstLine="0" w:firstLineChars="0"/>
                    <w:jc w:val="center"/>
                    <w:textAlignment w:val="auto"/>
                    <w:outlineLvl w:val="9"/>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w:t>
                  </w:r>
                </w:p>
              </w:tc>
              <w:tc>
                <w:tcPr>
                  <w:tcW w:w="688" w:type="pct"/>
                  <w:shd w:val="clear" w:color="auto" w:fill="auto"/>
                  <w:vAlign w:val="center"/>
                </w:tcPr>
                <w:p w14:paraId="38339F1B">
                  <w:pPr>
                    <w:pStyle w:val="21"/>
                    <w:pageBreakBefore w:val="0"/>
                    <w:widowControl w:val="0"/>
                    <w:kinsoku/>
                    <w:overflowPunct/>
                    <w:topLinePunct w:val="0"/>
                    <w:bidi w:val="0"/>
                    <w:spacing w:line="240" w:lineRule="auto"/>
                    <w:ind w:firstLine="0" w:firstLineChars="0"/>
                    <w:jc w:val="center"/>
                    <w:textAlignment w:val="auto"/>
                    <w:outlineLvl w:val="9"/>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445" w:type="pct"/>
                  <w:shd w:val="clear" w:color="auto" w:fill="auto"/>
                  <w:vAlign w:val="center"/>
                </w:tcPr>
                <w:p w14:paraId="0570CF02">
                  <w:pPr>
                    <w:pageBreakBefore w:val="0"/>
                    <w:widowControl w:val="0"/>
                    <w:kinsoku/>
                    <w:overflowPunct/>
                    <w:topLinePunct w:val="0"/>
                    <w:bidi w:val="0"/>
                    <w:spacing w:line="240" w:lineRule="auto"/>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72" w:type="pct"/>
                  <w:shd w:val="clear" w:color="auto" w:fill="auto"/>
                  <w:vAlign w:val="center"/>
                </w:tcPr>
                <w:p w14:paraId="53E50544">
                  <w:pPr>
                    <w:pageBreakBefore w:val="0"/>
                    <w:widowControl w:val="0"/>
                    <w:kinsoku/>
                    <w:overflowPunct/>
                    <w:topLinePunct w:val="0"/>
                    <w:bidi w:val="0"/>
                    <w:spacing w:line="240" w:lineRule="auto"/>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bl>
          <w:p w14:paraId="1A00C1BC">
            <w:pPr>
              <w:pageBreakBefore w:val="0"/>
              <w:widowControl w:val="0"/>
              <w:kinsoku/>
              <w:wordWrap w:val="0"/>
              <w:overflowPunct/>
              <w:topLinePunct w:val="0"/>
              <w:bidi w:val="0"/>
              <w:ind w:firstLine="480" w:firstLineChars="200"/>
              <w:textAlignment w:val="auto"/>
              <w:outlineLvl w:val="9"/>
              <w:rPr>
                <w:rFonts w:hint="default" w:ascii="Times New Roman" w:hAnsi="Times New Roman" w:cs="Times New Roman"/>
                <w:color w:val="auto"/>
                <w:highlight w:val="none"/>
              </w:rPr>
            </w:pPr>
            <w:r>
              <w:rPr>
                <w:rFonts w:hint="default" w:ascii="Times New Roman" w:hAnsi="Times New Roman" w:cs="Times New Roman"/>
                <w:bCs/>
                <w:color w:val="auto"/>
                <w:szCs w:val="22"/>
                <w:highlight w:val="none"/>
              </w:rPr>
              <w:t>监测结果表明，项目周围区域空气中，特征污染物TSP</w:t>
            </w:r>
            <w:r>
              <w:rPr>
                <w:rFonts w:hint="eastAsia" w:cs="Times New Roman"/>
                <w:bCs/>
                <w:color w:val="auto"/>
                <w:szCs w:val="22"/>
                <w:highlight w:val="none"/>
                <w:lang w:val="en-US" w:eastAsia="zh-CN"/>
              </w:rPr>
              <w:t>相应</w:t>
            </w:r>
            <w:r>
              <w:rPr>
                <w:rFonts w:hint="default" w:ascii="Times New Roman" w:hAnsi="Times New Roman" w:cs="Times New Roman"/>
                <w:bCs/>
                <w:color w:val="auto"/>
                <w:szCs w:val="22"/>
                <w:highlight w:val="none"/>
              </w:rPr>
              <w:t>浓度可达到</w:t>
            </w:r>
            <w:r>
              <w:rPr>
                <w:rFonts w:hint="default" w:ascii="Times New Roman" w:hAnsi="Times New Roman" w:cs="Times New Roman"/>
                <w:color w:val="auto"/>
                <w:highlight w:val="none"/>
              </w:rPr>
              <w:t>《环境空气质量标准》（GB3095-20</w:t>
            </w:r>
            <w:r>
              <w:rPr>
                <w:rFonts w:hint="eastAsia" w:ascii="Times New Roman" w:cs="Times New Roman"/>
                <w:color w:val="auto"/>
                <w:highlight w:val="none"/>
                <w:lang w:val="en-US" w:eastAsia="zh-CN"/>
              </w:rPr>
              <w:t>26</w:t>
            </w:r>
            <w:r>
              <w:rPr>
                <w:rFonts w:hint="default" w:ascii="Times New Roman" w:hAnsi="Times New Roman" w:cs="Times New Roman"/>
                <w:color w:val="auto"/>
                <w:highlight w:val="none"/>
              </w:rPr>
              <w:t>）</w:t>
            </w:r>
            <w:r>
              <w:rPr>
                <w:rFonts w:hint="eastAsia" w:ascii="Times New Roman" w:cs="Times New Roman"/>
                <w:color w:val="auto"/>
                <w:highlight w:val="none"/>
                <w:lang w:val="en-US" w:eastAsia="zh-CN"/>
              </w:rPr>
              <w:t>过渡阶段浓度限值二级标准</w:t>
            </w:r>
            <w:r>
              <w:rPr>
                <w:rFonts w:hint="default" w:ascii="Times New Roman" w:hAnsi="Times New Roman" w:cs="Times New Roman"/>
                <w:bCs/>
                <w:color w:val="auto"/>
                <w:szCs w:val="22"/>
                <w:highlight w:val="none"/>
              </w:rPr>
              <w:t>要求。非甲烷总烃</w:t>
            </w:r>
            <w:r>
              <w:rPr>
                <w:rFonts w:hint="eastAsia" w:cs="Times New Roman"/>
                <w:bCs/>
                <w:color w:val="auto"/>
                <w:szCs w:val="22"/>
                <w:highlight w:val="none"/>
                <w:lang w:val="en-US" w:eastAsia="zh-CN"/>
              </w:rPr>
              <w:t>可达到《大气污染物综合排放标准详解》（1997）要求</w:t>
            </w:r>
            <w:r>
              <w:rPr>
                <w:rFonts w:hint="default" w:ascii="Times New Roman" w:hAnsi="Times New Roman" w:cs="Times New Roman"/>
                <w:bCs/>
                <w:color w:val="auto"/>
                <w:szCs w:val="22"/>
                <w:highlight w:val="none"/>
              </w:rPr>
              <w:t>。</w:t>
            </w:r>
            <w:r>
              <w:rPr>
                <w:rFonts w:hint="default" w:ascii="Times New Roman" w:hAnsi="Times New Roman" w:eastAsia="宋体" w:cs="Times New Roman"/>
                <w:bCs/>
                <w:color w:val="auto"/>
                <w:sz w:val="24"/>
                <w:szCs w:val="22"/>
                <w:highlight w:val="none"/>
              </w:rPr>
              <w:t>二甲苯</w:t>
            </w:r>
            <w:r>
              <w:rPr>
                <w:rFonts w:hint="eastAsia" w:cs="Times New Roman"/>
                <w:bCs/>
                <w:color w:val="auto"/>
                <w:sz w:val="24"/>
                <w:szCs w:val="22"/>
                <w:highlight w:val="none"/>
                <w:lang w:eastAsia="zh-CN"/>
              </w:rPr>
              <w:t>（</w:t>
            </w:r>
            <w:r>
              <w:rPr>
                <w:rFonts w:hint="eastAsia" w:cs="Times New Roman"/>
                <w:bCs/>
                <w:color w:val="auto"/>
                <w:sz w:val="24"/>
                <w:szCs w:val="22"/>
                <w:highlight w:val="none"/>
                <w:lang w:val="en-US" w:eastAsia="zh-CN"/>
              </w:rPr>
              <w:t>苯系物</w:t>
            </w:r>
            <w:r>
              <w:rPr>
                <w:rFonts w:hint="eastAsia" w:cs="Times New Roman"/>
                <w:bCs/>
                <w:color w:val="auto"/>
                <w:sz w:val="24"/>
                <w:szCs w:val="22"/>
                <w:highlight w:val="none"/>
                <w:lang w:eastAsia="zh-CN"/>
              </w:rPr>
              <w:t>）</w:t>
            </w:r>
            <w:r>
              <w:rPr>
                <w:rFonts w:hint="eastAsia" w:ascii="Times New Roman" w:hAnsi="Times New Roman" w:eastAsia="宋体" w:cs="Times New Roman"/>
                <w:bCs/>
                <w:color w:val="auto"/>
                <w:sz w:val="24"/>
                <w:szCs w:val="22"/>
                <w:highlight w:val="none"/>
                <w:lang w:val="en-US" w:eastAsia="zh-CN"/>
              </w:rPr>
              <w:t>监测浓度可满足</w:t>
            </w:r>
            <w:r>
              <w:rPr>
                <w:rFonts w:hint="default" w:ascii="Times New Roman" w:hAnsi="Times New Roman" w:eastAsia="宋体" w:cs="Times New Roman"/>
                <w:bCs/>
                <w:color w:val="auto"/>
                <w:sz w:val="24"/>
                <w:szCs w:val="22"/>
                <w:highlight w:val="none"/>
              </w:rPr>
              <w:t>《环境影响评价技术导则 大气环境》(HJ2.2-2018)附录D 表D.1其它污染物空气质量浓度参考限值</w:t>
            </w:r>
            <w:r>
              <w:rPr>
                <w:rFonts w:hint="eastAsia" w:ascii="Times New Roman" w:hAnsi="Times New Roman" w:eastAsia="宋体" w:cs="Times New Roman"/>
                <w:bCs/>
                <w:color w:val="auto"/>
                <w:sz w:val="24"/>
                <w:szCs w:val="22"/>
                <w:highlight w:val="none"/>
                <w:lang w:eastAsia="zh-CN"/>
              </w:rPr>
              <w:t>。</w:t>
            </w:r>
          </w:p>
          <w:p w14:paraId="003BF0B0">
            <w:pPr>
              <w:pageBreakBefore w:val="0"/>
              <w:widowControl w:val="0"/>
              <w:numPr>
                <w:ilvl w:val="2"/>
                <w:numId w:val="0"/>
              </w:numPr>
              <w:tabs>
                <w:tab w:val="left" w:pos="420"/>
              </w:tabs>
              <w:kinsoku/>
              <w:wordWrap w:val="0"/>
              <w:overflowPunct/>
              <w:topLinePunct w:val="0"/>
              <w:bidi w:val="0"/>
              <w:ind w:left="-2" w:firstLine="482"/>
              <w:textAlignment w:val="auto"/>
              <w:outlineLvl w:val="9"/>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二、水环境质量现状</w:t>
            </w:r>
          </w:p>
          <w:p w14:paraId="4EEB2B84">
            <w:pPr>
              <w:pageBreakBefore w:val="0"/>
              <w:wordWrap w:val="0"/>
              <w:overflowPunct/>
              <w:autoSpaceDE w:val="0"/>
              <w:autoSpaceDN w:val="0"/>
              <w:bidi w:val="0"/>
              <w:adjustRightInd w:val="0"/>
              <w:ind w:firstLine="480" w:firstLineChars="20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根据《广东省地表水环境功能区划》（粤环</w:t>
            </w:r>
            <w:r>
              <w:rPr>
                <w:color w:val="auto"/>
                <w:kern w:val="0"/>
                <w:highlight w:val="none"/>
              </w:rPr>
              <w:t>〔201</w:t>
            </w:r>
            <w:r>
              <w:rPr>
                <w:rFonts w:hint="eastAsia"/>
                <w:color w:val="auto"/>
                <w:kern w:val="0"/>
                <w:highlight w:val="none"/>
                <w:lang w:val="en-US" w:eastAsia="zh-CN"/>
              </w:rPr>
              <w:t>1</w:t>
            </w:r>
            <w:r>
              <w:rPr>
                <w:color w:val="auto"/>
                <w:kern w:val="0"/>
                <w:highlight w:val="none"/>
              </w:rPr>
              <w:t>〕</w:t>
            </w:r>
            <w:r>
              <w:rPr>
                <w:rFonts w:hint="default" w:ascii="Times New Roman" w:hAnsi="Times New Roman" w:cs="Times New Roman"/>
                <w:color w:val="auto"/>
                <w:highlight w:val="none"/>
              </w:rPr>
              <w:t>14号）</w:t>
            </w:r>
            <w:r>
              <w:rPr>
                <w:rFonts w:hint="eastAsia" w:cs="Times New Roman"/>
                <w:color w:val="auto"/>
                <w:highlight w:val="none"/>
                <w:lang w:eastAsia="zh-CN"/>
              </w:rPr>
              <w:t>和《广东省水利厅关于印发&lt;韶关市部分饮用水水源保护区调整方案&gt;的通知》（粤环函</w:t>
            </w:r>
            <w:r>
              <w:rPr>
                <w:color w:val="auto"/>
                <w:kern w:val="0"/>
                <w:highlight w:val="none"/>
              </w:rPr>
              <w:t>〔20</w:t>
            </w:r>
            <w:r>
              <w:rPr>
                <w:rFonts w:hint="eastAsia"/>
                <w:color w:val="auto"/>
                <w:kern w:val="0"/>
                <w:highlight w:val="none"/>
                <w:lang w:val="en-US" w:eastAsia="zh-CN"/>
              </w:rPr>
              <w:t>24</w:t>
            </w:r>
            <w:r>
              <w:rPr>
                <w:color w:val="auto"/>
                <w:kern w:val="0"/>
                <w:highlight w:val="none"/>
              </w:rPr>
              <w:t>〕</w:t>
            </w:r>
            <w:r>
              <w:rPr>
                <w:rFonts w:hint="eastAsia" w:cs="Times New Roman"/>
                <w:color w:val="auto"/>
                <w:highlight w:val="none"/>
                <w:lang w:eastAsia="zh-CN"/>
              </w:rPr>
              <w:t>146号）</w:t>
            </w:r>
            <w:r>
              <w:rPr>
                <w:rFonts w:hint="default" w:ascii="Times New Roman" w:hAnsi="Times New Roman" w:cs="Times New Roman"/>
                <w:color w:val="auto"/>
                <w:highlight w:val="none"/>
              </w:rPr>
              <w:t>，本项目所在区域主要地表水及纳污水体为武江（乐昌城-犁市</w:t>
            </w:r>
            <w:r>
              <w:rPr>
                <w:rFonts w:hint="eastAsia" w:cs="Times New Roman"/>
                <w:color w:val="auto"/>
                <w:highlight w:val="none"/>
                <w:lang w:val="en-US" w:eastAsia="zh-CN"/>
              </w:rPr>
              <w:t>河段</w:t>
            </w:r>
            <w:r>
              <w:rPr>
                <w:rFonts w:hint="default" w:ascii="Times New Roman" w:hAnsi="Times New Roman" w:cs="Times New Roman"/>
                <w:color w:val="auto"/>
                <w:highlight w:val="none"/>
              </w:rPr>
              <w:t>），为III类水质功能区，执行《地表水环境质量标准》（GB3838-2002）中的III类标准。</w:t>
            </w:r>
          </w:p>
          <w:p w14:paraId="721E2B06">
            <w:pPr>
              <w:pageBreakBefore w:val="0"/>
              <w:wordWrap w:val="0"/>
              <w:overflowPunct/>
              <w:autoSpaceDE w:val="0"/>
              <w:autoSpaceDN w:val="0"/>
              <w:bidi w:val="0"/>
              <w:adjustRightInd w:val="0"/>
              <w:ind w:firstLine="480" w:firstLineChars="20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根据《韶关市生态环境状况公报》</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202</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年</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，2024年，韶关市11条主要江河（北江、武江、浈江、南水河、墨江、锦江、马坝河、滃江、新丰江、横石水和大潭河）34个市考以上手工监测断面水质优良率为100%，与2023年持平</w:t>
            </w:r>
            <w:r>
              <w:rPr>
                <w:rFonts w:hint="eastAsia" w:cs="Times New Roman"/>
                <w:color w:val="auto"/>
                <w:highlight w:val="none"/>
                <w:lang w:eastAsia="zh-CN"/>
              </w:rPr>
              <w:t>，其中Ⅰ类比例为2.9%、Ⅱ类比例为88.2%、Ⅲ类比例为8.8%。</w:t>
            </w:r>
            <w:r>
              <w:rPr>
                <w:rFonts w:hint="default" w:ascii="Times New Roman" w:hAnsi="Times New Roman" w:cs="Times New Roman"/>
                <w:color w:val="auto"/>
                <w:highlight w:val="none"/>
              </w:rPr>
              <w:t>故项目所在地地表水环境质量现状良好。</w:t>
            </w:r>
          </w:p>
          <w:p w14:paraId="7DC76DB2">
            <w:pPr>
              <w:pStyle w:val="9"/>
              <w:pageBreakBefore w:val="0"/>
              <w:numPr>
                <w:ilvl w:val="2"/>
                <w:numId w:val="0"/>
              </w:numPr>
              <w:wordWrap w:val="0"/>
              <w:overflowPunct/>
              <w:bidi w:val="0"/>
              <w:ind w:left="-2"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三、声环境质量现状</w:t>
            </w:r>
          </w:p>
          <w:p w14:paraId="48519989">
            <w:pPr>
              <w:pageBreakBefore w:val="0"/>
              <w:wordWrap w:val="0"/>
              <w:overflowPunct/>
              <w:bidi w:val="0"/>
              <w:ind w:firstLine="480" w:firstLineChars="20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项目所在地为工业园区内，</w:t>
            </w:r>
            <w:r>
              <w:rPr>
                <w:rFonts w:hint="eastAsia" w:cs="Times New Roman"/>
                <w:color w:val="auto"/>
                <w:kern w:val="0"/>
                <w:highlight w:val="none"/>
                <w:lang w:val="en-US" w:eastAsia="zh-CN"/>
              </w:rPr>
              <w:t>东侧距离道路边界26m，南侧距离道路边界30m（见附图2），根据关于印发《乐昌市声环境功能区划方案（2025 年修订版）》的通知，相邻区域为3类声环境功能区，距离20m内划分为4a类声环境功能区，项目东侧和南侧距离园区道路大于20m，均不属于4a类区。因此，项目</w:t>
            </w:r>
            <w:r>
              <w:rPr>
                <w:rFonts w:hint="default" w:ascii="Times New Roman" w:hAnsi="Times New Roman" w:cs="Times New Roman"/>
                <w:color w:val="auto"/>
                <w:kern w:val="0"/>
                <w:highlight w:val="none"/>
              </w:rPr>
              <w:t>执行《声环境质量标准》（GB3096—2008）3类标准（昼间65dB(A)；夜间55dB(A)）。</w:t>
            </w:r>
          </w:p>
          <w:p w14:paraId="00A57984">
            <w:pPr>
              <w:pageBreakBefore w:val="0"/>
              <w:wordWrap w:val="0"/>
              <w:overflowPunct/>
              <w:bidi w:val="0"/>
              <w:ind w:firstLine="480" w:firstLineChars="200"/>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根据《建设项目环境影响报告表编制技术指南（污染影响类）（试行）》，</w:t>
            </w:r>
            <w:r>
              <w:rPr>
                <w:rFonts w:hint="default" w:ascii="Times New Roman" w:hAnsi="Times New Roman" w:cs="Times New Roman"/>
                <w:color w:val="auto"/>
                <w:kern w:val="0"/>
                <w:highlight w:val="none"/>
              </w:rPr>
              <w:t>本项目周边50米范围内无敏感点，故无需进行声环境质量现状监测与评价。</w:t>
            </w:r>
          </w:p>
          <w:p w14:paraId="6247C7E4">
            <w:pPr>
              <w:pStyle w:val="9"/>
              <w:pageBreakBefore w:val="0"/>
              <w:numPr>
                <w:ilvl w:val="2"/>
                <w:numId w:val="0"/>
              </w:numPr>
              <w:wordWrap w:val="0"/>
              <w:overflowPunct/>
              <w:bidi w:val="0"/>
              <w:ind w:left="-2"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四、地下水、土壤环境质量现状</w:t>
            </w:r>
          </w:p>
          <w:p w14:paraId="23FE0E9B">
            <w:pPr>
              <w:pageBreakBefore w:val="0"/>
              <w:wordWrap w:val="0"/>
              <w:overflowPunct/>
              <w:autoSpaceDE w:val="0"/>
              <w:autoSpaceDN w:val="0"/>
              <w:bidi w:val="0"/>
              <w:adjustRightInd w:val="0"/>
              <w:ind w:firstLine="480" w:firstLineChars="200"/>
              <w:jc w:val="left"/>
              <w:rPr>
                <w:rFonts w:hint="default" w:ascii="Times New Roman" w:hAnsi="Times New Roman" w:cs="Times New Roman"/>
                <w:bCs/>
                <w:color w:val="auto"/>
                <w:kern w:val="28"/>
                <w:sz w:val="24"/>
                <w:highlight w:val="none"/>
                <w:lang w:eastAsia="zh-CN"/>
              </w:rPr>
            </w:pPr>
            <w:r>
              <w:rPr>
                <w:rFonts w:hint="default" w:ascii="Times New Roman" w:hAnsi="Times New Roman" w:cs="Times New Roman"/>
                <w:bCs/>
                <w:color w:val="auto"/>
                <w:kern w:val="28"/>
                <w:sz w:val="24"/>
                <w:highlight w:val="none"/>
              </w:rPr>
              <w:t>本项目</w:t>
            </w:r>
            <w:r>
              <w:rPr>
                <w:rFonts w:hint="default" w:ascii="Times New Roman" w:hAnsi="Times New Roman" w:cs="Times New Roman"/>
                <w:bCs/>
                <w:color w:val="auto"/>
                <w:kern w:val="28"/>
                <w:sz w:val="24"/>
                <w:highlight w:val="none"/>
                <w:lang w:eastAsia="zh-CN"/>
              </w:rPr>
              <w:t>生产车间</w:t>
            </w:r>
            <w:r>
              <w:rPr>
                <w:rFonts w:hint="default" w:ascii="Times New Roman" w:hAnsi="Times New Roman" w:cs="Times New Roman"/>
                <w:bCs/>
                <w:color w:val="auto"/>
                <w:kern w:val="28"/>
                <w:sz w:val="24"/>
                <w:highlight w:val="none"/>
              </w:rPr>
              <w:t>厂区内均已进行地面硬化，</w:t>
            </w:r>
            <w:r>
              <w:rPr>
                <w:rFonts w:hint="default" w:ascii="Times New Roman" w:hAnsi="Times New Roman" w:cs="Times New Roman"/>
                <w:bCs/>
                <w:color w:val="auto"/>
                <w:kern w:val="28"/>
                <w:sz w:val="24"/>
                <w:highlight w:val="none"/>
                <w:lang w:val="en-US" w:eastAsia="zh-CN"/>
              </w:rPr>
              <w:t>各厂房</w:t>
            </w:r>
            <w:r>
              <w:rPr>
                <w:rFonts w:hint="eastAsia" w:cs="Times New Roman"/>
                <w:bCs/>
                <w:color w:val="auto"/>
                <w:kern w:val="28"/>
                <w:sz w:val="24"/>
                <w:highlight w:val="none"/>
                <w:lang w:val="en-US" w:eastAsia="zh-CN"/>
              </w:rPr>
              <w:t>做</w:t>
            </w:r>
            <w:r>
              <w:rPr>
                <w:rFonts w:hint="default" w:ascii="Times New Roman" w:hAnsi="Times New Roman" w:cs="Times New Roman"/>
                <w:bCs/>
                <w:color w:val="auto"/>
                <w:kern w:val="28"/>
                <w:sz w:val="24"/>
                <w:highlight w:val="none"/>
              </w:rPr>
              <w:t>基础防渗，防渗层为至少lm厚粘土层（渗透系数≤10</w:t>
            </w:r>
            <w:r>
              <w:rPr>
                <w:rFonts w:hint="default" w:ascii="Times New Roman" w:hAnsi="Times New Roman" w:cs="Times New Roman"/>
                <w:bCs/>
                <w:color w:val="auto"/>
                <w:kern w:val="28"/>
                <w:sz w:val="24"/>
                <w:highlight w:val="none"/>
                <w:vertAlign w:val="superscript"/>
              </w:rPr>
              <w:t>-7</w:t>
            </w:r>
            <w:r>
              <w:rPr>
                <w:rFonts w:hint="default" w:ascii="Times New Roman" w:hAnsi="Times New Roman" w:cs="Times New Roman"/>
                <w:bCs/>
                <w:color w:val="auto"/>
                <w:kern w:val="28"/>
                <w:sz w:val="24"/>
                <w:highlight w:val="none"/>
              </w:rPr>
              <w:t>cm/s），或2mm厚高密度聚乙烯，或至少2mm厚的其他人工材料，渗透系数≤10</w:t>
            </w:r>
            <w:r>
              <w:rPr>
                <w:rFonts w:hint="default" w:ascii="Times New Roman" w:hAnsi="Times New Roman" w:cs="Times New Roman"/>
                <w:bCs/>
                <w:color w:val="auto"/>
                <w:kern w:val="28"/>
                <w:sz w:val="24"/>
                <w:highlight w:val="none"/>
                <w:vertAlign w:val="superscript"/>
              </w:rPr>
              <w:t>-10</w:t>
            </w:r>
            <w:r>
              <w:rPr>
                <w:rFonts w:hint="default" w:ascii="Times New Roman" w:hAnsi="Times New Roman" w:cs="Times New Roman"/>
                <w:bCs/>
                <w:color w:val="auto"/>
                <w:kern w:val="28"/>
                <w:sz w:val="24"/>
                <w:highlight w:val="none"/>
              </w:rPr>
              <w:t>cm/s；本项目液态</w:t>
            </w:r>
            <w:r>
              <w:rPr>
                <w:rFonts w:hint="default" w:ascii="Times New Roman" w:hAnsi="Times New Roman" w:cs="Times New Roman"/>
                <w:bCs/>
                <w:color w:val="auto"/>
                <w:kern w:val="28"/>
                <w:sz w:val="24"/>
                <w:highlight w:val="none"/>
                <w:lang w:eastAsia="zh-CN"/>
              </w:rPr>
              <w:t>原辅料</w:t>
            </w:r>
            <w:r>
              <w:rPr>
                <w:rFonts w:hint="default" w:ascii="Times New Roman" w:hAnsi="Times New Roman" w:cs="Times New Roman"/>
                <w:bCs/>
                <w:color w:val="auto"/>
                <w:kern w:val="28"/>
                <w:sz w:val="24"/>
                <w:highlight w:val="none"/>
              </w:rPr>
              <w:t>均储存在厂房设置的</w:t>
            </w:r>
            <w:r>
              <w:rPr>
                <w:rFonts w:hint="eastAsia" w:cs="Times New Roman"/>
                <w:bCs/>
                <w:color w:val="auto"/>
                <w:kern w:val="28"/>
                <w:sz w:val="24"/>
                <w:highlight w:val="none"/>
                <w:lang w:eastAsia="zh-CN"/>
              </w:rPr>
              <w:t>物料仓库</w:t>
            </w:r>
            <w:r>
              <w:rPr>
                <w:rFonts w:hint="default" w:ascii="Times New Roman" w:hAnsi="Times New Roman" w:cs="Times New Roman"/>
                <w:bCs/>
                <w:color w:val="auto"/>
                <w:kern w:val="28"/>
                <w:sz w:val="24"/>
                <w:highlight w:val="none"/>
              </w:rPr>
              <w:t>内，且出入口处设置围堰围挡，物料随用随取，不使用时密闭封存，厂界四周设置围墙围挡，仅保留厂区出入口</w:t>
            </w:r>
            <w:r>
              <w:rPr>
                <w:rFonts w:hint="default" w:ascii="Times New Roman" w:hAnsi="Times New Roman" w:cs="Times New Roman"/>
                <w:bCs/>
                <w:color w:val="auto"/>
                <w:kern w:val="28"/>
                <w:sz w:val="24"/>
                <w:highlight w:val="none"/>
                <w:lang w:eastAsia="zh-CN"/>
              </w:rPr>
              <w:t>。</w:t>
            </w:r>
          </w:p>
          <w:p w14:paraId="30E9BB89">
            <w:pPr>
              <w:pageBreakBefore w:val="0"/>
              <w:wordWrap w:val="0"/>
              <w:overflowPunct/>
              <w:autoSpaceDE w:val="0"/>
              <w:autoSpaceDN w:val="0"/>
              <w:bidi w:val="0"/>
              <w:adjustRightInd w:val="0"/>
              <w:ind w:firstLine="480" w:firstLineChars="200"/>
              <w:jc w:val="left"/>
              <w:rPr>
                <w:rFonts w:hint="default" w:ascii="Times New Roman" w:hAnsi="Times New Roman" w:cs="Times New Roman"/>
                <w:bCs/>
                <w:color w:val="auto"/>
                <w:kern w:val="28"/>
                <w:sz w:val="24"/>
                <w:highlight w:val="none"/>
                <w:lang w:eastAsia="zh-CN"/>
              </w:rPr>
            </w:pPr>
            <w:r>
              <w:rPr>
                <w:rFonts w:hint="default" w:ascii="Times New Roman" w:hAnsi="Times New Roman" w:cs="Times New Roman"/>
                <w:bCs/>
                <w:color w:val="auto"/>
                <w:kern w:val="28"/>
                <w:sz w:val="24"/>
                <w:highlight w:val="none"/>
                <w:lang w:val="en-US" w:eastAsia="zh-CN"/>
              </w:rPr>
              <w:t>本项目周边水体为东南侧</w:t>
            </w:r>
            <w:r>
              <w:rPr>
                <w:rFonts w:hint="eastAsia" w:cs="Times New Roman"/>
                <w:bCs/>
                <w:color w:val="auto"/>
                <w:kern w:val="28"/>
                <w:sz w:val="24"/>
                <w:highlight w:val="none"/>
                <w:lang w:val="en-US" w:eastAsia="zh-CN"/>
              </w:rPr>
              <w:t>3640</w:t>
            </w:r>
            <w:r>
              <w:rPr>
                <w:rFonts w:hint="default" w:ascii="Times New Roman" w:hAnsi="Times New Roman" w:cs="Times New Roman"/>
                <w:bCs/>
                <w:color w:val="auto"/>
                <w:kern w:val="28"/>
                <w:sz w:val="24"/>
                <w:highlight w:val="none"/>
              </w:rPr>
              <w:t>m</w:t>
            </w:r>
            <w:r>
              <w:rPr>
                <w:rFonts w:hint="default" w:ascii="Times New Roman" w:hAnsi="Times New Roman" w:cs="Times New Roman"/>
                <w:bCs/>
                <w:color w:val="auto"/>
                <w:kern w:val="28"/>
                <w:sz w:val="24"/>
                <w:highlight w:val="none"/>
                <w:lang w:val="en-US" w:eastAsia="zh-CN"/>
              </w:rPr>
              <w:t>处的廊田河</w:t>
            </w:r>
            <w:r>
              <w:rPr>
                <w:rFonts w:hint="default" w:ascii="Times New Roman" w:hAnsi="Times New Roman" w:cs="Times New Roman"/>
                <w:bCs/>
                <w:color w:val="auto"/>
                <w:kern w:val="28"/>
                <w:sz w:val="24"/>
                <w:highlight w:val="none"/>
              </w:rPr>
              <w:t>，</w:t>
            </w:r>
            <w:r>
              <w:rPr>
                <w:rFonts w:hint="default" w:ascii="Times New Roman" w:hAnsi="Times New Roman" w:cs="Times New Roman"/>
                <w:bCs/>
                <w:color w:val="auto"/>
                <w:kern w:val="28"/>
                <w:sz w:val="24"/>
                <w:highlight w:val="none"/>
                <w:lang w:val="en-US" w:eastAsia="zh-CN"/>
              </w:rPr>
              <w:t>在园区道路阻隔，重力引流情况下，本项目厂区内</w:t>
            </w:r>
            <w:r>
              <w:rPr>
                <w:rFonts w:hint="default" w:ascii="Times New Roman" w:hAnsi="Times New Roman" w:cs="Times New Roman"/>
                <w:bCs/>
                <w:color w:val="auto"/>
                <w:kern w:val="28"/>
                <w:sz w:val="24"/>
                <w:highlight w:val="none"/>
              </w:rPr>
              <w:t>地表径流</w:t>
            </w:r>
            <w:r>
              <w:rPr>
                <w:rFonts w:hint="default" w:ascii="Times New Roman" w:hAnsi="Times New Roman" w:cs="Times New Roman"/>
                <w:bCs/>
                <w:color w:val="auto"/>
                <w:kern w:val="28"/>
                <w:sz w:val="24"/>
                <w:highlight w:val="none"/>
                <w:lang w:val="en-US" w:eastAsia="zh-CN"/>
              </w:rPr>
              <w:t>无法</w:t>
            </w:r>
            <w:r>
              <w:rPr>
                <w:rFonts w:hint="default" w:ascii="Times New Roman" w:hAnsi="Times New Roman" w:cs="Times New Roman"/>
                <w:bCs/>
                <w:color w:val="auto"/>
                <w:kern w:val="28"/>
                <w:sz w:val="24"/>
                <w:highlight w:val="none"/>
              </w:rPr>
              <w:t>直接进入</w:t>
            </w:r>
            <w:r>
              <w:rPr>
                <w:rFonts w:hint="default" w:ascii="Times New Roman" w:hAnsi="Times New Roman" w:cs="Times New Roman"/>
                <w:bCs/>
                <w:color w:val="auto"/>
                <w:kern w:val="28"/>
                <w:sz w:val="24"/>
                <w:highlight w:val="none"/>
                <w:lang w:val="en-US" w:eastAsia="zh-CN"/>
              </w:rPr>
              <w:t>廊田河</w:t>
            </w:r>
            <w:r>
              <w:rPr>
                <w:rFonts w:hint="default" w:ascii="Times New Roman" w:hAnsi="Times New Roman" w:cs="Times New Roman"/>
                <w:bCs/>
                <w:color w:val="auto"/>
                <w:kern w:val="28"/>
                <w:sz w:val="24"/>
                <w:highlight w:val="none"/>
              </w:rPr>
              <w:t>水体中。因此</w:t>
            </w:r>
            <w:r>
              <w:rPr>
                <w:rFonts w:hint="eastAsia" w:cs="Times New Roman"/>
                <w:bCs/>
                <w:color w:val="auto"/>
                <w:kern w:val="28"/>
                <w:sz w:val="24"/>
                <w:highlight w:val="none"/>
                <w:lang w:val="en-US" w:eastAsia="zh-CN"/>
              </w:rPr>
              <w:t>无明显</w:t>
            </w:r>
            <w:r>
              <w:rPr>
                <w:rFonts w:hint="default" w:ascii="Times New Roman" w:hAnsi="Times New Roman" w:cs="Times New Roman"/>
                <w:bCs/>
                <w:color w:val="auto"/>
                <w:kern w:val="28"/>
                <w:sz w:val="24"/>
                <w:highlight w:val="none"/>
              </w:rPr>
              <w:t>地</w:t>
            </w:r>
            <w:r>
              <w:rPr>
                <w:rFonts w:hint="default" w:ascii="Times New Roman" w:hAnsi="Times New Roman" w:cs="Times New Roman"/>
                <w:bCs/>
                <w:color w:val="auto"/>
                <w:kern w:val="28"/>
                <w:sz w:val="24"/>
                <w:highlight w:val="none"/>
                <w:lang w:eastAsia="zh-CN"/>
              </w:rPr>
              <w:t>下</w:t>
            </w:r>
            <w:r>
              <w:rPr>
                <w:rFonts w:hint="default" w:ascii="Times New Roman" w:hAnsi="Times New Roman" w:cs="Times New Roman"/>
                <w:bCs/>
                <w:color w:val="auto"/>
                <w:kern w:val="28"/>
                <w:sz w:val="24"/>
                <w:highlight w:val="none"/>
              </w:rPr>
              <w:t>水、</w:t>
            </w:r>
            <w:r>
              <w:rPr>
                <w:rFonts w:hint="default" w:ascii="Times New Roman" w:hAnsi="Times New Roman" w:cs="Times New Roman"/>
                <w:bCs/>
                <w:color w:val="auto"/>
                <w:kern w:val="28"/>
                <w:sz w:val="24"/>
                <w:highlight w:val="none"/>
                <w:lang w:eastAsia="zh-CN"/>
              </w:rPr>
              <w:t>土壤</w:t>
            </w:r>
            <w:r>
              <w:rPr>
                <w:rFonts w:hint="default" w:ascii="Times New Roman" w:hAnsi="Times New Roman" w:cs="Times New Roman"/>
                <w:bCs/>
                <w:color w:val="auto"/>
                <w:kern w:val="28"/>
                <w:sz w:val="24"/>
                <w:highlight w:val="none"/>
              </w:rPr>
              <w:t>环境污染途径。其他区域均进行水泥地面硬底化。项目生产经营范围内具有一定的防腐防渗作用，可有效阻断污染物入渗土壤的途径，正常工况下不会对地下水、土壤环境造成显著不良影响，且占地范围内不具备监测条件。因此不存在地下水</w:t>
            </w:r>
            <w:r>
              <w:rPr>
                <w:rFonts w:hint="default" w:ascii="Times New Roman" w:hAnsi="Times New Roman" w:cs="Times New Roman"/>
                <w:bCs/>
                <w:color w:val="auto"/>
                <w:kern w:val="28"/>
                <w:sz w:val="24"/>
                <w:highlight w:val="none"/>
                <w:lang w:eastAsia="zh-CN"/>
              </w:rPr>
              <w:t>、土壤</w:t>
            </w:r>
            <w:r>
              <w:rPr>
                <w:rFonts w:hint="default" w:ascii="Times New Roman" w:hAnsi="Times New Roman" w:cs="Times New Roman"/>
                <w:bCs/>
                <w:color w:val="auto"/>
                <w:kern w:val="28"/>
                <w:sz w:val="24"/>
                <w:highlight w:val="none"/>
              </w:rPr>
              <w:t>环境污</w:t>
            </w:r>
            <w:r>
              <w:rPr>
                <w:rFonts w:hint="default" w:ascii="Times New Roman" w:hAnsi="Times New Roman" w:cs="Times New Roman"/>
                <w:bCs/>
                <w:color w:val="auto"/>
                <w:kern w:val="28"/>
                <w:sz w:val="24"/>
                <w:highlight w:val="none"/>
                <w:lang w:eastAsia="zh-CN"/>
              </w:rPr>
              <w:t>染。</w:t>
            </w:r>
          </w:p>
          <w:p w14:paraId="27D068DE">
            <w:pPr>
              <w:pStyle w:val="9"/>
              <w:pageBreakBefore w:val="0"/>
              <w:numPr>
                <w:ilvl w:val="2"/>
                <w:numId w:val="0"/>
              </w:numPr>
              <w:wordWrap w:val="0"/>
              <w:overflowPunct/>
              <w:bidi w:val="0"/>
              <w:ind w:left="-2"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五、生态环境质量现状</w:t>
            </w:r>
          </w:p>
          <w:p w14:paraId="44EDD17C">
            <w:pPr>
              <w:pStyle w:val="9"/>
              <w:pageBreakBefore w:val="0"/>
              <w:numPr>
                <w:ilvl w:val="2"/>
                <w:numId w:val="0"/>
              </w:numPr>
              <w:wordWrap w:val="0"/>
              <w:overflowPunct/>
              <w:bidi w:val="0"/>
              <w:ind w:firstLine="480" w:firstLineChars="200"/>
              <w:rPr>
                <w:rFonts w:hint="default" w:ascii="Times New Roman" w:hAnsi="Times New Roman" w:cs="Times New Roman"/>
                <w:color w:val="auto"/>
                <w:highlight w:val="none"/>
              </w:rPr>
            </w:pPr>
            <w:r>
              <w:rPr>
                <w:rFonts w:hint="default" w:ascii="Times New Roman" w:hAnsi="Times New Roman" w:cs="Times New Roman"/>
                <w:b w:val="0"/>
                <w:bCs w:val="0"/>
                <w:color w:val="auto"/>
                <w:szCs w:val="32"/>
                <w:highlight w:val="none"/>
              </w:rPr>
              <w:t>本项目位于乐昌市乐昌产业转移工业园内，根据现场勘踏和调查，项目用地范围内不含生态环境保护目标，不需进行生态环境调查。</w:t>
            </w:r>
          </w:p>
        </w:tc>
      </w:tr>
      <w:tr w14:paraId="10609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 w:type="pct"/>
            <w:vAlign w:val="center"/>
          </w:tcPr>
          <w:p w14:paraId="581EEE2B">
            <w:pPr>
              <w:keepNext w:val="0"/>
              <w:keepLines w:val="0"/>
              <w:pageBreakBefore w:val="0"/>
              <w:widowControl w:val="0"/>
              <w:numPr>
                <w:ilvl w:val="1"/>
                <w:numId w:val="0"/>
              </w:numPr>
              <w:tabs>
                <w:tab w:val="left" w:pos="420"/>
              </w:tabs>
              <w:kinsoku/>
              <w:wordWrap w:val="0"/>
              <w:overflowPunct/>
              <w:topLinePunct w:val="0"/>
              <w:autoSpaceDE/>
              <w:autoSpaceDN/>
              <w:bidi w:val="0"/>
              <w:adjustRightInd/>
              <w:snapToGrid/>
              <w:spacing w:line="240" w:lineRule="auto"/>
              <w:textAlignment w:val="auto"/>
              <w:outlineLvl w:val="9"/>
              <w:rPr>
                <w:rFonts w:hint="default" w:ascii="Times New Roman" w:hAnsi="Times New Roman" w:cs="Times New Roman"/>
                <w:color w:val="auto"/>
                <w:highlight w:val="none"/>
              </w:rPr>
            </w:pPr>
            <w:bookmarkStart w:id="65" w:name="_Toc31357"/>
            <w:bookmarkStart w:id="66" w:name="_Toc28582"/>
            <w:bookmarkStart w:id="67" w:name="_Toc24022"/>
            <w:bookmarkStart w:id="68" w:name="_Toc7031"/>
            <w:bookmarkStart w:id="69" w:name="_Toc14552"/>
            <w:bookmarkStart w:id="70" w:name="_Toc28210"/>
            <w:bookmarkStart w:id="71" w:name="_Toc241"/>
            <w:bookmarkStart w:id="72" w:name="_Toc461"/>
            <w:bookmarkStart w:id="73" w:name="_Toc728"/>
            <w:bookmarkStart w:id="74" w:name="_Toc28375"/>
            <w:r>
              <w:rPr>
                <w:rFonts w:hint="default" w:ascii="Times New Roman" w:hAnsi="Times New Roman" w:cs="Times New Roman"/>
                <w:color w:val="auto"/>
                <w:highlight w:val="none"/>
              </w:rPr>
              <w:t>环境保护目标</w:t>
            </w:r>
            <w:bookmarkEnd w:id="65"/>
            <w:bookmarkEnd w:id="66"/>
            <w:bookmarkEnd w:id="67"/>
            <w:bookmarkEnd w:id="68"/>
            <w:bookmarkEnd w:id="69"/>
            <w:bookmarkEnd w:id="70"/>
            <w:bookmarkEnd w:id="71"/>
            <w:bookmarkEnd w:id="72"/>
            <w:bookmarkEnd w:id="73"/>
            <w:bookmarkEnd w:id="74"/>
          </w:p>
        </w:tc>
        <w:tc>
          <w:tcPr>
            <w:tcW w:w="4737" w:type="pct"/>
          </w:tcPr>
          <w:p w14:paraId="1F3737B6">
            <w:pPr>
              <w:pStyle w:val="9"/>
              <w:pageBreakBefore w:val="0"/>
              <w:numPr>
                <w:ilvl w:val="2"/>
                <w:numId w:val="0"/>
              </w:numPr>
              <w:wordWrap w:val="0"/>
              <w:overflowPunct/>
              <w:bidi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一、环境空气保护目标</w:t>
            </w:r>
          </w:p>
          <w:p w14:paraId="692F909D">
            <w:pPr>
              <w:pageBreakBefore w:val="0"/>
              <w:wordWrap w:val="0"/>
              <w:overflowPunct/>
              <w:bidi w:val="0"/>
              <w:adjustRightInd w:val="0"/>
              <w:snapToGrid w:val="0"/>
              <w:ind w:firstLine="480" w:firstLineChars="200"/>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highlight w:val="none"/>
              </w:rPr>
              <w:t>根据现场调查</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kern w:val="0"/>
                <w:szCs w:val="21"/>
                <w:highlight w:val="none"/>
              </w:rPr>
              <w:t>本项目厂界外500米范围内不存在自然保护区、风景名胜区、文化区</w:t>
            </w:r>
            <w:r>
              <w:rPr>
                <w:rFonts w:hint="default" w:ascii="Times New Roman" w:hAnsi="Times New Roman" w:cs="Times New Roman"/>
                <w:color w:val="auto"/>
                <w:kern w:val="0"/>
                <w:szCs w:val="21"/>
                <w:highlight w:val="none"/>
                <w:lang w:eastAsia="zh-CN"/>
              </w:rPr>
              <w:t>，</w:t>
            </w:r>
            <w:r>
              <w:rPr>
                <w:rFonts w:hint="default" w:ascii="Times New Roman" w:hAnsi="Times New Roman" w:eastAsia="宋体" w:cs="Times New Roman"/>
                <w:color w:val="auto"/>
                <w:highlight w:val="none"/>
              </w:rPr>
              <w:t>主要环境敏感目标分布</w:t>
            </w:r>
            <w:r>
              <w:rPr>
                <w:rFonts w:hint="default" w:ascii="Times New Roman" w:hAnsi="Times New Roman" w:eastAsia="宋体" w:cs="Times New Roman"/>
                <w:color w:val="auto"/>
                <w:highlight w:val="none"/>
                <w:lang w:val="en-US" w:eastAsia="zh-CN"/>
              </w:rPr>
              <w:t>如下</w:t>
            </w:r>
            <w:r>
              <w:rPr>
                <w:rFonts w:hint="default" w:ascii="Times New Roman" w:hAnsi="Times New Roman" w:eastAsia="宋体" w:cs="Times New Roman"/>
                <w:color w:val="auto"/>
                <w:kern w:val="0"/>
                <w:szCs w:val="21"/>
                <w:highlight w:val="none"/>
                <w:lang w:eastAsia="zh-CN"/>
              </w:rPr>
              <w:t>：</w:t>
            </w:r>
          </w:p>
          <w:p w14:paraId="52C2141E">
            <w:pPr>
              <w:keepNext w:val="0"/>
              <w:keepLines w:val="0"/>
              <w:pageBreakBefore w:val="0"/>
              <w:widowControl w:val="0"/>
              <w:numPr>
                <w:ilvl w:val="0"/>
                <w:numId w:val="9"/>
              </w:numPr>
              <w:kinsoku/>
              <w:wordWrap w:val="0"/>
              <w:overflowPunct/>
              <w:topLinePunct w:val="0"/>
              <w:autoSpaceDE/>
              <w:autoSpaceDN/>
              <w:bidi w:val="0"/>
              <w:adjustRightInd/>
              <w:snapToGrid/>
              <w:spacing w:line="240" w:lineRule="auto"/>
              <w:ind w:left="0" w:leftChars="0" w:firstLine="40" w:firstLineChars="0"/>
              <w:jc w:val="center"/>
              <w:textAlignment w:val="auto"/>
              <w:rPr>
                <w:rFonts w:hint="default" w:ascii="Times New Roman" w:hAnsi="Times New Roman" w:eastAsia="宋体" w:cs="Times New Roman"/>
                <w:b/>
                <w:color w:val="auto"/>
                <w:sz w:val="21"/>
                <w:szCs w:val="21"/>
                <w:highlight w:val="none"/>
              </w:rPr>
            </w:pPr>
            <w:r>
              <w:rPr>
                <w:rFonts w:hint="eastAsia" w:asci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项目厂址周边环境保护敏感目标一览表</w:t>
            </w:r>
          </w:p>
          <w:tbl>
            <w:tblPr>
              <w:tblStyle w:val="4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1"/>
              <w:gridCol w:w="840"/>
              <w:gridCol w:w="559"/>
              <w:gridCol w:w="642"/>
              <w:gridCol w:w="829"/>
              <w:gridCol w:w="1140"/>
              <w:gridCol w:w="755"/>
              <w:gridCol w:w="672"/>
              <w:gridCol w:w="1901"/>
            </w:tblGrid>
            <w:tr w14:paraId="446A2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326" w:type="pct"/>
                  <w:vMerge w:val="restart"/>
                  <w:vAlign w:val="center"/>
                </w:tcPr>
                <w:p w14:paraId="714C84B2">
                  <w:pPr>
                    <w:pStyle w:val="106"/>
                    <w:keepNext w:val="0"/>
                    <w:keepLines w:val="0"/>
                    <w:pageBreakBefore w:val="0"/>
                    <w:widowControl w:val="0"/>
                    <w:kinsoku/>
                    <w:wordWrap w:val="0"/>
                    <w:overflowPunct/>
                    <w:bidi w:val="0"/>
                    <w:snapToGrid/>
                    <w:spacing w:beforeAutospacing="0" w:afterAutospacing="0" w:line="24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535" w:type="pct"/>
                  <w:vMerge w:val="restart"/>
                  <w:vAlign w:val="center"/>
                </w:tcPr>
                <w:p w14:paraId="4A5F84DB">
                  <w:pPr>
                    <w:keepNext w:val="0"/>
                    <w:keepLines w:val="0"/>
                    <w:pageBreakBefore w:val="0"/>
                    <w:widowControl w:val="0"/>
                    <w:kinsoku/>
                    <w:wordWrap w:val="0"/>
                    <w:overflowPunct/>
                    <w:bidi w:val="0"/>
                    <w:adjustRightInd w:val="0"/>
                    <w:snapToGrid/>
                    <w:spacing w:beforeAutospacing="0" w:afterAutospacing="0" w:line="24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敏感点名称</w:t>
                  </w:r>
                </w:p>
              </w:tc>
              <w:tc>
                <w:tcPr>
                  <w:tcW w:w="765" w:type="pct"/>
                  <w:gridSpan w:val="2"/>
                  <w:vAlign w:val="center"/>
                </w:tcPr>
                <w:p w14:paraId="384538CD">
                  <w:pPr>
                    <w:pStyle w:val="107"/>
                    <w:keepNext w:val="0"/>
                    <w:keepLines w:val="0"/>
                    <w:pageBreakBefore w:val="0"/>
                    <w:widowControl w:val="0"/>
                    <w:kinsoku/>
                    <w:wordWrap w:val="0"/>
                    <w:overflowPunct/>
                    <w:autoSpaceDE/>
                    <w:autoSpaceDN/>
                    <w:bidi w:val="0"/>
                    <w:snapToGrid/>
                    <w:spacing w:beforeAutospacing="0" w:afterAutospacing="0" w:line="240" w:lineRule="auto"/>
                    <w:textAlignment w:val="auto"/>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sz w:val="21"/>
                      <w:szCs w:val="21"/>
                      <w:highlight w:val="none"/>
                    </w:rPr>
                    <w:t>坐标</w:t>
                  </w:r>
                </w:p>
              </w:tc>
              <w:tc>
                <w:tcPr>
                  <w:tcW w:w="528" w:type="pct"/>
                  <w:vMerge w:val="restart"/>
                  <w:vAlign w:val="center"/>
                </w:tcPr>
                <w:p w14:paraId="555AAF04">
                  <w:pPr>
                    <w:pStyle w:val="107"/>
                    <w:keepNext w:val="0"/>
                    <w:keepLines w:val="0"/>
                    <w:pageBreakBefore w:val="0"/>
                    <w:widowControl w:val="0"/>
                    <w:kinsoku/>
                    <w:wordWrap w:val="0"/>
                    <w:overflowPunct/>
                    <w:autoSpaceDE/>
                    <w:autoSpaceDN/>
                    <w:bidi w:val="0"/>
                    <w:snapToGrid/>
                    <w:spacing w:beforeAutospacing="0" w:afterAutospacing="0" w:line="240" w:lineRule="auto"/>
                    <w:textAlignment w:val="auto"/>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相对厂址方位</w:t>
                  </w:r>
                </w:p>
              </w:tc>
              <w:tc>
                <w:tcPr>
                  <w:tcW w:w="726" w:type="pct"/>
                  <w:vMerge w:val="restart"/>
                  <w:vAlign w:val="center"/>
                </w:tcPr>
                <w:p w14:paraId="36D59C9D">
                  <w:pPr>
                    <w:keepNext w:val="0"/>
                    <w:keepLines w:val="0"/>
                    <w:pageBreakBefore w:val="0"/>
                    <w:widowControl w:val="0"/>
                    <w:kinsoku/>
                    <w:wordWrap w:val="0"/>
                    <w:overflowPunct/>
                    <w:bidi w:val="0"/>
                    <w:adjustRightInd w:val="0"/>
                    <w:snapToGrid/>
                    <w:spacing w:beforeAutospacing="0" w:afterAutospacing="0" w:line="24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最近距离</w:t>
                  </w:r>
                  <w:r>
                    <w:rPr>
                      <w:rFonts w:hint="default" w:ascii="Times New Roman" w:hAnsi="Times New Roman" w:eastAsia="宋体" w:cs="Times New Roman"/>
                      <w:b/>
                      <w:snapToGrid w:val="0"/>
                      <w:color w:val="auto"/>
                      <w:sz w:val="21"/>
                      <w:szCs w:val="21"/>
                      <w:highlight w:val="none"/>
                    </w:rPr>
                    <w:t>（m）</w:t>
                  </w:r>
                </w:p>
              </w:tc>
              <w:tc>
                <w:tcPr>
                  <w:tcW w:w="481" w:type="pct"/>
                  <w:vMerge w:val="restart"/>
                  <w:vAlign w:val="center"/>
                </w:tcPr>
                <w:p w14:paraId="23F0CFEC">
                  <w:pPr>
                    <w:keepNext w:val="0"/>
                    <w:keepLines w:val="0"/>
                    <w:pageBreakBefore w:val="0"/>
                    <w:widowControl w:val="0"/>
                    <w:kinsoku/>
                    <w:wordWrap w:val="0"/>
                    <w:overflowPunct/>
                    <w:bidi w:val="0"/>
                    <w:adjustRightInd w:val="0"/>
                    <w:snapToGrid/>
                    <w:spacing w:beforeAutospacing="0" w:afterAutospacing="0" w:line="24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snapToGrid w:val="0"/>
                      <w:color w:val="auto"/>
                      <w:sz w:val="21"/>
                      <w:szCs w:val="21"/>
                      <w:highlight w:val="none"/>
                    </w:rPr>
                    <w:t>规模/人口</w:t>
                  </w:r>
                </w:p>
              </w:tc>
              <w:tc>
                <w:tcPr>
                  <w:tcW w:w="428" w:type="pct"/>
                  <w:vMerge w:val="restart"/>
                  <w:vAlign w:val="center"/>
                </w:tcPr>
                <w:p w14:paraId="2FAAE4EB">
                  <w:pPr>
                    <w:keepNext w:val="0"/>
                    <w:keepLines w:val="0"/>
                    <w:pageBreakBefore w:val="0"/>
                    <w:widowControl w:val="0"/>
                    <w:kinsoku/>
                    <w:wordWrap w:val="0"/>
                    <w:overflowPunct/>
                    <w:bidi w:val="0"/>
                    <w:adjustRightInd w:val="0"/>
                    <w:snapToGrid/>
                    <w:spacing w:beforeAutospacing="0" w:afterAutospacing="0" w:line="24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保护对象</w:t>
                  </w:r>
                </w:p>
              </w:tc>
              <w:tc>
                <w:tcPr>
                  <w:tcW w:w="1207" w:type="pct"/>
                  <w:vMerge w:val="restart"/>
                  <w:vAlign w:val="center"/>
                </w:tcPr>
                <w:p w14:paraId="665F4C23">
                  <w:pPr>
                    <w:keepNext w:val="0"/>
                    <w:keepLines w:val="0"/>
                    <w:pageBreakBefore w:val="0"/>
                    <w:widowControl w:val="0"/>
                    <w:kinsoku/>
                    <w:wordWrap w:val="0"/>
                    <w:overflowPunct/>
                    <w:bidi w:val="0"/>
                    <w:adjustRightInd w:val="0"/>
                    <w:snapToGrid/>
                    <w:spacing w:beforeAutospacing="0" w:afterAutospacing="0" w:line="24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环境功能区</w:t>
                  </w:r>
                </w:p>
              </w:tc>
            </w:tr>
            <w:tr w14:paraId="371DD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326" w:type="pct"/>
                  <w:vMerge w:val="continue"/>
                  <w:vAlign w:val="center"/>
                </w:tcPr>
                <w:p w14:paraId="1FC97CC9">
                  <w:pPr>
                    <w:pStyle w:val="106"/>
                    <w:keepNext w:val="0"/>
                    <w:keepLines w:val="0"/>
                    <w:pageBreakBefore w:val="0"/>
                    <w:widowControl w:val="0"/>
                    <w:kinsoku/>
                    <w:wordWrap w:val="0"/>
                    <w:overflowPunct/>
                    <w:bidi w:val="0"/>
                    <w:snapToGrid/>
                    <w:spacing w:beforeAutospacing="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535" w:type="pct"/>
                  <w:vMerge w:val="continue"/>
                  <w:vAlign w:val="center"/>
                </w:tcPr>
                <w:p w14:paraId="7966319A">
                  <w:pPr>
                    <w:keepNext w:val="0"/>
                    <w:keepLines w:val="0"/>
                    <w:pageBreakBefore w:val="0"/>
                    <w:widowControl w:val="0"/>
                    <w:kinsoku/>
                    <w:wordWrap w:val="0"/>
                    <w:overflowPunct/>
                    <w:bidi w:val="0"/>
                    <w:adjustRightInd w:val="0"/>
                    <w:snapToGrid/>
                    <w:spacing w:beforeAutospacing="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356" w:type="pct"/>
                  <w:vAlign w:val="center"/>
                </w:tcPr>
                <w:p w14:paraId="5D93361B">
                  <w:pPr>
                    <w:pStyle w:val="108"/>
                    <w:keepNext w:val="0"/>
                    <w:keepLines w:val="0"/>
                    <w:pageBreakBefore w:val="0"/>
                    <w:widowControl w:val="0"/>
                    <w:kinsoku/>
                    <w:wordWrap w:val="0"/>
                    <w:overflowPunct/>
                    <w:bidi w:val="0"/>
                    <w:adjustRightInd w:val="0"/>
                    <w:snapToGrid/>
                    <w:spacing w:beforeAutospacing="0" w:afterAutospacing="0" w:line="240" w:lineRule="auto"/>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X</w:t>
                  </w:r>
                </w:p>
              </w:tc>
              <w:tc>
                <w:tcPr>
                  <w:tcW w:w="409" w:type="pct"/>
                  <w:vAlign w:val="center"/>
                </w:tcPr>
                <w:p w14:paraId="6FCCBA30">
                  <w:pPr>
                    <w:pStyle w:val="108"/>
                    <w:keepNext w:val="0"/>
                    <w:keepLines w:val="0"/>
                    <w:pageBreakBefore w:val="0"/>
                    <w:widowControl w:val="0"/>
                    <w:kinsoku/>
                    <w:wordWrap w:val="0"/>
                    <w:overflowPunct/>
                    <w:bidi w:val="0"/>
                    <w:adjustRightInd w:val="0"/>
                    <w:snapToGrid/>
                    <w:spacing w:beforeAutospacing="0" w:afterAutospacing="0" w:line="240" w:lineRule="auto"/>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Y</w:t>
                  </w:r>
                </w:p>
              </w:tc>
              <w:tc>
                <w:tcPr>
                  <w:tcW w:w="528" w:type="pct"/>
                  <w:vMerge w:val="continue"/>
                  <w:vAlign w:val="center"/>
                </w:tcPr>
                <w:p w14:paraId="4DBCD328">
                  <w:pPr>
                    <w:pStyle w:val="107"/>
                    <w:keepNext w:val="0"/>
                    <w:keepLines w:val="0"/>
                    <w:pageBreakBefore w:val="0"/>
                    <w:widowControl w:val="0"/>
                    <w:kinsoku/>
                    <w:wordWrap w:val="0"/>
                    <w:overflowPunct/>
                    <w:autoSpaceDE/>
                    <w:autoSpaceDN/>
                    <w:bidi w:val="0"/>
                    <w:snapToGrid/>
                    <w:spacing w:beforeAutospacing="0" w:afterAutospacing="0" w:line="240" w:lineRule="auto"/>
                    <w:textAlignment w:val="auto"/>
                    <w:rPr>
                      <w:rFonts w:hint="default" w:ascii="Times New Roman" w:hAnsi="Times New Roman" w:eastAsia="宋体" w:cs="Times New Roman"/>
                      <w:color w:val="auto"/>
                      <w:kern w:val="2"/>
                      <w:sz w:val="21"/>
                      <w:szCs w:val="21"/>
                      <w:highlight w:val="none"/>
                    </w:rPr>
                  </w:pPr>
                </w:p>
              </w:tc>
              <w:tc>
                <w:tcPr>
                  <w:tcW w:w="726" w:type="pct"/>
                  <w:vMerge w:val="continue"/>
                  <w:vAlign w:val="center"/>
                </w:tcPr>
                <w:p w14:paraId="3BCCF414">
                  <w:pPr>
                    <w:keepNext w:val="0"/>
                    <w:keepLines w:val="0"/>
                    <w:pageBreakBefore w:val="0"/>
                    <w:widowControl w:val="0"/>
                    <w:kinsoku/>
                    <w:wordWrap w:val="0"/>
                    <w:overflowPunct/>
                    <w:bidi w:val="0"/>
                    <w:adjustRightInd w:val="0"/>
                    <w:snapToGrid/>
                    <w:spacing w:beforeAutospacing="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481" w:type="pct"/>
                  <w:vMerge w:val="continue"/>
                  <w:vAlign w:val="center"/>
                </w:tcPr>
                <w:p w14:paraId="75A4A548">
                  <w:pPr>
                    <w:keepNext w:val="0"/>
                    <w:keepLines w:val="0"/>
                    <w:pageBreakBefore w:val="0"/>
                    <w:widowControl w:val="0"/>
                    <w:kinsoku/>
                    <w:wordWrap w:val="0"/>
                    <w:overflowPunct/>
                    <w:bidi w:val="0"/>
                    <w:adjustRightInd w:val="0"/>
                    <w:snapToGrid/>
                    <w:spacing w:beforeAutospacing="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428" w:type="pct"/>
                  <w:vMerge w:val="continue"/>
                  <w:vAlign w:val="center"/>
                </w:tcPr>
                <w:p w14:paraId="0C60BAF8">
                  <w:pPr>
                    <w:keepNext w:val="0"/>
                    <w:keepLines w:val="0"/>
                    <w:pageBreakBefore w:val="0"/>
                    <w:widowControl w:val="0"/>
                    <w:kinsoku/>
                    <w:wordWrap w:val="0"/>
                    <w:overflowPunct/>
                    <w:bidi w:val="0"/>
                    <w:adjustRightInd w:val="0"/>
                    <w:snapToGrid/>
                    <w:spacing w:beforeAutospacing="0" w:afterAutospacing="0" w:line="240" w:lineRule="auto"/>
                    <w:jc w:val="center"/>
                    <w:textAlignment w:val="auto"/>
                    <w:rPr>
                      <w:rFonts w:hint="default" w:ascii="Times New Roman" w:hAnsi="Times New Roman" w:eastAsia="宋体" w:cs="Times New Roman"/>
                      <w:color w:val="auto"/>
                      <w:sz w:val="21"/>
                      <w:szCs w:val="21"/>
                      <w:highlight w:val="none"/>
                    </w:rPr>
                  </w:pPr>
                </w:p>
              </w:tc>
              <w:tc>
                <w:tcPr>
                  <w:tcW w:w="1207" w:type="pct"/>
                  <w:vMerge w:val="continue"/>
                  <w:vAlign w:val="center"/>
                </w:tcPr>
                <w:p w14:paraId="3B4F9B4B">
                  <w:pPr>
                    <w:keepNext w:val="0"/>
                    <w:keepLines w:val="0"/>
                    <w:pageBreakBefore w:val="0"/>
                    <w:widowControl w:val="0"/>
                    <w:kinsoku/>
                    <w:wordWrap w:val="0"/>
                    <w:overflowPunct/>
                    <w:bidi w:val="0"/>
                    <w:adjustRightInd w:val="0"/>
                    <w:snapToGrid/>
                    <w:spacing w:beforeAutospacing="0" w:afterAutospacing="0" w:line="240" w:lineRule="auto"/>
                    <w:jc w:val="center"/>
                    <w:textAlignment w:val="auto"/>
                    <w:rPr>
                      <w:rFonts w:hint="default" w:ascii="Times New Roman" w:hAnsi="Times New Roman" w:eastAsia="宋体" w:cs="Times New Roman"/>
                      <w:color w:val="auto"/>
                      <w:sz w:val="21"/>
                      <w:szCs w:val="21"/>
                      <w:highlight w:val="none"/>
                    </w:rPr>
                  </w:pPr>
                </w:p>
              </w:tc>
            </w:tr>
            <w:tr w14:paraId="2DF0B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326" w:type="pct"/>
                  <w:vAlign w:val="center"/>
                </w:tcPr>
                <w:p w14:paraId="459C93D7">
                  <w:pPr>
                    <w:keepNext w:val="0"/>
                    <w:keepLines w:val="0"/>
                    <w:pageBreakBefore w:val="0"/>
                    <w:widowControl w:val="0"/>
                    <w:kinsoku/>
                    <w:wordWrap w:val="0"/>
                    <w:overflowPunct/>
                    <w:bidi w:val="0"/>
                    <w:adjustRightInd w:val="0"/>
                    <w:snapToGrid/>
                    <w:spacing w:beforeAutospacing="0" w:afterAutospacing="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535" w:type="pct"/>
                  <w:vAlign w:val="center"/>
                </w:tcPr>
                <w:p w14:paraId="4D7B0791">
                  <w:pPr>
                    <w:pStyle w:val="109"/>
                    <w:keepNext w:val="0"/>
                    <w:keepLines w:val="0"/>
                    <w:pageBreakBefore w:val="0"/>
                    <w:widowControl w:val="0"/>
                    <w:kinsoku/>
                    <w:wordWrap w:val="0"/>
                    <w:overflowPunct/>
                    <w:bidi w:val="0"/>
                    <w:snapToGrid/>
                    <w:spacing w:beforeAutospacing="0" w:afterAutospacing="0" w:line="240" w:lineRule="auto"/>
                    <w:textAlignment w:val="auto"/>
                    <w:rPr>
                      <w:rFonts w:hint="default" w:ascii="Times New Roman" w:hAnsi="Times New Roman" w:eastAsia="宋体" w:cs="Times New Roman"/>
                      <w:color w:val="auto"/>
                      <w:spacing w:val="-2"/>
                      <w:kern w:val="2"/>
                      <w:sz w:val="21"/>
                      <w:szCs w:val="21"/>
                      <w:highlight w:val="none"/>
                      <w:lang w:val="en-US" w:eastAsia="zh-CN" w:bidi="ar-SA"/>
                    </w:rPr>
                  </w:pPr>
                  <w:r>
                    <w:rPr>
                      <w:rFonts w:hint="eastAsia" w:cs="Times New Roman"/>
                      <w:color w:val="auto"/>
                      <w:spacing w:val="-2"/>
                      <w:sz w:val="21"/>
                      <w:szCs w:val="21"/>
                      <w:highlight w:val="none"/>
                      <w:lang w:val="en-US" w:eastAsia="zh-CN"/>
                    </w:rPr>
                    <w:t>大岭背村</w:t>
                  </w:r>
                </w:p>
              </w:tc>
              <w:tc>
                <w:tcPr>
                  <w:tcW w:w="356" w:type="pct"/>
                  <w:vAlign w:val="center"/>
                </w:tcPr>
                <w:p w14:paraId="340438B1">
                  <w:pPr>
                    <w:keepNext w:val="0"/>
                    <w:keepLines w:val="0"/>
                    <w:pageBreakBefore w:val="0"/>
                    <w:widowControl w:val="0"/>
                    <w:kinsoku/>
                    <w:wordWrap w:val="0"/>
                    <w:overflowPunct/>
                    <w:bidi w:val="0"/>
                    <w:snapToGrid/>
                    <w:spacing w:beforeAutospacing="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-310</w:t>
                  </w:r>
                </w:p>
              </w:tc>
              <w:tc>
                <w:tcPr>
                  <w:tcW w:w="409" w:type="pct"/>
                  <w:vAlign w:val="center"/>
                </w:tcPr>
                <w:p w14:paraId="0DFE6385">
                  <w:pPr>
                    <w:keepNext w:val="0"/>
                    <w:keepLines w:val="0"/>
                    <w:pageBreakBefore w:val="0"/>
                    <w:widowControl w:val="0"/>
                    <w:kinsoku/>
                    <w:wordWrap w:val="0"/>
                    <w:overflowPunct/>
                    <w:bidi w:val="0"/>
                    <w:snapToGrid/>
                    <w:spacing w:beforeAutospacing="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104</w:t>
                  </w:r>
                </w:p>
              </w:tc>
              <w:tc>
                <w:tcPr>
                  <w:tcW w:w="528" w:type="pct"/>
                  <w:vAlign w:val="center"/>
                </w:tcPr>
                <w:p w14:paraId="4592F70C">
                  <w:pPr>
                    <w:pStyle w:val="109"/>
                    <w:keepNext w:val="0"/>
                    <w:keepLines w:val="0"/>
                    <w:pageBreakBefore w:val="0"/>
                    <w:widowControl w:val="0"/>
                    <w:kinsoku/>
                    <w:wordWrap w:val="0"/>
                    <w:overflowPunct/>
                    <w:bidi w:val="0"/>
                    <w:snapToGrid/>
                    <w:spacing w:beforeAutospacing="0" w:afterAutospacing="0" w:line="240" w:lineRule="auto"/>
                    <w:textAlignment w:val="auto"/>
                    <w:rPr>
                      <w:rFonts w:hint="default" w:ascii="Times New Roman" w:hAnsi="Times New Roman" w:eastAsia="宋体" w:cs="Times New Roman"/>
                      <w:snapToGrid w:val="0"/>
                      <w:color w:val="auto"/>
                      <w:spacing w:val="-2"/>
                      <w:kern w:val="2"/>
                      <w:sz w:val="21"/>
                      <w:szCs w:val="21"/>
                      <w:highlight w:val="none"/>
                      <w:lang w:val="en-US" w:eastAsia="zh-CN" w:bidi="ar-SA"/>
                    </w:rPr>
                  </w:pPr>
                  <w:r>
                    <w:rPr>
                      <w:rFonts w:hint="eastAsia" w:cs="Times New Roman"/>
                      <w:snapToGrid w:val="0"/>
                      <w:color w:val="auto"/>
                      <w:spacing w:val="-2"/>
                      <w:sz w:val="21"/>
                      <w:szCs w:val="21"/>
                      <w:highlight w:val="none"/>
                      <w:lang w:val="en-US" w:eastAsia="zh-CN"/>
                    </w:rPr>
                    <w:t>西北</w:t>
                  </w:r>
                </w:p>
              </w:tc>
              <w:tc>
                <w:tcPr>
                  <w:tcW w:w="726" w:type="pct"/>
                  <w:vAlign w:val="center"/>
                </w:tcPr>
                <w:p w14:paraId="28EB02B7">
                  <w:pPr>
                    <w:keepNext w:val="0"/>
                    <w:keepLines w:val="0"/>
                    <w:pageBreakBefore w:val="0"/>
                    <w:widowControl w:val="0"/>
                    <w:kinsoku/>
                    <w:wordWrap w:val="0"/>
                    <w:overflowPunct/>
                    <w:bidi w:val="0"/>
                    <w:snapToGrid/>
                    <w:spacing w:beforeAutospacing="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327</w:t>
                  </w:r>
                </w:p>
              </w:tc>
              <w:tc>
                <w:tcPr>
                  <w:tcW w:w="481" w:type="pct"/>
                  <w:vAlign w:val="center"/>
                </w:tcPr>
                <w:p w14:paraId="75B156A0">
                  <w:pPr>
                    <w:pStyle w:val="109"/>
                    <w:keepNext w:val="0"/>
                    <w:keepLines w:val="0"/>
                    <w:pageBreakBefore w:val="0"/>
                    <w:widowControl w:val="0"/>
                    <w:kinsoku/>
                    <w:wordWrap w:val="0"/>
                    <w:overflowPunct/>
                    <w:bidi w:val="0"/>
                    <w:snapToGrid/>
                    <w:spacing w:beforeAutospacing="0" w:afterAutospacing="0" w:line="240" w:lineRule="auto"/>
                    <w:textAlignment w:val="auto"/>
                    <w:rPr>
                      <w:rFonts w:hint="default" w:ascii="Times New Roman" w:hAnsi="Times New Roman" w:eastAsia="宋体" w:cs="Times New Roman"/>
                      <w:snapToGrid w:val="0"/>
                      <w:color w:val="auto"/>
                      <w:spacing w:val="-2"/>
                      <w:kern w:val="2"/>
                      <w:sz w:val="21"/>
                      <w:szCs w:val="21"/>
                      <w:highlight w:val="none"/>
                      <w:lang w:val="en-US" w:eastAsia="zh-CN" w:bidi="ar-SA"/>
                    </w:rPr>
                  </w:pPr>
                  <w:r>
                    <w:rPr>
                      <w:rFonts w:hint="eastAsia" w:cs="Times New Roman"/>
                      <w:snapToGrid w:val="0"/>
                      <w:color w:val="auto"/>
                      <w:spacing w:val="-2"/>
                      <w:sz w:val="21"/>
                      <w:szCs w:val="21"/>
                      <w:highlight w:val="none"/>
                      <w:lang w:val="en-US" w:eastAsia="zh-CN"/>
                    </w:rPr>
                    <w:t>80</w:t>
                  </w:r>
                </w:p>
              </w:tc>
              <w:tc>
                <w:tcPr>
                  <w:tcW w:w="428" w:type="pct"/>
                  <w:vAlign w:val="center"/>
                </w:tcPr>
                <w:p w14:paraId="1A1CD181">
                  <w:pPr>
                    <w:pStyle w:val="110"/>
                    <w:keepNext w:val="0"/>
                    <w:keepLines w:val="0"/>
                    <w:pageBreakBefore w:val="0"/>
                    <w:widowControl w:val="0"/>
                    <w:kinsoku/>
                    <w:wordWrap w:val="0"/>
                    <w:overflowPunct/>
                    <w:bidi w:val="0"/>
                    <w:snapToGrid/>
                    <w:spacing w:beforeAutospacing="0" w:afterAutospacing="0" w:line="240" w:lineRule="auto"/>
                    <w:textAlignment w:val="auto"/>
                    <w:rPr>
                      <w:rFonts w:hint="default" w:ascii="Times New Roman" w:hAnsi="Times New Roman" w:eastAsia="宋体" w:cs="Times New Roman"/>
                      <w:snapToGrid w:val="0"/>
                      <w:color w:val="auto"/>
                      <w:kern w:val="2"/>
                      <w:position w:val="0"/>
                      <w:sz w:val="21"/>
                      <w:szCs w:val="21"/>
                      <w:highlight w:val="none"/>
                      <w:lang w:val="en-US" w:eastAsia="zh-CN" w:bidi="ar-SA"/>
                    </w:rPr>
                  </w:pPr>
                  <w:r>
                    <w:rPr>
                      <w:rFonts w:hint="default" w:ascii="Times New Roman" w:hAnsi="Times New Roman" w:eastAsia="宋体" w:cs="Times New Roman"/>
                      <w:snapToGrid w:val="0"/>
                      <w:color w:val="auto"/>
                      <w:kern w:val="2"/>
                      <w:position w:val="0"/>
                      <w:sz w:val="21"/>
                      <w:szCs w:val="21"/>
                      <w:highlight w:val="none"/>
                      <w:lang w:val="en-US" w:eastAsia="zh-CN"/>
                    </w:rPr>
                    <w:t>居民</w:t>
                  </w:r>
                </w:p>
              </w:tc>
              <w:tc>
                <w:tcPr>
                  <w:tcW w:w="1207" w:type="pct"/>
                  <w:vAlign w:val="center"/>
                </w:tcPr>
                <w:p w14:paraId="3FC7CE94">
                  <w:pPr>
                    <w:pStyle w:val="109"/>
                    <w:keepNext w:val="0"/>
                    <w:keepLines w:val="0"/>
                    <w:pageBreakBefore w:val="0"/>
                    <w:widowControl w:val="0"/>
                    <w:kinsoku/>
                    <w:wordWrap w:val="0"/>
                    <w:overflowPunct/>
                    <w:bidi w:val="0"/>
                    <w:snapToGrid/>
                    <w:spacing w:beforeAutospacing="0" w:afterAutospacing="0" w:line="240" w:lineRule="auto"/>
                    <w:textAlignment w:val="auto"/>
                    <w:rPr>
                      <w:rFonts w:hint="default" w:ascii="Times New Roman" w:hAnsi="Times New Roman" w:eastAsia="宋体" w:cs="Times New Roman"/>
                      <w:snapToGrid w:val="0"/>
                      <w:color w:val="auto"/>
                      <w:spacing w:val="-2"/>
                      <w:sz w:val="21"/>
                      <w:szCs w:val="21"/>
                      <w:highlight w:val="none"/>
                      <w:lang w:val="en-US" w:eastAsia="zh-CN"/>
                    </w:rPr>
                  </w:pPr>
                  <w:r>
                    <w:rPr>
                      <w:rFonts w:hint="default" w:ascii="Times New Roman" w:hAnsi="Times New Roman" w:eastAsia="宋体" w:cs="Times New Roman"/>
                      <w:snapToGrid w:val="0"/>
                      <w:color w:val="auto"/>
                      <w:spacing w:val="-2"/>
                      <w:sz w:val="21"/>
                      <w:szCs w:val="21"/>
                      <w:highlight w:val="none"/>
                      <w:lang w:val="en-US" w:eastAsia="zh-CN"/>
                    </w:rPr>
                    <w:t>大气环境二类功能区、声环境</w:t>
                  </w:r>
                  <w:r>
                    <w:rPr>
                      <w:rFonts w:hint="eastAsia" w:cs="Times New Roman"/>
                      <w:snapToGrid w:val="0"/>
                      <w:color w:val="auto"/>
                      <w:spacing w:val="-2"/>
                      <w:sz w:val="21"/>
                      <w:szCs w:val="21"/>
                      <w:highlight w:val="none"/>
                      <w:lang w:val="en-US" w:eastAsia="zh-CN"/>
                    </w:rPr>
                    <w:t>2</w:t>
                  </w:r>
                  <w:r>
                    <w:rPr>
                      <w:rFonts w:hint="default" w:ascii="Times New Roman" w:hAnsi="Times New Roman" w:eastAsia="宋体" w:cs="Times New Roman"/>
                      <w:snapToGrid w:val="0"/>
                      <w:color w:val="auto"/>
                      <w:spacing w:val="-2"/>
                      <w:sz w:val="21"/>
                      <w:szCs w:val="21"/>
                      <w:highlight w:val="none"/>
                      <w:lang w:val="en-US" w:eastAsia="zh-CN"/>
                    </w:rPr>
                    <w:t>类功能区</w:t>
                  </w:r>
                </w:p>
              </w:tc>
            </w:tr>
            <w:tr w14:paraId="3FCA5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326" w:type="pct"/>
                  <w:vAlign w:val="center"/>
                </w:tcPr>
                <w:p w14:paraId="76D960F1">
                  <w:pPr>
                    <w:keepNext w:val="0"/>
                    <w:keepLines w:val="0"/>
                    <w:pageBreakBefore w:val="0"/>
                    <w:widowControl w:val="0"/>
                    <w:kinsoku/>
                    <w:wordWrap w:val="0"/>
                    <w:overflowPunct/>
                    <w:bidi w:val="0"/>
                    <w:adjustRightInd w:val="0"/>
                    <w:snapToGrid/>
                    <w:spacing w:beforeAutospacing="0" w:afterAutospacing="0"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535" w:type="pct"/>
                  <w:vAlign w:val="center"/>
                </w:tcPr>
                <w:p w14:paraId="14384994">
                  <w:pPr>
                    <w:pStyle w:val="109"/>
                    <w:keepNext w:val="0"/>
                    <w:keepLines w:val="0"/>
                    <w:pageBreakBefore w:val="0"/>
                    <w:widowControl w:val="0"/>
                    <w:kinsoku/>
                    <w:wordWrap w:val="0"/>
                    <w:overflowPunct/>
                    <w:bidi w:val="0"/>
                    <w:snapToGrid/>
                    <w:spacing w:beforeAutospacing="0" w:afterAutospacing="0" w:line="240" w:lineRule="auto"/>
                    <w:textAlignment w:val="auto"/>
                    <w:rPr>
                      <w:rFonts w:hint="default" w:cs="Times New Roman"/>
                      <w:color w:val="auto"/>
                      <w:spacing w:val="-2"/>
                      <w:sz w:val="21"/>
                      <w:szCs w:val="21"/>
                      <w:highlight w:val="none"/>
                      <w:lang w:val="en-US" w:eastAsia="zh-CN"/>
                    </w:rPr>
                  </w:pPr>
                  <w:r>
                    <w:rPr>
                      <w:rFonts w:hint="eastAsia" w:cs="Times New Roman"/>
                      <w:color w:val="auto"/>
                      <w:spacing w:val="-2"/>
                      <w:sz w:val="21"/>
                      <w:szCs w:val="21"/>
                      <w:highlight w:val="none"/>
                      <w:lang w:val="en-US" w:eastAsia="zh-CN"/>
                    </w:rPr>
                    <w:t>规划居住区</w:t>
                  </w:r>
                </w:p>
              </w:tc>
              <w:tc>
                <w:tcPr>
                  <w:tcW w:w="559" w:type="dxa"/>
                  <w:vAlign w:val="center"/>
                </w:tcPr>
                <w:p w14:paraId="391267AB">
                  <w:pPr>
                    <w:keepNext w:val="0"/>
                    <w:keepLines w:val="0"/>
                    <w:pageBreakBefore w:val="0"/>
                    <w:widowControl w:val="0"/>
                    <w:kinsoku/>
                    <w:wordWrap w:val="0"/>
                    <w:overflowPunct/>
                    <w:bidi w:val="0"/>
                    <w:snapToGrid/>
                    <w:spacing w:beforeAutospacing="0" w:afterAutospacing="0" w:line="240" w:lineRule="auto"/>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170</w:t>
                  </w:r>
                </w:p>
              </w:tc>
              <w:tc>
                <w:tcPr>
                  <w:tcW w:w="642" w:type="dxa"/>
                  <w:vAlign w:val="center"/>
                </w:tcPr>
                <w:p w14:paraId="2AF67987">
                  <w:pPr>
                    <w:keepNext w:val="0"/>
                    <w:keepLines w:val="0"/>
                    <w:pageBreakBefore w:val="0"/>
                    <w:widowControl w:val="0"/>
                    <w:kinsoku/>
                    <w:wordWrap w:val="0"/>
                    <w:overflowPunct/>
                    <w:bidi w:val="0"/>
                    <w:snapToGrid/>
                    <w:spacing w:beforeAutospacing="0" w:afterAutospacing="0" w:line="240" w:lineRule="auto"/>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528" w:type="pct"/>
                  <w:vAlign w:val="center"/>
                </w:tcPr>
                <w:p w14:paraId="78D70C79">
                  <w:pPr>
                    <w:pStyle w:val="109"/>
                    <w:keepNext w:val="0"/>
                    <w:keepLines w:val="0"/>
                    <w:pageBreakBefore w:val="0"/>
                    <w:widowControl w:val="0"/>
                    <w:kinsoku/>
                    <w:wordWrap w:val="0"/>
                    <w:overflowPunct/>
                    <w:bidi w:val="0"/>
                    <w:snapToGrid/>
                    <w:spacing w:beforeAutospacing="0" w:afterAutospacing="0" w:line="240" w:lineRule="auto"/>
                    <w:textAlignment w:val="auto"/>
                    <w:rPr>
                      <w:rFonts w:hint="default" w:cs="Times New Roman"/>
                      <w:snapToGrid w:val="0"/>
                      <w:color w:val="auto"/>
                      <w:spacing w:val="-2"/>
                      <w:sz w:val="21"/>
                      <w:szCs w:val="21"/>
                      <w:highlight w:val="none"/>
                      <w:lang w:val="en-US" w:eastAsia="zh-CN"/>
                    </w:rPr>
                  </w:pPr>
                  <w:r>
                    <w:rPr>
                      <w:rFonts w:hint="eastAsia" w:cs="Times New Roman"/>
                      <w:snapToGrid w:val="0"/>
                      <w:color w:val="auto"/>
                      <w:spacing w:val="-2"/>
                      <w:sz w:val="21"/>
                      <w:szCs w:val="21"/>
                      <w:highlight w:val="none"/>
                      <w:lang w:val="en-US" w:eastAsia="zh-CN"/>
                    </w:rPr>
                    <w:t>北</w:t>
                  </w:r>
                </w:p>
              </w:tc>
              <w:tc>
                <w:tcPr>
                  <w:tcW w:w="726" w:type="pct"/>
                  <w:vAlign w:val="center"/>
                </w:tcPr>
                <w:p w14:paraId="25DD5BCC">
                  <w:pPr>
                    <w:keepNext w:val="0"/>
                    <w:keepLines w:val="0"/>
                    <w:pageBreakBefore w:val="0"/>
                    <w:widowControl w:val="0"/>
                    <w:kinsoku/>
                    <w:wordWrap w:val="0"/>
                    <w:overflowPunct/>
                    <w:bidi w:val="0"/>
                    <w:snapToGrid/>
                    <w:spacing w:beforeAutospacing="0" w:afterAutospacing="0"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170</w:t>
                  </w:r>
                </w:p>
              </w:tc>
              <w:tc>
                <w:tcPr>
                  <w:tcW w:w="481" w:type="pct"/>
                  <w:vAlign w:val="center"/>
                </w:tcPr>
                <w:p w14:paraId="620B4638">
                  <w:pPr>
                    <w:pStyle w:val="109"/>
                    <w:keepNext w:val="0"/>
                    <w:keepLines w:val="0"/>
                    <w:pageBreakBefore w:val="0"/>
                    <w:widowControl w:val="0"/>
                    <w:kinsoku/>
                    <w:wordWrap w:val="0"/>
                    <w:overflowPunct/>
                    <w:bidi w:val="0"/>
                    <w:snapToGrid/>
                    <w:spacing w:beforeAutospacing="0" w:afterAutospacing="0" w:line="240" w:lineRule="auto"/>
                    <w:textAlignment w:val="auto"/>
                    <w:rPr>
                      <w:rFonts w:hint="default" w:cs="Times New Roman"/>
                      <w:snapToGrid w:val="0"/>
                      <w:color w:val="auto"/>
                      <w:spacing w:val="-2"/>
                      <w:sz w:val="21"/>
                      <w:szCs w:val="21"/>
                      <w:highlight w:val="none"/>
                      <w:lang w:val="en-US" w:eastAsia="zh-CN"/>
                    </w:rPr>
                  </w:pPr>
                  <w:r>
                    <w:rPr>
                      <w:rFonts w:hint="eastAsia" w:cs="Times New Roman"/>
                      <w:snapToGrid w:val="0"/>
                      <w:color w:val="auto"/>
                      <w:spacing w:val="-2"/>
                      <w:sz w:val="21"/>
                      <w:szCs w:val="21"/>
                      <w:highlight w:val="none"/>
                      <w:lang w:val="en-US" w:eastAsia="zh-CN"/>
                    </w:rPr>
                    <w:t>38300</w:t>
                  </w:r>
                </w:p>
              </w:tc>
              <w:tc>
                <w:tcPr>
                  <w:tcW w:w="672" w:type="dxa"/>
                  <w:vAlign w:val="center"/>
                </w:tcPr>
                <w:p w14:paraId="53F352E2">
                  <w:pPr>
                    <w:pStyle w:val="110"/>
                    <w:keepNext w:val="0"/>
                    <w:keepLines w:val="0"/>
                    <w:pageBreakBefore w:val="0"/>
                    <w:widowControl w:val="0"/>
                    <w:kinsoku/>
                    <w:wordWrap w:val="0"/>
                    <w:overflowPunct/>
                    <w:bidi w:val="0"/>
                    <w:snapToGrid/>
                    <w:spacing w:beforeAutospacing="0" w:afterAutospacing="0" w:line="240" w:lineRule="auto"/>
                    <w:textAlignment w:val="auto"/>
                    <w:rPr>
                      <w:rFonts w:hint="default" w:ascii="Times New Roman" w:hAnsi="Times New Roman" w:eastAsia="宋体" w:cs="Times New Roman"/>
                      <w:snapToGrid w:val="0"/>
                      <w:color w:val="auto"/>
                      <w:kern w:val="2"/>
                      <w:position w:val="0"/>
                      <w:sz w:val="21"/>
                      <w:szCs w:val="21"/>
                      <w:highlight w:val="none"/>
                      <w:lang w:val="en-US" w:eastAsia="zh-CN"/>
                    </w:rPr>
                  </w:pPr>
                  <w:r>
                    <w:rPr>
                      <w:rFonts w:hint="default" w:ascii="Times New Roman" w:hAnsi="Times New Roman" w:eastAsia="宋体" w:cs="Times New Roman"/>
                      <w:snapToGrid w:val="0"/>
                      <w:color w:val="auto"/>
                      <w:kern w:val="2"/>
                      <w:position w:val="0"/>
                      <w:sz w:val="21"/>
                      <w:szCs w:val="21"/>
                      <w:highlight w:val="none"/>
                      <w:lang w:val="en-US" w:eastAsia="zh-CN"/>
                    </w:rPr>
                    <w:t>居民</w:t>
                  </w:r>
                </w:p>
              </w:tc>
              <w:tc>
                <w:tcPr>
                  <w:tcW w:w="1901" w:type="dxa"/>
                  <w:vAlign w:val="center"/>
                </w:tcPr>
                <w:p w14:paraId="3FFE728A">
                  <w:pPr>
                    <w:pStyle w:val="109"/>
                    <w:keepNext w:val="0"/>
                    <w:keepLines w:val="0"/>
                    <w:pageBreakBefore w:val="0"/>
                    <w:widowControl w:val="0"/>
                    <w:kinsoku/>
                    <w:wordWrap w:val="0"/>
                    <w:overflowPunct/>
                    <w:bidi w:val="0"/>
                    <w:snapToGrid/>
                    <w:spacing w:beforeAutospacing="0" w:afterAutospacing="0" w:line="240" w:lineRule="auto"/>
                    <w:textAlignment w:val="auto"/>
                    <w:rPr>
                      <w:rFonts w:hint="default" w:ascii="Times New Roman" w:hAnsi="Times New Roman" w:eastAsia="宋体" w:cs="Times New Roman"/>
                      <w:snapToGrid w:val="0"/>
                      <w:color w:val="auto"/>
                      <w:spacing w:val="-2"/>
                      <w:sz w:val="21"/>
                      <w:szCs w:val="21"/>
                      <w:highlight w:val="none"/>
                      <w:lang w:val="en-US" w:eastAsia="zh-CN"/>
                    </w:rPr>
                  </w:pPr>
                  <w:r>
                    <w:rPr>
                      <w:rFonts w:hint="default" w:ascii="Times New Roman" w:hAnsi="Times New Roman" w:eastAsia="宋体" w:cs="Times New Roman"/>
                      <w:snapToGrid w:val="0"/>
                      <w:color w:val="auto"/>
                      <w:spacing w:val="-2"/>
                      <w:sz w:val="21"/>
                      <w:szCs w:val="21"/>
                      <w:highlight w:val="none"/>
                      <w:lang w:val="en-US" w:eastAsia="zh-CN"/>
                    </w:rPr>
                    <w:t>大气环境二类功能区、声环境</w:t>
                  </w:r>
                  <w:r>
                    <w:rPr>
                      <w:rFonts w:hint="eastAsia" w:cs="Times New Roman"/>
                      <w:snapToGrid w:val="0"/>
                      <w:color w:val="auto"/>
                      <w:spacing w:val="-2"/>
                      <w:sz w:val="21"/>
                      <w:szCs w:val="21"/>
                      <w:highlight w:val="none"/>
                      <w:lang w:val="en-US" w:eastAsia="zh-CN"/>
                    </w:rPr>
                    <w:t>2</w:t>
                  </w:r>
                  <w:r>
                    <w:rPr>
                      <w:rFonts w:hint="default" w:ascii="Times New Roman" w:hAnsi="Times New Roman" w:eastAsia="宋体" w:cs="Times New Roman"/>
                      <w:snapToGrid w:val="0"/>
                      <w:color w:val="auto"/>
                      <w:spacing w:val="-2"/>
                      <w:sz w:val="21"/>
                      <w:szCs w:val="21"/>
                      <w:highlight w:val="none"/>
                      <w:lang w:val="en-US" w:eastAsia="zh-CN"/>
                    </w:rPr>
                    <w:t>类功能区</w:t>
                  </w:r>
                </w:p>
              </w:tc>
            </w:tr>
            <w:tr w14:paraId="0B909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5000" w:type="pct"/>
                  <w:gridSpan w:val="9"/>
                  <w:vAlign w:val="center"/>
                </w:tcPr>
                <w:p w14:paraId="2494EEAA">
                  <w:pPr>
                    <w:pStyle w:val="109"/>
                    <w:keepNext w:val="0"/>
                    <w:keepLines w:val="0"/>
                    <w:pageBreakBefore w:val="0"/>
                    <w:widowControl w:val="0"/>
                    <w:kinsoku/>
                    <w:wordWrap w:val="0"/>
                    <w:overflowPunct/>
                    <w:bidi w:val="0"/>
                    <w:snapToGrid/>
                    <w:spacing w:beforeAutospacing="0" w:afterAutospacing="0" w:line="240" w:lineRule="auto"/>
                    <w:jc w:val="left"/>
                    <w:textAlignment w:val="auto"/>
                    <w:rPr>
                      <w:rFonts w:hint="eastAsia" w:cs="Times New Roman"/>
                      <w:snapToGrid w:val="0"/>
                      <w:color w:val="auto"/>
                      <w:spacing w:val="-2"/>
                      <w:sz w:val="21"/>
                      <w:szCs w:val="21"/>
                      <w:highlight w:val="none"/>
                      <w:lang w:val="en-US" w:eastAsia="zh-CN"/>
                    </w:rPr>
                  </w:pPr>
                  <w:r>
                    <w:rPr>
                      <w:rFonts w:hint="default" w:ascii="Times New Roman" w:hAnsi="Times New Roman" w:eastAsia="宋体" w:cs="Times New Roman"/>
                      <w:snapToGrid w:val="0"/>
                      <w:color w:val="auto"/>
                      <w:spacing w:val="-2"/>
                      <w:sz w:val="21"/>
                      <w:szCs w:val="21"/>
                      <w:highlight w:val="none"/>
                      <w:lang w:val="en-US" w:eastAsia="zh-CN"/>
                    </w:rPr>
                    <w:t>注：</w:t>
                  </w:r>
                  <w:r>
                    <w:rPr>
                      <w:rFonts w:hint="eastAsia" w:cs="Times New Roman"/>
                      <w:snapToGrid w:val="0"/>
                      <w:color w:val="auto"/>
                      <w:spacing w:val="-2"/>
                      <w:sz w:val="21"/>
                      <w:szCs w:val="21"/>
                      <w:highlight w:val="none"/>
                      <w:lang w:val="en-US" w:eastAsia="zh-CN"/>
                    </w:rPr>
                    <w:t>1、</w:t>
                  </w:r>
                  <w:r>
                    <w:rPr>
                      <w:rFonts w:hint="default" w:ascii="Times New Roman" w:hAnsi="Times New Roman" w:eastAsia="宋体" w:cs="Times New Roman"/>
                      <w:snapToGrid w:val="0"/>
                      <w:color w:val="auto"/>
                      <w:spacing w:val="-2"/>
                      <w:sz w:val="21"/>
                      <w:szCs w:val="21"/>
                      <w:highlight w:val="none"/>
                      <w:lang w:val="en-US" w:eastAsia="zh-CN"/>
                    </w:rPr>
                    <w:t>本项目以厂区几何中心作为坐标原点（0，0）</w:t>
                  </w:r>
                  <w:r>
                    <w:rPr>
                      <w:rFonts w:hint="eastAsia" w:cs="Times New Roman"/>
                      <w:snapToGrid w:val="0"/>
                      <w:color w:val="auto"/>
                      <w:spacing w:val="-2"/>
                      <w:sz w:val="21"/>
                      <w:szCs w:val="21"/>
                      <w:highlight w:val="none"/>
                      <w:lang w:val="en-US" w:eastAsia="zh-CN"/>
                    </w:rPr>
                    <w:t>；</w:t>
                  </w:r>
                </w:p>
                <w:p w14:paraId="68E96009">
                  <w:pPr>
                    <w:pStyle w:val="109"/>
                    <w:keepNext w:val="0"/>
                    <w:keepLines w:val="0"/>
                    <w:pageBreakBefore w:val="0"/>
                    <w:widowControl w:val="0"/>
                    <w:kinsoku/>
                    <w:wordWrap w:val="0"/>
                    <w:overflowPunct/>
                    <w:bidi w:val="0"/>
                    <w:snapToGrid/>
                    <w:spacing w:beforeAutospacing="0" w:afterAutospacing="0" w:line="240" w:lineRule="auto"/>
                    <w:ind w:firstLine="412" w:firstLineChars="200"/>
                    <w:jc w:val="left"/>
                    <w:textAlignment w:val="auto"/>
                    <w:rPr>
                      <w:rFonts w:hint="default" w:ascii="Times New Roman" w:hAnsi="Times New Roman" w:eastAsia="宋体" w:cs="Times New Roman"/>
                      <w:snapToGrid w:val="0"/>
                      <w:color w:val="auto"/>
                      <w:spacing w:val="-2"/>
                      <w:sz w:val="21"/>
                      <w:szCs w:val="21"/>
                      <w:highlight w:val="none"/>
                      <w:lang w:val="en-US" w:eastAsia="zh-CN"/>
                    </w:rPr>
                  </w:pPr>
                  <w:r>
                    <w:rPr>
                      <w:rFonts w:hint="eastAsia" w:cs="Times New Roman"/>
                      <w:snapToGrid w:val="0"/>
                      <w:color w:val="auto"/>
                      <w:spacing w:val="-2"/>
                      <w:sz w:val="21"/>
                      <w:szCs w:val="21"/>
                      <w:highlight w:val="none"/>
                      <w:lang w:val="en-US" w:eastAsia="zh-CN"/>
                    </w:rPr>
                    <w:t>2、规划居住区人口数来源于《韶关乐昌产业园区规划修编环境影响评价公众参与第二次信息公示》（http://www.lechang.gov.cn/kaifaqu/content/post_2693351.html）</w:t>
                  </w:r>
                </w:p>
              </w:tc>
            </w:tr>
          </w:tbl>
          <w:p w14:paraId="0478742F">
            <w:pPr>
              <w:pStyle w:val="9"/>
              <w:pageBreakBefore w:val="0"/>
              <w:numPr>
                <w:ilvl w:val="2"/>
                <w:numId w:val="0"/>
              </w:numPr>
              <w:wordWrap w:val="0"/>
              <w:overflowPunct/>
              <w:bidi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二、声环境保护目标</w:t>
            </w:r>
          </w:p>
          <w:p w14:paraId="6199FA0F">
            <w:pPr>
              <w:pageBreakBefore w:val="0"/>
              <w:wordWrap w:val="0"/>
              <w:overflowPunct/>
              <w:bidi w:val="0"/>
              <w:ind w:firstLine="480"/>
              <w:rPr>
                <w:rFonts w:hint="default" w:ascii="Times New Roman" w:hAnsi="Times New Roman" w:cs="Times New Roman"/>
                <w:color w:val="auto"/>
                <w:highlight w:val="none"/>
              </w:rPr>
            </w:pPr>
            <w:r>
              <w:rPr>
                <w:rFonts w:hint="default" w:ascii="Times New Roman" w:hAnsi="Times New Roman" w:cs="Times New Roman"/>
                <w:color w:val="auto"/>
                <w:szCs w:val="32"/>
                <w:highlight w:val="none"/>
              </w:rPr>
              <w:t>本项目</w:t>
            </w:r>
            <w:r>
              <w:rPr>
                <w:rFonts w:hint="default" w:ascii="Times New Roman" w:hAnsi="Times New Roman" w:cs="Times New Roman"/>
                <w:color w:val="auto"/>
                <w:highlight w:val="none"/>
              </w:rPr>
              <w:t>厂界外50米范围内无声环境保护目标。</w:t>
            </w:r>
          </w:p>
          <w:p w14:paraId="3568B790">
            <w:pPr>
              <w:pStyle w:val="9"/>
              <w:pageBreakBefore w:val="0"/>
              <w:numPr>
                <w:ilvl w:val="2"/>
                <w:numId w:val="0"/>
              </w:numPr>
              <w:wordWrap w:val="0"/>
              <w:overflowPunct/>
              <w:bidi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三、地下水环境保护目标</w:t>
            </w:r>
          </w:p>
          <w:p w14:paraId="6EB718A4">
            <w:pPr>
              <w:pageBreakBefore w:val="0"/>
              <w:wordWrap w:val="0"/>
              <w:overflowPunct/>
              <w:bidi w:val="0"/>
              <w:ind w:firstLine="480"/>
              <w:rPr>
                <w:rFonts w:hint="default" w:ascii="Times New Roman" w:hAnsi="Times New Roman" w:cs="Times New Roman"/>
                <w:color w:val="auto"/>
                <w:highlight w:val="none"/>
              </w:rPr>
            </w:pPr>
            <w:r>
              <w:rPr>
                <w:rFonts w:hint="default" w:ascii="Times New Roman" w:hAnsi="Times New Roman" w:cs="Times New Roman"/>
                <w:color w:val="auto"/>
                <w:szCs w:val="32"/>
                <w:highlight w:val="none"/>
              </w:rPr>
              <w:t>本</w:t>
            </w:r>
            <w:r>
              <w:rPr>
                <w:rFonts w:hint="default" w:ascii="Times New Roman" w:hAnsi="Times New Roman" w:cs="Times New Roman"/>
                <w:color w:val="auto"/>
                <w:highlight w:val="none"/>
              </w:rPr>
              <w:t>项目厂界外500米范围内无地下水集中式饮用水水源和热水、矿泉水、温泉等特殊地下水资源。</w:t>
            </w:r>
          </w:p>
          <w:p w14:paraId="52ACC5F5">
            <w:pPr>
              <w:pStyle w:val="9"/>
              <w:pageBreakBefore w:val="0"/>
              <w:numPr>
                <w:ilvl w:val="2"/>
                <w:numId w:val="0"/>
              </w:numPr>
              <w:wordWrap w:val="0"/>
              <w:overflowPunct/>
              <w:bidi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四、生态环境保护目标</w:t>
            </w:r>
          </w:p>
          <w:p w14:paraId="2220CDEB">
            <w:pPr>
              <w:pageBreakBefore w:val="0"/>
              <w:wordWrap w:val="0"/>
              <w:overflowPunct/>
              <w:bidi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保护本项目建设地块的生态环境，防止水土流失，使其能实现生态环境的良性循环，</w:t>
            </w:r>
            <w:r>
              <w:rPr>
                <w:rFonts w:hint="default" w:ascii="Times New Roman" w:hAnsi="Times New Roman" w:cs="Times New Roman"/>
                <w:color w:val="auto"/>
                <w:szCs w:val="32"/>
                <w:highlight w:val="none"/>
              </w:rPr>
              <w:t>不对现有的生态环境造成大面积的破坏。本项目所在区域</w:t>
            </w:r>
            <w:r>
              <w:rPr>
                <w:rFonts w:hint="default" w:ascii="Times New Roman" w:hAnsi="Times New Roman" w:cs="Times New Roman"/>
                <w:color w:val="auto"/>
                <w:highlight w:val="none"/>
              </w:rPr>
              <w:t>无生态环境保护目标。</w:t>
            </w:r>
          </w:p>
        </w:tc>
      </w:tr>
      <w:tr w14:paraId="351A9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8" w:hRule="atLeast"/>
        </w:trPr>
        <w:tc>
          <w:tcPr>
            <w:tcW w:w="262" w:type="pct"/>
            <w:vAlign w:val="center"/>
          </w:tcPr>
          <w:p w14:paraId="793F564A">
            <w:pPr>
              <w:keepNext w:val="0"/>
              <w:keepLines w:val="0"/>
              <w:pageBreakBefore w:val="0"/>
              <w:widowControl w:val="0"/>
              <w:numPr>
                <w:ilvl w:val="1"/>
                <w:numId w:val="0"/>
              </w:numPr>
              <w:tabs>
                <w:tab w:val="left" w:pos="420"/>
              </w:tabs>
              <w:kinsoku/>
              <w:wordWrap w:val="0"/>
              <w:overflowPunct/>
              <w:topLinePunct w:val="0"/>
              <w:autoSpaceDE/>
              <w:autoSpaceDN/>
              <w:bidi w:val="0"/>
              <w:adjustRightInd/>
              <w:snapToGrid/>
              <w:spacing w:line="240" w:lineRule="auto"/>
              <w:textAlignment w:val="auto"/>
              <w:outlineLvl w:val="9"/>
              <w:rPr>
                <w:rFonts w:hint="default" w:ascii="Times New Roman" w:hAnsi="Times New Roman" w:cs="Times New Roman"/>
                <w:color w:val="auto"/>
                <w:highlight w:val="none"/>
              </w:rPr>
            </w:pPr>
            <w:bookmarkStart w:id="75" w:name="_Toc8874"/>
            <w:bookmarkStart w:id="76" w:name="_Toc29246"/>
            <w:bookmarkStart w:id="77" w:name="_Toc10187"/>
            <w:bookmarkStart w:id="78" w:name="_Toc32736"/>
            <w:bookmarkStart w:id="79" w:name="_Toc14344"/>
            <w:bookmarkStart w:id="80" w:name="_Toc21959"/>
            <w:bookmarkStart w:id="81" w:name="_Toc27828"/>
            <w:bookmarkStart w:id="82" w:name="_Toc4596"/>
            <w:bookmarkStart w:id="83" w:name="_Toc2437"/>
            <w:bookmarkStart w:id="84" w:name="_Toc24161"/>
            <w:r>
              <w:rPr>
                <w:rFonts w:hint="default" w:ascii="Times New Roman" w:hAnsi="Times New Roman" w:eastAsia="宋体" w:cs="Times New Roman"/>
                <w:color w:val="auto"/>
                <w:kern w:val="2"/>
                <w:sz w:val="24"/>
                <w:szCs w:val="24"/>
                <w:highlight w:val="none"/>
                <w:lang w:val="en-US" w:eastAsia="zh-CN" w:bidi="ar-SA"/>
              </w:rPr>
              <w:t>污染物排放控制标准</w:t>
            </w:r>
            <w:bookmarkEnd w:id="75"/>
            <w:bookmarkEnd w:id="76"/>
            <w:bookmarkEnd w:id="77"/>
            <w:bookmarkEnd w:id="78"/>
            <w:bookmarkEnd w:id="79"/>
            <w:bookmarkEnd w:id="80"/>
            <w:bookmarkEnd w:id="81"/>
            <w:bookmarkEnd w:id="82"/>
            <w:bookmarkEnd w:id="83"/>
            <w:bookmarkEnd w:id="84"/>
          </w:p>
        </w:tc>
        <w:tc>
          <w:tcPr>
            <w:tcW w:w="4737" w:type="pct"/>
          </w:tcPr>
          <w:p w14:paraId="4E7AC4DB">
            <w:pPr>
              <w:keepNext/>
              <w:keepLines/>
              <w:pageBreakBefore w:val="0"/>
              <w:widowControl w:val="0"/>
              <w:numPr>
                <w:ilvl w:val="2"/>
                <w:numId w:val="0"/>
              </w:numPr>
              <w:wordWrap w:val="0"/>
              <w:overflowPunct/>
              <w:bidi w:val="0"/>
              <w:spacing w:line="360" w:lineRule="auto"/>
              <w:ind w:left="-2" w:leftChars="0" w:firstLine="482" w:firstLineChars="0"/>
              <w:jc w:val="both"/>
              <w:outlineLvl w:val="2"/>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一、废气排放标准</w:t>
            </w:r>
          </w:p>
          <w:p w14:paraId="74A34412">
            <w:pPr>
              <w:keepNext/>
              <w:keepLines/>
              <w:pageBreakBefore w:val="0"/>
              <w:widowControl w:val="0"/>
              <w:numPr>
                <w:ilvl w:val="2"/>
                <w:numId w:val="0"/>
              </w:numPr>
              <w:wordWrap w:val="0"/>
              <w:overflowPunct/>
              <w:bidi w:val="0"/>
              <w:spacing w:line="360" w:lineRule="auto"/>
              <w:ind w:firstLine="480" w:firstLineChars="200"/>
              <w:jc w:val="both"/>
              <w:outlineLvl w:val="2"/>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运营期</w:t>
            </w:r>
          </w:p>
          <w:p w14:paraId="49D2EF54">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rPr>
              <w:t>①</w:t>
            </w:r>
            <w:r>
              <w:rPr>
                <w:rFonts w:hint="eastAsia" w:ascii="Times New Roman" w:hAnsi="Times New Roman" w:eastAsia="宋体" w:cs="Times New Roman"/>
                <w:color w:val="auto"/>
                <w:kern w:val="0"/>
                <w:sz w:val="24"/>
                <w:highlight w:val="none"/>
                <w:lang w:val="en-US" w:eastAsia="zh-CN"/>
              </w:rPr>
              <w:t>切割粉尘、</w:t>
            </w:r>
            <w:r>
              <w:rPr>
                <w:rFonts w:hint="default" w:ascii="Times New Roman" w:hAnsi="Times New Roman" w:eastAsia="宋体" w:cs="Times New Roman"/>
                <w:color w:val="auto"/>
                <w:kern w:val="0"/>
                <w:sz w:val="24"/>
                <w:highlight w:val="none"/>
              </w:rPr>
              <w:t>焊接烟尘</w:t>
            </w:r>
            <w:r>
              <w:rPr>
                <w:rFonts w:hint="eastAsia" w:ascii="Times New Roman" w:hAnsi="Times New Roman" w:eastAsia="宋体" w:cs="Times New Roman"/>
                <w:color w:val="auto"/>
                <w:kern w:val="0"/>
                <w:sz w:val="24"/>
                <w:highlight w:val="none"/>
                <w:lang w:val="en-US" w:eastAsia="zh-CN"/>
              </w:rPr>
              <w:t>、抛光打磨</w:t>
            </w:r>
            <w:r>
              <w:rPr>
                <w:rFonts w:hint="default" w:ascii="Times New Roman" w:hAnsi="Times New Roman" w:eastAsia="宋体" w:cs="Times New Roman"/>
                <w:color w:val="auto"/>
                <w:kern w:val="0"/>
                <w:sz w:val="24"/>
                <w:highlight w:val="none"/>
                <w:lang w:val="en-US" w:eastAsia="zh-CN"/>
              </w:rPr>
              <w:t>粉尘</w:t>
            </w:r>
            <w:r>
              <w:rPr>
                <w:rFonts w:hint="eastAsia" w:ascii="Times New Roman" w:hAnsi="Times New Roman" w:eastAsia="宋体" w:cs="Times New Roman"/>
                <w:color w:val="auto"/>
                <w:kern w:val="0"/>
                <w:sz w:val="24"/>
                <w:highlight w:val="none"/>
                <w:lang w:val="en-US" w:eastAsia="zh-CN"/>
              </w:rPr>
              <w:t>以及喷粉粉尘</w:t>
            </w:r>
          </w:p>
          <w:p w14:paraId="778D28B6">
            <w:pPr>
              <w:spacing w:line="360" w:lineRule="auto"/>
              <w:ind w:firstLine="480" w:firstLineChars="200"/>
              <w:rPr>
                <w:rFonts w:hint="default" w:ascii="Times New Roman" w:hAnsi="Times New Roman" w:eastAsia="宋体" w:cs="Times New Roman"/>
                <w:b w:val="0"/>
                <w:bCs w:val="0"/>
                <w:color w:val="auto"/>
                <w:sz w:val="21"/>
                <w:highlight w:val="none"/>
                <w:lang w:eastAsia="zh-CN"/>
              </w:rPr>
            </w:pPr>
            <w:r>
              <w:rPr>
                <w:rFonts w:hint="default" w:ascii="Times New Roman" w:hAnsi="Times New Roman" w:eastAsia="宋体" w:cs="Times New Roman"/>
                <w:color w:val="auto"/>
                <w:kern w:val="0"/>
                <w:sz w:val="24"/>
                <w:highlight w:val="none"/>
              </w:rPr>
              <w:t>本项目</w:t>
            </w:r>
            <w:r>
              <w:rPr>
                <w:rFonts w:hint="default" w:ascii="Times New Roman" w:hAnsi="Times New Roman" w:eastAsia="宋体" w:cs="Times New Roman"/>
                <w:color w:val="auto"/>
                <w:kern w:val="0"/>
                <w:sz w:val="24"/>
                <w:highlight w:val="none"/>
                <w:lang w:val="en-US" w:eastAsia="zh-CN"/>
              </w:rPr>
              <w:t>抛光打磨</w:t>
            </w:r>
            <w:r>
              <w:rPr>
                <w:rFonts w:hint="eastAsia" w:ascii="Times New Roman" w:hAnsi="Times New Roman" w:eastAsia="宋体" w:cs="Times New Roman"/>
                <w:color w:val="auto"/>
                <w:kern w:val="0"/>
                <w:sz w:val="24"/>
                <w:highlight w:val="none"/>
                <w:lang w:val="en-US" w:eastAsia="zh-CN"/>
              </w:rPr>
              <w:t>、喷粉</w:t>
            </w:r>
            <w:r>
              <w:rPr>
                <w:rFonts w:hint="default" w:ascii="Times New Roman" w:hAnsi="Times New Roman" w:eastAsia="宋体" w:cs="Times New Roman"/>
                <w:color w:val="auto"/>
                <w:kern w:val="0"/>
                <w:sz w:val="24"/>
                <w:highlight w:val="none"/>
                <w:lang w:val="en-US" w:eastAsia="zh-CN"/>
              </w:rPr>
              <w:t>工序产生的粉尘有组织排放执行</w:t>
            </w:r>
            <w:r>
              <w:rPr>
                <w:rFonts w:hint="default" w:ascii="Times New Roman" w:hAnsi="Times New Roman" w:eastAsia="宋体" w:cs="Times New Roman"/>
                <w:color w:val="auto"/>
                <w:kern w:val="0"/>
                <w:sz w:val="24"/>
                <w:highlight w:val="none"/>
              </w:rPr>
              <w:t>广东省《大气污染物排放限值》（DB44/27-2001）第二时段</w:t>
            </w:r>
            <w:r>
              <w:rPr>
                <w:rFonts w:hint="default" w:ascii="Times New Roman" w:hAnsi="Times New Roman" w:eastAsia="宋体" w:cs="Times New Roman"/>
                <w:color w:val="auto"/>
                <w:kern w:val="0"/>
                <w:sz w:val="24"/>
                <w:highlight w:val="none"/>
                <w:lang w:val="en-US" w:eastAsia="zh-CN"/>
              </w:rPr>
              <w:t>排放限值；厂界颗粒物无组织排放执行</w:t>
            </w:r>
            <w:r>
              <w:rPr>
                <w:rFonts w:hint="default" w:ascii="Times New Roman" w:hAnsi="Times New Roman" w:eastAsia="宋体" w:cs="Times New Roman"/>
                <w:color w:val="auto"/>
                <w:kern w:val="0"/>
                <w:sz w:val="24"/>
                <w:highlight w:val="none"/>
              </w:rPr>
              <w:t>广东省《大气污染物排放限值》（DB44/27-2001）第二时段无组织排放监控浓度限值要求</w:t>
            </w:r>
            <w:r>
              <w:rPr>
                <w:rFonts w:hint="default" w:ascii="Times New Roman" w:hAnsi="Times New Roman" w:eastAsia="宋体" w:cs="Times New Roman"/>
                <w:color w:val="auto"/>
                <w:kern w:val="0"/>
                <w:sz w:val="24"/>
                <w:highlight w:val="none"/>
                <w:lang w:eastAsia="zh-CN"/>
              </w:rPr>
              <w:t>。</w:t>
            </w:r>
          </w:p>
          <w:p w14:paraId="2BF5E44A">
            <w:pPr>
              <w:numPr>
                <w:ilvl w:val="0"/>
                <w:numId w:val="9"/>
              </w:numPr>
              <w:tabs>
                <w:tab w:val="clear" w:pos="0"/>
              </w:tabs>
              <w:spacing w:line="240" w:lineRule="auto"/>
              <w:ind w:left="0" w:leftChars="0" w:firstLine="4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2"/>
                <w:sz w:val="21"/>
                <w:szCs w:val="21"/>
                <w:highlight w:val="none"/>
                <w:lang w:val="en-US" w:eastAsia="zh-CN" w:bidi="ar-SA"/>
              </w:rPr>
              <w:t>广东省《大气污染物排放限值》</w:t>
            </w:r>
            <w:r>
              <w:rPr>
                <w:rFonts w:hint="default" w:ascii="Times New Roman" w:hAnsi="Times New Roman" w:eastAsia="宋体" w:cs="Times New Roman"/>
                <w:b/>
                <w:bCs/>
                <w:color w:val="auto"/>
                <w:sz w:val="21"/>
                <w:szCs w:val="21"/>
                <w:highlight w:val="none"/>
                <w:lang w:val="en-US" w:eastAsia="zh-CN"/>
              </w:rPr>
              <w:t>（DB44/27-2001）排放限值标准</w:t>
            </w:r>
          </w:p>
          <w:tbl>
            <w:tblPr>
              <w:tblStyle w:val="43"/>
              <w:tblW w:w="76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45"/>
              <w:gridCol w:w="1673"/>
              <w:gridCol w:w="1004"/>
              <w:gridCol w:w="1195"/>
              <w:gridCol w:w="1476"/>
              <w:gridCol w:w="1425"/>
            </w:tblGrid>
            <w:tr w14:paraId="55F78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atLeast"/>
                <w:jc w:val="center"/>
              </w:trPr>
              <w:tc>
                <w:tcPr>
                  <w:tcW w:w="555" w:type="pct"/>
                  <w:vMerge w:val="restart"/>
                  <w:tcBorders>
                    <w:top w:val="single" w:color="000000" w:sz="4" w:space="0"/>
                    <w:left w:val="single" w:color="000000" w:sz="4" w:space="0"/>
                    <w:right w:val="single" w:color="000000" w:sz="4" w:space="0"/>
                  </w:tcBorders>
                  <w:vAlign w:val="center"/>
                </w:tcPr>
                <w:p w14:paraId="1CF27AD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污染物</w:t>
                  </w:r>
                </w:p>
              </w:tc>
              <w:tc>
                <w:tcPr>
                  <w:tcW w:w="1098" w:type="pct"/>
                  <w:vMerge w:val="restart"/>
                  <w:tcBorders>
                    <w:top w:val="single" w:color="000000" w:sz="4" w:space="0"/>
                    <w:left w:val="single" w:color="000000" w:sz="4" w:space="0"/>
                    <w:right w:val="single" w:color="000000" w:sz="4" w:space="0"/>
                  </w:tcBorders>
                  <w:vAlign w:val="center"/>
                </w:tcPr>
                <w:p w14:paraId="6A3884A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排气筒编号</w:t>
                  </w:r>
                </w:p>
              </w:tc>
              <w:tc>
                <w:tcPr>
                  <w:tcW w:w="659" w:type="pct"/>
                  <w:vMerge w:val="restart"/>
                  <w:tcBorders>
                    <w:top w:val="single" w:color="000000" w:sz="4" w:space="0"/>
                    <w:left w:val="single" w:color="000000" w:sz="4" w:space="0"/>
                    <w:right w:val="single" w:color="000000" w:sz="4" w:space="0"/>
                  </w:tcBorders>
                  <w:vAlign w:val="center"/>
                </w:tcPr>
                <w:p w14:paraId="033A29D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排气筒高度/m</w:t>
                  </w:r>
                </w:p>
              </w:tc>
              <w:tc>
                <w:tcPr>
                  <w:tcW w:w="1753" w:type="pct"/>
                  <w:gridSpan w:val="2"/>
                  <w:tcBorders>
                    <w:top w:val="single" w:color="000000" w:sz="4" w:space="0"/>
                    <w:left w:val="single" w:color="000000" w:sz="4" w:space="0"/>
                    <w:bottom w:val="single" w:color="000000" w:sz="4" w:space="0"/>
                    <w:right w:val="single" w:color="000000" w:sz="4" w:space="0"/>
                  </w:tcBorders>
                  <w:vAlign w:val="center"/>
                </w:tcPr>
                <w:p w14:paraId="20B1707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rPr>
                    <w:t>有组织排放</w:t>
                  </w:r>
                </w:p>
              </w:tc>
              <w:tc>
                <w:tcPr>
                  <w:tcW w:w="933" w:type="pct"/>
                  <w:vMerge w:val="restart"/>
                  <w:tcBorders>
                    <w:top w:val="single" w:color="000000" w:sz="4" w:space="0"/>
                    <w:left w:val="single" w:color="000000" w:sz="4" w:space="0"/>
                    <w:right w:val="single" w:color="000000" w:sz="4" w:space="0"/>
                  </w:tcBorders>
                  <w:vAlign w:val="center"/>
                </w:tcPr>
                <w:p w14:paraId="1CE228E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无组织排放监控浓度限值(mg/m³)</w:t>
                  </w:r>
                </w:p>
              </w:tc>
            </w:tr>
            <w:tr w14:paraId="03F0A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555" w:type="pct"/>
                  <w:vMerge w:val="continue"/>
                  <w:tcBorders>
                    <w:left w:val="single" w:color="000000" w:sz="4" w:space="0"/>
                    <w:bottom w:val="single" w:color="000000" w:sz="4" w:space="0"/>
                    <w:right w:val="single" w:color="000000" w:sz="4" w:space="0"/>
                  </w:tcBorders>
                  <w:vAlign w:val="center"/>
                </w:tcPr>
                <w:p w14:paraId="4AFFEB1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rPr>
                  </w:pPr>
                </w:p>
              </w:tc>
              <w:tc>
                <w:tcPr>
                  <w:tcW w:w="1098" w:type="pct"/>
                  <w:vMerge w:val="continue"/>
                  <w:tcBorders>
                    <w:left w:val="single" w:color="000000" w:sz="4" w:space="0"/>
                    <w:bottom w:val="single" w:color="000000" w:sz="4" w:space="0"/>
                    <w:right w:val="single" w:color="000000" w:sz="4" w:space="0"/>
                  </w:tcBorders>
                  <w:vAlign w:val="center"/>
                </w:tcPr>
                <w:p w14:paraId="4D2D166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rPr>
                  </w:pPr>
                </w:p>
              </w:tc>
              <w:tc>
                <w:tcPr>
                  <w:tcW w:w="659" w:type="pct"/>
                  <w:vMerge w:val="continue"/>
                  <w:tcBorders>
                    <w:left w:val="single" w:color="000000" w:sz="4" w:space="0"/>
                    <w:bottom w:val="single" w:color="000000" w:sz="4" w:space="0"/>
                    <w:right w:val="single" w:color="000000" w:sz="4" w:space="0"/>
                  </w:tcBorders>
                  <w:vAlign w:val="center"/>
                </w:tcPr>
                <w:p w14:paraId="529C8FF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rPr>
                  </w:pPr>
                </w:p>
              </w:tc>
              <w:tc>
                <w:tcPr>
                  <w:tcW w:w="784" w:type="pct"/>
                  <w:tcBorders>
                    <w:top w:val="single" w:color="000000" w:sz="4" w:space="0"/>
                    <w:left w:val="single" w:color="000000" w:sz="4" w:space="0"/>
                    <w:bottom w:val="single" w:color="000000" w:sz="4" w:space="0"/>
                    <w:right w:val="single" w:color="000000" w:sz="4" w:space="0"/>
                  </w:tcBorders>
                  <w:vAlign w:val="center"/>
                </w:tcPr>
                <w:p w14:paraId="6F138D5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rPr>
                    <w:t>浓度限值(mg/m³)</w:t>
                  </w:r>
                </w:p>
              </w:tc>
              <w:tc>
                <w:tcPr>
                  <w:tcW w:w="968" w:type="pct"/>
                  <w:tcBorders>
                    <w:top w:val="single" w:color="000000" w:sz="4" w:space="0"/>
                    <w:left w:val="single" w:color="000000" w:sz="4" w:space="0"/>
                    <w:bottom w:val="single" w:color="000000" w:sz="4" w:space="0"/>
                    <w:right w:val="single" w:color="000000" w:sz="4" w:space="0"/>
                  </w:tcBorders>
                  <w:vAlign w:val="center"/>
                </w:tcPr>
                <w:p w14:paraId="5EFF615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rPr>
                    <w:t>排放速率（kg/h）</w:t>
                  </w:r>
                </w:p>
              </w:tc>
              <w:tc>
                <w:tcPr>
                  <w:tcW w:w="933" w:type="pct"/>
                  <w:vMerge w:val="continue"/>
                  <w:tcBorders>
                    <w:left w:val="single" w:color="000000" w:sz="4" w:space="0"/>
                    <w:bottom w:val="single" w:color="000000" w:sz="4" w:space="0"/>
                    <w:right w:val="single" w:color="000000" w:sz="4" w:space="0"/>
                  </w:tcBorders>
                  <w:vAlign w:val="center"/>
                </w:tcPr>
                <w:p w14:paraId="6D9C1E3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rPr>
                  </w:pPr>
                </w:p>
              </w:tc>
            </w:tr>
            <w:tr w14:paraId="4343A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8" w:hRule="atLeast"/>
                <w:jc w:val="center"/>
              </w:trPr>
              <w:tc>
                <w:tcPr>
                  <w:tcW w:w="555" w:type="pct"/>
                  <w:tcBorders>
                    <w:top w:val="single" w:color="000000" w:sz="4" w:space="0"/>
                    <w:left w:val="single" w:color="000000" w:sz="4" w:space="0"/>
                    <w:bottom w:val="single" w:color="000000" w:sz="4" w:space="0"/>
                    <w:right w:val="single" w:color="000000" w:sz="4" w:space="0"/>
                  </w:tcBorders>
                  <w:vAlign w:val="center"/>
                </w:tcPr>
                <w:p w14:paraId="1BCAD40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auto"/>
                      <w:sz w:val="21"/>
                      <w:szCs w:val="21"/>
                      <w:highlight w:val="none"/>
                      <w:u w:val="none"/>
                      <w:lang w:val="en-US"/>
                    </w:rPr>
                  </w:pPr>
                  <w:r>
                    <w:rPr>
                      <w:rFonts w:hint="default" w:ascii="Times New Roman" w:hAnsi="Times New Roman" w:eastAsia="宋体" w:cs="Times New Roman"/>
                      <w:b w:val="0"/>
                      <w:bCs w:val="0"/>
                      <w:i w:val="0"/>
                      <w:iCs w:val="0"/>
                      <w:color w:val="auto"/>
                      <w:kern w:val="0"/>
                      <w:sz w:val="21"/>
                      <w:szCs w:val="21"/>
                      <w:highlight w:val="none"/>
                      <w:u w:val="none"/>
                      <w:lang w:val="en-US" w:eastAsia="zh-CN"/>
                    </w:rPr>
                    <w:t>颗粒物</w:t>
                  </w:r>
                </w:p>
              </w:tc>
              <w:tc>
                <w:tcPr>
                  <w:tcW w:w="1098" w:type="pct"/>
                  <w:tcBorders>
                    <w:top w:val="single" w:color="000000" w:sz="4" w:space="0"/>
                    <w:left w:val="single" w:color="000000" w:sz="4" w:space="0"/>
                    <w:bottom w:val="single" w:color="000000" w:sz="4" w:space="0"/>
                    <w:right w:val="single" w:color="000000" w:sz="4" w:space="0"/>
                  </w:tcBorders>
                  <w:vAlign w:val="center"/>
                </w:tcPr>
                <w:p w14:paraId="350015F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rPr>
                    <w:t>DA00</w:t>
                  </w:r>
                  <w:r>
                    <w:rPr>
                      <w:rFonts w:hint="eastAsia" w:ascii="Times New Roman" w:hAnsi="Times New Roman" w:eastAsia="宋体" w:cs="Times New Roman"/>
                      <w:b w:val="0"/>
                      <w:bCs w:val="0"/>
                      <w:i w:val="0"/>
                      <w:iCs w:val="0"/>
                      <w:color w:val="auto"/>
                      <w:kern w:val="0"/>
                      <w:sz w:val="21"/>
                      <w:szCs w:val="21"/>
                      <w:highlight w:val="none"/>
                      <w:u w:val="none"/>
                      <w:lang w:val="en-US" w:eastAsia="zh-CN"/>
                    </w:rPr>
                    <w:t>1</w:t>
                  </w:r>
                </w:p>
                <w:p w14:paraId="5287B79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rPr>
                    <w:t>（</w:t>
                  </w:r>
                  <w:r>
                    <w:rPr>
                      <w:rFonts w:hint="eastAsia" w:ascii="Times New Roman" w:hAnsi="Times New Roman" w:eastAsia="宋体" w:cs="Times New Roman"/>
                      <w:b w:val="0"/>
                      <w:bCs w:val="0"/>
                      <w:i w:val="0"/>
                      <w:iCs w:val="0"/>
                      <w:color w:val="auto"/>
                      <w:kern w:val="0"/>
                      <w:sz w:val="21"/>
                      <w:szCs w:val="21"/>
                      <w:highlight w:val="none"/>
                      <w:u w:val="none"/>
                      <w:lang w:val="en-US" w:eastAsia="zh-CN"/>
                    </w:rPr>
                    <w:t>抛光打磨、喷粉</w:t>
                  </w:r>
                  <w:r>
                    <w:rPr>
                      <w:rFonts w:hint="default" w:ascii="Times New Roman" w:hAnsi="Times New Roman" w:eastAsia="宋体" w:cs="Times New Roman"/>
                      <w:b w:val="0"/>
                      <w:bCs w:val="0"/>
                      <w:i w:val="0"/>
                      <w:iCs w:val="0"/>
                      <w:color w:val="auto"/>
                      <w:kern w:val="0"/>
                      <w:sz w:val="21"/>
                      <w:szCs w:val="21"/>
                      <w:highlight w:val="none"/>
                      <w:u w:val="none"/>
                      <w:lang w:val="en-US" w:eastAsia="zh-CN"/>
                    </w:rPr>
                    <w:t>粉尘）</w:t>
                  </w:r>
                </w:p>
              </w:tc>
              <w:tc>
                <w:tcPr>
                  <w:tcW w:w="659" w:type="pct"/>
                  <w:tcBorders>
                    <w:top w:val="single" w:color="000000" w:sz="4" w:space="0"/>
                    <w:left w:val="single" w:color="000000" w:sz="4" w:space="0"/>
                    <w:bottom w:val="single" w:color="000000" w:sz="4" w:space="0"/>
                    <w:right w:val="single" w:color="000000" w:sz="4" w:space="0"/>
                  </w:tcBorders>
                  <w:vAlign w:val="center"/>
                </w:tcPr>
                <w:p w14:paraId="70E14A7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rPr>
                    <w:t>15</w:t>
                  </w:r>
                </w:p>
              </w:tc>
              <w:tc>
                <w:tcPr>
                  <w:tcW w:w="784" w:type="pct"/>
                  <w:tcBorders>
                    <w:top w:val="single" w:color="000000" w:sz="4" w:space="0"/>
                    <w:left w:val="single" w:color="000000" w:sz="4" w:space="0"/>
                    <w:bottom w:val="single" w:color="000000" w:sz="4" w:space="0"/>
                    <w:right w:val="single" w:color="000000" w:sz="4" w:space="0"/>
                  </w:tcBorders>
                  <w:vAlign w:val="center"/>
                </w:tcPr>
                <w:p w14:paraId="047F9BD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auto"/>
                      <w:sz w:val="21"/>
                      <w:szCs w:val="21"/>
                      <w:highlight w:val="none"/>
                      <w:u w:val="none"/>
                      <w:lang w:val="en-US"/>
                    </w:rPr>
                  </w:pPr>
                  <w:r>
                    <w:rPr>
                      <w:rFonts w:hint="default" w:ascii="Times New Roman" w:hAnsi="Times New Roman" w:eastAsia="宋体" w:cs="Times New Roman"/>
                      <w:b w:val="0"/>
                      <w:bCs w:val="0"/>
                      <w:i w:val="0"/>
                      <w:iCs w:val="0"/>
                      <w:color w:val="auto"/>
                      <w:kern w:val="0"/>
                      <w:sz w:val="21"/>
                      <w:szCs w:val="21"/>
                      <w:highlight w:val="none"/>
                      <w:u w:val="none"/>
                      <w:lang w:val="en-US" w:eastAsia="zh-CN"/>
                    </w:rPr>
                    <w:t>120</w:t>
                  </w:r>
                </w:p>
              </w:tc>
              <w:tc>
                <w:tcPr>
                  <w:tcW w:w="968" w:type="pct"/>
                  <w:tcBorders>
                    <w:top w:val="single" w:color="000000" w:sz="4" w:space="0"/>
                    <w:left w:val="single" w:color="000000" w:sz="4" w:space="0"/>
                    <w:bottom w:val="single" w:color="000000" w:sz="4" w:space="0"/>
                    <w:right w:val="single" w:color="000000" w:sz="4" w:space="0"/>
                  </w:tcBorders>
                  <w:vAlign w:val="center"/>
                </w:tcPr>
                <w:p w14:paraId="736AD8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rPr>
                    <w:t>1.45*</w:t>
                  </w:r>
                </w:p>
              </w:tc>
              <w:tc>
                <w:tcPr>
                  <w:tcW w:w="933" w:type="pct"/>
                  <w:tcBorders>
                    <w:top w:val="single" w:color="000000" w:sz="4" w:space="0"/>
                    <w:left w:val="single" w:color="000000" w:sz="4" w:space="0"/>
                    <w:bottom w:val="single" w:color="000000" w:sz="4" w:space="0"/>
                    <w:right w:val="single" w:color="000000" w:sz="4" w:space="0"/>
                  </w:tcBorders>
                  <w:vAlign w:val="center"/>
                </w:tcPr>
                <w:p w14:paraId="0A5118D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i w:val="0"/>
                      <w:iCs w:val="0"/>
                      <w:color w:val="auto"/>
                      <w:sz w:val="21"/>
                      <w:szCs w:val="21"/>
                      <w:highlight w:val="none"/>
                      <w:u w:val="none"/>
                      <w:lang w:val="en-US"/>
                    </w:rPr>
                  </w:pPr>
                  <w:r>
                    <w:rPr>
                      <w:rFonts w:hint="default" w:ascii="Times New Roman" w:hAnsi="Times New Roman" w:eastAsia="宋体" w:cs="Times New Roman"/>
                      <w:b w:val="0"/>
                      <w:bCs w:val="0"/>
                      <w:i w:val="0"/>
                      <w:iCs w:val="0"/>
                      <w:color w:val="auto"/>
                      <w:kern w:val="0"/>
                      <w:sz w:val="21"/>
                      <w:szCs w:val="21"/>
                      <w:highlight w:val="none"/>
                      <w:u w:val="none"/>
                      <w:lang w:val="en-US" w:eastAsia="zh-CN"/>
                    </w:rPr>
                    <w:t>1.0</w:t>
                  </w:r>
                </w:p>
              </w:tc>
            </w:tr>
            <w:tr w14:paraId="7FF40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vAlign w:val="center"/>
                </w:tcPr>
                <w:p w14:paraId="7A3B0F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rPr>
                    <w:t>*本项目排气筒未高于周边200m建筑</w:t>
                  </w:r>
                  <w:r>
                    <w:rPr>
                      <w:rFonts w:hint="eastAsia" w:cs="Times New Roman"/>
                      <w:b/>
                      <w:bCs/>
                      <w:i w:val="0"/>
                      <w:iCs w:val="0"/>
                      <w:color w:val="auto"/>
                      <w:kern w:val="0"/>
                      <w:sz w:val="21"/>
                      <w:szCs w:val="21"/>
                      <w:highlight w:val="none"/>
                      <w:u w:val="none"/>
                      <w:lang w:val="en-US" w:eastAsia="zh-CN"/>
                    </w:rPr>
                    <w:t>5</w:t>
                  </w:r>
                  <w:r>
                    <w:rPr>
                      <w:rFonts w:hint="default" w:ascii="Times New Roman" w:hAnsi="Times New Roman" w:eastAsia="宋体" w:cs="Times New Roman"/>
                      <w:b/>
                      <w:bCs/>
                      <w:i w:val="0"/>
                      <w:iCs w:val="0"/>
                      <w:color w:val="auto"/>
                      <w:kern w:val="0"/>
                      <w:sz w:val="21"/>
                      <w:szCs w:val="21"/>
                      <w:highlight w:val="none"/>
                      <w:u w:val="none"/>
                      <w:lang w:val="en-US" w:eastAsia="zh-CN"/>
                    </w:rPr>
                    <w:t>m以上，因此排放速率按50%折算。</w:t>
                  </w:r>
                </w:p>
              </w:tc>
            </w:tr>
          </w:tbl>
          <w:p w14:paraId="70575C21">
            <w:pPr>
              <w:keepNext w:val="0"/>
              <w:keepLines w:val="0"/>
              <w:pageBreakBefore w:val="0"/>
              <w:widowControl w:val="0"/>
              <w:kinsoku/>
              <w:wordWrap/>
              <w:overflowPunct/>
              <w:topLinePunct w:val="0"/>
              <w:autoSpaceDE/>
              <w:autoSpaceDN/>
              <w:bidi w:val="0"/>
              <w:adjustRightInd/>
              <w:snapToGrid/>
              <w:spacing w:line="100" w:lineRule="exact"/>
              <w:ind w:firstLine="480" w:firstLineChars="200"/>
              <w:textAlignment w:val="auto"/>
              <w:rPr>
                <w:rFonts w:hint="default" w:ascii="Times New Roman" w:hAnsi="Times New Roman" w:eastAsia="宋体" w:cs="Times New Roman"/>
                <w:color w:val="auto"/>
                <w:kern w:val="0"/>
                <w:sz w:val="24"/>
                <w:highlight w:val="none"/>
              </w:rPr>
            </w:pPr>
          </w:p>
          <w:p w14:paraId="5AE786F6">
            <w:pP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②燃烧废气</w:t>
            </w:r>
          </w:p>
          <w:p w14:paraId="3DBB67F5">
            <w:pPr>
              <w:spacing w:line="360" w:lineRule="auto"/>
              <w:ind w:firstLine="480" w:firstLineChars="200"/>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rPr>
              <w:t>本项目天然气燃烧废气排放根据《关于印发</w:t>
            </w:r>
            <w:r>
              <w:rPr>
                <w:rFonts w:hint="eastAsia"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工业炉窑大气污染综合治理方案</w:t>
            </w:r>
            <w:r>
              <w:rPr>
                <w:rFonts w:hint="eastAsia" w:ascii="Times New Roman" w:hAnsi="Times New Roman" w:eastAsia="宋体" w:cs="Times New Roman"/>
                <w:color w:val="auto"/>
                <w:kern w:val="0"/>
                <w:sz w:val="24"/>
                <w:highlight w:val="none"/>
                <w:lang w:eastAsia="zh-CN"/>
              </w:rPr>
              <w:t>〉的通知》</w:t>
            </w:r>
            <w:r>
              <w:rPr>
                <w:rFonts w:hint="default" w:ascii="Times New Roman" w:hAnsi="Times New Roman" w:eastAsia="宋体" w:cs="Times New Roman"/>
                <w:color w:val="auto"/>
                <w:kern w:val="0"/>
                <w:sz w:val="24"/>
                <w:highlight w:val="none"/>
              </w:rPr>
              <w:t>（环大气〔2019〕56号）和《关于贯彻落实</w:t>
            </w:r>
            <w:r>
              <w:rPr>
                <w:rFonts w:hint="eastAsia"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工业炉窑大气污染物综合治理方案</w:t>
            </w:r>
            <w:r>
              <w:rPr>
                <w:rFonts w:hint="eastAsia"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的实施意见》（粤环函〔2019〕1112号），废气按照颗粒物、二氧化硫、氮氧化物排放限值分别不高于30、200、300毫克/立方米控制。</w:t>
            </w:r>
            <w:r>
              <w:rPr>
                <w:rFonts w:hint="eastAsia" w:ascii="Times New Roman" w:hAnsi="Times New Roman" w:eastAsia="宋体" w:cs="Times New Roman"/>
                <w:color w:val="auto"/>
                <w:kern w:val="0"/>
                <w:sz w:val="24"/>
                <w:highlight w:val="none"/>
                <w:lang w:val="en-US" w:eastAsia="zh-CN"/>
              </w:rPr>
              <w:t>烟气黑度参照《工业炉窑大气污染物排放标准》（GB 9078-1996）中“干燥炉、窑”的排放限值。烘水炉天然气燃烧废气通过DA002排放，固化炉天然气燃烧废气通过DA00</w:t>
            </w:r>
            <w:r>
              <w:rPr>
                <w:rFonts w:hint="eastAsia" w:cs="Times New Roman"/>
                <w:color w:val="auto"/>
                <w:kern w:val="0"/>
                <w:sz w:val="24"/>
                <w:highlight w:val="none"/>
                <w:lang w:val="en-US" w:eastAsia="zh-CN"/>
              </w:rPr>
              <w:t>3</w:t>
            </w:r>
            <w:r>
              <w:rPr>
                <w:rFonts w:hint="eastAsia" w:ascii="Times New Roman" w:hAnsi="Times New Roman" w:eastAsia="宋体" w:cs="Times New Roman"/>
                <w:color w:val="auto"/>
                <w:kern w:val="0"/>
                <w:sz w:val="24"/>
                <w:highlight w:val="none"/>
                <w:lang w:val="en-US" w:eastAsia="zh-CN"/>
              </w:rPr>
              <w:t>排放标准</w:t>
            </w:r>
            <w:r>
              <w:rPr>
                <w:rFonts w:hint="default" w:ascii="Times New Roman" w:hAnsi="Times New Roman" w:eastAsia="宋体" w:cs="Times New Roman"/>
                <w:color w:val="auto"/>
                <w:kern w:val="0"/>
                <w:sz w:val="24"/>
                <w:highlight w:val="none"/>
              </w:rPr>
              <w:t>详见下表</w:t>
            </w:r>
            <w:r>
              <w:rPr>
                <w:rFonts w:hint="eastAsia" w:ascii="Times New Roman" w:hAnsi="Times New Roman" w:eastAsia="宋体" w:cs="Times New Roman"/>
                <w:color w:val="auto"/>
                <w:kern w:val="0"/>
                <w:sz w:val="24"/>
                <w:highlight w:val="none"/>
                <w:lang w:eastAsia="zh-CN"/>
              </w:rPr>
              <w:t>：</w:t>
            </w:r>
          </w:p>
          <w:p w14:paraId="1B0C34E2">
            <w:pPr>
              <w:numPr>
                <w:ilvl w:val="0"/>
                <w:numId w:val="9"/>
              </w:numPr>
              <w:tabs>
                <w:tab w:val="clear" w:pos="0"/>
              </w:tabs>
              <w:spacing w:line="240" w:lineRule="auto"/>
              <w:ind w:left="0" w:leftChars="0" w:firstLine="40" w:firstLineChars="0"/>
              <w:jc w:val="center"/>
              <w:rPr>
                <w:rFonts w:hint="default" w:ascii="Times New Roman" w:hAnsi="Times New Roman" w:eastAsia="宋体" w:cs="Times New Roman"/>
                <w:color w:val="auto"/>
                <w:sz w:val="21"/>
                <w:highlight w:val="none"/>
              </w:rPr>
            </w:pPr>
            <w:r>
              <w:rPr>
                <w:rFonts w:hint="eastAsia" w:ascii="Times New Roman" w:hAnsi="Times New Roman" w:eastAsia="宋体" w:cs="Times New Roman"/>
                <w:b/>
                <w:color w:val="auto"/>
                <w:kern w:val="2"/>
                <w:sz w:val="21"/>
                <w:szCs w:val="21"/>
                <w:highlight w:val="none"/>
                <w:lang w:val="en-US" w:eastAsia="zh-CN" w:bidi="ar-SA"/>
              </w:rPr>
              <w:t xml:space="preserve"> </w:t>
            </w:r>
            <w:r>
              <w:rPr>
                <w:rFonts w:hint="default" w:ascii="Times New Roman" w:hAnsi="Times New Roman" w:eastAsia="宋体" w:cs="Times New Roman"/>
                <w:b/>
                <w:bCs/>
                <w:color w:val="auto"/>
                <w:sz w:val="21"/>
                <w:szCs w:val="21"/>
                <w:highlight w:val="none"/>
              </w:rPr>
              <w:t>燃烧废气排放标准（单位：mg/m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bl>
            <w:tblPr>
              <w:tblStyle w:val="4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1309"/>
              <w:gridCol w:w="1114"/>
              <w:gridCol w:w="1276"/>
              <w:gridCol w:w="1357"/>
              <w:gridCol w:w="1488"/>
            </w:tblGrid>
            <w:tr w14:paraId="1FEE8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31" w:type="pct"/>
                  <w:vAlign w:val="center"/>
                </w:tcPr>
                <w:p w14:paraId="5DE182CD">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污染源</w:t>
                  </w:r>
                </w:p>
              </w:tc>
              <w:tc>
                <w:tcPr>
                  <w:tcW w:w="833" w:type="pct"/>
                  <w:vAlign w:val="center"/>
                </w:tcPr>
                <w:p w14:paraId="373DEABA">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排气筒编号</w:t>
                  </w:r>
                </w:p>
              </w:tc>
              <w:tc>
                <w:tcPr>
                  <w:tcW w:w="709" w:type="pct"/>
                  <w:vAlign w:val="center"/>
                </w:tcPr>
                <w:p w14:paraId="05615FE5">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排放高度</w:t>
                  </w:r>
                </w:p>
              </w:tc>
              <w:tc>
                <w:tcPr>
                  <w:tcW w:w="812" w:type="pct"/>
                  <w:vAlign w:val="center"/>
                </w:tcPr>
                <w:p w14:paraId="3724076C">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炉窑类型</w:t>
                  </w:r>
                </w:p>
              </w:tc>
              <w:tc>
                <w:tcPr>
                  <w:tcW w:w="864" w:type="pct"/>
                  <w:vAlign w:val="center"/>
                </w:tcPr>
                <w:p w14:paraId="11315490">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污染物</w:t>
                  </w:r>
                </w:p>
              </w:tc>
              <w:tc>
                <w:tcPr>
                  <w:tcW w:w="947" w:type="pct"/>
                  <w:vAlign w:val="center"/>
                </w:tcPr>
                <w:p w14:paraId="6390EF4F">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排放标准</w:t>
                  </w:r>
                </w:p>
              </w:tc>
            </w:tr>
            <w:tr w14:paraId="5C4C1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31" w:type="pct"/>
                  <w:vMerge w:val="restart"/>
                  <w:vAlign w:val="center"/>
                </w:tcPr>
                <w:p w14:paraId="1D8A1149">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燃烧废气</w:t>
                  </w:r>
                </w:p>
              </w:tc>
              <w:tc>
                <w:tcPr>
                  <w:tcW w:w="833" w:type="pct"/>
                  <w:vMerge w:val="restart"/>
                  <w:vAlign w:val="center"/>
                </w:tcPr>
                <w:p w14:paraId="2E5E7C8D">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DA002、DA003</w:t>
                  </w:r>
                </w:p>
              </w:tc>
              <w:tc>
                <w:tcPr>
                  <w:tcW w:w="709" w:type="pct"/>
                  <w:vMerge w:val="restart"/>
                  <w:vAlign w:val="center"/>
                </w:tcPr>
                <w:p w14:paraId="73101CE4">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15m</w:t>
                  </w:r>
                </w:p>
              </w:tc>
              <w:tc>
                <w:tcPr>
                  <w:tcW w:w="812" w:type="pct"/>
                  <w:vMerge w:val="restart"/>
                  <w:vAlign w:val="center"/>
                </w:tcPr>
                <w:p w14:paraId="1D380474">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干燥炉（窑）</w:t>
                  </w:r>
                </w:p>
              </w:tc>
              <w:tc>
                <w:tcPr>
                  <w:tcW w:w="864" w:type="pct"/>
                  <w:vAlign w:val="center"/>
                </w:tcPr>
                <w:p w14:paraId="25D6FC30">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烟（粉）尘</w:t>
                  </w:r>
                </w:p>
              </w:tc>
              <w:tc>
                <w:tcPr>
                  <w:tcW w:w="947" w:type="pct"/>
                  <w:vAlign w:val="center"/>
                </w:tcPr>
                <w:p w14:paraId="335C82CC">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≤30</w:t>
                  </w:r>
                </w:p>
              </w:tc>
            </w:tr>
            <w:tr w14:paraId="61560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31" w:type="pct"/>
                  <w:vMerge w:val="continue"/>
                  <w:vAlign w:val="center"/>
                </w:tcPr>
                <w:p w14:paraId="115DF4BE">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833" w:type="pct"/>
                  <w:vMerge w:val="continue"/>
                  <w:vAlign w:val="center"/>
                </w:tcPr>
                <w:p w14:paraId="2B6AFAF9">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09" w:type="pct"/>
                  <w:vMerge w:val="continue"/>
                  <w:vAlign w:val="center"/>
                </w:tcPr>
                <w:p w14:paraId="42C68767">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812" w:type="pct"/>
                  <w:vMerge w:val="continue"/>
                  <w:vAlign w:val="center"/>
                </w:tcPr>
                <w:p w14:paraId="6EBFB119">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864" w:type="pct"/>
                  <w:vAlign w:val="center"/>
                </w:tcPr>
                <w:p w14:paraId="2F3FE456">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二氧化硫</w:t>
                  </w:r>
                </w:p>
              </w:tc>
              <w:tc>
                <w:tcPr>
                  <w:tcW w:w="947" w:type="pct"/>
                  <w:vAlign w:val="center"/>
                </w:tcPr>
                <w:p w14:paraId="7845225A">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≤200</w:t>
                  </w:r>
                </w:p>
              </w:tc>
            </w:tr>
            <w:tr w14:paraId="161F5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31" w:type="pct"/>
                  <w:vMerge w:val="continue"/>
                  <w:vAlign w:val="center"/>
                </w:tcPr>
                <w:p w14:paraId="0392B7B5">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833" w:type="pct"/>
                  <w:vMerge w:val="continue"/>
                  <w:vAlign w:val="center"/>
                </w:tcPr>
                <w:p w14:paraId="456F15F7">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09" w:type="pct"/>
                  <w:vMerge w:val="continue"/>
                  <w:vAlign w:val="center"/>
                </w:tcPr>
                <w:p w14:paraId="0EE92F66">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812" w:type="pct"/>
                  <w:vMerge w:val="continue"/>
                  <w:vAlign w:val="center"/>
                </w:tcPr>
                <w:p w14:paraId="0EBB75AE">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864" w:type="pct"/>
                  <w:vAlign w:val="center"/>
                </w:tcPr>
                <w:p w14:paraId="5415D976">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氮氧化物</w:t>
                  </w:r>
                </w:p>
              </w:tc>
              <w:tc>
                <w:tcPr>
                  <w:tcW w:w="947" w:type="pct"/>
                  <w:vAlign w:val="center"/>
                </w:tcPr>
                <w:p w14:paraId="7F32BDA0">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≤300</w:t>
                  </w:r>
                </w:p>
              </w:tc>
            </w:tr>
            <w:tr w14:paraId="20AFD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31" w:type="pct"/>
                  <w:vMerge w:val="continue"/>
                  <w:vAlign w:val="center"/>
                </w:tcPr>
                <w:p w14:paraId="7C406826">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833" w:type="pct"/>
                  <w:vMerge w:val="continue"/>
                  <w:vAlign w:val="center"/>
                </w:tcPr>
                <w:p w14:paraId="746EB5D8">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709" w:type="pct"/>
                  <w:vMerge w:val="continue"/>
                  <w:vAlign w:val="center"/>
                </w:tcPr>
                <w:p w14:paraId="54F92D56">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812" w:type="pct"/>
                  <w:vMerge w:val="continue"/>
                  <w:vAlign w:val="center"/>
                </w:tcPr>
                <w:p w14:paraId="1E769104">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864" w:type="pct"/>
                  <w:vAlign w:val="center"/>
                </w:tcPr>
                <w:p w14:paraId="7C566098">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宋体....." w:hAnsi="Times New Roman" w:eastAsia="宋体....." w:cs="Times New Roman"/>
                      <w:color w:val="auto"/>
                      <w:kern w:val="2"/>
                      <w:sz w:val="21"/>
                      <w:szCs w:val="21"/>
                      <w:highlight w:val="none"/>
                      <w:lang w:val="en-US" w:eastAsia="zh-CN" w:bidi="ar-SA"/>
                    </w:rPr>
                    <w:t>烟气黑</w:t>
                  </w:r>
                  <w:r>
                    <w:rPr>
                      <w:rFonts w:hint="eastAsia" w:ascii="宋体....." w:hAnsi="Times New Roman" w:eastAsia="宋体....." w:cs="宋体....."/>
                      <w:color w:val="auto"/>
                      <w:kern w:val="2"/>
                      <w:sz w:val="21"/>
                      <w:szCs w:val="21"/>
                      <w:highlight w:val="none"/>
                      <w:lang w:val="en-US" w:eastAsia="zh-CN" w:bidi="ar-SA"/>
                    </w:rPr>
                    <w:t>度</w:t>
                  </w:r>
                </w:p>
              </w:tc>
              <w:tc>
                <w:tcPr>
                  <w:tcW w:w="947" w:type="pct"/>
                  <w:vAlign w:val="center"/>
                </w:tcPr>
                <w:p w14:paraId="6BB1DE82">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1（林格曼级）</w:t>
                  </w:r>
                </w:p>
              </w:tc>
            </w:tr>
          </w:tbl>
          <w:p w14:paraId="64AE47BB">
            <w:pPr>
              <w:keepNext w:val="0"/>
              <w:keepLines w:val="0"/>
              <w:pageBreakBefore w:val="0"/>
              <w:widowControl w:val="0"/>
              <w:kinsoku/>
              <w:wordWrap/>
              <w:overflowPunct/>
              <w:topLinePunct w:val="0"/>
              <w:autoSpaceDE/>
              <w:autoSpaceDN/>
              <w:bidi w:val="0"/>
              <w:adjustRightInd/>
              <w:snapToGrid/>
              <w:spacing w:line="100" w:lineRule="exact"/>
              <w:ind w:firstLine="480" w:firstLineChars="200"/>
              <w:textAlignment w:val="auto"/>
              <w:rPr>
                <w:rFonts w:hint="default" w:ascii="Times New Roman" w:hAnsi="Times New Roman" w:eastAsia="宋体" w:cs="Times New Roman"/>
                <w:color w:val="auto"/>
                <w:kern w:val="0"/>
                <w:sz w:val="24"/>
                <w:highlight w:val="none"/>
              </w:rPr>
            </w:pPr>
          </w:p>
          <w:p w14:paraId="58299A46">
            <w:pPr>
              <w:keepNext w:val="0"/>
              <w:keepLines w:val="0"/>
              <w:suppressLineNumbers w:val="0"/>
              <w:tabs>
                <w:tab w:val="left" w:pos="2790"/>
              </w:tabs>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③喷涂、</w:t>
            </w:r>
            <w:r>
              <w:rPr>
                <w:rFonts w:hint="eastAsia" w:cs="Times New Roman"/>
                <w:color w:val="auto"/>
                <w:kern w:val="0"/>
                <w:sz w:val="24"/>
                <w:szCs w:val="24"/>
                <w:highlight w:val="none"/>
                <w:lang w:val="en-US" w:eastAsia="zh-CN"/>
              </w:rPr>
              <w:t>丝印</w:t>
            </w:r>
            <w:r>
              <w:rPr>
                <w:rFonts w:hint="eastAsia" w:ascii="Times New Roman" w:hAnsi="Times New Roman" w:eastAsia="宋体" w:cs="Times New Roman"/>
                <w:color w:val="auto"/>
                <w:kern w:val="0"/>
                <w:sz w:val="24"/>
                <w:szCs w:val="24"/>
                <w:highlight w:val="none"/>
                <w:lang w:val="en-US" w:eastAsia="zh-CN"/>
              </w:rPr>
              <w:t>（含表面清洁）、固化</w:t>
            </w:r>
            <w:r>
              <w:rPr>
                <w:rFonts w:hint="eastAsia" w:ascii="Times New Roman" w:hAnsi="Times New Roman" w:eastAsia="宋体" w:cs="Times New Roman"/>
                <w:color w:val="auto"/>
                <w:sz w:val="24"/>
                <w:szCs w:val="24"/>
                <w:highlight w:val="none"/>
                <w:lang w:val="en-US" w:eastAsia="zh-CN"/>
              </w:rPr>
              <w:t>废气通过排气筒DA003排放，废气排放因子颗粒物、非甲烷总烃（以NMHC表征）、苯系物（二甲苯统一表征为苯系物）执行广东省《固定污染源挥发性有机物综合排放标准》（DB44/2367-2022）中表1挥发性有机物排放限值要求</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《印刷行业挥发性有机化合物排放标准》</w:t>
            </w:r>
            <w:r>
              <w:rPr>
                <w:rFonts w:hint="eastAsia" w:cs="Times New Roman"/>
                <w:color w:val="auto"/>
                <w:sz w:val="24"/>
                <w:szCs w:val="24"/>
                <w:highlight w:val="none"/>
                <w:lang w:val="en-US" w:eastAsia="zh-CN"/>
              </w:rPr>
              <w:t>（DB44/815-2010）表2最高允许排放速率第Ⅱ时段标准和</w:t>
            </w:r>
            <w:r>
              <w:rPr>
                <w:rFonts w:hint="eastAsia" w:ascii="Times New Roman" w:hAnsi="Times New Roman" w:eastAsia="宋体" w:cs="Times New Roman"/>
                <w:color w:val="auto"/>
                <w:sz w:val="24"/>
                <w:szCs w:val="24"/>
                <w:highlight w:val="none"/>
                <w:lang w:val="en-US" w:eastAsia="zh-CN"/>
              </w:rPr>
              <w:t>《印刷工业大气污染物排放标准》（GB41616-2022）</w:t>
            </w:r>
            <w:r>
              <w:rPr>
                <w:rFonts w:hint="eastAsia" w:cs="Times New Roman"/>
                <w:color w:val="auto"/>
                <w:sz w:val="24"/>
                <w:szCs w:val="24"/>
                <w:highlight w:val="none"/>
                <w:lang w:val="en-US" w:eastAsia="zh-CN"/>
              </w:rPr>
              <w:t>表1大气污染物排放限值三者较严值，即执行</w:t>
            </w:r>
            <w:r>
              <w:rPr>
                <w:rFonts w:hint="eastAsia" w:ascii="Times New Roman" w:hAnsi="Times New Roman" w:eastAsia="宋体" w:cs="Times New Roman"/>
                <w:color w:val="auto"/>
                <w:sz w:val="24"/>
                <w:szCs w:val="24"/>
                <w:highlight w:val="none"/>
                <w:lang w:val="en-US" w:eastAsia="zh-CN"/>
              </w:rPr>
              <w:t>《印刷行业挥发性有机化合物排放标准》</w:t>
            </w:r>
            <w:r>
              <w:rPr>
                <w:rFonts w:hint="eastAsia" w:cs="Times New Roman"/>
                <w:color w:val="auto"/>
                <w:sz w:val="24"/>
                <w:szCs w:val="24"/>
                <w:highlight w:val="none"/>
                <w:lang w:val="en-US" w:eastAsia="zh-CN"/>
              </w:rPr>
              <w:t>（DB44/815-2010）表2最高允许排放速率第Ⅱ时段标准和</w:t>
            </w:r>
            <w:r>
              <w:rPr>
                <w:rFonts w:hint="eastAsia" w:ascii="Times New Roman" w:hAnsi="Times New Roman" w:eastAsia="宋体" w:cs="Times New Roman"/>
                <w:color w:val="auto"/>
                <w:sz w:val="24"/>
                <w:szCs w:val="24"/>
                <w:highlight w:val="none"/>
                <w:lang w:val="en-US" w:eastAsia="zh-CN"/>
              </w:rPr>
              <w:t>《印刷工业大气污染物排放标准》（GB41616-2022）</w:t>
            </w:r>
            <w:r>
              <w:rPr>
                <w:rFonts w:hint="eastAsia" w:cs="Times New Roman"/>
                <w:color w:val="auto"/>
                <w:sz w:val="24"/>
                <w:szCs w:val="24"/>
                <w:highlight w:val="none"/>
                <w:lang w:val="en-US" w:eastAsia="zh-CN"/>
              </w:rPr>
              <w:t>表1大气污染物排放限值</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臭气浓度有组织排放执行《恶臭污染物排放标准》（GB14554-93）中表2恶臭污染物排放标准值</w:t>
            </w:r>
            <w:r>
              <w:rPr>
                <w:rFonts w:hint="eastAsia" w:ascii="Times New Roman" w:hAnsi="Times New Roman" w:eastAsia="宋体" w:cs="Times New Roman"/>
                <w:color w:val="auto"/>
                <w:sz w:val="24"/>
                <w:szCs w:val="24"/>
                <w:highlight w:val="none"/>
                <w:lang w:eastAsia="zh-CN"/>
              </w:rPr>
              <w:t>。</w:t>
            </w:r>
          </w:p>
          <w:p w14:paraId="5F6A1FCD">
            <w:pPr>
              <w:keepNext w:val="0"/>
              <w:keepLines w:val="0"/>
              <w:suppressLineNumbers w:val="0"/>
              <w:tabs>
                <w:tab w:val="left" w:pos="2790"/>
              </w:tabs>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厂界无组织：</w:t>
            </w:r>
            <w:r>
              <w:rPr>
                <w:rFonts w:hint="eastAsia" w:cs="Times New Roman"/>
                <w:color w:val="auto"/>
                <w:sz w:val="24"/>
                <w:szCs w:val="24"/>
                <w:highlight w:val="none"/>
                <w:lang w:val="en-US" w:eastAsia="zh-CN"/>
              </w:rPr>
              <w:t>厂界NMHC、</w:t>
            </w:r>
            <w:r>
              <w:rPr>
                <w:rFonts w:hint="default" w:ascii="Times New Roman" w:hAnsi="Times New Roman" w:eastAsia="宋体" w:cs="Times New Roman"/>
                <w:color w:val="auto"/>
                <w:sz w:val="24"/>
                <w:szCs w:val="24"/>
                <w:highlight w:val="none"/>
              </w:rPr>
              <w:t>苯系物（二甲苯）执行广东省《大气污染物排放限值》（DB44/27-2001）第二时段无组织排放监控浓度限值</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《印刷工业大气污染物排放标准》（GB41616-2022）表3无组织排放监控点浓度限值</w:t>
            </w:r>
            <w:r>
              <w:rPr>
                <w:rFonts w:hint="eastAsia" w:cs="Times New Roman"/>
                <w:color w:val="auto"/>
                <w:sz w:val="24"/>
                <w:szCs w:val="24"/>
                <w:highlight w:val="none"/>
                <w:lang w:val="en-US" w:eastAsia="zh-CN"/>
              </w:rPr>
              <w:t>两者较严值，即执行</w:t>
            </w:r>
            <w:r>
              <w:rPr>
                <w:rFonts w:hint="default" w:ascii="Times New Roman" w:hAnsi="Times New Roman" w:eastAsia="宋体" w:cs="Times New Roman"/>
                <w:color w:val="auto"/>
                <w:sz w:val="24"/>
                <w:szCs w:val="24"/>
                <w:highlight w:val="none"/>
              </w:rPr>
              <w:t>《印刷工业大气污染物排放标准》（GB41616-2022）表3无组织排放监控点浓度限值</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臭气浓度</w:t>
            </w:r>
            <w:r>
              <w:rPr>
                <w:rFonts w:hint="default" w:ascii="Times New Roman" w:hAnsi="Times New Roman" w:eastAsia="宋体" w:cs="Times New Roman"/>
                <w:color w:val="auto"/>
                <w:sz w:val="24"/>
                <w:szCs w:val="24"/>
                <w:highlight w:val="none"/>
              </w:rPr>
              <w:t>排放执行《恶臭污染物排放标准》（GB14554-93）中表1恶臭污染物厂界标准值二级新扩改建标准；</w:t>
            </w:r>
            <w:r>
              <w:rPr>
                <w:rFonts w:hint="eastAsia" w:ascii="Times New Roman" w:hAnsi="Times New Roman" w:eastAsia="宋体" w:cs="Times New Roman"/>
                <w:color w:val="auto"/>
                <w:sz w:val="24"/>
                <w:szCs w:val="24"/>
                <w:highlight w:val="none"/>
                <w:lang w:val="en-US" w:eastAsia="zh-CN"/>
              </w:rPr>
              <w:t>颗粒物无组织排放执行广东省《大气污染物排放限值》(DB44/27-2001)第二时段无组织排放监控浓度限值。</w:t>
            </w:r>
          </w:p>
          <w:p w14:paraId="31612987">
            <w:pPr>
              <w:spacing w:line="360" w:lineRule="auto"/>
              <w:ind w:firstLine="480" w:firstLineChars="200"/>
              <w:rPr>
                <w:rFonts w:hint="eastAsia"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rPr>
              <w:t>厂区内</w:t>
            </w:r>
            <w:r>
              <w:rPr>
                <w:rFonts w:hint="eastAsia" w:ascii="Times New Roman" w:hAnsi="Times New Roman" w:eastAsia="宋体" w:cs="Times New Roman"/>
                <w:color w:val="auto"/>
                <w:sz w:val="24"/>
                <w:szCs w:val="24"/>
                <w:highlight w:val="none"/>
                <w:lang w:val="en-US" w:eastAsia="zh-CN"/>
              </w:rPr>
              <w:t>NMHC</w:t>
            </w:r>
            <w:r>
              <w:rPr>
                <w:rFonts w:hint="default" w:ascii="Times New Roman" w:hAnsi="Times New Roman" w:eastAsia="宋体" w:cs="Times New Roman"/>
                <w:color w:val="auto"/>
                <w:sz w:val="24"/>
                <w:szCs w:val="24"/>
                <w:highlight w:val="none"/>
              </w:rPr>
              <w:t>执行广东省《固定污染源挥发性有机物综合排放标准》（DB44/2367-2022）</w:t>
            </w:r>
            <w:r>
              <w:rPr>
                <w:rFonts w:hint="eastAsia"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rPr>
              <w:t>表3厂区内VOCs无组织排放限值</w:t>
            </w:r>
            <w:r>
              <w:rPr>
                <w:rFonts w:hint="eastAsia" w:cs="Times New Roman"/>
                <w:color w:val="auto"/>
                <w:sz w:val="24"/>
                <w:szCs w:val="24"/>
                <w:highlight w:val="none"/>
                <w:lang w:val="en-US" w:eastAsia="zh-CN"/>
              </w:rPr>
              <w:t>、</w:t>
            </w:r>
            <w:r>
              <w:rPr>
                <w:rFonts w:hint="eastAsia"/>
                <w:color w:val="auto"/>
                <w:highlight w:val="none"/>
              </w:rPr>
              <w:t>《印刷工业大气污染物排放标准》（GB41616-2022）表 A.1厂区内 VOCs 无组织排放限值</w:t>
            </w:r>
            <w:r>
              <w:rPr>
                <w:rFonts w:hint="eastAsia"/>
                <w:color w:val="auto"/>
                <w:highlight w:val="none"/>
                <w:lang w:val="en-US" w:eastAsia="zh-CN"/>
              </w:rPr>
              <w:t>两者较严值，即执行</w:t>
            </w:r>
            <w:r>
              <w:rPr>
                <w:rFonts w:hint="default" w:ascii="Times New Roman" w:hAnsi="Times New Roman" w:eastAsia="宋体" w:cs="Times New Roman"/>
                <w:color w:val="auto"/>
                <w:sz w:val="24"/>
                <w:szCs w:val="24"/>
                <w:highlight w:val="none"/>
              </w:rPr>
              <w:t>《固定污染源挥发性有机物综合排放标准》（DB44/2367-2022）</w:t>
            </w:r>
            <w:r>
              <w:rPr>
                <w:rFonts w:hint="eastAsia"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rPr>
              <w:t>表3厂区内VOCs无组织排放限值，具体详见下表</w:t>
            </w:r>
            <w:r>
              <w:rPr>
                <w:rFonts w:hint="eastAsia" w:ascii="Times New Roman" w:hAnsi="Times New Roman" w:eastAsia="宋体" w:cs="Times New Roman"/>
                <w:color w:val="auto"/>
                <w:sz w:val="24"/>
                <w:szCs w:val="24"/>
                <w:highlight w:val="none"/>
                <w:lang w:eastAsia="zh-CN"/>
              </w:rPr>
              <w:t>。</w:t>
            </w:r>
          </w:p>
          <w:p w14:paraId="58825977">
            <w:pPr>
              <w:numPr>
                <w:ilvl w:val="0"/>
                <w:numId w:val="9"/>
              </w:numPr>
              <w:tabs>
                <w:tab w:val="clear" w:pos="0"/>
              </w:tabs>
              <w:spacing w:line="240" w:lineRule="auto"/>
              <w:ind w:left="0" w:leftChars="0" w:firstLine="40" w:firstLineChars="0"/>
              <w:jc w:val="center"/>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color w:val="auto"/>
                <w:kern w:val="2"/>
                <w:sz w:val="21"/>
                <w:szCs w:val="21"/>
                <w:highlight w:val="none"/>
                <w:lang w:val="en-US" w:eastAsia="zh-CN" w:bidi="ar-SA"/>
              </w:rPr>
              <w:t xml:space="preserve"> </w:t>
            </w:r>
            <w:r>
              <w:rPr>
                <w:rFonts w:hint="eastAsia" w:ascii="Times New Roman" w:hAnsi="Times New Roman" w:eastAsia="宋体" w:cs="Times New Roman"/>
                <w:b/>
                <w:color w:val="auto"/>
                <w:kern w:val="2"/>
                <w:sz w:val="21"/>
                <w:szCs w:val="21"/>
                <w:highlight w:val="none"/>
                <w:lang w:val="en-US" w:eastAsia="zh-CN" w:bidi="ar-SA"/>
              </w:rPr>
              <w:t>排气筒DA003废气有组织排放执行标准（单位：</w:t>
            </w:r>
            <w:r>
              <w:rPr>
                <w:rFonts w:hint="default" w:ascii="Times New Roman" w:hAnsi="Times New Roman" w:eastAsia="宋体" w:cs="Times New Roman"/>
                <w:b/>
                <w:bCs/>
                <w:color w:val="auto"/>
                <w:sz w:val="21"/>
                <w:szCs w:val="21"/>
                <w:highlight w:val="none"/>
              </w:rPr>
              <w:t>mg/m</w:t>
            </w:r>
            <w:r>
              <w:rPr>
                <w:rFonts w:hint="eastAsia" w:ascii="Times New Roman" w:hAnsi="Times New Roman" w:eastAsia="宋体" w:cs="Times New Roman"/>
                <w:b/>
                <w:bCs/>
                <w:color w:val="auto"/>
                <w:sz w:val="21"/>
                <w:szCs w:val="21"/>
                <w:highlight w:val="none"/>
                <w:vertAlign w:val="superscript"/>
                <w:lang w:val="en-US" w:eastAsia="zh-CN"/>
              </w:rPr>
              <w:t>3</w:t>
            </w:r>
            <w:r>
              <w:rPr>
                <w:rFonts w:hint="eastAsia" w:ascii="Times New Roman" w:hAnsi="Times New Roman" w:eastAsia="宋体" w:cs="Times New Roman"/>
                <w:b/>
                <w:bCs/>
                <w:color w:val="auto"/>
                <w:sz w:val="21"/>
                <w:szCs w:val="21"/>
                <w:highlight w:val="none"/>
                <w:vertAlign w:val="baseline"/>
                <w:lang w:val="en-US" w:eastAsia="zh-CN"/>
              </w:rPr>
              <w:t>）</w:t>
            </w:r>
          </w:p>
          <w:tbl>
            <w:tblPr>
              <w:tblStyle w:val="43"/>
              <w:tblW w:w="47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6"/>
              <w:gridCol w:w="1507"/>
              <w:gridCol w:w="2302"/>
              <w:gridCol w:w="731"/>
              <w:gridCol w:w="995"/>
              <w:gridCol w:w="904"/>
            </w:tblGrid>
            <w:tr w14:paraId="04678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676" w:type="pct"/>
                  <w:vAlign w:val="center"/>
                </w:tcPr>
                <w:p w14:paraId="40A3E80F">
                  <w:pPr>
                    <w:autoSpaceDE w:val="0"/>
                    <w:autoSpaceDN w:val="0"/>
                    <w:adjustRightInd w:val="0"/>
                    <w:snapToGrid w:val="0"/>
                    <w:spacing w:line="240" w:lineRule="auto"/>
                    <w:jc w:val="center"/>
                    <w:rPr>
                      <w:rFonts w:ascii="Times New Roman" w:hAnsi="Times New Roman" w:eastAsia="宋体" w:cs="Times New Roman"/>
                      <w:b/>
                      <w:color w:val="auto"/>
                      <w:spacing w:val="-2"/>
                      <w:sz w:val="21"/>
                      <w:szCs w:val="21"/>
                      <w:highlight w:val="none"/>
                      <w:lang w:val="en-US" w:eastAsia="zh-CN" w:bidi="ar-SA"/>
                    </w:rPr>
                  </w:pPr>
                  <w:r>
                    <w:rPr>
                      <w:rFonts w:ascii="Times New Roman" w:hAnsi="Times New Roman" w:eastAsia="宋体" w:cs="Times New Roman"/>
                      <w:b/>
                      <w:color w:val="auto"/>
                      <w:sz w:val="21"/>
                      <w:szCs w:val="21"/>
                      <w:highlight w:val="none"/>
                    </w:rPr>
                    <w:t>生产工序</w:t>
                  </w:r>
                </w:p>
              </w:tc>
              <w:tc>
                <w:tcPr>
                  <w:tcW w:w="1012" w:type="pct"/>
                  <w:vAlign w:val="center"/>
                </w:tcPr>
                <w:p w14:paraId="13F80953">
                  <w:pPr>
                    <w:autoSpaceDE w:val="0"/>
                    <w:autoSpaceDN w:val="0"/>
                    <w:adjustRightInd w:val="0"/>
                    <w:snapToGrid w:val="0"/>
                    <w:spacing w:line="240" w:lineRule="auto"/>
                    <w:jc w:val="center"/>
                    <w:rPr>
                      <w:rFonts w:ascii="Times New Roman" w:hAnsi="Times New Roman" w:eastAsia="宋体" w:cs="Times New Roman"/>
                      <w:b/>
                      <w:color w:val="auto"/>
                      <w:spacing w:val="-2"/>
                      <w:sz w:val="21"/>
                      <w:szCs w:val="21"/>
                      <w:highlight w:val="none"/>
                      <w:lang w:val="en-US" w:eastAsia="en-US" w:bidi="ar-SA"/>
                    </w:rPr>
                  </w:pPr>
                  <w:r>
                    <w:rPr>
                      <w:rFonts w:ascii="Times New Roman" w:hAnsi="Times New Roman" w:eastAsia="宋体" w:cs="Times New Roman"/>
                      <w:b/>
                      <w:color w:val="auto"/>
                      <w:sz w:val="21"/>
                      <w:szCs w:val="21"/>
                      <w:highlight w:val="none"/>
                    </w:rPr>
                    <w:t>污染物名称</w:t>
                  </w:r>
                </w:p>
              </w:tc>
              <w:tc>
                <w:tcPr>
                  <w:tcW w:w="1546" w:type="pct"/>
                  <w:vAlign w:val="center"/>
                </w:tcPr>
                <w:p w14:paraId="294CB5B4">
                  <w:pPr>
                    <w:autoSpaceDE w:val="0"/>
                    <w:autoSpaceDN w:val="0"/>
                    <w:adjustRightInd w:val="0"/>
                    <w:snapToGrid w:val="0"/>
                    <w:spacing w:line="240" w:lineRule="auto"/>
                    <w:jc w:val="center"/>
                    <w:rPr>
                      <w:rFonts w:hint="eastAsia" w:ascii="Times New Roman" w:hAnsi="Times New Roman" w:eastAsia="宋体" w:cs="Times New Roman"/>
                      <w:b/>
                      <w:color w:val="auto"/>
                      <w:spacing w:val="-2"/>
                      <w:sz w:val="21"/>
                      <w:szCs w:val="21"/>
                      <w:highlight w:val="none"/>
                      <w:lang w:val="en-US" w:eastAsia="zh-CN" w:bidi="ar-SA"/>
                    </w:rPr>
                  </w:pPr>
                  <w:r>
                    <w:rPr>
                      <w:rFonts w:hint="eastAsia" w:ascii="Times New Roman" w:hAnsi="Times New Roman" w:eastAsia="宋体" w:cs="Times New Roman"/>
                      <w:b/>
                      <w:color w:val="auto"/>
                      <w:sz w:val="21"/>
                      <w:szCs w:val="21"/>
                      <w:highlight w:val="none"/>
                      <w:lang w:val="en-US" w:eastAsia="zh-CN"/>
                    </w:rPr>
                    <w:t>执行标准</w:t>
                  </w:r>
                </w:p>
              </w:tc>
              <w:tc>
                <w:tcPr>
                  <w:tcW w:w="491" w:type="pct"/>
                  <w:vAlign w:val="center"/>
                </w:tcPr>
                <w:p w14:paraId="703B9D49">
                  <w:pPr>
                    <w:autoSpaceDE w:val="0"/>
                    <w:autoSpaceDN w:val="0"/>
                    <w:adjustRightInd w:val="0"/>
                    <w:snapToGrid w:val="0"/>
                    <w:spacing w:line="240" w:lineRule="auto"/>
                    <w:jc w:val="center"/>
                    <w:rPr>
                      <w:rFonts w:ascii="Times New Roman" w:hAnsi="Times New Roman" w:eastAsia="宋体" w:cs="Times New Roman"/>
                      <w:b/>
                      <w:color w:val="auto"/>
                      <w:spacing w:val="-2"/>
                      <w:sz w:val="21"/>
                      <w:szCs w:val="21"/>
                      <w:highlight w:val="none"/>
                      <w:lang w:val="en-US" w:eastAsia="en-US" w:bidi="ar-SA"/>
                    </w:rPr>
                  </w:pPr>
                  <w:r>
                    <w:rPr>
                      <w:rFonts w:ascii="Times New Roman" w:hAnsi="Times New Roman" w:eastAsia="宋体" w:cs="Times New Roman"/>
                      <w:b/>
                      <w:color w:val="auto"/>
                      <w:sz w:val="21"/>
                      <w:szCs w:val="21"/>
                      <w:highlight w:val="none"/>
                    </w:rPr>
                    <w:t>排放高度</w:t>
                  </w:r>
                  <w:r>
                    <w:rPr>
                      <w:rFonts w:ascii="Times New Roman" w:hAnsi="Times New Roman" w:eastAsia="宋体" w:cs="Times New Roman"/>
                      <w:b/>
                      <w:color w:val="auto"/>
                      <w:sz w:val="21"/>
                      <w:szCs w:val="21"/>
                      <w:highlight w:val="none"/>
                      <w:lang w:eastAsia="en-US"/>
                    </w:rPr>
                    <w:t>（m）</w:t>
                  </w:r>
                </w:p>
              </w:tc>
              <w:tc>
                <w:tcPr>
                  <w:tcW w:w="668" w:type="pct"/>
                  <w:vAlign w:val="center"/>
                </w:tcPr>
                <w:p w14:paraId="5C7ABB53">
                  <w:pPr>
                    <w:tabs>
                      <w:tab w:val="left" w:pos="552"/>
                    </w:tabs>
                    <w:autoSpaceDE w:val="0"/>
                    <w:autoSpaceDN w:val="0"/>
                    <w:adjustRightInd w:val="0"/>
                    <w:snapToGrid w:val="0"/>
                    <w:spacing w:line="240" w:lineRule="auto"/>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浓度</w:t>
                  </w:r>
                </w:p>
                <w:p w14:paraId="2D6D2985">
                  <w:pPr>
                    <w:autoSpaceDE w:val="0"/>
                    <w:autoSpaceDN w:val="0"/>
                    <w:adjustRightInd w:val="0"/>
                    <w:snapToGrid w:val="0"/>
                    <w:spacing w:line="240" w:lineRule="auto"/>
                    <w:jc w:val="center"/>
                    <w:rPr>
                      <w:rFonts w:ascii="Times New Roman" w:hAnsi="Times New Roman" w:eastAsia="宋体" w:cs="Times New Roman"/>
                      <w:b/>
                      <w:color w:val="auto"/>
                      <w:sz w:val="21"/>
                      <w:szCs w:val="21"/>
                      <w:highlight w:val="none"/>
                      <w:lang w:eastAsia="en-US"/>
                    </w:rPr>
                  </w:pPr>
                  <w:r>
                    <w:rPr>
                      <w:rFonts w:ascii="Times New Roman" w:hAnsi="Times New Roman" w:eastAsia="宋体" w:cs="Times New Roman"/>
                      <w:b/>
                      <w:color w:val="auto"/>
                      <w:sz w:val="21"/>
                      <w:szCs w:val="21"/>
                      <w:highlight w:val="none"/>
                      <w:lang w:eastAsia="en-US"/>
                    </w:rPr>
                    <w:t>（mg/m</w:t>
                  </w:r>
                  <w:r>
                    <w:rPr>
                      <w:rFonts w:ascii="Times New Roman" w:hAnsi="Times New Roman" w:eastAsia="宋体" w:cs="Times New Roman"/>
                      <w:b/>
                      <w:color w:val="auto"/>
                      <w:sz w:val="21"/>
                      <w:szCs w:val="21"/>
                      <w:highlight w:val="none"/>
                      <w:vertAlign w:val="superscript"/>
                      <w:lang w:eastAsia="en-US"/>
                    </w:rPr>
                    <w:t>3</w:t>
                  </w:r>
                  <w:r>
                    <w:rPr>
                      <w:rFonts w:ascii="Times New Roman" w:hAnsi="Times New Roman" w:eastAsia="宋体" w:cs="Times New Roman"/>
                      <w:b/>
                      <w:color w:val="auto"/>
                      <w:sz w:val="21"/>
                      <w:szCs w:val="21"/>
                      <w:highlight w:val="none"/>
                      <w:lang w:eastAsia="en-US"/>
                    </w:rPr>
                    <w:t>）</w:t>
                  </w:r>
                </w:p>
              </w:tc>
              <w:tc>
                <w:tcPr>
                  <w:tcW w:w="604" w:type="pct"/>
                  <w:vAlign w:val="center"/>
                </w:tcPr>
                <w:p w14:paraId="3AEE71C0">
                  <w:pPr>
                    <w:autoSpaceDE w:val="0"/>
                    <w:autoSpaceDN w:val="0"/>
                    <w:adjustRightInd w:val="0"/>
                    <w:snapToGrid w:val="0"/>
                    <w:spacing w:line="240" w:lineRule="auto"/>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速率</w:t>
                  </w:r>
                </w:p>
                <w:p w14:paraId="3BF0A534">
                  <w:pPr>
                    <w:autoSpaceDE w:val="0"/>
                    <w:autoSpaceDN w:val="0"/>
                    <w:adjustRightInd w:val="0"/>
                    <w:snapToGrid w:val="0"/>
                    <w:spacing w:line="240" w:lineRule="auto"/>
                    <w:jc w:val="center"/>
                    <w:rPr>
                      <w:rFonts w:ascii="Times New Roman" w:hAnsi="Times New Roman" w:eastAsia="宋体" w:cs="Times New Roman"/>
                      <w:b/>
                      <w:color w:val="auto"/>
                      <w:sz w:val="21"/>
                      <w:szCs w:val="21"/>
                      <w:highlight w:val="none"/>
                      <w:lang w:eastAsia="en-US"/>
                    </w:rPr>
                  </w:pPr>
                  <w:r>
                    <w:rPr>
                      <w:rFonts w:ascii="Times New Roman" w:hAnsi="Times New Roman" w:eastAsia="宋体" w:cs="Times New Roman"/>
                      <w:b/>
                      <w:color w:val="auto"/>
                      <w:sz w:val="21"/>
                      <w:szCs w:val="21"/>
                      <w:highlight w:val="none"/>
                      <w:lang w:eastAsia="en-US"/>
                    </w:rPr>
                    <w:t>（kg/h）</w:t>
                  </w:r>
                </w:p>
              </w:tc>
            </w:tr>
            <w:tr w14:paraId="63166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676" w:type="pct"/>
                  <w:vMerge w:val="restart"/>
                  <w:vAlign w:val="center"/>
                </w:tcPr>
                <w:p w14:paraId="4AB29610">
                  <w:p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喷</w:t>
                  </w:r>
                  <w:r>
                    <w:rPr>
                      <w:rFonts w:hint="eastAsia" w:cs="Times New Roman"/>
                      <w:color w:val="auto"/>
                      <w:sz w:val="21"/>
                      <w:szCs w:val="21"/>
                      <w:highlight w:val="none"/>
                      <w:lang w:val="en-US" w:eastAsia="zh-CN"/>
                    </w:rPr>
                    <w:t>涂</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丝印</w:t>
                  </w:r>
                  <w:r>
                    <w:rPr>
                      <w:rFonts w:hint="eastAsia" w:cs="Times New Roman"/>
                      <w:b w:val="0"/>
                      <w:bCs w:val="0"/>
                      <w:color w:val="auto"/>
                      <w:kern w:val="2"/>
                      <w:sz w:val="21"/>
                      <w:szCs w:val="21"/>
                      <w:highlight w:val="none"/>
                      <w:lang w:val="en-US" w:eastAsia="zh-CN" w:bidi="ar-SA"/>
                    </w:rPr>
                    <w:t>（含表面清洁）</w:t>
                  </w:r>
                  <w:r>
                    <w:rPr>
                      <w:rFonts w:hint="eastAsia" w:ascii="Times New Roman" w:hAnsi="Times New Roman" w:eastAsia="宋体" w:cs="Times New Roman"/>
                      <w:color w:val="auto"/>
                      <w:sz w:val="21"/>
                      <w:szCs w:val="21"/>
                      <w:highlight w:val="none"/>
                      <w:lang w:val="en-US" w:eastAsia="zh-CN"/>
                    </w:rPr>
                    <w:t>、固化</w:t>
                  </w:r>
                </w:p>
                <w:p w14:paraId="7F60CD2D">
                  <w:pPr>
                    <w:rPr>
                      <w:color w:val="auto"/>
                      <w:highlight w:val="none"/>
                    </w:rPr>
                  </w:pPr>
                </w:p>
              </w:tc>
              <w:tc>
                <w:tcPr>
                  <w:tcW w:w="1012" w:type="pct"/>
                  <w:vAlign w:val="center"/>
                </w:tcPr>
                <w:p w14:paraId="0E43A0A0">
                  <w:pPr>
                    <w:widowControl/>
                    <w:wordWrap w:val="0"/>
                    <w:topLinePunct/>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1546" w:type="pct"/>
                  <w:vAlign w:val="center"/>
                </w:tcPr>
                <w:p w14:paraId="0E33D3B6">
                  <w:pPr>
                    <w:autoSpaceDE w:val="0"/>
                    <w:autoSpaceDN w:val="0"/>
                    <w:adjustRightInd w:val="0"/>
                    <w:snapToGrid w:val="0"/>
                    <w:spacing w:line="240" w:lineRule="auto"/>
                    <w:jc w:val="left"/>
                    <w:rPr>
                      <w:rFonts w:ascii="Times New Roman" w:hAnsi="Times New Roman" w:eastAsia="宋体" w:cs="Times New Roman"/>
                      <w:color w:val="auto"/>
                      <w:spacing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广东省《大气污染物排放限值》（DB44/27-2001）第二时段</w:t>
                  </w:r>
                  <w:r>
                    <w:rPr>
                      <w:rFonts w:hint="eastAsia" w:ascii="Times New Roman" w:hAnsi="Times New Roman" w:eastAsia="宋体" w:cs="Times New Roman"/>
                      <w:color w:val="auto"/>
                      <w:kern w:val="0"/>
                      <w:sz w:val="21"/>
                      <w:szCs w:val="21"/>
                      <w:highlight w:val="none"/>
                      <w:lang w:val="en-US" w:eastAsia="zh-CN"/>
                    </w:rPr>
                    <w:t>二级</w:t>
                  </w:r>
                  <w:r>
                    <w:rPr>
                      <w:rFonts w:hint="default" w:ascii="Times New Roman" w:hAnsi="Times New Roman" w:eastAsia="宋体" w:cs="Times New Roman"/>
                      <w:color w:val="auto"/>
                      <w:kern w:val="0"/>
                      <w:sz w:val="21"/>
                      <w:szCs w:val="21"/>
                      <w:highlight w:val="none"/>
                      <w:lang w:val="en-US" w:eastAsia="zh-CN"/>
                    </w:rPr>
                    <w:t>排放限值</w:t>
                  </w:r>
                </w:p>
              </w:tc>
              <w:tc>
                <w:tcPr>
                  <w:tcW w:w="491" w:type="pct"/>
                  <w:vMerge w:val="restart"/>
                  <w:vAlign w:val="center"/>
                </w:tcPr>
                <w:p w14:paraId="738A60DF">
                  <w:pPr>
                    <w:autoSpaceDE w:val="0"/>
                    <w:autoSpaceDN w:val="0"/>
                    <w:adjustRightInd w:val="0"/>
                    <w:snapToGrid w:val="0"/>
                    <w:spacing w:line="24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15</w:t>
                  </w:r>
                </w:p>
              </w:tc>
              <w:tc>
                <w:tcPr>
                  <w:tcW w:w="668" w:type="pct"/>
                  <w:vAlign w:val="center"/>
                </w:tcPr>
                <w:p w14:paraId="1E8B75BF">
                  <w:p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120</w:t>
                  </w:r>
                </w:p>
              </w:tc>
              <w:tc>
                <w:tcPr>
                  <w:tcW w:w="604" w:type="pct"/>
                  <w:vAlign w:val="center"/>
                </w:tcPr>
                <w:p w14:paraId="0FD63555">
                  <w:p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1.45</w:t>
                  </w:r>
                </w:p>
              </w:tc>
            </w:tr>
            <w:tr w14:paraId="79469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676" w:type="pct"/>
                  <w:vMerge w:val="continue"/>
                  <w:vAlign w:val="center"/>
                </w:tcPr>
                <w:p w14:paraId="3167EB6D">
                  <w:pPr>
                    <w:autoSpaceDE w:val="0"/>
                    <w:autoSpaceDN w:val="0"/>
                    <w:adjustRightInd w:val="0"/>
                    <w:snapToGrid w:val="0"/>
                    <w:spacing w:line="240" w:lineRule="auto"/>
                    <w:jc w:val="center"/>
                    <w:rPr>
                      <w:rFonts w:ascii="Times New Roman" w:hAnsi="Times New Roman" w:eastAsia="宋体" w:cs="Times New Roman"/>
                      <w:color w:val="auto"/>
                      <w:sz w:val="21"/>
                      <w:szCs w:val="21"/>
                      <w:highlight w:val="none"/>
                    </w:rPr>
                  </w:pPr>
                </w:p>
              </w:tc>
              <w:tc>
                <w:tcPr>
                  <w:tcW w:w="1012" w:type="pct"/>
                  <w:vAlign w:val="center"/>
                </w:tcPr>
                <w:p w14:paraId="2F394392">
                  <w:pPr>
                    <w:widowControl/>
                    <w:wordWrap w:val="0"/>
                    <w:topLinePunct/>
                    <w:spacing w:line="240" w:lineRule="auto"/>
                    <w:jc w:val="center"/>
                    <w:textAlignment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NMHC</w:t>
                  </w:r>
                </w:p>
              </w:tc>
              <w:tc>
                <w:tcPr>
                  <w:tcW w:w="1546" w:type="pct"/>
                  <w:vMerge w:val="restart"/>
                  <w:vAlign w:val="center"/>
                </w:tcPr>
                <w:p w14:paraId="173884A7">
                  <w:pPr>
                    <w:autoSpaceDE w:val="0"/>
                    <w:autoSpaceDN w:val="0"/>
                    <w:adjustRightInd w:val="0"/>
                    <w:snapToGrid w:val="0"/>
                    <w:spacing w:line="240" w:lineRule="auto"/>
                    <w:jc w:val="left"/>
                    <w:rPr>
                      <w:rFonts w:hint="eastAsia" w:ascii="Times New Roman" w:hAnsi="Times New Roman" w:eastAsia="宋体" w:cs="Times New Roman"/>
                      <w:color w:val="auto"/>
                      <w:spacing w:val="-2"/>
                      <w:sz w:val="21"/>
                      <w:szCs w:val="21"/>
                      <w:highlight w:val="none"/>
                      <w:lang w:val="en-US" w:eastAsia="zh-CN" w:bidi="ar-SA"/>
                    </w:rPr>
                  </w:pPr>
                  <w:r>
                    <w:rPr>
                      <w:rFonts w:hint="eastAsia" w:cs="Times New Roman"/>
                      <w:color w:val="auto"/>
                      <w:sz w:val="21"/>
                      <w:szCs w:val="21"/>
                      <w:highlight w:val="none"/>
                      <w:lang w:eastAsia="zh-CN"/>
                    </w:rPr>
                    <w:t>《印刷行业挥发性有机化合物排放标准》（DB44/815-2010）表2最高允许排放速率第Ⅱ时段标准和《印刷工业大气污染物排放标准》（GB41616-2022）表1大气污染物排放限值</w:t>
                  </w:r>
                </w:p>
              </w:tc>
              <w:tc>
                <w:tcPr>
                  <w:tcW w:w="491" w:type="pct"/>
                  <w:vMerge w:val="continue"/>
                  <w:vAlign w:val="center"/>
                </w:tcPr>
                <w:p w14:paraId="7D7CAE15">
                  <w:pPr>
                    <w:autoSpaceDE w:val="0"/>
                    <w:autoSpaceDN w:val="0"/>
                    <w:adjustRightInd w:val="0"/>
                    <w:snapToGrid w:val="0"/>
                    <w:spacing w:line="240" w:lineRule="auto"/>
                    <w:jc w:val="center"/>
                    <w:rPr>
                      <w:rFonts w:ascii="Times New Roman" w:hAnsi="Times New Roman" w:eastAsia="宋体" w:cs="Times New Roman"/>
                      <w:color w:val="auto"/>
                      <w:sz w:val="21"/>
                      <w:szCs w:val="21"/>
                      <w:highlight w:val="none"/>
                    </w:rPr>
                  </w:pPr>
                </w:p>
              </w:tc>
              <w:tc>
                <w:tcPr>
                  <w:tcW w:w="668" w:type="pct"/>
                  <w:vAlign w:val="center"/>
                </w:tcPr>
                <w:p w14:paraId="24D83129">
                  <w:p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70</w:t>
                  </w:r>
                </w:p>
              </w:tc>
              <w:tc>
                <w:tcPr>
                  <w:tcW w:w="604" w:type="pct"/>
                  <w:vAlign w:val="center"/>
                </w:tcPr>
                <w:p w14:paraId="40B7E69D">
                  <w:p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2.55</w:t>
                  </w:r>
                </w:p>
              </w:tc>
            </w:tr>
            <w:tr w14:paraId="3FE92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3" w:hRule="atLeast"/>
                <w:jc w:val="center"/>
              </w:trPr>
              <w:tc>
                <w:tcPr>
                  <w:tcW w:w="676" w:type="pct"/>
                  <w:vMerge w:val="continue"/>
                  <w:vAlign w:val="center"/>
                </w:tcPr>
                <w:p w14:paraId="3EB13DB1">
                  <w:pPr>
                    <w:autoSpaceDE w:val="0"/>
                    <w:autoSpaceDN w:val="0"/>
                    <w:adjustRightInd w:val="0"/>
                    <w:snapToGrid w:val="0"/>
                    <w:spacing w:line="240" w:lineRule="auto"/>
                    <w:jc w:val="center"/>
                    <w:rPr>
                      <w:rFonts w:ascii="Times New Roman" w:hAnsi="Times New Roman" w:eastAsia="宋体" w:cs="Times New Roman"/>
                      <w:color w:val="auto"/>
                      <w:sz w:val="21"/>
                      <w:szCs w:val="21"/>
                      <w:highlight w:val="none"/>
                    </w:rPr>
                  </w:pPr>
                </w:p>
              </w:tc>
              <w:tc>
                <w:tcPr>
                  <w:tcW w:w="1012" w:type="pct"/>
                  <w:vAlign w:val="center"/>
                </w:tcPr>
                <w:p w14:paraId="01172DB7">
                  <w:pPr>
                    <w:widowControl/>
                    <w:wordWrap w:val="0"/>
                    <w:topLinePunct/>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苯系物</w:t>
                  </w:r>
                </w:p>
              </w:tc>
              <w:tc>
                <w:tcPr>
                  <w:tcW w:w="1546" w:type="pct"/>
                  <w:vMerge w:val="continue"/>
                  <w:vAlign w:val="center"/>
                </w:tcPr>
                <w:p w14:paraId="3AFA0668">
                  <w:pPr>
                    <w:autoSpaceDE w:val="0"/>
                    <w:autoSpaceDN w:val="0"/>
                    <w:adjustRightInd w:val="0"/>
                    <w:snapToGrid w:val="0"/>
                    <w:spacing w:line="240" w:lineRule="auto"/>
                    <w:jc w:val="left"/>
                    <w:rPr>
                      <w:rFonts w:ascii="Times New Roman" w:hAnsi="Times New Roman" w:eastAsia="宋体" w:cs="Times New Roman"/>
                      <w:color w:val="auto"/>
                      <w:spacing w:val="-2"/>
                      <w:sz w:val="21"/>
                      <w:szCs w:val="21"/>
                      <w:highlight w:val="none"/>
                      <w:lang w:val="en-US" w:eastAsia="zh-CN" w:bidi="ar-SA"/>
                    </w:rPr>
                  </w:pPr>
                </w:p>
              </w:tc>
              <w:tc>
                <w:tcPr>
                  <w:tcW w:w="491" w:type="pct"/>
                  <w:vMerge w:val="continue"/>
                  <w:vAlign w:val="center"/>
                </w:tcPr>
                <w:p w14:paraId="67B30013">
                  <w:pPr>
                    <w:autoSpaceDE w:val="0"/>
                    <w:autoSpaceDN w:val="0"/>
                    <w:adjustRightInd w:val="0"/>
                    <w:snapToGrid w:val="0"/>
                    <w:spacing w:line="240" w:lineRule="auto"/>
                    <w:jc w:val="center"/>
                    <w:rPr>
                      <w:rFonts w:ascii="Times New Roman" w:hAnsi="Times New Roman" w:eastAsia="宋体" w:cs="Times New Roman"/>
                      <w:color w:val="auto"/>
                      <w:sz w:val="21"/>
                      <w:szCs w:val="21"/>
                      <w:highlight w:val="none"/>
                    </w:rPr>
                  </w:pPr>
                </w:p>
              </w:tc>
              <w:tc>
                <w:tcPr>
                  <w:tcW w:w="668" w:type="pct"/>
                  <w:vAlign w:val="center"/>
                </w:tcPr>
                <w:p w14:paraId="6001CF69">
                  <w:p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604" w:type="pct"/>
                  <w:vAlign w:val="center"/>
                </w:tcPr>
                <w:p w14:paraId="23A9C009">
                  <w:p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0.8</w:t>
                  </w:r>
                </w:p>
              </w:tc>
            </w:tr>
            <w:tr w14:paraId="662B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3" w:hRule="atLeast"/>
                <w:jc w:val="center"/>
              </w:trPr>
              <w:tc>
                <w:tcPr>
                  <w:tcW w:w="676" w:type="pct"/>
                  <w:vMerge w:val="continue"/>
                  <w:vAlign w:val="center"/>
                </w:tcPr>
                <w:p w14:paraId="4561612C">
                  <w:pPr>
                    <w:autoSpaceDE w:val="0"/>
                    <w:autoSpaceDN w:val="0"/>
                    <w:adjustRightInd w:val="0"/>
                    <w:snapToGrid w:val="0"/>
                    <w:spacing w:line="240" w:lineRule="auto"/>
                    <w:jc w:val="center"/>
                    <w:rPr>
                      <w:rFonts w:ascii="Times New Roman" w:hAnsi="Times New Roman" w:eastAsia="宋体" w:cs="Times New Roman"/>
                      <w:color w:val="auto"/>
                      <w:sz w:val="21"/>
                      <w:szCs w:val="21"/>
                      <w:highlight w:val="none"/>
                    </w:rPr>
                  </w:pPr>
                </w:p>
              </w:tc>
              <w:tc>
                <w:tcPr>
                  <w:tcW w:w="1012" w:type="pct"/>
                  <w:shd w:val="clear" w:color="auto" w:fill="auto"/>
                  <w:vAlign w:val="center"/>
                </w:tcPr>
                <w:p w14:paraId="7E843DB4">
                  <w:pPr>
                    <w:autoSpaceDE w:val="0"/>
                    <w:autoSpaceDN w:val="0"/>
                    <w:adjustRightInd w:val="0"/>
                    <w:snapToGrid w:val="0"/>
                    <w:spacing w:line="240" w:lineRule="auto"/>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SO</w:t>
                  </w:r>
                  <w:r>
                    <w:rPr>
                      <w:rFonts w:ascii="Times New Roman" w:hAnsi="Times New Roman" w:eastAsia="宋体" w:cs="Times New Roman"/>
                      <w:color w:val="auto"/>
                      <w:sz w:val="21"/>
                      <w:szCs w:val="21"/>
                      <w:highlight w:val="none"/>
                      <w:vertAlign w:val="subscript"/>
                    </w:rPr>
                    <w:t>2</w:t>
                  </w:r>
                </w:p>
              </w:tc>
              <w:tc>
                <w:tcPr>
                  <w:tcW w:w="1546" w:type="pct"/>
                  <w:vMerge w:val="restart"/>
                  <w:vAlign w:val="center"/>
                </w:tcPr>
                <w:p w14:paraId="17661A0A">
                  <w:pPr>
                    <w:autoSpaceDE w:val="0"/>
                    <w:autoSpaceDN w:val="0"/>
                    <w:adjustRightInd w:val="0"/>
                    <w:snapToGrid w:val="0"/>
                    <w:spacing w:line="240" w:lineRule="auto"/>
                    <w:jc w:val="left"/>
                    <w:rPr>
                      <w:rFonts w:ascii="Times New Roman" w:hAnsi="Times New Roman" w:eastAsia="宋体" w:cs="Times New Roman"/>
                      <w:color w:val="auto"/>
                      <w:spacing w:val="-2"/>
                      <w:sz w:val="21"/>
                      <w:szCs w:val="21"/>
                      <w:highlight w:val="none"/>
                      <w:lang w:val="en-US" w:eastAsia="zh-CN" w:bidi="ar-SA"/>
                    </w:rPr>
                  </w:pPr>
                  <w:r>
                    <w:rPr>
                      <w:rFonts w:ascii="Times New Roman" w:hAnsi="Times New Roman" w:eastAsia="宋体" w:cs="Times New Roman"/>
                      <w:color w:val="auto"/>
                      <w:sz w:val="21"/>
                      <w:szCs w:val="21"/>
                      <w:highlight w:val="none"/>
                    </w:rPr>
                    <w:t>广东省《大气污染物排放限值》（DB44/27-2001）第二时段二级标准与《关于印发&lt;工业炉窑大气污染综合治理方案&gt;的通知》（环大气〔2019〕56号）和《关于贯彻落实&lt;工业炉窑大气污染物综合治理方案&gt;的实施意见》（粤环函〔2019〕1112号）中颗粒物、二氧化硫、氮氧化物排放限值较严值</w:t>
                  </w:r>
                </w:p>
              </w:tc>
              <w:tc>
                <w:tcPr>
                  <w:tcW w:w="491" w:type="pct"/>
                  <w:vMerge w:val="continue"/>
                  <w:vAlign w:val="center"/>
                </w:tcPr>
                <w:p w14:paraId="4534B880">
                  <w:pPr>
                    <w:autoSpaceDE w:val="0"/>
                    <w:autoSpaceDN w:val="0"/>
                    <w:adjustRightInd w:val="0"/>
                    <w:snapToGrid w:val="0"/>
                    <w:spacing w:line="240" w:lineRule="auto"/>
                    <w:jc w:val="center"/>
                    <w:rPr>
                      <w:rFonts w:ascii="Times New Roman" w:hAnsi="Times New Roman" w:eastAsia="宋体" w:cs="Times New Roman"/>
                      <w:color w:val="auto"/>
                      <w:sz w:val="21"/>
                      <w:szCs w:val="21"/>
                      <w:highlight w:val="none"/>
                    </w:rPr>
                  </w:pPr>
                </w:p>
              </w:tc>
              <w:tc>
                <w:tcPr>
                  <w:tcW w:w="668" w:type="pct"/>
                  <w:shd w:val="clear" w:color="auto" w:fill="auto"/>
                  <w:vAlign w:val="center"/>
                </w:tcPr>
                <w:p w14:paraId="7BECA342">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200</w:t>
                  </w:r>
                </w:p>
              </w:tc>
              <w:tc>
                <w:tcPr>
                  <w:tcW w:w="604" w:type="pct"/>
                  <w:vAlign w:val="center"/>
                </w:tcPr>
                <w:p w14:paraId="61F8AFEC">
                  <w:pPr>
                    <w:autoSpaceDE w:val="0"/>
                    <w:autoSpaceDN w:val="0"/>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7DCE4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3" w:hRule="atLeast"/>
                <w:jc w:val="center"/>
              </w:trPr>
              <w:tc>
                <w:tcPr>
                  <w:tcW w:w="676" w:type="pct"/>
                  <w:vMerge w:val="continue"/>
                  <w:vAlign w:val="center"/>
                </w:tcPr>
                <w:p w14:paraId="67DCDC10">
                  <w:pPr>
                    <w:autoSpaceDE w:val="0"/>
                    <w:autoSpaceDN w:val="0"/>
                    <w:adjustRightInd w:val="0"/>
                    <w:snapToGrid w:val="0"/>
                    <w:spacing w:line="240" w:lineRule="auto"/>
                    <w:jc w:val="center"/>
                    <w:rPr>
                      <w:rFonts w:ascii="Times New Roman" w:hAnsi="Times New Roman" w:eastAsia="宋体" w:cs="Times New Roman"/>
                      <w:color w:val="auto"/>
                      <w:sz w:val="21"/>
                      <w:szCs w:val="21"/>
                      <w:highlight w:val="none"/>
                    </w:rPr>
                  </w:pPr>
                </w:p>
              </w:tc>
              <w:tc>
                <w:tcPr>
                  <w:tcW w:w="1012" w:type="pct"/>
                  <w:shd w:val="clear" w:color="auto" w:fill="auto"/>
                  <w:vAlign w:val="center"/>
                </w:tcPr>
                <w:p w14:paraId="6D008530">
                  <w:pPr>
                    <w:autoSpaceDE w:val="0"/>
                    <w:autoSpaceDN w:val="0"/>
                    <w:adjustRightInd w:val="0"/>
                    <w:snapToGrid w:val="0"/>
                    <w:spacing w:line="240" w:lineRule="auto"/>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NOx</w:t>
                  </w:r>
                </w:p>
              </w:tc>
              <w:tc>
                <w:tcPr>
                  <w:tcW w:w="1546" w:type="pct"/>
                  <w:vMerge w:val="continue"/>
                  <w:vAlign w:val="center"/>
                </w:tcPr>
                <w:p w14:paraId="62FBCE47">
                  <w:pPr>
                    <w:autoSpaceDE w:val="0"/>
                    <w:autoSpaceDN w:val="0"/>
                    <w:adjustRightInd w:val="0"/>
                    <w:snapToGrid w:val="0"/>
                    <w:spacing w:line="240" w:lineRule="auto"/>
                    <w:jc w:val="left"/>
                    <w:rPr>
                      <w:rFonts w:ascii="Times New Roman" w:hAnsi="Times New Roman" w:eastAsia="宋体" w:cs="Times New Roman"/>
                      <w:color w:val="auto"/>
                      <w:spacing w:val="-2"/>
                      <w:sz w:val="21"/>
                      <w:szCs w:val="21"/>
                      <w:highlight w:val="none"/>
                      <w:lang w:val="en-US" w:eastAsia="zh-CN" w:bidi="ar-SA"/>
                    </w:rPr>
                  </w:pPr>
                </w:p>
              </w:tc>
              <w:tc>
                <w:tcPr>
                  <w:tcW w:w="491" w:type="pct"/>
                  <w:vMerge w:val="continue"/>
                  <w:vAlign w:val="center"/>
                </w:tcPr>
                <w:p w14:paraId="77447C05">
                  <w:pPr>
                    <w:autoSpaceDE w:val="0"/>
                    <w:autoSpaceDN w:val="0"/>
                    <w:adjustRightInd w:val="0"/>
                    <w:snapToGrid w:val="0"/>
                    <w:spacing w:line="240" w:lineRule="auto"/>
                    <w:jc w:val="center"/>
                    <w:rPr>
                      <w:rFonts w:ascii="Times New Roman" w:hAnsi="Times New Roman" w:eastAsia="宋体" w:cs="Times New Roman"/>
                      <w:color w:val="auto"/>
                      <w:sz w:val="21"/>
                      <w:szCs w:val="21"/>
                      <w:highlight w:val="none"/>
                    </w:rPr>
                  </w:pPr>
                </w:p>
              </w:tc>
              <w:tc>
                <w:tcPr>
                  <w:tcW w:w="668" w:type="pct"/>
                  <w:shd w:val="clear" w:color="auto" w:fill="auto"/>
                  <w:vAlign w:val="center"/>
                </w:tcPr>
                <w:p w14:paraId="7AE445E3">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300</w:t>
                  </w:r>
                </w:p>
              </w:tc>
              <w:tc>
                <w:tcPr>
                  <w:tcW w:w="604" w:type="pct"/>
                  <w:vAlign w:val="center"/>
                </w:tcPr>
                <w:p w14:paraId="1FD2F559">
                  <w:pPr>
                    <w:autoSpaceDE w:val="0"/>
                    <w:autoSpaceDN w:val="0"/>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529A4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3" w:hRule="atLeast"/>
                <w:jc w:val="center"/>
              </w:trPr>
              <w:tc>
                <w:tcPr>
                  <w:tcW w:w="676" w:type="pct"/>
                  <w:vMerge w:val="continue"/>
                  <w:vAlign w:val="center"/>
                </w:tcPr>
                <w:p w14:paraId="7322E0F9">
                  <w:pPr>
                    <w:autoSpaceDE w:val="0"/>
                    <w:autoSpaceDN w:val="0"/>
                    <w:adjustRightInd w:val="0"/>
                    <w:snapToGrid w:val="0"/>
                    <w:spacing w:line="240" w:lineRule="auto"/>
                    <w:jc w:val="center"/>
                    <w:rPr>
                      <w:rFonts w:ascii="Times New Roman" w:hAnsi="Times New Roman" w:eastAsia="宋体" w:cs="Times New Roman"/>
                      <w:color w:val="auto"/>
                      <w:sz w:val="21"/>
                      <w:szCs w:val="21"/>
                      <w:highlight w:val="none"/>
                    </w:rPr>
                  </w:pPr>
                </w:p>
              </w:tc>
              <w:tc>
                <w:tcPr>
                  <w:tcW w:w="1012" w:type="pct"/>
                  <w:vAlign w:val="center"/>
                </w:tcPr>
                <w:p w14:paraId="6536C64A">
                  <w:pPr>
                    <w:widowControl/>
                    <w:wordWrap w:val="0"/>
                    <w:topLinePunct/>
                    <w:spacing w:line="240" w:lineRule="auto"/>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1546" w:type="pct"/>
                  <w:vMerge w:val="continue"/>
                  <w:vAlign w:val="center"/>
                </w:tcPr>
                <w:p w14:paraId="6F34906A">
                  <w:pPr>
                    <w:autoSpaceDE w:val="0"/>
                    <w:autoSpaceDN w:val="0"/>
                    <w:adjustRightInd w:val="0"/>
                    <w:snapToGrid w:val="0"/>
                    <w:spacing w:line="240" w:lineRule="auto"/>
                    <w:jc w:val="left"/>
                    <w:rPr>
                      <w:rFonts w:ascii="Times New Roman" w:hAnsi="Times New Roman" w:eastAsia="宋体" w:cs="Times New Roman"/>
                      <w:color w:val="auto"/>
                      <w:spacing w:val="-2"/>
                      <w:sz w:val="21"/>
                      <w:szCs w:val="21"/>
                      <w:highlight w:val="none"/>
                      <w:lang w:val="en-US" w:eastAsia="zh-CN" w:bidi="ar-SA"/>
                    </w:rPr>
                  </w:pPr>
                </w:p>
              </w:tc>
              <w:tc>
                <w:tcPr>
                  <w:tcW w:w="491" w:type="pct"/>
                  <w:vMerge w:val="continue"/>
                  <w:vAlign w:val="center"/>
                </w:tcPr>
                <w:p w14:paraId="6AFFFD78">
                  <w:pPr>
                    <w:autoSpaceDE w:val="0"/>
                    <w:autoSpaceDN w:val="0"/>
                    <w:adjustRightInd w:val="0"/>
                    <w:snapToGrid w:val="0"/>
                    <w:spacing w:line="240" w:lineRule="auto"/>
                    <w:jc w:val="center"/>
                    <w:rPr>
                      <w:rFonts w:ascii="Times New Roman" w:hAnsi="Times New Roman" w:eastAsia="宋体" w:cs="Times New Roman"/>
                      <w:color w:val="auto"/>
                      <w:sz w:val="21"/>
                      <w:szCs w:val="21"/>
                      <w:highlight w:val="none"/>
                    </w:rPr>
                  </w:pPr>
                </w:p>
              </w:tc>
              <w:tc>
                <w:tcPr>
                  <w:tcW w:w="668" w:type="pct"/>
                  <w:vAlign w:val="center"/>
                </w:tcPr>
                <w:p w14:paraId="551281F1">
                  <w:p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604" w:type="pct"/>
                  <w:vAlign w:val="center"/>
                </w:tcPr>
                <w:p w14:paraId="692004BE">
                  <w:pPr>
                    <w:autoSpaceDE w:val="0"/>
                    <w:autoSpaceDN w:val="0"/>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55534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3" w:hRule="atLeast"/>
                <w:jc w:val="center"/>
              </w:trPr>
              <w:tc>
                <w:tcPr>
                  <w:tcW w:w="676" w:type="pct"/>
                  <w:vMerge w:val="continue"/>
                  <w:vAlign w:val="center"/>
                </w:tcPr>
                <w:p w14:paraId="33332746">
                  <w:pPr>
                    <w:autoSpaceDE w:val="0"/>
                    <w:autoSpaceDN w:val="0"/>
                    <w:adjustRightInd w:val="0"/>
                    <w:snapToGrid w:val="0"/>
                    <w:spacing w:line="240" w:lineRule="auto"/>
                    <w:jc w:val="center"/>
                    <w:rPr>
                      <w:rFonts w:ascii="Times New Roman" w:hAnsi="Times New Roman" w:eastAsia="宋体" w:cs="Times New Roman"/>
                      <w:color w:val="auto"/>
                      <w:sz w:val="21"/>
                      <w:szCs w:val="21"/>
                      <w:highlight w:val="none"/>
                    </w:rPr>
                  </w:pPr>
                </w:p>
              </w:tc>
              <w:tc>
                <w:tcPr>
                  <w:tcW w:w="1012" w:type="pct"/>
                  <w:vAlign w:val="center"/>
                </w:tcPr>
                <w:p w14:paraId="0EBA6F91">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烟气黑</w:t>
                  </w:r>
                  <w:r>
                    <w:rPr>
                      <w:rFonts w:hint="eastAsia"/>
                      <w:color w:val="auto"/>
                      <w:sz w:val="21"/>
                      <w:szCs w:val="21"/>
                      <w:highlight w:val="none"/>
                      <w:lang w:val="en-US" w:eastAsia="zh-CN"/>
                    </w:rPr>
                    <w:t>度</w:t>
                  </w:r>
                </w:p>
              </w:tc>
              <w:tc>
                <w:tcPr>
                  <w:tcW w:w="1546" w:type="pct"/>
                  <w:vMerge w:val="continue"/>
                  <w:vAlign w:val="center"/>
                </w:tcPr>
                <w:p w14:paraId="6F419B7B">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ascii="Times New Roman" w:hAnsi="Times New Roman" w:eastAsia="宋体" w:cs="Times New Roman"/>
                      <w:color w:val="auto"/>
                      <w:spacing w:val="-2"/>
                      <w:sz w:val="21"/>
                      <w:szCs w:val="21"/>
                      <w:highlight w:val="none"/>
                      <w:lang w:val="en-US" w:eastAsia="zh-CN" w:bidi="ar-SA"/>
                    </w:rPr>
                  </w:pPr>
                </w:p>
              </w:tc>
              <w:tc>
                <w:tcPr>
                  <w:tcW w:w="491" w:type="pct"/>
                  <w:vMerge w:val="continue"/>
                  <w:vAlign w:val="center"/>
                </w:tcPr>
                <w:p w14:paraId="34BD3306">
                  <w:pPr>
                    <w:autoSpaceDE w:val="0"/>
                    <w:autoSpaceDN w:val="0"/>
                    <w:adjustRightInd w:val="0"/>
                    <w:snapToGrid w:val="0"/>
                    <w:spacing w:line="240" w:lineRule="auto"/>
                    <w:jc w:val="center"/>
                    <w:rPr>
                      <w:rFonts w:ascii="Times New Roman" w:hAnsi="Times New Roman" w:eastAsia="宋体" w:cs="Times New Roman"/>
                      <w:color w:val="auto"/>
                      <w:sz w:val="21"/>
                      <w:szCs w:val="21"/>
                      <w:highlight w:val="none"/>
                    </w:rPr>
                  </w:pPr>
                </w:p>
              </w:tc>
              <w:tc>
                <w:tcPr>
                  <w:tcW w:w="1273" w:type="pct"/>
                  <w:gridSpan w:val="2"/>
                  <w:vAlign w:val="center"/>
                </w:tcPr>
                <w:p w14:paraId="048CDC6A">
                  <w:pPr>
                    <w:autoSpaceDE w:val="0"/>
                    <w:autoSpaceDN w:val="0"/>
                    <w:adjustRightInd w:val="0"/>
                    <w:snapToGrid w:val="0"/>
                    <w:spacing w:line="240" w:lineRule="auto"/>
                    <w:jc w:val="center"/>
                    <w:rPr>
                      <w:rFonts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w:t>
                  </w:r>
                  <w:r>
                    <w:rPr>
                      <w:rFonts w:hint="eastAsia" w:ascii="Times New Roman" w:cs="Times New Roman"/>
                      <w:color w:val="auto"/>
                      <w:sz w:val="21"/>
                      <w:szCs w:val="21"/>
                      <w:highlight w:val="none"/>
                      <w:lang w:val="en-US" w:eastAsia="zh-CN"/>
                    </w:rPr>
                    <w:t>1</w:t>
                  </w:r>
                  <w:r>
                    <w:rPr>
                      <w:rFonts w:hint="eastAsia" w:ascii="Times New Roman" w:cs="Times New Roman"/>
                      <w:color w:val="auto"/>
                      <w:sz w:val="21"/>
                      <w:szCs w:val="21"/>
                      <w:highlight w:val="none"/>
                      <w:lang w:eastAsia="zh-CN"/>
                    </w:rPr>
                    <w:t>（</w:t>
                  </w:r>
                  <w:r>
                    <w:rPr>
                      <w:rFonts w:hint="eastAsia" w:ascii="Times New Roman" w:cs="Times New Roman"/>
                      <w:color w:val="auto"/>
                      <w:sz w:val="21"/>
                      <w:szCs w:val="21"/>
                      <w:highlight w:val="none"/>
                      <w:lang w:val="en-US" w:eastAsia="zh-CN"/>
                    </w:rPr>
                    <w:t>林格曼级</w:t>
                  </w:r>
                  <w:r>
                    <w:rPr>
                      <w:rFonts w:hint="eastAsia" w:ascii="Times New Roman" w:cs="Times New Roman"/>
                      <w:color w:val="auto"/>
                      <w:sz w:val="21"/>
                      <w:szCs w:val="21"/>
                      <w:highlight w:val="none"/>
                      <w:lang w:eastAsia="zh-CN"/>
                    </w:rPr>
                    <w:t>）</w:t>
                  </w:r>
                </w:p>
              </w:tc>
            </w:tr>
            <w:tr w14:paraId="15077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4" w:hRule="atLeast"/>
                <w:jc w:val="center"/>
              </w:trPr>
              <w:tc>
                <w:tcPr>
                  <w:tcW w:w="676" w:type="pct"/>
                  <w:vMerge w:val="continue"/>
                  <w:vAlign w:val="center"/>
                </w:tcPr>
                <w:p w14:paraId="1DB372B0">
                  <w:pPr>
                    <w:autoSpaceDE w:val="0"/>
                    <w:autoSpaceDN w:val="0"/>
                    <w:adjustRightInd w:val="0"/>
                    <w:snapToGrid w:val="0"/>
                    <w:spacing w:line="240" w:lineRule="auto"/>
                    <w:jc w:val="center"/>
                    <w:rPr>
                      <w:rFonts w:ascii="Times New Roman" w:hAnsi="Times New Roman" w:eastAsia="宋体" w:cs="Times New Roman"/>
                      <w:color w:val="auto"/>
                      <w:sz w:val="21"/>
                      <w:szCs w:val="21"/>
                      <w:highlight w:val="none"/>
                    </w:rPr>
                  </w:pPr>
                </w:p>
              </w:tc>
              <w:tc>
                <w:tcPr>
                  <w:tcW w:w="1012" w:type="pct"/>
                  <w:vAlign w:val="center"/>
                </w:tcPr>
                <w:p w14:paraId="0EFFCB86">
                  <w:pPr>
                    <w:autoSpaceDE w:val="0"/>
                    <w:autoSpaceDN w:val="0"/>
                    <w:adjustRightInd w:val="0"/>
                    <w:snapToGrid w:val="0"/>
                    <w:spacing w:line="24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臭气浓度</w:t>
                  </w:r>
                </w:p>
              </w:tc>
              <w:tc>
                <w:tcPr>
                  <w:tcW w:w="1546" w:type="pct"/>
                  <w:vAlign w:val="center"/>
                </w:tcPr>
                <w:p w14:paraId="1DE7B684">
                  <w:pPr>
                    <w:autoSpaceDE w:val="0"/>
                    <w:autoSpaceDN w:val="0"/>
                    <w:adjustRightInd w:val="0"/>
                    <w:snapToGrid w:val="0"/>
                    <w:spacing w:line="240" w:lineRule="auto"/>
                    <w:jc w:val="left"/>
                    <w:rPr>
                      <w:rFonts w:ascii="Times New Roman" w:hAnsi="Times New Roman" w:eastAsia="宋体" w:cs="Times New Roman"/>
                      <w:color w:val="auto"/>
                      <w:spacing w:val="-2"/>
                      <w:sz w:val="21"/>
                      <w:szCs w:val="21"/>
                      <w:highlight w:val="none"/>
                      <w:lang w:val="en-US" w:eastAsia="zh-CN" w:bidi="ar-SA"/>
                    </w:rPr>
                  </w:pPr>
                  <w:r>
                    <w:rPr>
                      <w:rFonts w:ascii="Times New Roman" w:hAnsi="Times New Roman" w:eastAsia="宋体" w:cs="Times New Roman"/>
                      <w:color w:val="auto"/>
                      <w:sz w:val="21"/>
                      <w:szCs w:val="21"/>
                      <w:highlight w:val="none"/>
                    </w:rPr>
                    <w:t>《恶臭污染物排放标准》（GB14554-93）表2恶臭污染物排放标准及表1新扩改建二级厂界标准值</w:t>
                  </w:r>
                </w:p>
              </w:tc>
              <w:tc>
                <w:tcPr>
                  <w:tcW w:w="491" w:type="pct"/>
                  <w:vMerge w:val="continue"/>
                  <w:vAlign w:val="center"/>
                </w:tcPr>
                <w:p w14:paraId="6A5C627D">
                  <w:pPr>
                    <w:autoSpaceDE w:val="0"/>
                    <w:autoSpaceDN w:val="0"/>
                    <w:adjustRightInd w:val="0"/>
                    <w:snapToGrid w:val="0"/>
                    <w:spacing w:line="240" w:lineRule="auto"/>
                    <w:jc w:val="center"/>
                    <w:rPr>
                      <w:rFonts w:ascii="Times New Roman" w:hAnsi="Times New Roman" w:eastAsia="宋体" w:cs="Times New Roman"/>
                      <w:color w:val="auto"/>
                      <w:sz w:val="21"/>
                      <w:szCs w:val="21"/>
                      <w:highlight w:val="none"/>
                    </w:rPr>
                  </w:pPr>
                </w:p>
              </w:tc>
              <w:tc>
                <w:tcPr>
                  <w:tcW w:w="668" w:type="pct"/>
                  <w:vAlign w:val="center"/>
                </w:tcPr>
                <w:p w14:paraId="364DB90B">
                  <w:pPr>
                    <w:wordWrap w:val="0"/>
                    <w:topLinePunct/>
                    <w:spacing w:line="24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2000（无量纲）</w:t>
                  </w:r>
                </w:p>
              </w:tc>
              <w:tc>
                <w:tcPr>
                  <w:tcW w:w="604" w:type="pct"/>
                  <w:vAlign w:val="center"/>
                </w:tcPr>
                <w:p w14:paraId="4AC12CA5">
                  <w:pPr>
                    <w:wordWrap w:val="0"/>
                    <w:topLinePunct/>
                    <w:spacing w:line="24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w:t>
                  </w:r>
                </w:p>
              </w:tc>
            </w:tr>
            <w:tr w14:paraId="48B56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4" w:hRule="atLeast"/>
                <w:jc w:val="center"/>
              </w:trPr>
              <w:tc>
                <w:tcPr>
                  <w:tcW w:w="5000" w:type="pct"/>
                  <w:gridSpan w:val="6"/>
                  <w:vAlign w:val="center"/>
                </w:tcPr>
                <w:p w14:paraId="3C5E0351">
                  <w:pPr>
                    <w:wordWrap w:val="0"/>
                    <w:topLinePunct/>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注：1、</w:t>
                  </w:r>
                  <w:r>
                    <w:rPr>
                      <w:rFonts w:hint="default" w:ascii="Times New Roman" w:hAnsi="Times New Roman" w:eastAsia="宋体" w:cs="Times New Roman"/>
                      <w:color w:val="auto"/>
                      <w:sz w:val="21"/>
                      <w:szCs w:val="21"/>
                      <w:highlight w:val="none"/>
                      <w:lang w:val="en-US" w:eastAsia="zh-CN"/>
                    </w:rPr>
                    <w:t>颗粒物执行</w:t>
                  </w:r>
                  <w:r>
                    <w:rPr>
                      <w:rFonts w:hint="default" w:ascii="Times New Roman" w:hAnsi="Times New Roman" w:eastAsia="Arial" w:cs="Times New Roman"/>
                      <w:color w:val="auto"/>
                      <w:sz w:val="21"/>
                      <w:szCs w:val="21"/>
                      <w:highlight w:val="none"/>
                    </w:rPr>
                    <w:t>《工业炉窑大气污染综合治理方案》中颗粒物≤30mg/m³的要求及广东省《大气污染物排放限值》（DB44/27-2001）第二时段排放限值（120mg/m³）</w:t>
                  </w:r>
                  <w:r>
                    <w:rPr>
                      <w:rFonts w:hint="default" w:ascii="Times New Roman" w:hAnsi="Times New Roman" w:eastAsia="宋体" w:cs="Times New Roman"/>
                      <w:color w:val="auto"/>
                      <w:sz w:val="21"/>
                      <w:szCs w:val="21"/>
                      <w:highlight w:val="none"/>
                      <w:lang w:val="en-US" w:eastAsia="zh-CN"/>
                    </w:rPr>
                    <w:t>较严值</w:t>
                  </w:r>
                  <w:r>
                    <w:rPr>
                      <w:rFonts w:hint="default" w:ascii="Times New Roman" w:hAnsi="Times New Roman" w:cs="Times New Roman"/>
                      <w:color w:val="auto"/>
                      <w:sz w:val="21"/>
                      <w:szCs w:val="21"/>
                      <w:highlight w:val="none"/>
                      <w:lang w:val="en-US" w:eastAsia="zh-CN"/>
                    </w:rPr>
                    <w:t>。</w:t>
                  </w:r>
                </w:p>
                <w:p w14:paraId="1B0BE099">
                  <w:pPr>
                    <w:pStyle w:val="2"/>
                    <w:rPr>
                      <w:rFonts w:hint="default"/>
                      <w:color w:val="auto"/>
                      <w:highlight w:val="none"/>
                      <w:lang w:val="en-US" w:eastAsia="zh-CN"/>
                    </w:rPr>
                  </w:pPr>
                  <w:r>
                    <w:rPr>
                      <w:rFonts w:hint="default" w:ascii="Times New Roman" w:hAnsi="Times New Roman" w:cs="Times New Roman"/>
                      <w:color w:val="auto"/>
                      <w:sz w:val="21"/>
                      <w:szCs w:val="21"/>
                      <w:highlight w:val="none"/>
                      <w:lang w:val="en-US" w:eastAsia="zh-CN"/>
                    </w:rPr>
                    <w:t>2、本项目排气筒未高于周边200m建筑5m以上，因此排放速率按50%折算。</w:t>
                  </w:r>
                </w:p>
              </w:tc>
            </w:tr>
          </w:tbl>
          <w:p w14:paraId="09BE0BB3">
            <w:pPr>
              <w:numPr>
                <w:ilvl w:val="0"/>
                <w:numId w:val="9"/>
              </w:numPr>
              <w:tabs>
                <w:tab w:val="clear" w:pos="0"/>
              </w:tabs>
              <w:spacing w:line="240" w:lineRule="auto"/>
              <w:ind w:left="0" w:leftChars="0" w:firstLine="4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 xml:space="preserve"> </w:t>
            </w:r>
            <w:r>
              <w:rPr>
                <w:rFonts w:hint="eastAsia" w:ascii="Times New Roman" w:hAnsi="Times New Roman" w:eastAsia="宋体" w:cs="Times New Roman"/>
                <w:b/>
                <w:color w:val="auto"/>
                <w:kern w:val="2"/>
                <w:sz w:val="21"/>
                <w:szCs w:val="21"/>
                <w:highlight w:val="none"/>
                <w:lang w:val="en-US" w:eastAsia="zh-CN" w:bidi="ar-SA"/>
              </w:rPr>
              <w:t>无组织排放执行标准（单位：</w:t>
            </w:r>
            <w:r>
              <w:rPr>
                <w:rFonts w:hint="default" w:ascii="Times New Roman" w:hAnsi="Times New Roman" w:eastAsia="宋体" w:cs="Times New Roman"/>
                <w:b/>
                <w:bCs/>
                <w:color w:val="auto"/>
                <w:sz w:val="21"/>
                <w:szCs w:val="21"/>
                <w:highlight w:val="none"/>
              </w:rPr>
              <w:t>mg/m</w:t>
            </w:r>
            <w:r>
              <w:rPr>
                <w:rFonts w:hint="eastAsia" w:ascii="Times New Roman" w:hAnsi="Times New Roman" w:eastAsia="宋体" w:cs="Times New Roman"/>
                <w:b/>
                <w:bCs/>
                <w:color w:val="auto"/>
                <w:sz w:val="21"/>
                <w:szCs w:val="21"/>
                <w:highlight w:val="none"/>
                <w:vertAlign w:val="superscript"/>
                <w:lang w:val="en-US" w:eastAsia="zh-CN"/>
              </w:rPr>
              <w:t>3</w:t>
            </w:r>
            <w:r>
              <w:rPr>
                <w:rFonts w:hint="eastAsia" w:ascii="Times New Roman" w:hAnsi="Times New Roman" w:eastAsia="宋体" w:cs="Times New Roman"/>
                <w:b/>
                <w:bCs/>
                <w:color w:val="auto"/>
                <w:sz w:val="21"/>
                <w:szCs w:val="21"/>
                <w:highlight w:val="none"/>
                <w:vertAlign w:val="baseline"/>
                <w:lang w:val="en-US" w:eastAsia="zh-CN"/>
              </w:rPr>
              <w:t>）</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8"/>
              <w:gridCol w:w="536"/>
              <w:gridCol w:w="1188"/>
              <w:gridCol w:w="1264"/>
              <w:gridCol w:w="965"/>
              <w:gridCol w:w="664"/>
            </w:tblGrid>
            <w:tr w14:paraId="088DC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7" w:hRule="atLeast"/>
                <w:jc w:val="center"/>
              </w:trPr>
              <w:tc>
                <w:tcPr>
                  <w:tcW w:w="2060" w:type="pct"/>
                  <w:tcBorders>
                    <w:tl2br w:val="nil"/>
                    <w:tr2bl w:val="nil"/>
                  </w:tcBorders>
                  <w:noWrap/>
                  <w:tcMar>
                    <w:left w:w="0" w:type="dxa"/>
                    <w:right w:w="0" w:type="dxa"/>
                  </w:tcMar>
                  <w:vAlign w:val="center"/>
                </w:tcPr>
                <w:p w14:paraId="588F118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污染物</w:t>
                  </w:r>
                </w:p>
              </w:tc>
              <w:tc>
                <w:tcPr>
                  <w:tcW w:w="341" w:type="pct"/>
                  <w:tcBorders>
                    <w:tl2br w:val="nil"/>
                    <w:tr2bl w:val="nil"/>
                  </w:tcBorders>
                  <w:noWrap/>
                  <w:tcMar>
                    <w:left w:w="0" w:type="dxa"/>
                    <w:right w:w="0" w:type="dxa"/>
                  </w:tcMar>
                  <w:vAlign w:val="center"/>
                </w:tcPr>
                <w:p w14:paraId="786A7C4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颗粒物</w:t>
                  </w:r>
                </w:p>
              </w:tc>
              <w:tc>
                <w:tcPr>
                  <w:tcW w:w="1560" w:type="pct"/>
                  <w:gridSpan w:val="2"/>
                  <w:tcBorders>
                    <w:tl2br w:val="nil"/>
                    <w:tr2bl w:val="nil"/>
                  </w:tcBorders>
                  <w:noWrap/>
                  <w:vAlign w:val="center"/>
                </w:tcPr>
                <w:p w14:paraId="7F0063C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非甲烷总烃</w:t>
                  </w:r>
                </w:p>
              </w:tc>
              <w:tc>
                <w:tcPr>
                  <w:tcW w:w="614" w:type="pct"/>
                  <w:tcBorders>
                    <w:tl2br w:val="nil"/>
                    <w:tr2bl w:val="nil"/>
                  </w:tcBorders>
                  <w:noWrap/>
                  <w:vAlign w:val="center"/>
                </w:tcPr>
                <w:p w14:paraId="521F406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苯</w:t>
                  </w:r>
                  <w:r>
                    <w:rPr>
                      <w:rFonts w:hint="eastAsia" w:ascii="Times New Roman" w:hAnsi="Times New Roman" w:eastAsia="宋体" w:cs="Times New Roman"/>
                      <w:b/>
                      <w:bCs/>
                      <w:color w:val="auto"/>
                      <w:sz w:val="21"/>
                      <w:highlight w:val="none"/>
                      <w:lang w:val="en-US" w:eastAsia="zh-CN"/>
                    </w:rPr>
                    <w:t>系物</w:t>
                  </w:r>
                  <w:r>
                    <w:rPr>
                      <w:rFonts w:hint="eastAsia" w:cs="Times New Roman"/>
                      <w:b/>
                      <w:bCs/>
                      <w:color w:val="auto"/>
                      <w:sz w:val="21"/>
                      <w:highlight w:val="none"/>
                      <w:lang w:val="en-US" w:eastAsia="zh-CN"/>
                    </w:rPr>
                    <w:t>（以二甲苯计）</w:t>
                  </w:r>
                </w:p>
              </w:tc>
              <w:tc>
                <w:tcPr>
                  <w:tcW w:w="422" w:type="pct"/>
                  <w:tcBorders>
                    <w:tl2br w:val="nil"/>
                    <w:tr2bl w:val="nil"/>
                  </w:tcBorders>
                  <w:noWrap/>
                  <w:vAlign w:val="center"/>
                </w:tcPr>
                <w:p w14:paraId="0B3B3F8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臭气浓度</w:t>
                  </w:r>
                </w:p>
              </w:tc>
            </w:tr>
            <w:tr w14:paraId="16DFA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jc w:val="center"/>
              </w:trPr>
              <w:tc>
                <w:tcPr>
                  <w:tcW w:w="2060" w:type="pct"/>
                  <w:vMerge w:val="restart"/>
                  <w:tcBorders>
                    <w:tl2br w:val="nil"/>
                    <w:tr2bl w:val="nil"/>
                  </w:tcBorders>
                  <w:noWrap/>
                  <w:tcMar>
                    <w:left w:w="0" w:type="dxa"/>
                    <w:right w:w="0" w:type="dxa"/>
                  </w:tcMar>
                  <w:vAlign w:val="center"/>
                </w:tcPr>
                <w:p w14:paraId="08E75FE7">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广东省《固定污染源挥发性有机物综合排放标准》（DB44/2367-2022）中表3厂区内VOCs无组织排放限值</w:t>
                  </w:r>
                </w:p>
              </w:tc>
              <w:tc>
                <w:tcPr>
                  <w:tcW w:w="341" w:type="pct"/>
                  <w:vMerge w:val="restart"/>
                  <w:tcBorders>
                    <w:tl2br w:val="nil"/>
                    <w:tr2bl w:val="nil"/>
                  </w:tcBorders>
                  <w:noWrap/>
                  <w:tcMar>
                    <w:left w:w="0" w:type="dxa"/>
                    <w:right w:w="0" w:type="dxa"/>
                  </w:tcMar>
                  <w:vAlign w:val="center"/>
                </w:tcPr>
                <w:p w14:paraId="6099ADE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w:t>
                  </w:r>
                </w:p>
              </w:tc>
              <w:tc>
                <w:tcPr>
                  <w:tcW w:w="1560" w:type="pct"/>
                  <w:gridSpan w:val="2"/>
                  <w:tcBorders>
                    <w:tl2br w:val="nil"/>
                    <w:tr2bl w:val="nil"/>
                  </w:tcBorders>
                  <w:noWrap/>
                  <w:vAlign w:val="center"/>
                </w:tcPr>
                <w:p w14:paraId="59620F5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厂内NMHC</w:t>
                  </w:r>
                </w:p>
              </w:tc>
              <w:tc>
                <w:tcPr>
                  <w:tcW w:w="614" w:type="pct"/>
                  <w:vMerge w:val="restart"/>
                  <w:tcBorders>
                    <w:tl2br w:val="nil"/>
                    <w:tr2bl w:val="nil"/>
                  </w:tcBorders>
                  <w:noWrap/>
                  <w:vAlign w:val="center"/>
                </w:tcPr>
                <w:p w14:paraId="64CE5B9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422" w:type="pct"/>
                  <w:vMerge w:val="restart"/>
                  <w:tcBorders>
                    <w:tl2br w:val="nil"/>
                    <w:tr2bl w:val="nil"/>
                  </w:tcBorders>
                  <w:noWrap/>
                  <w:vAlign w:val="center"/>
                </w:tcPr>
                <w:p w14:paraId="192FCAA9">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r>
            <w:tr w14:paraId="4AF3A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0" w:hRule="atLeast"/>
                <w:jc w:val="center"/>
              </w:trPr>
              <w:tc>
                <w:tcPr>
                  <w:tcW w:w="2060" w:type="pct"/>
                  <w:vMerge w:val="continue"/>
                  <w:tcBorders>
                    <w:tl2br w:val="nil"/>
                    <w:tr2bl w:val="nil"/>
                  </w:tcBorders>
                  <w:noWrap/>
                  <w:tcMar>
                    <w:left w:w="0" w:type="dxa"/>
                    <w:right w:w="0" w:type="dxa"/>
                  </w:tcMar>
                  <w:vAlign w:val="center"/>
                </w:tcPr>
                <w:p w14:paraId="00A4ECC3">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Times New Roman"/>
                      <w:color w:val="auto"/>
                      <w:sz w:val="21"/>
                      <w:szCs w:val="21"/>
                      <w:highlight w:val="none"/>
                    </w:rPr>
                  </w:pPr>
                </w:p>
              </w:tc>
              <w:tc>
                <w:tcPr>
                  <w:tcW w:w="341" w:type="pct"/>
                  <w:vMerge w:val="continue"/>
                  <w:tcBorders>
                    <w:tl2br w:val="nil"/>
                    <w:tr2bl w:val="nil"/>
                  </w:tcBorders>
                  <w:noWrap/>
                  <w:tcMar>
                    <w:left w:w="0" w:type="dxa"/>
                    <w:right w:w="0" w:type="dxa"/>
                  </w:tcMar>
                  <w:vAlign w:val="center"/>
                </w:tcPr>
                <w:p w14:paraId="1E2FD3A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Times New Roman"/>
                      <w:b/>
                      <w:bCs/>
                      <w:color w:val="auto"/>
                      <w:sz w:val="21"/>
                      <w:szCs w:val="21"/>
                      <w:highlight w:val="none"/>
                      <w:lang w:val="en-US" w:eastAsia="zh-CN"/>
                    </w:rPr>
                  </w:pPr>
                </w:p>
              </w:tc>
              <w:tc>
                <w:tcPr>
                  <w:tcW w:w="756" w:type="pct"/>
                  <w:tcBorders>
                    <w:tl2br w:val="nil"/>
                    <w:tr2bl w:val="nil"/>
                  </w:tcBorders>
                  <w:noWrap/>
                  <w:vAlign w:val="center"/>
                </w:tcPr>
                <w:p w14:paraId="652BC32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监控点处1h平均浓度值</w:t>
                  </w:r>
                  <w:r>
                    <w:rPr>
                      <w:rFonts w:hint="eastAsia" w:ascii="Times New Roman" w:hAnsi="Times New Roman" w:eastAsia="宋体" w:cs="Times New Roman"/>
                      <w:color w:val="auto"/>
                      <w:sz w:val="21"/>
                      <w:szCs w:val="21"/>
                      <w:highlight w:val="none"/>
                      <w:lang w:val="en-US" w:eastAsia="zh-CN"/>
                    </w:rPr>
                    <w:t>）</w:t>
                  </w:r>
                </w:p>
              </w:tc>
              <w:tc>
                <w:tcPr>
                  <w:tcW w:w="803" w:type="pct"/>
                  <w:tcBorders>
                    <w:tl2br w:val="nil"/>
                    <w:tr2bl w:val="nil"/>
                  </w:tcBorders>
                  <w:noWrap/>
                  <w:vAlign w:val="center"/>
                </w:tcPr>
                <w:p w14:paraId="702DA78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监控点处任意一次浓度值</w:t>
                  </w:r>
                  <w:r>
                    <w:rPr>
                      <w:rFonts w:hint="eastAsia" w:ascii="Times New Roman" w:hAnsi="Times New Roman" w:eastAsia="宋体" w:cs="Times New Roman"/>
                      <w:color w:val="auto"/>
                      <w:sz w:val="21"/>
                      <w:szCs w:val="21"/>
                      <w:highlight w:val="none"/>
                      <w:lang w:val="en-US" w:eastAsia="zh-CN"/>
                    </w:rPr>
                    <w:t>）</w:t>
                  </w:r>
                </w:p>
              </w:tc>
              <w:tc>
                <w:tcPr>
                  <w:tcW w:w="614" w:type="pct"/>
                  <w:vMerge w:val="continue"/>
                  <w:tcBorders>
                    <w:tl2br w:val="nil"/>
                    <w:tr2bl w:val="nil"/>
                  </w:tcBorders>
                  <w:noWrap/>
                  <w:vAlign w:val="center"/>
                </w:tcPr>
                <w:p w14:paraId="5770B911">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Times New Roman"/>
                      <w:color w:val="auto"/>
                      <w:sz w:val="21"/>
                      <w:szCs w:val="21"/>
                      <w:highlight w:val="none"/>
                    </w:rPr>
                  </w:pPr>
                </w:p>
              </w:tc>
              <w:tc>
                <w:tcPr>
                  <w:tcW w:w="422" w:type="pct"/>
                  <w:vMerge w:val="continue"/>
                  <w:tcBorders>
                    <w:tl2br w:val="nil"/>
                    <w:tr2bl w:val="nil"/>
                  </w:tcBorders>
                  <w:noWrap/>
                  <w:vAlign w:val="center"/>
                </w:tcPr>
                <w:p w14:paraId="55D2683C">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Times New Roman"/>
                      <w:color w:val="auto"/>
                      <w:sz w:val="21"/>
                      <w:szCs w:val="21"/>
                      <w:highlight w:val="none"/>
                    </w:rPr>
                  </w:pPr>
                </w:p>
              </w:tc>
            </w:tr>
            <w:tr w14:paraId="18115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3" w:hRule="atLeast"/>
                <w:jc w:val="center"/>
              </w:trPr>
              <w:tc>
                <w:tcPr>
                  <w:tcW w:w="2060" w:type="pct"/>
                  <w:tcBorders>
                    <w:tl2br w:val="nil"/>
                    <w:tr2bl w:val="nil"/>
                  </w:tcBorders>
                  <w:noWrap/>
                  <w:tcMar>
                    <w:left w:w="0" w:type="dxa"/>
                    <w:right w:w="0" w:type="dxa"/>
                  </w:tcMar>
                  <w:vAlign w:val="center"/>
                </w:tcPr>
                <w:p w14:paraId="44B9905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highlight w:val="none"/>
                    </w:rPr>
                    <w:t>《恶臭污染物排放标准》（GB14554-93）</w:t>
                  </w:r>
                  <w:r>
                    <w:rPr>
                      <w:rFonts w:hint="default" w:ascii="Times New Roman" w:hAnsi="Times New Roman" w:eastAsia="宋体" w:cs="Times New Roman"/>
                      <w:b w:val="0"/>
                      <w:bCs w:val="0"/>
                      <w:color w:val="auto"/>
                      <w:sz w:val="21"/>
                      <w:szCs w:val="21"/>
                      <w:highlight w:val="none"/>
                    </w:rPr>
                    <w:t>表1恶臭污染物厂界标准值二级新扩改建标准</w:t>
                  </w:r>
                </w:p>
              </w:tc>
              <w:tc>
                <w:tcPr>
                  <w:tcW w:w="341" w:type="pct"/>
                  <w:tcBorders>
                    <w:tl2br w:val="nil"/>
                    <w:tr2bl w:val="nil"/>
                  </w:tcBorders>
                  <w:noWrap/>
                  <w:tcMar>
                    <w:left w:w="0" w:type="dxa"/>
                    <w:right w:w="0" w:type="dxa"/>
                  </w:tcMar>
                  <w:vAlign w:val="center"/>
                </w:tcPr>
                <w:p w14:paraId="4060281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w:t>
                  </w:r>
                </w:p>
              </w:tc>
              <w:tc>
                <w:tcPr>
                  <w:tcW w:w="1560" w:type="pct"/>
                  <w:gridSpan w:val="2"/>
                  <w:tcBorders>
                    <w:tl2br w:val="nil"/>
                    <w:tr2bl w:val="nil"/>
                  </w:tcBorders>
                  <w:noWrap/>
                  <w:vAlign w:val="center"/>
                </w:tcPr>
                <w:p w14:paraId="59AD34A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14" w:type="pct"/>
                  <w:tcBorders>
                    <w:tl2br w:val="nil"/>
                    <w:tr2bl w:val="nil"/>
                  </w:tcBorders>
                  <w:noWrap/>
                  <w:vAlign w:val="center"/>
                </w:tcPr>
                <w:p w14:paraId="37613F9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422" w:type="pct"/>
                  <w:tcBorders>
                    <w:tl2br w:val="nil"/>
                    <w:tr2bl w:val="nil"/>
                  </w:tcBorders>
                  <w:noWrap/>
                  <w:vAlign w:val="center"/>
                </w:tcPr>
                <w:p w14:paraId="322DF2E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r>
                    <w:rPr>
                      <w:rFonts w:hint="eastAsia" w:cs="Times New Roman"/>
                      <w:color w:val="auto"/>
                      <w:sz w:val="21"/>
                      <w:szCs w:val="21"/>
                      <w:highlight w:val="none"/>
                      <w:lang w:val="en-US" w:eastAsia="zh-CN"/>
                    </w:rPr>
                    <w:t>（无量纲）</w:t>
                  </w:r>
                </w:p>
              </w:tc>
            </w:tr>
            <w:tr w14:paraId="5D79A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8" w:hRule="atLeast"/>
                <w:jc w:val="center"/>
              </w:trPr>
              <w:tc>
                <w:tcPr>
                  <w:tcW w:w="2060" w:type="pct"/>
                  <w:tcBorders>
                    <w:tl2br w:val="nil"/>
                    <w:tr2bl w:val="nil"/>
                  </w:tcBorders>
                  <w:noWrap/>
                  <w:tcMar>
                    <w:left w:w="0" w:type="dxa"/>
                    <w:right w:w="0" w:type="dxa"/>
                  </w:tcMar>
                  <w:vAlign w:val="center"/>
                </w:tcPr>
                <w:p w14:paraId="2847614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auto"/>
                      <w:spacing w:val="-2"/>
                      <w:sz w:val="21"/>
                      <w:szCs w:val="21"/>
                      <w:highlight w:val="none"/>
                    </w:rPr>
                  </w:pPr>
                  <w:r>
                    <w:rPr>
                      <w:rFonts w:hint="eastAsia" w:ascii="Times New Roman" w:hAnsi="Times New Roman" w:eastAsia="宋体" w:cs="Times New Roman"/>
                      <w:b w:val="0"/>
                      <w:bCs/>
                      <w:color w:val="auto"/>
                      <w:kern w:val="2"/>
                      <w:sz w:val="21"/>
                      <w:szCs w:val="21"/>
                      <w:highlight w:val="none"/>
                      <w:lang w:val="en-US" w:eastAsia="zh-CN" w:bidi="ar-SA"/>
                    </w:rPr>
                    <w:t>《大气污染物排放限值》(DB44/27-2001)第二时段无组织排放监控浓度限值</w:t>
                  </w:r>
                </w:p>
              </w:tc>
              <w:tc>
                <w:tcPr>
                  <w:tcW w:w="341" w:type="pct"/>
                  <w:tcBorders>
                    <w:tl2br w:val="nil"/>
                    <w:tr2bl w:val="nil"/>
                  </w:tcBorders>
                  <w:noWrap/>
                  <w:tcMar>
                    <w:left w:w="0" w:type="dxa"/>
                    <w:right w:w="0" w:type="dxa"/>
                  </w:tcMar>
                  <w:vAlign w:val="center"/>
                </w:tcPr>
                <w:p w14:paraId="3C36C39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1.0</w:t>
                  </w:r>
                </w:p>
              </w:tc>
              <w:tc>
                <w:tcPr>
                  <w:tcW w:w="1560" w:type="pct"/>
                  <w:gridSpan w:val="2"/>
                  <w:tcBorders>
                    <w:tl2br w:val="nil"/>
                    <w:tr2bl w:val="nil"/>
                  </w:tcBorders>
                  <w:noWrap/>
                  <w:vAlign w:val="center"/>
                </w:tcPr>
                <w:p w14:paraId="60F831C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4.0</w:t>
                  </w:r>
                </w:p>
              </w:tc>
              <w:tc>
                <w:tcPr>
                  <w:tcW w:w="614" w:type="pct"/>
                  <w:tcBorders>
                    <w:tl2br w:val="nil"/>
                    <w:tr2bl w:val="nil"/>
                  </w:tcBorders>
                  <w:noWrap/>
                  <w:vAlign w:val="center"/>
                </w:tcPr>
                <w:p w14:paraId="43A018D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二甲苯2.4</w:t>
                  </w:r>
                </w:p>
              </w:tc>
              <w:tc>
                <w:tcPr>
                  <w:tcW w:w="422" w:type="pct"/>
                  <w:tcBorders>
                    <w:tl2br w:val="nil"/>
                    <w:tr2bl w:val="nil"/>
                  </w:tcBorders>
                  <w:noWrap/>
                  <w:vAlign w:val="center"/>
                </w:tcPr>
                <w:p w14:paraId="5F1F290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45EDE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8" w:hRule="atLeast"/>
                <w:jc w:val="center"/>
              </w:trPr>
              <w:tc>
                <w:tcPr>
                  <w:tcW w:w="2060" w:type="pct"/>
                  <w:tcBorders>
                    <w:tl2br w:val="nil"/>
                    <w:tr2bl w:val="nil"/>
                  </w:tcBorders>
                  <w:noWrap/>
                  <w:tcMar>
                    <w:left w:w="0" w:type="dxa"/>
                    <w:right w:w="0" w:type="dxa"/>
                  </w:tcMar>
                  <w:vAlign w:val="center"/>
                </w:tcPr>
                <w:p w14:paraId="66CDE22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《印刷工业大气污染物排放标准》（GB41616-2022）</w:t>
                  </w:r>
                  <w:r>
                    <w:rPr>
                      <w:rFonts w:hint="eastAsia" w:cs="Times New Roman"/>
                      <w:color w:val="auto"/>
                      <w:sz w:val="21"/>
                      <w:szCs w:val="21"/>
                      <w:highlight w:val="none"/>
                      <w:lang w:val="en-US" w:eastAsia="zh-CN"/>
                    </w:rPr>
                    <w:t>表3无组织排放监控点浓度限值</w:t>
                  </w:r>
                </w:p>
              </w:tc>
              <w:tc>
                <w:tcPr>
                  <w:tcW w:w="341" w:type="pct"/>
                  <w:tcBorders>
                    <w:tl2br w:val="nil"/>
                    <w:tr2bl w:val="nil"/>
                  </w:tcBorders>
                  <w:noWrap/>
                  <w:tcMar>
                    <w:left w:w="0" w:type="dxa"/>
                    <w:right w:w="0" w:type="dxa"/>
                  </w:tcMar>
                  <w:vAlign w:val="center"/>
                </w:tcPr>
                <w:p w14:paraId="6D15B78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1560" w:type="pct"/>
                  <w:gridSpan w:val="2"/>
                  <w:tcBorders>
                    <w:tl2br w:val="nil"/>
                    <w:tr2bl w:val="nil"/>
                  </w:tcBorders>
                  <w:noWrap/>
                  <w:vAlign w:val="center"/>
                </w:tcPr>
                <w:p w14:paraId="3EDC611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（总VOCs）2.0</w:t>
                  </w:r>
                </w:p>
              </w:tc>
              <w:tc>
                <w:tcPr>
                  <w:tcW w:w="614" w:type="pct"/>
                  <w:tcBorders>
                    <w:tl2br w:val="nil"/>
                    <w:tr2bl w:val="nil"/>
                  </w:tcBorders>
                  <w:noWrap/>
                  <w:vAlign w:val="center"/>
                </w:tcPr>
                <w:p w14:paraId="7201BDC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二甲苯0.2</w:t>
                  </w:r>
                </w:p>
              </w:tc>
              <w:tc>
                <w:tcPr>
                  <w:tcW w:w="422" w:type="pct"/>
                  <w:tcBorders>
                    <w:tl2br w:val="nil"/>
                    <w:tr2bl w:val="nil"/>
                  </w:tcBorders>
                  <w:noWrap/>
                  <w:vAlign w:val="center"/>
                </w:tcPr>
                <w:p w14:paraId="64FAD9F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r>
            <w:tr w14:paraId="3E47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2060" w:type="pct"/>
                  <w:vMerge w:val="restart"/>
                  <w:tcBorders>
                    <w:tl2br w:val="nil"/>
                    <w:tr2bl w:val="nil"/>
                  </w:tcBorders>
                  <w:noWrap/>
                  <w:tcMar>
                    <w:left w:w="0" w:type="dxa"/>
                    <w:right w:w="0" w:type="dxa"/>
                  </w:tcMar>
                  <w:vAlign w:val="center"/>
                </w:tcPr>
                <w:p w14:paraId="3E7FF3B9">
                  <w:pPr>
                    <w:keepNext w:val="0"/>
                    <w:keepLines w:val="0"/>
                    <w:pageBreakBefore w:val="0"/>
                    <w:widowControl w:val="0"/>
                    <w:kinsoku/>
                    <w:wordWrap/>
                    <w:overflowPunct/>
                    <w:topLinePunct w:val="0"/>
                    <w:autoSpaceDE/>
                    <w:autoSpaceDN/>
                    <w:bidi w:val="0"/>
                    <w:adjustRightInd/>
                    <w:spacing w:line="240" w:lineRule="auto"/>
                    <w:jc w:val="center"/>
                    <w:textAlignment w:val="auto"/>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本项目</w:t>
                  </w:r>
                  <w:r>
                    <w:rPr>
                      <w:rFonts w:ascii="Times New Roman" w:hAnsi="Times New Roman" w:eastAsia="宋体" w:cs="Times New Roman"/>
                      <w:color w:val="auto"/>
                      <w:sz w:val="21"/>
                      <w:szCs w:val="21"/>
                      <w:highlight w:val="none"/>
                    </w:rPr>
                    <w:t>执行限值</w:t>
                  </w:r>
                </w:p>
              </w:tc>
              <w:tc>
                <w:tcPr>
                  <w:tcW w:w="341" w:type="pct"/>
                  <w:vMerge w:val="restart"/>
                  <w:tcBorders>
                    <w:tl2br w:val="nil"/>
                    <w:tr2bl w:val="nil"/>
                  </w:tcBorders>
                  <w:noWrap/>
                  <w:tcMar>
                    <w:left w:w="0" w:type="dxa"/>
                    <w:right w:w="0" w:type="dxa"/>
                  </w:tcMar>
                  <w:vAlign w:val="center"/>
                </w:tcPr>
                <w:p w14:paraId="1DDA1E3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1560" w:type="pct"/>
                  <w:gridSpan w:val="2"/>
                  <w:tcBorders>
                    <w:tl2br w:val="nil"/>
                    <w:tr2bl w:val="nil"/>
                  </w:tcBorders>
                  <w:noWrap/>
                  <w:vAlign w:val="center"/>
                </w:tcPr>
                <w:p w14:paraId="3F2D110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厂内</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监控点处1h平均浓度值</w:t>
                  </w:r>
                  <w:r>
                    <w:rPr>
                      <w:rFonts w:hint="eastAsia" w:ascii="Times New Roman" w:hAnsi="Times New Roman" w:eastAsia="宋体" w:cs="Times New Roman"/>
                      <w:color w:val="auto"/>
                      <w:sz w:val="21"/>
                      <w:szCs w:val="21"/>
                      <w:highlight w:val="none"/>
                      <w:lang w:val="en-US" w:eastAsia="zh-CN"/>
                    </w:rPr>
                    <w:t>）</w:t>
                  </w:r>
                </w:p>
              </w:tc>
              <w:tc>
                <w:tcPr>
                  <w:tcW w:w="614" w:type="pct"/>
                  <w:vMerge w:val="restart"/>
                  <w:tcBorders>
                    <w:tl2br w:val="nil"/>
                    <w:tr2bl w:val="nil"/>
                  </w:tcBorders>
                  <w:noWrap/>
                  <w:vAlign w:val="center"/>
                </w:tcPr>
                <w:p w14:paraId="33E2C07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w:t>
                  </w:r>
                </w:p>
              </w:tc>
              <w:tc>
                <w:tcPr>
                  <w:tcW w:w="422" w:type="pct"/>
                  <w:vMerge w:val="restart"/>
                  <w:tcBorders>
                    <w:tl2br w:val="nil"/>
                    <w:tr2bl w:val="nil"/>
                  </w:tcBorders>
                  <w:noWrap/>
                  <w:vAlign w:val="center"/>
                </w:tcPr>
                <w:p w14:paraId="6D66CDF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r>
                    <w:rPr>
                      <w:rFonts w:hint="eastAsia" w:cs="Times New Roman"/>
                      <w:color w:val="auto"/>
                      <w:sz w:val="21"/>
                      <w:szCs w:val="21"/>
                      <w:highlight w:val="none"/>
                      <w:lang w:val="en-US" w:eastAsia="zh-CN"/>
                    </w:rPr>
                    <w:t>（无量纲）</w:t>
                  </w:r>
                </w:p>
              </w:tc>
            </w:tr>
            <w:tr w14:paraId="4A9CC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2060" w:type="pct"/>
                  <w:vMerge w:val="continue"/>
                  <w:tcBorders>
                    <w:tl2br w:val="nil"/>
                    <w:tr2bl w:val="nil"/>
                  </w:tcBorders>
                  <w:noWrap/>
                  <w:tcMar>
                    <w:left w:w="0" w:type="dxa"/>
                    <w:right w:w="0" w:type="dxa"/>
                  </w:tcMar>
                  <w:vAlign w:val="center"/>
                </w:tcPr>
                <w:p w14:paraId="780AA865">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highlight w:val="none"/>
                    </w:rPr>
                  </w:pPr>
                </w:p>
              </w:tc>
              <w:tc>
                <w:tcPr>
                  <w:tcW w:w="341" w:type="pct"/>
                  <w:vMerge w:val="continue"/>
                  <w:tcBorders>
                    <w:tl2br w:val="nil"/>
                    <w:tr2bl w:val="nil"/>
                  </w:tcBorders>
                  <w:noWrap/>
                  <w:tcMar>
                    <w:left w:w="0" w:type="dxa"/>
                    <w:right w:w="0" w:type="dxa"/>
                  </w:tcMar>
                  <w:vAlign w:val="center"/>
                </w:tcPr>
                <w:p w14:paraId="27E6D888">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highlight w:val="none"/>
                    </w:rPr>
                  </w:pPr>
                </w:p>
              </w:tc>
              <w:tc>
                <w:tcPr>
                  <w:tcW w:w="1560" w:type="pct"/>
                  <w:gridSpan w:val="2"/>
                  <w:tcBorders>
                    <w:tl2br w:val="nil"/>
                    <w:tr2bl w:val="nil"/>
                  </w:tcBorders>
                  <w:noWrap/>
                  <w:vAlign w:val="center"/>
                </w:tcPr>
                <w:p w14:paraId="204EFEC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厂内</w:t>
                  </w:r>
                  <w:r>
                    <w:rPr>
                      <w:rFonts w:hint="eastAsia"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监控点处任意一次浓度值</w:t>
                  </w:r>
                  <w:r>
                    <w:rPr>
                      <w:rFonts w:hint="eastAsia" w:ascii="Times New Roman" w:hAnsi="Times New Roman" w:eastAsia="宋体" w:cs="Times New Roman"/>
                      <w:color w:val="auto"/>
                      <w:sz w:val="21"/>
                      <w:szCs w:val="21"/>
                      <w:highlight w:val="none"/>
                      <w:lang w:val="en-US" w:eastAsia="zh-CN"/>
                    </w:rPr>
                    <w:t>）</w:t>
                  </w:r>
                </w:p>
              </w:tc>
              <w:tc>
                <w:tcPr>
                  <w:tcW w:w="614" w:type="pct"/>
                  <w:vMerge w:val="continue"/>
                  <w:tcBorders>
                    <w:tl2br w:val="nil"/>
                    <w:tr2bl w:val="nil"/>
                  </w:tcBorders>
                  <w:noWrap/>
                  <w:vAlign w:val="center"/>
                </w:tcPr>
                <w:p w14:paraId="475B852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422" w:type="pct"/>
                  <w:vMerge w:val="continue"/>
                  <w:tcBorders>
                    <w:tl2br w:val="nil"/>
                    <w:tr2bl w:val="nil"/>
                  </w:tcBorders>
                  <w:noWrap/>
                  <w:vAlign w:val="center"/>
                </w:tcPr>
                <w:p w14:paraId="698DCB6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r>
            <w:tr w14:paraId="57756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2060" w:type="pct"/>
                  <w:vMerge w:val="continue"/>
                  <w:tcBorders>
                    <w:tl2br w:val="nil"/>
                    <w:tr2bl w:val="nil"/>
                  </w:tcBorders>
                  <w:noWrap/>
                  <w:tcMar>
                    <w:left w:w="0" w:type="dxa"/>
                    <w:right w:w="0" w:type="dxa"/>
                  </w:tcMar>
                  <w:vAlign w:val="center"/>
                </w:tcPr>
                <w:p w14:paraId="00E94F6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341" w:type="pct"/>
                  <w:vMerge w:val="continue"/>
                  <w:tcBorders>
                    <w:tl2br w:val="nil"/>
                    <w:tr2bl w:val="nil"/>
                  </w:tcBorders>
                  <w:noWrap/>
                  <w:tcMar>
                    <w:left w:w="0" w:type="dxa"/>
                    <w:right w:w="0" w:type="dxa"/>
                  </w:tcMar>
                  <w:vAlign w:val="center"/>
                </w:tcPr>
                <w:p w14:paraId="159FDB9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1560" w:type="pct"/>
                  <w:gridSpan w:val="2"/>
                  <w:tcBorders>
                    <w:tl2br w:val="nil"/>
                    <w:tr2bl w:val="nil"/>
                  </w:tcBorders>
                  <w:noWrap/>
                  <w:vAlign w:val="center"/>
                </w:tcPr>
                <w:p w14:paraId="3B0909E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厂界2.0</w:t>
                  </w:r>
                </w:p>
              </w:tc>
              <w:tc>
                <w:tcPr>
                  <w:tcW w:w="614" w:type="pct"/>
                  <w:vMerge w:val="continue"/>
                  <w:tcBorders>
                    <w:tl2br w:val="nil"/>
                    <w:tr2bl w:val="nil"/>
                  </w:tcBorders>
                  <w:noWrap/>
                  <w:vAlign w:val="center"/>
                </w:tcPr>
                <w:p w14:paraId="0CD21B5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c>
                <w:tcPr>
                  <w:tcW w:w="422" w:type="pct"/>
                  <w:vMerge w:val="continue"/>
                  <w:tcBorders>
                    <w:tl2br w:val="nil"/>
                    <w:tr2bl w:val="nil"/>
                  </w:tcBorders>
                  <w:noWrap/>
                  <w:vAlign w:val="center"/>
                </w:tcPr>
                <w:p w14:paraId="4409B4B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宋体" w:cs="Times New Roman"/>
                      <w:color w:val="auto"/>
                      <w:sz w:val="21"/>
                      <w:szCs w:val="21"/>
                      <w:highlight w:val="none"/>
                      <w:lang w:val="en-US" w:eastAsia="zh-CN"/>
                    </w:rPr>
                  </w:pPr>
                </w:p>
              </w:tc>
            </w:tr>
          </w:tbl>
          <w:p w14:paraId="725DC0FD">
            <w:pPr>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⑤污水处理站恶臭</w:t>
            </w:r>
          </w:p>
          <w:p w14:paraId="00F438E2">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本项目</w:t>
            </w:r>
            <w:r>
              <w:rPr>
                <w:rFonts w:hint="default" w:ascii="Times New Roman" w:hAnsi="Times New Roman" w:eastAsia="宋体" w:cs="Times New Roman"/>
                <w:color w:val="auto"/>
                <w:kern w:val="0"/>
                <w:sz w:val="24"/>
                <w:highlight w:val="none"/>
                <w:lang w:val="en-US" w:eastAsia="zh-CN"/>
              </w:rPr>
              <w:t>厂界氨气、硫化氢、臭气浓度排放浓度执行《恶臭污染物排放标准》（GB14554-93）中表1二级标准中“新改扩建”限值要求。</w:t>
            </w:r>
          </w:p>
          <w:p w14:paraId="46456E0E">
            <w:pPr>
              <w:keepNext w:val="0"/>
              <w:keepLines w:val="0"/>
              <w:pageBreakBefore w:val="0"/>
              <w:widowControl w:val="0"/>
              <w:numPr>
                <w:ilvl w:val="0"/>
                <w:numId w:val="9"/>
              </w:numPr>
              <w:kinsoku/>
              <w:wordWrap w:val="0"/>
              <w:overflowPunct/>
              <w:topLinePunct w:val="0"/>
              <w:autoSpaceDE/>
              <w:autoSpaceDN/>
              <w:bidi w:val="0"/>
              <w:adjustRightInd/>
              <w:snapToGrid/>
              <w:spacing w:line="240" w:lineRule="auto"/>
              <w:ind w:left="0" w:leftChars="0" w:firstLine="40"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eastAsia" w:cs="Times New Roman"/>
                <w:b/>
                <w:color w:val="auto"/>
                <w:kern w:val="2"/>
                <w:sz w:val="21"/>
                <w:szCs w:val="21"/>
                <w:highlight w:val="none"/>
                <w:lang w:val="en-US" w:eastAsia="zh-CN" w:bidi="ar-SA"/>
              </w:rPr>
              <w:t xml:space="preserve"> </w:t>
            </w:r>
            <w:r>
              <w:rPr>
                <w:rFonts w:hint="default" w:ascii="Times New Roman" w:hAnsi="Times New Roman" w:eastAsia="宋体" w:cs="Times New Roman"/>
                <w:b/>
                <w:color w:val="auto"/>
                <w:kern w:val="2"/>
                <w:sz w:val="21"/>
                <w:szCs w:val="21"/>
                <w:highlight w:val="none"/>
                <w:lang w:val="en-US" w:eastAsia="zh-CN" w:bidi="ar-SA"/>
              </w:rPr>
              <w:t>恶臭污染物排放标准</w:t>
            </w:r>
          </w:p>
          <w:tbl>
            <w:tblPr>
              <w:tblStyle w:val="43"/>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68"/>
              <w:gridCol w:w="1532"/>
              <w:gridCol w:w="1790"/>
              <w:gridCol w:w="2972"/>
            </w:tblGrid>
            <w:tr w14:paraId="33CD8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997" w:type="pct"/>
                  <w:tcBorders>
                    <w:top w:val="single" w:color="000000" w:sz="4" w:space="0"/>
                    <w:left w:val="single" w:color="000000" w:sz="4" w:space="0"/>
                    <w:bottom w:val="single" w:color="000000" w:sz="4" w:space="0"/>
                    <w:right w:val="single" w:color="000000" w:sz="4" w:space="0"/>
                  </w:tcBorders>
                  <w:vAlign w:val="center"/>
                </w:tcPr>
                <w:p w14:paraId="6926A28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污染物类别</w:t>
                  </w:r>
                </w:p>
              </w:tc>
              <w:tc>
                <w:tcPr>
                  <w:tcW w:w="974" w:type="pct"/>
                  <w:tcBorders>
                    <w:top w:val="single" w:color="000000" w:sz="4" w:space="0"/>
                    <w:left w:val="single" w:color="000000" w:sz="4" w:space="0"/>
                    <w:bottom w:val="single" w:color="000000" w:sz="4" w:space="0"/>
                    <w:right w:val="single" w:color="000000" w:sz="4" w:space="0"/>
                  </w:tcBorders>
                  <w:vAlign w:val="center"/>
                </w:tcPr>
                <w:p w14:paraId="37AF66B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位置</w:t>
                  </w:r>
                </w:p>
              </w:tc>
              <w:tc>
                <w:tcPr>
                  <w:tcW w:w="1138" w:type="pct"/>
                  <w:tcBorders>
                    <w:top w:val="single" w:color="000000" w:sz="4" w:space="0"/>
                    <w:left w:val="single" w:color="000000" w:sz="4" w:space="0"/>
                    <w:bottom w:val="single" w:color="000000" w:sz="4" w:space="0"/>
                    <w:right w:val="single" w:color="000000" w:sz="4" w:space="0"/>
                  </w:tcBorders>
                  <w:vAlign w:val="center"/>
                </w:tcPr>
                <w:p w14:paraId="2103DDB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污染因子</w:t>
                  </w:r>
                </w:p>
              </w:tc>
              <w:tc>
                <w:tcPr>
                  <w:tcW w:w="1889" w:type="pct"/>
                  <w:tcBorders>
                    <w:top w:val="single" w:color="000000" w:sz="4" w:space="0"/>
                    <w:left w:val="single" w:color="000000" w:sz="4" w:space="0"/>
                    <w:bottom w:val="single" w:color="000000" w:sz="4" w:space="0"/>
                    <w:right w:val="single" w:color="000000" w:sz="4" w:space="0"/>
                  </w:tcBorders>
                  <w:vAlign w:val="center"/>
                </w:tcPr>
                <w:p w14:paraId="76AF7F1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无组织排放限值</w:t>
                  </w:r>
                </w:p>
              </w:tc>
            </w:tr>
            <w:tr w14:paraId="0DFE7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997" w:type="pct"/>
                  <w:vMerge w:val="restart"/>
                  <w:tcBorders>
                    <w:top w:val="single" w:color="000000" w:sz="4" w:space="0"/>
                    <w:left w:val="single" w:color="000000" w:sz="4" w:space="0"/>
                    <w:bottom w:val="single" w:color="000000" w:sz="4" w:space="0"/>
                    <w:right w:val="single" w:color="000000" w:sz="4" w:space="0"/>
                  </w:tcBorders>
                  <w:vAlign w:val="center"/>
                </w:tcPr>
                <w:p w14:paraId="5E67ADD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恶臭污染物</w:t>
                  </w:r>
                </w:p>
              </w:tc>
              <w:tc>
                <w:tcPr>
                  <w:tcW w:w="974" w:type="pct"/>
                  <w:vMerge w:val="restart"/>
                  <w:tcBorders>
                    <w:top w:val="single" w:color="000000" w:sz="4" w:space="0"/>
                    <w:left w:val="single" w:color="000000" w:sz="4" w:space="0"/>
                    <w:bottom w:val="single" w:color="000000" w:sz="4" w:space="0"/>
                    <w:right w:val="single" w:color="000000" w:sz="4" w:space="0"/>
                  </w:tcBorders>
                  <w:vAlign w:val="center"/>
                </w:tcPr>
                <w:p w14:paraId="50A2174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厂界</w:t>
                  </w:r>
                </w:p>
              </w:tc>
              <w:tc>
                <w:tcPr>
                  <w:tcW w:w="1138" w:type="pct"/>
                  <w:tcBorders>
                    <w:top w:val="single" w:color="000000" w:sz="4" w:space="0"/>
                    <w:left w:val="single" w:color="000000" w:sz="4" w:space="0"/>
                    <w:bottom w:val="single" w:color="000000" w:sz="4" w:space="0"/>
                    <w:right w:val="single" w:color="000000" w:sz="4" w:space="0"/>
                  </w:tcBorders>
                  <w:vAlign w:val="center"/>
                </w:tcPr>
                <w:p w14:paraId="0B9B085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氨</w:t>
                  </w:r>
                </w:p>
              </w:tc>
              <w:tc>
                <w:tcPr>
                  <w:tcW w:w="1889" w:type="pct"/>
                  <w:tcBorders>
                    <w:top w:val="single" w:color="000000" w:sz="4" w:space="0"/>
                    <w:left w:val="single" w:color="000000" w:sz="4" w:space="0"/>
                    <w:bottom w:val="single" w:color="000000" w:sz="4" w:space="0"/>
                    <w:right w:val="single" w:color="000000" w:sz="4" w:space="0"/>
                  </w:tcBorders>
                  <w:vAlign w:val="center"/>
                </w:tcPr>
                <w:p w14:paraId="4A4B04D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1.5</w:t>
                  </w:r>
                </w:p>
              </w:tc>
            </w:tr>
            <w:tr w14:paraId="63005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997" w:type="pct"/>
                  <w:vMerge w:val="continue"/>
                  <w:tcBorders>
                    <w:top w:val="single" w:color="000000" w:sz="4" w:space="0"/>
                    <w:left w:val="single" w:color="000000" w:sz="4" w:space="0"/>
                    <w:bottom w:val="single" w:color="000000" w:sz="4" w:space="0"/>
                    <w:right w:val="single" w:color="000000" w:sz="4" w:space="0"/>
                  </w:tcBorders>
                  <w:vAlign w:val="center"/>
                </w:tcPr>
                <w:p w14:paraId="78F43A3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974" w:type="pct"/>
                  <w:vMerge w:val="continue"/>
                  <w:tcBorders>
                    <w:top w:val="single" w:color="000000" w:sz="4" w:space="0"/>
                    <w:left w:val="single" w:color="000000" w:sz="4" w:space="0"/>
                    <w:bottom w:val="single" w:color="000000" w:sz="4" w:space="0"/>
                    <w:right w:val="single" w:color="000000" w:sz="4" w:space="0"/>
                  </w:tcBorders>
                  <w:vAlign w:val="center"/>
                </w:tcPr>
                <w:p w14:paraId="02263CB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138" w:type="pct"/>
                  <w:tcBorders>
                    <w:top w:val="single" w:color="000000" w:sz="4" w:space="0"/>
                    <w:left w:val="single" w:color="000000" w:sz="4" w:space="0"/>
                    <w:bottom w:val="single" w:color="000000" w:sz="4" w:space="0"/>
                    <w:right w:val="single" w:color="000000" w:sz="4" w:space="0"/>
                  </w:tcBorders>
                  <w:vAlign w:val="center"/>
                </w:tcPr>
                <w:p w14:paraId="46C456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硫化氢</w:t>
                  </w:r>
                </w:p>
              </w:tc>
              <w:tc>
                <w:tcPr>
                  <w:tcW w:w="1889" w:type="pct"/>
                  <w:tcBorders>
                    <w:top w:val="single" w:color="000000" w:sz="4" w:space="0"/>
                    <w:left w:val="single" w:color="000000" w:sz="4" w:space="0"/>
                    <w:bottom w:val="single" w:color="000000" w:sz="4" w:space="0"/>
                    <w:right w:val="single" w:color="000000" w:sz="4" w:space="0"/>
                  </w:tcBorders>
                  <w:vAlign w:val="center"/>
                </w:tcPr>
                <w:p w14:paraId="10C3CD4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0.06</w:t>
                  </w:r>
                </w:p>
              </w:tc>
            </w:tr>
            <w:tr w14:paraId="2CE48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997" w:type="pct"/>
                  <w:vMerge w:val="continue"/>
                  <w:tcBorders>
                    <w:top w:val="single" w:color="000000" w:sz="4" w:space="0"/>
                    <w:left w:val="single" w:color="000000" w:sz="4" w:space="0"/>
                    <w:bottom w:val="single" w:color="000000" w:sz="4" w:space="0"/>
                    <w:right w:val="single" w:color="000000" w:sz="4" w:space="0"/>
                  </w:tcBorders>
                  <w:vAlign w:val="center"/>
                </w:tcPr>
                <w:p w14:paraId="7A5AD68B">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974" w:type="pct"/>
                  <w:vMerge w:val="continue"/>
                  <w:tcBorders>
                    <w:top w:val="single" w:color="000000" w:sz="4" w:space="0"/>
                    <w:left w:val="single" w:color="000000" w:sz="4" w:space="0"/>
                    <w:bottom w:val="single" w:color="000000" w:sz="4" w:space="0"/>
                    <w:right w:val="single" w:color="000000" w:sz="4" w:space="0"/>
                  </w:tcBorders>
                  <w:vAlign w:val="center"/>
                </w:tcPr>
                <w:p w14:paraId="09C8DEA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138" w:type="pct"/>
                  <w:tcBorders>
                    <w:top w:val="single" w:color="000000" w:sz="4" w:space="0"/>
                    <w:left w:val="single" w:color="000000" w:sz="4" w:space="0"/>
                    <w:bottom w:val="single" w:color="000000" w:sz="4" w:space="0"/>
                    <w:right w:val="single" w:color="000000" w:sz="4" w:space="0"/>
                  </w:tcBorders>
                  <w:vAlign w:val="center"/>
                </w:tcPr>
                <w:p w14:paraId="42AEA4A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臭气浓度</w:t>
                  </w:r>
                </w:p>
              </w:tc>
              <w:tc>
                <w:tcPr>
                  <w:tcW w:w="1889" w:type="pct"/>
                  <w:tcBorders>
                    <w:top w:val="single" w:color="000000" w:sz="4" w:space="0"/>
                    <w:left w:val="single" w:color="000000" w:sz="4" w:space="0"/>
                    <w:bottom w:val="single" w:color="000000" w:sz="4" w:space="0"/>
                    <w:right w:val="single" w:color="000000" w:sz="4" w:space="0"/>
                  </w:tcBorders>
                  <w:vAlign w:val="center"/>
                </w:tcPr>
                <w:p w14:paraId="25A3AA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20（无量纲）</w:t>
                  </w:r>
                </w:p>
              </w:tc>
            </w:tr>
          </w:tbl>
          <w:p w14:paraId="40C029B2">
            <w:pPr>
              <w:keepNext/>
              <w:keepLines/>
              <w:pageBreakBefore w:val="0"/>
              <w:widowControl w:val="0"/>
              <w:numPr>
                <w:ilvl w:val="2"/>
                <w:numId w:val="0"/>
              </w:numPr>
              <w:wordWrap w:val="0"/>
              <w:overflowPunct/>
              <w:bidi w:val="0"/>
              <w:spacing w:line="360" w:lineRule="auto"/>
              <w:ind w:firstLine="420" w:firstLineChars="200"/>
              <w:jc w:val="both"/>
              <w:outlineLvl w:val="2"/>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 xml:space="preserve"> </w:t>
            </w:r>
            <w:r>
              <w:rPr>
                <w:rFonts w:hint="default" w:ascii="Times New Roman" w:hAnsi="Times New Roman" w:eastAsia="宋体" w:cs="Times New Roman"/>
                <w:b/>
                <w:bCs/>
                <w:color w:val="auto"/>
                <w:kern w:val="2"/>
                <w:sz w:val="24"/>
                <w:szCs w:val="24"/>
                <w:highlight w:val="none"/>
                <w:lang w:val="en-US" w:eastAsia="zh-CN" w:bidi="ar-SA"/>
              </w:rPr>
              <w:t>二、废水排放标准</w:t>
            </w:r>
          </w:p>
          <w:p w14:paraId="303FB1E3">
            <w:pPr>
              <w:pageBreakBefore w:val="0"/>
              <w:wordWrap w:val="0"/>
              <w:overflowPunct/>
              <w:bidi w:val="0"/>
              <w:snapToGrid w:val="0"/>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本项目运营期废水主要为生活污水</w:t>
            </w:r>
            <w:r>
              <w:rPr>
                <w:rFonts w:hint="eastAsia" w:cs="Times New Roman"/>
                <w:color w:val="auto"/>
                <w:highlight w:val="none"/>
                <w:lang w:val="en-US" w:eastAsia="zh-CN"/>
              </w:rPr>
              <w:t>和生产废水</w:t>
            </w:r>
            <w:r>
              <w:rPr>
                <w:rFonts w:hint="default" w:ascii="Times New Roman" w:hAnsi="Times New Roman" w:eastAsia="宋体" w:cs="Times New Roman"/>
                <w:color w:val="auto"/>
                <w:highlight w:val="none"/>
              </w:rPr>
              <w:t>。</w:t>
            </w:r>
          </w:p>
          <w:p w14:paraId="6FD553DA">
            <w:pPr>
              <w:pageBreakBefore w:val="0"/>
              <w:wordWrap w:val="0"/>
              <w:overflowPunct/>
              <w:bidi w:val="0"/>
              <w:snapToGrid w:val="0"/>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生活污水经</w:t>
            </w:r>
            <w:r>
              <w:rPr>
                <w:rFonts w:hint="eastAsia" w:cs="Times New Roman"/>
                <w:color w:val="auto"/>
                <w:highlight w:val="none"/>
                <w:lang w:eastAsia="zh-CN"/>
              </w:rPr>
              <w:t>三级化粪池</w:t>
            </w:r>
            <w:r>
              <w:rPr>
                <w:rFonts w:hint="eastAsia" w:cs="Times New Roman"/>
                <w:color w:val="auto"/>
                <w:highlight w:val="none"/>
                <w:lang w:val="en-US" w:eastAsia="zh-CN"/>
              </w:rPr>
              <w:t>预</w:t>
            </w:r>
            <w:r>
              <w:rPr>
                <w:rFonts w:hint="default" w:ascii="Times New Roman" w:hAnsi="Times New Roman" w:eastAsia="宋体" w:cs="Times New Roman"/>
                <w:color w:val="auto"/>
                <w:highlight w:val="none"/>
              </w:rPr>
              <w:t>处理</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达到</w:t>
            </w:r>
            <w:r>
              <w:rPr>
                <w:rFonts w:hint="default" w:ascii="Times New Roman" w:hAnsi="Times New Roman" w:eastAsia="宋体" w:cs="Times New Roman"/>
                <w:color w:val="auto"/>
                <w:highlight w:val="none"/>
                <w:lang w:eastAsia="zh-CN"/>
              </w:rPr>
              <w:t>园区污水处理厂接管水质</w:t>
            </w:r>
            <w:r>
              <w:rPr>
                <w:rFonts w:hint="default" w:ascii="Times New Roman" w:hAnsi="Times New Roman" w:eastAsia="宋体" w:cs="Times New Roman"/>
                <w:color w:val="auto"/>
                <w:highlight w:val="none"/>
                <w:lang w:val="en-US" w:eastAsia="zh-CN"/>
              </w:rPr>
              <w:t>要求及广东省《水污染</w:t>
            </w:r>
            <w:r>
              <w:rPr>
                <w:rFonts w:hint="eastAsia" w:cs="Times New Roman"/>
                <w:color w:val="auto"/>
                <w:highlight w:val="none"/>
                <w:lang w:val="en-US" w:eastAsia="zh-CN"/>
              </w:rPr>
              <w:t>物</w:t>
            </w:r>
            <w:r>
              <w:rPr>
                <w:rFonts w:hint="default" w:ascii="Times New Roman" w:hAnsi="Times New Roman" w:eastAsia="宋体" w:cs="Times New Roman"/>
                <w:color w:val="auto"/>
                <w:highlight w:val="none"/>
                <w:lang w:val="en-US" w:eastAsia="zh-CN"/>
              </w:rPr>
              <w:t>排放限值》（DB44/26-2001）第二时段三级标准两者较严值要求</w:t>
            </w:r>
            <w:r>
              <w:rPr>
                <w:rFonts w:hint="default" w:ascii="Times New Roman" w:hAnsi="Times New Roman" w:eastAsia="宋体" w:cs="Times New Roman"/>
                <w:color w:val="auto"/>
                <w:highlight w:val="none"/>
              </w:rPr>
              <w:t>后</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排入园区污水处理</w:t>
            </w:r>
            <w:r>
              <w:rPr>
                <w:rFonts w:hint="default" w:ascii="Times New Roman" w:hAnsi="Times New Roman" w:eastAsia="宋体" w:cs="Times New Roman"/>
                <w:color w:val="auto"/>
                <w:highlight w:val="none"/>
                <w:lang w:val="en-US" w:eastAsia="zh-CN"/>
              </w:rPr>
              <w:t>厂</w:t>
            </w:r>
            <w:r>
              <w:rPr>
                <w:rFonts w:hint="default" w:ascii="Times New Roman" w:hAnsi="Times New Roman" w:eastAsia="宋体" w:cs="Times New Roman"/>
                <w:color w:val="auto"/>
                <w:highlight w:val="none"/>
              </w:rPr>
              <w:t>处理。</w:t>
            </w:r>
          </w:p>
          <w:p w14:paraId="4050F6CC">
            <w:pPr>
              <w:pageBreakBefore w:val="0"/>
              <w:wordWrap w:val="0"/>
              <w:overflowPunct/>
              <w:bidi w:val="0"/>
              <w:snapToGrid w:val="0"/>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snapToGrid w:val="0"/>
                <w:color w:val="auto"/>
                <w:kern w:val="0"/>
                <w:sz w:val="24"/>
                <w:szCs w:val="21"/>
                <w:highlight w:val="none"/>
                <w:lang w:val="en-US" w:eastAsia="zh-CN" w:bidi="ar-SA"/>
              </w:rPr>
              <w:t>根据《电镀水污染物排放标准》（DB44/1597-2015），</w:t>
            </w:r>
            <w:r>
              <w:rPr>
                <w:rFonts w:hint="eastAsia" w:cs="Times New Roman"/>
                <w:snapToGrid w:val="0"/>
                <w:color w:val="auto"/>
                <w:kern w:val="0"/>
                <w:sz w:val="24"/>
                <w:szCs w:val="21"/>
                <w:highlight w:val="none"/>
                <w:lang w:val="en-US" w:eastAsia="zh-CN" w:bidi="ar-SA"/>
              </w:rPr>
              <w:t>磷</w:t>
            </w:r>
            <w:r>
              <w:rPr>
                <w:rFonts w:hint="default" w:ascii="Times New Roman" w:hAnsi="Times New Roman" w:eastAsia="宋体" w:cs="Times New Roman"/>
                <w:snapToGrid w:val="0"/>
                <w:color w:val="auto"/>
                <w:kern w:val="0"/>
                <w:sz w:val="24"/>
                <w:szCs w:val="21"/>
                <w:highlight w:val="none"/>
                <w:lang w:val="en-US" w:eastAsia="zh-CN" w:bidi="ar-SA"/>
              </w:rPr>
              <w:t>化工艺属于化学转移膜类，适用电镀行业标准，生产废水应满足中间接排放标准，因此前处理废水经自建污水处理站处理，达到《电镀水污染物排放标准》（DB44/1597-2015）表2新建项目水污染物排放限值</w:t>
            </w:r>
            <w:r>
              <w:rPr>
                <w:rFonts w:hint="eastAsia" w:cs="Times New Roman"/>
                <w:snapToGrid w:val="0"/>
                <w:color w:val="auto"/>
                <w:kern w:val="0"/>
                <w:sz w:val="24"/>
                <w:szCs w:val="21"/>
                <w:highlight w:val="none"/>
                <w:lang w:val="en-US" w:eastAsia="zh-CN" w:bidi="ar-SA"/>
              </w:rPr>
              <w:t>、广东省《水污染物排放限值》（DB44/26-2001）第二时段三级标准、</w:t>
            </w:r>
            <w:r>
              <w:rPr>
                <w:rFonts w:hint="default" w:ascii="Times New Roman" w:hAnsi="Times New Roman" w:eastAsia="宋体" w:cs="Times New Roman"/>
                <w:snapToGrid w:val="0"/>
                <w:color w:val="auto"/>
                <w:kern w:val="0"/>
                <w:sz w:val="24"/>
                <w:szCs w:val="21"/>
                <w:highlight w:val="none"/>
                <w:lang w:val="en-US" w:eastAsia="zh-CN" w:bidi="ar-SA"/>
              </w:rPr>
              <w:t>园区污水处理厂接管水质要求</w:t>
            </w:r>
            <w:r>
              <w:rPr>
                <w:rFonts w:hint="eastAsia" w:cs="Times New Roman"/>
                <w:snapToGrid w:val="0"/>
                <w:color w:val="auto"/>
                <w:kern w:val="0"/>
                <w:sz w:val="24"/>
                <w:szCs w:val="21"/>
                <w:highlight w:val="none"/>
                <w:lang w:val="en-US" w:eastAsia="zh-CN" w:bidi="ar-SA"/>
              </w:rPr>
              <w:t>三者</w:t>
            </w:r>
            <w:r>
              <w:rPr>
                <w:rFonts w:hint="default" w:ascii="Times New Roman" w:hAnsi="Times New Roman" w:eastAsia="宋体" w:cs="Times New Roman"/>
                <w:snapToGrid w:val="0"/>
                <w:color w:val="auto"/>
                <w:kern w:val="0"/>
                <w:sz w:val="24"/>
                <w:szCs w:val="21"/>
                <w:highlight w:val="none"/>
                <w:lang w:val="en-US" w:eastAsia="zh-CN" w:bidi="ar-SA"/>
              </w:rPr>
              <w:t>较严值</w:t>
            </w:r>
            <w:r>
              <w:rPr>
                <w:rFonts w:hint="eastAsia" w:ascii="Times New Roman" w:hAnsi="Times New Roman" w:eastAsia="宋体" w:cs="Times New Roman"/>
                <w:snapToGrid w:val="0"/>
                <w:color w:val="auto"/>
                <w:kern w:val="0"/>
                <w:sz w:val="24"/>
                <w:szCs w:val="21"/>
                <w:highlight w:val="none"/>
                <w:lang w:val="en-US" w:eastAsia="zh-CN" w:bidi="ar-SA"/>
              </w:rPr>
              <w:t>要求</w:t>
            </w:r>
            <w:r>
              <w:rPr>
                <w:rFonts w:hint="default" w:ascii="Times New Roman" w:hAnsi="Times New Roman" w:eastAsia="宋体" w:cs="Times New Roman"/>
                <w:snapToGrid w:val="0"/>
                <w:color w:val="auto"/>
                <w:kern w:val="0"/>
                <w:sz w:val="24"/>
                <w:szCs w:val="21"/>
                <w:highlight w:val="none"/>
                <w:lang w:val="en-US" w:eastAsia="zh-CN" w:bidi="ar-SA"/>
              </w:rPr>
              <w:t>后，排入园区污水处理厂处理。</w:t>
            </w:r>
          </w:p>
          <w:p w14:paraId="000D436E">
            <w:pPr>
              <w:pageBreakBefore w:val="0"/>
              <w:wordWrap w:val="0"/>
              <w:overflowPunct/>
              <w:bidi w:val="0"/>
              <w:snapToGrid w:val="0"/>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园区</w:t>
            </w:r>
            <w:r>
              <w:rPr>
                <w:rFonts w:hint="default" w:ascii="Times New Roman" w:hAnsi="Times New Roman" w:eastAsia="宋体" w:cs="Times New Roman"/>
                <w:color w:val="auto"/>
                <w:highlight w:val="none"/>
                <w:lang w:eastAsia="zh-CN"/>
              </w:rPr>
              <w:t>污水</w:t>
            </w:r>
            <w:r>
              <w:rPr>
                <w:rFonts w:hint="default" w:ascii="Times New Roman" w:hAnsi="Times New Roman" w:eastAsia="宋体" w:cs="Times New Roman"/>
                <w:color w:val="auto"/>
                <w:highlight w:val="none"/>
              </w:rPr>
              <w:t>处理</w:t>
            </w:r>
            <w:r>
              <w:rPr>
                <w:rFonts w:hint="default" w:ascii="Times New Roman" w:hAnsi="Times New Roman" w:eastAsia="宋体" w:cs="Times New Roman"/>
                <w:color w:val="auto"/>
                <w:highlight w:val="none"/>
                <w:lang w:val="en-US" w:eastAsia="zh-CN"/>
              </w:rPr>
              <w:t>厂</w:t>
            </w:r>
            <w:r>
              <w:rPr>
                <w:rFonts w:hint="default" w:ascii="Times New Roman" w:hAnsi="Times New Roman" w:eastAsia="宋体" w:cs="Times New Roman"/>
                <w:color w:val="auto"/>
                <w:highlight w:val="none"/>
              </w:rPr>
              <w:t>出水水质标准执行广东省《水污染排放限值》（DB44/26-2001）第二时段一级标准和《城镇污水处理厂污染物排放标准》（GB1891</w:t>
            </w:r>
            <w:r>
              <w:rPr>
                <w:rFonts w:hint="eastAsia" w:cs="Times New Roman"/>
                <w:color w:val="auto"/>
                <w:highlight w:val="none"/>
                <w:lang w:val="en-US" w:eastAsia="zh-CN"/>
              </w:rPr>
              <w:t>8</w:t>
            </w:r>
            <w:r>
              <w:rPr>
                <w:rFonts w:hint="default" w:ascii="Times New Roman" w:hAnsi="Times New Roman" w:eastAsia="宋体" w:cs="Times New Roman"/>
                <w:color w:val="auto"/>
                <w:highlight w:val="none"/>
              </w:rPr>
              <w:t>-2002）一级B标准中严者。</w:t>
            </w:r>
            <w:r>
              <w:rPr>
                <w:rFonts w:hint="default" w:ascii="Times New Roman" w:hAnsi="Times New Roman" w:eastAsia="宋体" w:cs="Times New Roman"/>
                <w:color w:val="auto"/>
                <w:highlight w:val="none"/>
                <w:lang w:val="zh-CN"/>
              </w:rPr>
              <w:t>相关排放标准情况</w:t>
            </w:r>
            <w:r>
              <w:rPr>
                <w:rFonts w:hint="default" w:ascii="Times New Roman" w:hAnsi="Times New Roman" w:eastAsia="宋体" w:cs="Times New Roman"/>
                <w:color w:val="auto"/>
                <w:highlight w:val="none"/>
              </w:rPr>
              <w:t>见下表：</w:t>
            </w:r>
          </w:p>
          <w:p w14:paraId="67D15441">
            <w:pPr>
              <w:keepNext w:val="0"/>
              <w:keepLines w:val="0"/>
              <w:pageBreakBefore w:val="0"/>
              <w:widowControl w:val="0"/>
              <w:numPr>
                <w:ilvl w:val="0"/>
                <w:numId w:val="9"/>
              </w:numPr>
              <w:kinsoku/>
              <w:wordWrap w:val="0"/>
              <w:overflowPunct/>
              <w:topLinePunct w:val="0"/>
              <w:autoSpaceDE/>
              <w:autoSpaceDN/>
              <w:bidi w:val="0"/>
              <w:adjustRightInd/>
              <w:snapToGrid/>
              <w:spacing w:line="240" w:lineRule="auto"/>
              <w:ind w:left="0" w:leftChars="0" w:firstLine="40" w:firstLineChars="0"/>
              <w:jc w:val="center"/>
              <w:textAlignment w:val="auto"/>
              <w:rPr>
                <w:rFonts w:hint="default" w:ascii="Times New Roman" w:hAnsi="Times New Roman" w:cs="Times New Roman"/>
                <w:b/>
                <w:bCs/>
                <w:color w:val="auto"/>
                <w:sz w:val="21"/>
                <w:szCs w:val="21"/>
                <w:highlight w:val="none"/>
              </w:rPr>
            </w:pPr>
            <w:r>
              <w:rPr>
                <w:rFonts w:hint="eastAsia"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lang w:val="en-US" w:eastAsia="zh-CN"/>
              </w:rPr>
              <w:t>本项目水污染物排放标准</w:t>
            </w:r>
            <w:r>
              <w:rPr>
                <w:rFonts w:hint="default" w:ascii="Times New Roman" w:hAnsi="Times New Roman" w:cs="Times New Roman"/>
                <w:b/>
                <w:bCs/>
                <w:color w:val="auto"/>
                <w:sz w:val="21"/>
                <w:szCs w:val="21"/>
                <w:highlight w:val="none"/>
              </w:rPr>
              <w:t xml:space="preserve"> </w:t>
            </w:r>
            <w:r>
              <w:rPr>
                <w:rFonts w:hint="default" w:ascii="Times New Roman" w:hAnsi="Times New Roman" w:cs="Times New Roman"/>
                <w:b/>
                <w:bCs/>
                <w:color w:val="auto"/>
                <w:sz w:val="21"/>
                <w:szCs w:val="21"/>
                <w:highlight w:val="none"/>
                <w:lang w:val="en-US" w:eastAsia="zh-CN"/>
              </w:rPr>
              <w:t>单位：</w:t>
            </w:r>
            <w:r>
              <w:rPr>
                <w:rFonts w:hint="default" w:ascii="Times New Roman" w:hAnsi="Times New Roman" w:cs="Times New Roman"/>
                <w:b/>
                <w:bCs/>
                <w:color w:val="auto"/>
                <w:sz w:val="21"/>
                <w:szCs w:val="21"/>
                <w:highlight w:val="none"/>
              </w:rPr>
              <w:t>mg/L，pH为无量纲</w:t>
            </w:r>
          </w:p>
          <w:tbl>
            <w:tblPr>
              <w:tblStyle w:val="4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637"/>
              <w:gridCol w:w="728"/>
              <w:gridCol w:w="682"/>
              <w:gridCol w:w="473"/>
              <w:gridCol w:w="443"/>
              <w:gridCol w:w="369"/>
              <w:gridCol w:w="311"/>
              <w:gridCol w:w="489"/>
              <w:gridCol w:w="489"/>
              <w:gridCol w:w="637"/>
              <w:gridCol w:w="517"/>
              <w:gridCol w:w="459"/>
              <w:gridCol w:w="460"/>
            </w:tblGrid>
            <w:tr w14:paraId="12856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1" w:hRule="atLeast"/>
                <w:jc w:val="center"/>
              </w:trPr>
              <w:tc>
                <w:tcPr>
                  <w:tcW w:w="735" w:type="pct"/>
                  <w:tcBorders>
                    <w:tl2br w:val="nil"/>
                    <w:tr2bl w:val="nil"/>
                  </w:tcBorders>
                  <w:noWrap/>
                  <w:vAlign w:val="center"/>
                </w:tcPr>
                <w:p w14:paraId="3FB817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405" w:type="pct"/>
                  <w:tcBorders>
                    <w:tl2br w:val="nil"/>
                    <w:tr2bl w:val="nil"/>
                  </w:tcBorders>
                  <w:noWrap/>
                  <w:vAlign w:val="center"/>
                </w:tcPr>
                <w:p w14:paraId="2B6160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pH</w:t>
                  </w:r>
                </w:p>
              </w:tc>
              <w:tc>
                <w:tcPr>
                  <w:tcW w:w="463" w:type="pct"/>
                  <w:tcBorders>
                    <w:tl2br w:val="nil"/>
                    <w:tr2bl w:val="nil"/>
                  </w:tcBorders>
                  <w:noWrap/>
                  <w:vAlign w:val="center"/>
                </w:tcPr>
                <w:p w14:paraId="7C4E59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vertAlign w:val="subscript"/>
                    </w:rPr>
                  </w:pPr>
                  <w:r>
                    <w:rPr>
                      <w:rFonts w:hint="default" w:ascii="Times New Roman" w:hAnsi="Times New Roman" w:cs="Times New Roman"/>
                      <w:b/>
                      <w:bCs/>
                      <w:color w:val="auto"/>
                      <w:sz w:val="21"/>
                      <w:szCs w:val="21"/>
                      <w:highlight w:val="none"/>
                    </w:rPr>
                    <w:t>COD</w:t>
                  </w:r>
                  <w:r>
                    <w:rPr>
                      <w:rFonts w:hint="default" w:ascii="Times New Roman" w:hAnsi="Times New Roman" w:cs="Times New Roman"/>
                      <w:b/>
                      <w:bCs/>
                      <w:color w:val="auto"/>
                      <w:sz w:val="21"/>
                      <w:szCs w:val="21"/>
                      <w:highlight w:val="none"/>
                      <w:vertAlign w:val="subscript"/>
                    </w:rPr>
                    <w:t>Cr</w:t>
                  </w:r>
                </w:p>
              </w:tc>
              <w:tc>
                <w:tcPr>
                  <w:tcW w:w="434" w:type="pct"/>
                  <w:tcBorders>
                    <w:tl2br w:val="nil"/>
                    <w:tr2bl w:val="nil"/>
                  </w:tcBorders>
                  <w:noWrap/>
                  <w:vAlign w:val="center"/>
                </w:tcPr>
                <w:p w14:paraId="6D8F72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vertAlign w:val="subscript"/>
                    </w:rPr>
                  </w:pPr>
                  <w:r>
                    <w:rPr>
                      <w:rFonts w:hint="default" w:ascii="Times New Roman" w:hAnsi="Times New Roman" w:cs="Times New Roman"/>
                      <w:b/>
                      <w:bCs/>
                      <w:color w:val="auto"/>
                      <w:sz w:val="21"/>
                      <w:szCs w:val="21"/>
                      <w:highlight w:val="none"/>
                    </w:rPr>
                    <w:t>BOD</w:t>
                  </w:r>
                  <w:r>
                    <w:rPr>
                      <w:rFonts w:hint="default" w:ascii="Times New Roman" w:hAnsi="Times New Roman" w:cs="Times New Roman"/>
                      <w:b/>
                      <w:bCs/>
                      <w:color w:val="auto"/>
                      <w:sz w:val="21"/>
                      <w:szCs w:val="21"/>
                      <w:highlight w:val="none"/>
                      <w:vertAlign w:val="subscript"/>
                    </w:rPr>
                    <w:t>5</w:t>
                  </w:r>
                </w:p>
              </w:tc>
              <w:tc>
                <w:tcPr>
                  <w:tcW w:w="301" w:type="pct"/>
                  <w:tcBorders>
                    <w:tl2br w:val="nil"/>
                    <w:tr2bl w:val="nil"/>
                  </w:tcBorders>
                  <w:noWrap/>
                  <w:vAlign w:val="center"/>
                </w:tcPr>
                <w:p w14:paraId="34A55F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SS</w:t>
                  </w:r>
                </w:p>
              </w:tc>
              <w:tc>
                <w:tcPr>
                  <w:tcW w:w="282" w:type="pct"/>
                  <w:tcBorders>
                    <w:tl2br w:val="nil"/>
                    <w:tr2bl w:val="nil"/>
                  </w:tcBorders>
                  <w:noWrap/>
                  <w:vAlign w:val="center"/>
                </w:tcPr>
                <w:p w14:paraId="2661F3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氨氮</w:t>
                  </w:r>
                </w:p>
              </w:tc>
              <w:tc>
                <w:tcPr>
                  <w:tcW w:w="235" w:type="pct"/>
                  <w:tcBorders>
                    <w:tl2br w:val="nil"/>
                    <w:tr2bl w:val="nil"/>
                  </w:tcBorders>
                  <w:noWrap/>
                  <w:vAlign w:val="center"/>
                </w:tcPr>
                <w:p w14:paraId="66E896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LAS</w:t>
                  </w:r>
                </w:p>
              </w:tc>
              <w:tc>
                <w:tcPr>
                  <w:tcW w:w="198" w:type="pct"/>
                  <w:tcBorders>
                    <w:tl2br w:val="nil"/>
                    <w:tr2bl w:val="nil"/>
                  </w:tcBorders>
                  <w:noWrap/>
                  <w:vAlign w:val="center"/>
                </w:tcPr>
                <w:p w14:paraId="1A6915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氟化物</w:t>
                  </w:r>
                </w:p>
              </w:tc>
              <w:tc>
                <w:tcPr>
                  <w:tcW w:w="311" w:type="pct"/>
                  <w:tcBorders>
                    <w:tl2br w:val="nil"/>
                    <w:tr2bl w:val="nil"/>
                  </w:tcBorders>
                  <w:noWrap/>
                  <w:vAlign w:val="center"/>
                </w:tcPr>
                <w:p w14:paraId="474D6A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石油类</w:t>
                  </w:r>
                </w:p>
              </w:tc>
              <w:tc>
                <w:tcPr>
                  <w:tcW w:w="311" w:type="pct"/>
                  <w:tcBorders>
                    <w:tl2br w:val="nil"/>
                    <w:tr2bl w:val="nil"/>
                  </w:tcBorders>
                  <w:noWrap/>
                  <w:vAlign w:val="center"/>
                </w:tcPr>
                <w:p w14:paraId="2388BA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总磷</w:t>
                  </w:r>
                </w:p>
              </w:tc>
              <w:tc>
                <w:tcPr>
                  <w:tcW w:w="405" w:type="pct"/>
                  <w:tcBorders>
                    <w:tl2br w:val="nil"/>
                    <w:tr2bl w:val="nil"/>
                  </w:tcBorders>
                  <w:noWrap/>
                  <w:vAlign w:val="center"/>
                </w:tcPr>
                <w:p w14:paraId="6AF576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动植物油</w:t>
                  </w:r>
                </w:p>
              </w:tc>
              <w:tc>
                <w:tcPr>
                  <w:tcW w:w="329" w:type="pct"/>
                  <w:tcBorders>
                    <w:tl2br w:val="nil"/>
                    <w:tr2bl w:val="nil"/>
                  </w:tcBorders>
                  <w:noWrap/>
                  <w:vAlign w:val="center"/>
                </w:tcPr>
                <w:p w14:paraId="38BF5C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TN</w:t>
                  </w:r>
                </w:p>
              </w:tc>
              <w:tc>
                <w:tcPr>
                  <w:tcW w:w="292" w:type="pct"/>
                  <w:tcBorders>
                    <w:tl2br w:val="nil"/>
                    <w:tr2bl w:val="nil"/>
                  </w:tcBorders>
                  <w:noWrap/>
                  <w:vAlign w:val="center"/>
                </w:tcPr>
                <w:p w14:paraId="10BA2B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总锌</w:t>
                  </w:r>
                </w:p>
              </w:tc>
              <w:tc>
                <w:tcPr>
                  <w:tcW w:w="292" w:type="pct"/>
                  <w:tcBorders>
                    <w:tl2br w:val="nil"/>
                    <w:tr2bl w:val="nil"/>
                  </w:tcBorders>
                  <w:noWrap/>
                  <w:vAlign w:val="center"/>
                </w:tcPr>
                <w:p w14:paraId="31FB12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总铁</w:t>
                  </w:r>
                </w:p>
              </w:tc>
            </w:tr>
            <w:tr w14:paraId="09203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1" w:hRule="atLeast"/>
                <w:jc w:val="center"/>
              </w:trPr>
              <w:tc>
                <w:tcPr>
                  <w:tcW w:w="735" w:type="pct"/>
                  <w:tcBorders>
                    <w:tl2br w:val="nil"/>
                    <w:tr2bl w:val="nil"/>
                  </w:tcBorders>
                  <w:noWrap/>
                  <w:tcMar>
                    <w:top w:w="0" w:type="dxa"/>
                    <w:left w:w="0" w:type="dxa"/>
                    <w:bottom w:w="0" w:type="dxa"/>
                    <w:right w:w="0" w:type="dxa"/>
                  </w:tcMar>
                  <w:vAlign w:val="center"/>
                </w:tcPr>
                <w:p w14:paraId="2057A6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园区污水处理厂接管水质要求</w:t>
                  </w:r>
                </w:p>
              </w:tc>
              <w:tc>
                <w:tcPr>
                  <w:tcW w:w="405" w:type="pct"/>
                  <w:tcBorders>
                    <w:tl2br w:val="nil"/>
                    <w:tr2bl w:val="nil"/>
                  </w:tcBorders>
                  <w:noWrap/>
                  <w:tcMar>
                    <w:top w:w="0" w:type="dxa"/>
                    <w:left w:w="0" w:type="dxa"/>
                    <w:bottom w:w="0" w:type="dxa"/>
                    <w:right w:w="0" w:type="dxa"/>
                  </w:tcMar>
                  <w:vAlign w:val="center"/>
                </w:tcPr>
                <w:p w14:paraId="4071B4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6-9</w:t>
                  </w:r>
                </w:p>
              </w:tc>
              <w:tc>
                <w:tcPr>
                  <w:tcW w:w="463" w:type="pct"/>
                  <w:tcBorders>
                    <w:tl2br w:val="nil"/>
                    <w:tr2bl w:val="nil"/>
                  </w:tcBorders>
                  <w:noWrap/>
                  <w:tcMar>
                    <w:top w:w="0" w:type="dxa"/>
                    <w:left w:w="0" w:type="dxa"/>
                    <w:bottom w:w="0" w:type="dxa"/>
                    <w:right w:w="0" w:type="dxa"/>
                  </w:tcMar>
                  <w:vAlign w:val="center"/>
                </w:tcPr>
                <w:p w14:paraId="4B6ED8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300</w:t>
                  </w:r>
                </w:p>
              </w:tc>
              <w:tc>
                <w:tcPr>
                  <w:tcW w:w="434" w:type="pct"/>
                  <w:tcBorders>
                    <w:tl2br w:val="nil"/>
                    <w:tr2bl w:val="nil"/>
                  </w:tcBorders>
                  <w:noWrap/>
                  <w:tcMar>
                    <w:top w:w="0" w:type="dxa"/>
                    <w:left w:w="0" w:type="dxa"/>
                    <w:bottom w:w="0" w:type="dxa"/>
                    <w:right w:w="0" w:type="dxa"/>
                  </w:tcMar>
                  <w:vAlign w:val="center"/>
                </w:tcPr>
                <w:p w14:paraId="1CE571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150</w:t>
                  </w:r>
                </w:p>
              </w:tc>
              <w:tc>
                <w:tcPr>
                  <w:tcW w:w="301" w:type="pct"/>
                  <w:tcBorders>
                    <w:tl2br w:val="nil"/>
                    <w:tr2bl w:val="nil"/>
                  </w:tcBorders>
                  <w:noWrap/>
                  <w:tcMar>
                    <w:top w:w="0" w:type="dxa"/>
                    <w:left w:w="0" w:type="dxa"/>
                    <w:bottom w:w="0" w:type="dxa"/>
                    <w:right w:w="0" w:type="dxa"/>
                  </w:tcMar>
                  <w:vAlign w:val="center"/>
                </w:tcPr>
                <w:p w14:paraId="047050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250</w:t>
                  </w:r>
                </w:p>
              </w:tc>
              <w:tc>
                <w:tcPr>
                  <w:tcW w:w="282" w:type="pct"/>
                  <w:tcBorders>
                    <w:tl2br w:val="nil"/>
                    <w:tr2bl w:val="nil"/>
                  </w:tcBorders>
                  <w:noWrap/>
                  <w:tcMar>
                    <w:top w:w="0" w:type="dxa"/>
                    <w:left w:w="0" w:type="dxa"/>
                    <w:bottom w:w="0" w:type="dxa"/>
                    <w:right w:w="0" w:type="dxa"/>
                  </w:tcMar>
                  <w:vAlign w:val="center"/>
                </w:tcPr>
                <w:p w14:paraId="58DF02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w:t>
                  </w:r>
                </w:p>
              </w:tc>
              <w:tc>
                <w:tcPr>
                  <w:tcW w:w="235" w:type="pct"/>
                  <w:tcBorders>
                    <w:tl2br w:val="nil"/>
                    <w:tr2bl w:val="nil"/>
                  </w:tcBorders>
                  <w:noWrap/>
                  <w:tcMar>
                    <w:top w:w="0" w:type="dxa"/>
                    <w:left w:w="0" w:type="dxa"/>
                    <w:bottom w:w="0" w:type="dxa"/>
                    <w:right w:w="0" w:type="dxa"/>
                  </w:tcMar>
                  <w:vAlign w:val="center"/>
                </w:tcPr>
                <w:p w14:paraId="729E50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98" w:type="pct"/>
                  <w:tcBorders>
                    <w:tl2br w:val="nil"/>
                    <w:tr2bl w:val="nil"/>
                  </w:tcBorders>
                  <w:noWrap/>
                  <w:tcMar>
                    <w:top w:w="0" w:type="dxa"/>
                    <w:left w:w="0" w:type="dxa"/>
                    <w:bottom w:w="0" w:type="dxa"/>
                    <w:right w:w="0" w:type="dxa"/>
                  </w:tcMar>
                  <w:vAlign w:val="center"/>
                </w:tcPr>
                <w:p w14:paraId="712589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311" w:type="pct"/>
                  <w:tcBorders>
                    <w:tl2br w:val="nil"/>
                    <w:tr2bl w:val="nil"/>
                  </w:tcBorders>
                  <w:noWrap/>
                  <w:tcMar>
                    <w:top w:w="0" w:type="dxa"/>
                    <w:left w:w="0" w:type="dxa"/>
                    <w:bottom w:w="0" w:type="dxa"/>
                    <w:right w:w="0" w:type="dxa"/>
                  </w:tcMar>
                  <w:vAlign w:val="center"/>
                </w:tcPr>
                <w:p w14:paraId="6E3EF9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11" w:type="pct"/>
                  <w:tcBorders>
                    <w:tl2br w:val="nil"/>
                    <w:tr2bl w:val="nil"/>
                  </w:tcBorders>
                  <w:noWrap/>
                  <w:tcMar>
                    <w:top w:w="0" w:type="dxa"/>
                    <w:left w:w="0" w:type="dxa"/>
                    <w:bottom w:w="0" w:type="dxa"/>
                    <w:right w:w="0" w:type="dxa"/>
                  </w:tcMar>
                  <w:vAlign w:val="center"/>
                </w:tcPr>
                <w:p w14:paraId="567836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405" w:type="pct"/>
                  <w:tcBorders>
                    <w:tl2br w:val="nil"/>
                    <w:tr2bl w:val="nil"/>
                  </w:tcBorders>
                  <w:noWrap/>
                  <w:tcMar>
                    <w:top w:w="0" w:type="dxa"/>
                    <w:left w:w="0" w:type="dxa"/>
                    <w:bottom w:w="0" w:type="dxa"/>
                    <w:right w:w="0" w:type="dxa"/>
                  </w:tcMar>
                  <w:vAlign w:val="center"/>
                </w:tcPr>
                <w:p w14:paraId="14205A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29" w:type="pct"/>
                  <w:tcBorders>
                    <w:tl2br w:val="nil"/>
                    <w:tr2bl w:val="nil"/>
                  </w:tcBorders>
                  <w:noWrap/>
                  <w:tcMar>
                    <w:top w:w="0" w:type="dxa"/>
                    <w:left w:w="0" w:type="dxa"/>
                    <w:bottom w:w="0" w:type="dxa"/>
                    <w:right w:w="0" w:type="dxa"/>
                  </w:tcMar>
                  <w:vAlign w:val="center"/>
                </w:tcPr>
                <w:p w14:paraId="6C460C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92" w:type="pct"/>
                  <w:tcBorders>
                    <w:tl2br w:val="nil"/>
                    <w:tr2bl w:val="nil"/>
                  </w:tcBorders>
                  <w:noWrap/>
                  <w:tcMar>
                    <w:top w:w="0" w:type="dxa"/>
                    <w:left w:w="0" w:type="dxa"/>
                    <w:bottom w:w="0" w:type="dxa"/>
                    <w:right w:w="0" w:type="dxa"/>
                  </w:tcMar>
                  <w:vAlign w:val="center"/>
                </w:tcPr>
                <w:p w14:paraId="18873B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92" w:type="pct"/>
                  <w:tcBorders>
                    <w:tl2br w:val="nil"/>
                    <w:tr2bl w:val="nil"/>
                  </w:tcBorders>
                  <w:noWrap/>
                  <w:tcMar>
                    <w:top w:w="0" w:type="dxa"/>
                    <w:left w:w="0" w:type="dxa"/>
                    <w:bottom w:w="0" w:type="dxa"/>
                    <w:right w:w="0" w:type="dxa"/>
                  </w:tcMar>
                  <w:vAlign w:val="center"/>
                </w:tcPr>
                <w:p w14:paraId="58F70F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3AFC0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1" w:hRule="atLeast"/>
                <w:jc w:val="center"/>
              </w:trPr>
              <w:tc>
                <w:tcPr>
                  <w:tcW w:w="735" w:type="pct"/>
                  <w:tcBorders>
                    <w:tl2br w:val="nil"/>
                    <w:tr2bl w:val="nil"/>
                  </w:tcBorders>
                  <w:noWrap/>
                  <w:tcMar>
                    <w:top w:w="0" w:type="dxa"/>
                    <w:left w:w="0" w:type="dxa"/>
                    <w:bottom w:w="0" w:type="dxa"/>
                    <w:right w:w="0" w:type="dxa"/>
                  </w:tcMar>
                  <w:vAlign w:val="center"/>
                </w:tcPr>
                <w:p w14:paraId="4DE260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DB44/26-2001第二时段三级标准</w:t>
                  </w:r>
                </w:p>
              </w:tc>
              <w:tc>
                <w:tcPr>
                  <w:tcW w:w="405" w:type="pct"/>
                  <w:tcBorders>
                    <w:tl2br w:val="nil"/>
                    <w:tr2bl w:val="nil"/>
                  </w:tcBorders>
                  <w:noWrap/>
                  <w:tcMar>
                    <w:top w:w="0" w:type="dxa"/>
                    <w:left w:w="0" w:type="dxa"/>
                    <w:bottom w:w="0" w:type="dxa"/>
                    <w:right w:w="0" w:type="dxa"/>
                  </w:tcMar>
                  <w:vAlign w:val="center"/>
                </w:tcPr>
                <w:p w14:paraId="34D1F0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color w:val="auto"/>
                      <w:sz w:val="21"/>
                      <w:szCs w:val="21"/>
                      <w:highlight w:val="none"/>
                    </w:rPr>
                    <w:t>6-9</w:t>
                  </w:r>
                </w:p>
              </w:tc>
              <w:tc>
                <w:tcPr>
                  <w:tcW w:w="463" w:type="pct"/>
                  <w:tcBorders>
                    <w:tl2br w:val="nil"/>
                    <w:tr2bl w:val="nil"/>
                  </w:tcBorders>
                  <w:noWrap/>
                  <w:tcMar>
                    <w:top w:w="0" w:type="dxa"/>
                    <w:left w:w="0" w:type="dxa"/>
                    <w:bottom w:w="0" w:type="dxa"/>
                    <w:right w:w="0" w:type="dxa"/>
                  </w:tcMar>
                  <w:vAlign w:val="center"/>
                </w:tcPr>
                <w:p w14:paraId="09092D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500</w:t>
                  </w:r>
                </w:p>
              </w:tc>
              <w:tc>
                <w:tcPr>
                  <w:tcW w:w="434" w:type="pct"/>
                  <w:tcBorders>
                    <w:tl2br w:val="nil"/>
                    <w:tr2bl w:val="nil"/>
                  </w:tcBorders>
                  <w:noWrap/>
                  <w:tcMar>
                    <w:top w:w="0" w:type="dxa"/>
                    <w:left w:w="0" w:type="dxa"/>
                    <w:bottom w:w="0" w:type="dxa"/>
                    <w:right w:w="0" w:type="dxa"/>
                  </w:tcMar>
                  <w:vAlign w:val="center"/>
                </w:tcPr>
                <w:p w14:paraId="3AC1F6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300</w:t>
                  </w:r>
                </w:p>
              </w:tc>
              <w:tc>
                <w:tcPr>
                  <w:tcW w:w="301" w:type="pct"/>
                  <w:tcBorders>
                    <w:tl2br w:val="nil"/>
                    <w:tr2bl w:val="nil"/>
                  </w:tcBorders>
                  <w:noWrap/>
                  <w:tcMar>
                    <w:top w:w="0" w:type="dxa"/>
                    <w:left w:w="0" w:type="dxa"/>
                    <w:bottom w:w="0" w:type="dxa"/>
                    <w:right w:w="0" w:type="dxa"/>
                  </w:tcMar>
                  <w:vAlign w:val="center"/>
                </w:tcPr>
                <w:p w14:paraId="21F8DF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400</w:t>
                  </w:r>
                </w:p>
              </w:tc>
              <w:tc>
                <w:tcPr>
                  <w:tcW w:w="282" w:type="pct"/>
                  <w:tcBorders>
                    <w:tl2br w:val="nil"/>
                    <w:tr2bl w:val="nil"/>
                  </w:tcBorders>
                  <w:noWrap/>
                  <w:tcMar>
                    <w:top w:w="0" w:type="dxa"/>
                    <w:left w:w="0" w:type="dxa"/>
                    <w:bottom w:w="0" w:type="dxa"/>
                    <w:right w:w="0" w:type="dxa"/>
                  </w:tcMar>
                  <w:vAlign w:val="center"/>
                </w:tcPr>
                <w:p w14:paraId="70E669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35" w:type="pct"/>
                  <w:tcBorders>
                    <w:tl2br w:val="nil"/>
                    <w:tr2bl w:val="nil"/>
                  </w:tcBorders>
                  <w:noWrap/>
                  <w:tcMar>
                    <w:top w:w="0" w:type="dxa"/>
                    <w:left w:w="0" w:type="dxa"/>
                    <w:bottom w:w="0" w:type="dxa"/>
                    <w:right w:w="0" w:type="dxa"/>
                  </w:tcMar>
                  <w:vAlign w:val="center"/>
                </w:tcPr>
                <w:p w14:paraId="13CAF4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c>
                <w:tcPr>
                  <w:tcW w:w="198" w:type="pct"/>
                  <w:tcBorders>
                    <w:tl2br w:val="nil"/>
                    <w:tr2bl w:val="nil"/>
                  </w:tcBorders>
                  <w:noWrap/>
                  <w:tcMar>
                    <w:top w:w="0" w:type="dxa"/>
                    <w:left w:w="0" w:type="dxa"/>
                    <w:bottom w:w="0" w:type="dxa"/>
                    <w:right w:w="0" w:type="dxa"/>
                  </w:tcMar>
                  <w:vAlign w:val="center"/>
                </w:tcPr>
                <w:p w14:paraId="0ED125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c>
                <w:tcPr>
                  <w:tcW w:w="311" w:type="pct"/>
                  <w:tcBorders>
                    <w:tl2br w:val="nil"/>
                    <w:tr2bl w:val="nil"/>
                  </w:tcBorders>
                  <w:noWrap/>
                  <w:tcMar>
                    <w:top w:w="0" w:type="dxa"/>
                    <w:left w:w="0" w:type="dxa"/>
                    <w:bottom w:w="0" w:type="dxa"/>
                    <w:right w:w="0" w:type="dxa"/>
                  </w:tcMar>
                  <w:vAlign w:val="center"/>
                </w:tcPr>
                <w:p w14:paraId="3A7429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c>
                <w:tcPr>
                  <w:tcW w:w="311" w:type="pct"/>
                  <w:tcBorders>
                    <w:tl2br w:val="nil"/>
                    <w:tr2bl w:val="nil"/>
                  </w:tcBorders>
                  <w:noWrap/>
                  <w:tcMar>
                    <w:top w:w="0" w:type="dxa"/>
                    <w:left w:w="0" w:type="dxa"/>
                    <w:bottom w:w="0" w:type="dxa"/>
                    <w:right w:w="0" w:type="dxa"/>
                  </w:tcMar>
                  <w:vAlign w:val="center"/>
                </w:tcPr>
                <w:p w14:paraId="0E6A8A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05" w:type="pct"/>
                  <w:tcBorders>
                    <w:tl2br w:val="nil"/>
                    <w:tr2bl w:val="nil"/>
                  </w:tcBorders>
                  <w:noWrap/>
                  <w:tcMar>
                    <w:top w:w="0" w:type="dxa"/>
                    <w:left w:w="0" w:type="dxa"/>
                    <w:bottom w:w="0" w:type="dxa"/>
                    <w:right w:w="0" w:type="dxa"/>
                  </w:tcMar>
                  <w:vAlign w:val="center"/>
                </w:tcPr>
                <w:p w14:paraId="0E7CAF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329" w:type="pct"/>
                  <w:tcBorders>
                    <w:tl2br w:val="nil"/>
                    <w:tr2bl w:val="nil"/>
                  </w:tcBorders>
                  <w:noWrap/>
                  <w:tcMar>
                    <w:top w:w="0" w:type="dxa"/>
                    <w:left w:w="0" w:type="dxa"/>
                    <w:bottom w:w="0" w:type="dxa"/>
                    <w:right w:w="0" w:type="dxa"/>
                  </w:tcMar>
                  <w:vAlign w:val="center"/>
                </w:tcPr>
                <w:p w14:paraId="447D87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92" w:type="pct"/>
                  <w:tcBorders>
                    <w:tl2br w:val="nil"/>
                    <w:tr2bl w:val="nil"/>
                  </w:tcBorders>
                  <w:noWrap/>
                  <w:tcMar>
                    <w:top w:w="0" w:type="dxa"/>
                    <w:left w:w="0" w:type="dxa"/>
                    <w:bottom w:w="0" w:type="dxa"/>
                    <w:right w:w="0" w:type="dxa"/>
                  </w:tcMar>
                  <w:vAlign w:val="center"/>
                </w:tcPr>
                <w:p w14:paraId="01FE7E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92" w:type="pct"/>
                  <w:tcBorders>
                    <w:tl2br w:val="nil"/>
                    <w:tr2bl w:val="nil"/>
                  </w:tcBorders>
                  <w:noWrap/>
                  <w:tcMar>
                    <w:top w:w="0" w:type="dxa"/>
                    <w:left w:w="0" w:type="dxa"/>
                    <w:bottom w:w="0" w:type="dxa"/>
                    <w:right w:w="0" w:type="dxa"/>
                  </w:tcMar>
                  <w:vAlign w:val="center"/>
                </w:tcPr>
                <w:p w14:paraId="236EE7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6E2B1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2" w:hRule="atLeast"/>
                <w:jc w:val="center"/>
              </w:trPr>
              <w:tc>
                <w:tcPr>
                  <w:tcW w:w="735" w:type="pct"/>
                  <w:tcBorders>
                    <w:tl2br w:val="nil"/>
                    <w:tr2bl w:val="nil"/>
                  </w:tcBorders>
                  <w:noWrap/>
                  <w:tcMar>
                    <w:top w:w="0" w:type="dxa"/>
                    <w:left w:w="0" w:type="dxa"/>
                    <w:bottom w:w="0" w:type="dxa"/>
                    <w:right w:w="0" w:type="dxa"/>
                  </w:tcMar>
                  <w:vAlign w:val="center"/>
                </w:tcPr>
                <w:p w14:paraId="2B5185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leftChars="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DB44/1597-2015</w:t>
                  </w:r>
                  <w:r>
                    <w:rPr>
                      <w:rFonts w:hint="eastAsia" w:cs="Times New Roman"/>
                      <w:color w:val="auto"/>
                      <w:sz w:val="21"/>
                      <w:szCs w:val="21"/>
                      <w:highlight w:val="none"/>
                      <w:lang w:val="en-US" w:eastAsia="zh-CN"/>
                    </w:rPr>
                    <w:t>表2新建项目水污染排放限值-非珠三角</w:t>
                  </w:r>
                </w:p>
              </w:tc>
              <w:tc>
                <w:tcPr>
                  <w:tcW w:w="405" w:type="pct"/>
                  <w:tcBorders>
                    <w:tl2br w:val="nil"/>
                    <w:tr2bl w:val="nil"/>
                  </w:tcBorders>
                  <w:noWrap/>
                  <w:tcMar>
                    <w:top w:w="0" w:type="dxa"/>
                    <w:left w:w="0" w:type="dxa"/>
                    <w:bottom w:w="0" w:type="dxa"/>
                    <w:right w:w="0" w:type="dxa"/>
                  </w:tcMar>
                  <w:vAlign w:val="center"/>
                </w:tcPr>
                <w:p w14:paraId="0EDFC9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leftChars="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6-9</w:t>
                  </w:r>
                </w:p>
              </w:tc>
              <w:tc>
                <w:tcPr>
                  <w:tcW w:w="463" w:type="pct"/>
                  <w:tcBorders>
                    <w:tl2br w:val="nil"/>
                    <w:tr2bl w:val="nil"/>
                  </w:tcBorders>
                  <w:noWrap/>
                  <w:tcMar>
                    <w:top w:w="0" w:type="dxa"/>
                    <w:left w:w="0" w:type="dxa"/>
                    <w:bottom w:w="0" w:type="dxa"/>
                    <w:right w:w="0" w:type="dxa"/>
                  </w:tcMar>
                  <w:vAlign w:val="center"/>
                </w:tcPr>
                <w:p w14:paraId="1EB9A2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leftChars="0" w:right="0" w:right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80</w:t>
                  </w:r>
                </w:p>
              </w:tc>
              <w:tc>
                <w:tcPr>
                  <w:tcW w:w="434" w:type="pct"/>
                  <w:tcBorders>
                    <w:tl2br w:val="nil"/>
                    <w:tr2bl w:val="nil"/>
                  </w:tcBorders>
                  <w:noWrap/>
                  <w:tcMar>
                    <w:top w:w="0" w:type="dxa"/>
                    <w:left w:w="0" w:type="dxa"/>
                    <w:bottom w:w="0" w:type="dxa"/>
                    <w:right w:w="0" w:type="dxa"/>
                  </w:tcMar>
                  <w:vAlign w:val="center"/>
                </w:tcPr>
                <w:p w14:paraId="126611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leftChars="0" w:right="0" w:right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w:t>
                  </w:r>
                </w:p>
              </w:tc>
              <w:tc>
                <w:tcPr>
                  <w:tcW w:w="301" w:type="pct"/>
                  <w:tcBorders>
                    <w:tl2br w:val="nil"/>
                    <w:tr2bl w:val="nil"/>
                  </w:tcBorders>
                  <w:noWrap/>
                  <w:tcMar>
                    <w:top w:w="0" w:type="dxa"/>
                    <w:left w:w="0" w:type="dxa"/>
                    <w:bottom w:w="0" w:type="dxa"/>
                    <w:right w:w="0" w:type="dxa"/>
                  </w:tcMar>
                  <w:vAlign w:val="center"/>
                </w:tcPr>
                <w:p w14:paraId="6C47C2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leftChars="0" w:right="0" w:right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30</w:t>
                  </w:r>
                </w:p>
              </w:tc>
              <w:tc>
                <w:tcPr>
                  <w:tcW w:w="282" w:type="pct"/>
                  <w:tcBorders>
                    <w:tl2br w:val="nil"/>
                    <w:tr2bl w:val="nil"/>
                  </w:tcBorders>
                  <w:noWrap/>
                  <w:tcMar>
                    <w:top w:w="0" w:type="dxa"/>
                    <w:left w:w="0" w:type="dxa"/>
                    <w:bottom w:w="0" w:type="dxa"/>
                    <w:right w:w="0" w:type="dxa"/>
                  </w:tcMar>
                  <w:vAlign w:val="center"/>
                </w:tcPr>
                <w:p w14:paraId="18C33B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leftChars="0" w:right="0" w:right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15</w:t>
                  </w:r>
                </w:p>
              </w:tc>
              <w:tc>
                <w:tcPr>
                  <w:tcW w:w="235" w:type="pct"/>
                  <w:tcBorders>
                    <w:tl2br w:val="nil"/>
                    <w:tr2bl w:val="nil"/>
                  </w:tcBorders>
                  <w:noWrap/>
                  <w:tcMar>
                    <w:top w:w="0" w:type="dxa"/>
                    <w:left w:w="0" w:type="dxa"/>
                    <w:bottom w:w="0" w:type="dxa"/>
                    <w:right w:w="0" w:type="dxa"/>
                  </w:tcMar>
                  <w:vAlign w:val="center"/>
                </w:tcPr>
                <w:p w14:paraId="573B9B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leftChars="0" w:right="0" w:right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w:t>
                  </w:r>
                </w:p>
              </w:tc>
              <w:tc>
                <w:tcPr>
                  <w:tcW w:w="198" w:type="pct"/>
                  <w:tcBorders>
                    <w:tl2br w:val="nil"/>
                    <w:tr2bl w:val="nil"/>
                  </w:tcBorders>
                  <w:noWrap/>
                  <w:tcMar>
                    <w:top w:w="0" w:type="dxa"/>
                    <w:left w:w="0" w:type="dxa"/>
                    <w:bottom w:w="0" w:type="dxa"/>
                    <w:right w:w="0" w:type="dxa"/>
                  </w:tcMar>
                  <w:vAlign w:val="center"/>
                </w:tcPr>
                <w:p w14:paraId="08C24F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leftChars="0" w:right="0" w:right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10</w:t>
                  </w:r>
                </w:p>
              </w:tc>
              <w:tc>
                <w:tcPr>
                  <w:tcW w:w="311" w:type="pct"/>
                  <w:tcBorders>
                    <w:tl2br w:val="nil"/>
                    <w:tr2bl w:val="nil"/>
                  </w:tcBorders>
                  <w:noWrap/>
                  <w:tcMar>
                    <w:top w:w="0" w:type="dxa"/>
                    <w:left w:w="0" w:type="dxa"/>
                    <w:bottom w:w="0" w:type="dxa"/>
                    <w:right w:w="0" w:type="dxa"/>
                  </w:tcMar>
                  <w:vAlign w:val="center"/>
                </w:tcPr>
                <w:p w14:paraId="1212C2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311" w:type="pct"/>
                  <w:tcBorders>
                    <w:tl2br w:val="nil"/>
                    <w:tr2bl w:val="nil"/>
                  </w:tcBorders>
                  <w:noWrap/>
                  <w:tcMar>
                    <w:top w:w="0" w:type="dxa"/>
                    <w:left w:w="0" w:type="dxa"/>
                    <w:bottom w:w="0" w:type="dxa"/>
                    <w:right w:w="0" w:type="dxa"/>
                  </w:tcMar>
                  <w:vAlign w:val="center"/>
                </w:tcPr>
                <w:p w14:paraId="518AAD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leftChars="0"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405" w:type="pct"/>
                  <w:tcBorders>
                    <w:tl2br w:val="nil"/>
                    <w:tr2bl w:val="nil"/>
                  </w:tcBorders>
                  <w:noWrap/>
                  <w:tcMar>
                    <w:top w:w="0" w:type="dxa"/>
                    <w:left w:w="0" w:type="dxa"/>
                    <w:bottom w:w="0" w:type="dxa"/>
                    <w:right w:w="0" w:type="dxa"/>
                  </w:tcMar>
                  <w:vAlign w:val="center"/>
                </w:tcPr>
                <w:p w14:paraId="485917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29" w:type="pct"/>
                  <w:tcBorders>
                    <w:tl2br w:val="nil"/>
                    <w:tr2bl w:val="nil"/>
                  </w:tcBorders>
                  <w:noWrap/>
                  <w:tcMar>
                    <w:top w:w="0" w:type="dxa"/>
                    <w:left w:w="0" w:type="dxa"/>
                    <w:bottom w:w="0" w:type="dxa"/>
                    <w:right w:w="0" w:type="dxa"/>
                  </w:tcMar>
                  <w:vAlign w:val="center"/>
                </w:tcPr>
                <w:p w14:paraId="420E4A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292" w:type="pct"/>
                  <w:tcBorders>
                    <w:tl2br w:val="nil"/>
                    <w:tr2bl w:val="nil"/>
                  </w:tcBorders>
                  <w:noWrap/>
                  <w:tcMar>
                    <w:top w:w="0" w:type="dxa"/>
                    <w:left w:w="0" w:type="dxa"/>
                    <w:bottom w:w="0" w:type="dxa"/>
                    <w:right w:w="0" w:type="dxa"/>
                  </w:tcMar>
                  <w:vAlign w:val="center"/>
                </w:tcPr>
                <w:p w14:paraId="08F4D1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292" w:type="pct"/>
                  <w:tcBorders>
                    <w:tl2br w:val="nil"/>
                    <w:tr2bl w:val="nil"/>
                  </w:tcBorders>
                  <w:noWrap/>
                  <w:tcMar>
                    <w:top w:w="0" w:type="dxa"/>
                    <w:left w:w="0" w:type="dxa"/>
                    <w:bottom w:w="0" w:type="dxa"/>
                    <w:right w:w="0" w:type="dxa"/>
                  </w:tcMar>
                  <w:vAlign w:val="center"/>
                </w:tcPr>
                <w:p w14:paraId="1251B0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r>
            <w:tr w14:paraId="640F0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0" w:hRule="atLeast"/>
                <w:jc w:val="center"/>
              </w:trPr>
              <w:tc>
                <w:tcPr>
                  <w:tcW w:w="735" w:type="pct"/>
                  <w:tcBorders>
                    <w:tl2br w:val="nil"/>
                    <w:tr2bl w:val="nil"/>
                  </w:tcBorders>
                  <w:noWrap/>
                  <w:tcMar>
                    <w:top w:w="0" w:type="dxa"/>
                    <w:left w:w="0" w:type="dxa"/>
                    <w:bottom w:w="0" w:type="dxa"/>
                    <w:right w:w="0" w:type="dxa"/>
                  </w:tcMar>
                  <w:vAlign w:val="center"/>
                </w:tcPr>
                <w:p w14:paraId="638F51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leftChars="0" w:right="0" w:rightChars="0"/>
                    <w:jc w:val="center"/>
                    <w:textAlignment w:val="auto"/>
                    <w:rPr>
                      <w:rFonts w:hint="default"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lang w:val="en-US" w:eastAsia="zh-CN"/>
                    </w:rPr>
                    <w:t>生活污水排放</w:t>
                  </w:r>
                  <w:r>
                    <w:rPr>
                      <w:rFonts w:hint="default" w:ascii="Times New Roman" w:hAnsi="Times New Roman" w:cs="Times New Roman"/>
                      <w:b/>
                      <w:bCs/>
                      <w:color w:val="auto"/>
                      <w:sz w:val="21"/>
                      <w:szCs w:val="21"/>
                      <w:highlight w:val="none"/>
                    </w:rPr>
                    <w:t>限值</w:t>
                  </w:r>
                </w:p>
              </w:tc>
              <w:tc>
                <w:tcPr>
                  <w:tcW w:w="405" w:type="pct"/>
                  <w:tcBorders>
                    <w:tl2br w:val="nil"/>
                    <w:tr2bl w:val="nil"/>
                  </w:tcBorders>
                  <w:noWrap/>
                  <w:tcMar>
                    <w:top w:w="0" w:type="dxa"/>
                    <w:left w:w="0" w:type="dxa"/>
                    <w:bottom w:w="0" w:type="dxa"/>
                    <w:right w:w="0" w:type="dxa"/>
                  </w:tcMar>
                  <w:vAlign w:val="center"/>
                </w:tcPr>
                <w:p w14:paraId="46CBAE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leftChars="0" w:right="0" w:right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6-9</w:t>
                  </w:r>
                </w:p>
              </w:tc>
              <w:tc>
                <w:tcPr>
                  <w:tcW w:w="463" w:type="pct"/>
                  <w:tcBorders>
                    <w:tl2br w:val="nil"/>
                    <w:tr2bl w:val="nil"/>
                  </w:tcBorders>
                  <w:noWrap/>
                  <w:tcMar>
                    <w:top w:w="0" w:type="dxa"/>
                    <w:left w:w="0" w:type="dxa"/>
                    <w:bottom w:w="0" w:type="dxa"/>
                    <w:right w:w="0" w:type="dxa"/>
                  </w:tcMar>
                  <w:vAlign w:val="center"/>
                </w:tcPr>
                <w:p w14:paraId="7A21FA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300</w:t>
                  </w:r>
                </w:p>
              </w:tc>
              <w:tc>
                <w:tcPr>
                  <w:tcW w:w="434" w:type="pct"/>
                  <w:tcBorders>
                    <w:tl2br w:val="nil"/>
                    <w:tr2bl w:val="nil"/>
                  </w:tcBorders>
                  <w:noWrap/>
                  <w:tcMar>
                    <w:top w:w="0" w:type="dxa"/>
                    <w:left w:w="0" w:type="dxa"/>
                    <w:bottom w:w="0" w:type="dxa"/>
                    <w:right w:w="0" w:type="dxa"/>
                  </w:tcMar>
                  <w:vAlign w:val="center"/>
                </w:tcPr>
                <w:p w14:paraId="4D5F89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150</w:t>
                  </w:r>
                </w:p>
              </w:tc>
              <w:tc>
                <w:tcPr>
                  <w:tcW w:w="301" w:type="pct"/>
                  <w:tcBorders>
                    <w:tl2br w:val="nil"/>
                    <w:tr2bl w:val="nil"/>
                  </w:tcBorders>
                  <w:noWrap/>
                  <w:tcMar>
                    <w:top w:w="0" w:type="dxa"/>
                    <w:left w:w="0" w:type="dxa"/>
                    <w:bottom w:w="0" w:type="dxa"/>
                    <w:right w:w="0" w:type="dxa"/>
                  </w:tcMar>
                  <w:vAlign w:val="center"/>
                </w:tcPr>
                <w:p w14:paraId="0A401E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250</w:t>
                  </w:r>
                </w:p>
              </w:tc>
              <w:tc>
                <w:tcPr>
                  <w:tcW w:w="282" w:type="pct"/>
                  <w:tcBorders>
                    <w:tl2br w:val="nil"/>
                    <w:tr2bl w:val="nil"/>
                  </w:tcBorders>
                  <w:noWrap/>
                  <w:tcMar>
                    <w:top w:w="0" w:type="dxa"/>
                    <w:left w:w="0" w:type="dxa"/>
                    <w:bottom w:w="0" w:type="dxa"/>
                    <w:right w:w="0" w:type="dxa"/>
                  </w:tcMar>
                  <w:vAlign w:val="center"/>
                </w:tcPr>
                <w:p w14:paraId="0FFC0A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40</w:t>
                  </w:r>
                </w:p>
              </w:tc>
              <w:tc>
                <w:tcPr>
                  <w:tcW w:w="235" w:type="pct"/>
                  <w:tcBorders>
                    <w:tl2br w:val="nil"/>
                    <w:tr2bl w:val="nil"/>
                  </w:tcBorders>
                  <w:noWrap/>
                  <w:tcMar>
                    <w:top w:w="0" w:type="dxa"/>
                    <w:left w:w="0" w:type="dxa"/>
                    <w:bottom w:w="0" w:type="dxa"/>
                    <w:right w:w="0" w:type="dxa"/>
                  </w:tcMar>
                  <w:vAlign w:val="center"/>
                </w:tcPr>
                <w:p w14:paraId="135D39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20</w:t>
                  </w:r>
                </w:p>
              </w:tc>
              <w:tc>
                <w:tcPr>
                  <w:tcW w:w="198" w:type="pct"/>
                  <w:tcBorders>
                    <w:tl2br w:val="nil"/>
                    <w:tr2bl w:val="nil"/>
                  </w:tcBorders>
                  <w:noWrap/>
                  <w:tcMar>
                    <w:top w:w="0" w:type="dxa"/>
                    <w:left w:w="0" w:type="dxa"/>
                    <w:bottom w:w="0" w:type="dxa"/>
                    <w:right w:w="0" w:type="dxa"/>
                  </w:tcMar>
                  <w:vAlign w:val="center"/>
                </w:tcPr>
                <w:p w14:paraId="5CAD4A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20</w:t>
                  </w:r>
                </w:p>
              </w:tc>
              <w:tc>
                <w:tcPr>
                  <w:tcW w:w="311" w:type="pct"/>
                  <w:tcBorders>
                    <w:tl2br w:val="nil"/>
                    <w:tr2bl w:val="nil"/>
                  </w:tcBorders>
                  <w:noWrap/>
                  <w:tcMar>
                    <w:top w:w="0" w:type="dxa"/>
                    <w:left w:w="0" w:type="dxa"/>
                    <w:bottom w:w="0" w:type="dxa"/>
                    <w:right w:w="0" w:type="dxa"/>
                  </w:tcMar>
                  <w:vAlign w:val="center"/>
                </w:tcPr>
                <w:p w14:paraId="48A384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20</w:t>
                  </w:r>
                </w:p>
              </w:tc>
              <w:tc>
                <w:tcPr>
                  <w:tcW w:w="311" w:type="pct"/>
                  <w:tcBorders>
                    <w:tl2br w:val="nil"/>
                    <w:tr2bl w:val="nil"/>
                  </w:tcBorders>
                  <w:noWrap/>
                  <w:tcMar>
                    <w:top w:w="0" w:type="dxa"/>
                    <w:left w:w="0" w:type="dxa"/>
                    <w:bottom w:w="0" w:type="dxa"/>
                    <w:right w:w="0" w:type="dxa"/>
                  </w:tcMar>
                  <w:vAlign w:val="center"/>
                </w:tcPr>
                <w:p w14:paraId="070DFC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w:t>
                  </w:r>
                </w:p>
              </w:tc>
              <w:tc>
                <w:tcPr>
                  <w:tcW w:w="405" w:type="pct"/>
                  <w:tcBorders>
                    <w:tl2br w:val="nil"/>
                    <w:tr2bl w:val="nil"/>
                  </w:tcBorders>
                  <w:noWrap/>
                  <w:tcMar>
                    <w:top w:w="0" w:type="dxa"/>
                    <w:left w:w="0" w:type="dxa"/>
                    <w:bottom w:w="0" w:type="dxa"/>
                    <w:right w:w="0" w:type="dxa"/>
                  </w:tcMar>
                  <w:vAlign w:val="center"/>
                </w:tcPr>
                <w:p w14:paraId="12169D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100</w:t>
                  </w:r>
                </w:p>
              </w:tc>
              <w:tc>
                <w:tcPr>
                  <w:tcW w:w="329" w:type="pct"/>
                  <w:tcBorders>
                    <w:tl2br w:val="nil"/>
                    <w:tr2bl w:val="nil"/>
                  </w:tcBorders>
                  <w:noWrap/>
                  <w:tcMar>
                    <w:top w:w="0" w:type="dxa"/>
                    <w:left w:w="0" w:type="dxa"/>
                    <w:bottom w:w="0" w:type="dxa"/>
                    <w:right w:w="0" w:type="dxa"/>
                  </w:tcMar>
                  <w:vAlign w:val="center"/>
                </w:tcPr>
                <w:p w14:paraId="4FBC0A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w:t>
                  </w:r>
                </w:p>
              </w:tc>
              <w:tc>
                <w:tcPr>
                  <w:tcW w:w="292" w:type="pct"/>
                  <w:tcBorders>
                    <w:tl2br w:val="nil"/>
                    <w:tr2bl w:val="nil"/>
                  </w:tcBorders>
                  <w:noWrap/>
                  <w:tcMar>
                    <w:top w:w="0" w:type="dxa"/>
                    <w:left w:w="0" w:type="dxa"/>
                    <w:bottom w:w="0" w:type="dxa"/>
                    <w:right w:w="0" w:type="dxa"/>
                  </w:tcMar>
                  <w:vAlign w:val="center"/>
                </w:tcPr>
                <w:p w14:paraId="7D1705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w:t>
                  </w:r>
                </w:p>
              </w:tc>
              <w:tc>
                <w:tcPr>
                  <w:tcW w:w="292" w:type="pct"/>
                  <w:tcBorders>
                    <w:tl2br w:val="nil"/>
                    <w:tr2bl w:val="nil"/>
                  </w:tcBorders>
                  <w:noWrap/>
                  <w:tcMar>
                    <w:top w:w="0" w:type="dxa"/>
                    <w:left w:w="0" w:type="dxa"/>
                    <w:bottom w:w="0" w:type="dxa"/>
                    <w:right w:w="0" w:type="dxa"/>
                  </w:tcMar>
                  <w:vAlign w:val="center"/>
                </w:tcPr>
                <w:p w14:paraId="7BAD44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w:t>
                  </w:r>
                </w:p>
              </w:tc>
            </w:tr>
            <w:tr w14:paraId="3C562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1" w:hRule="atLeast"/>
                <w:jc w:val="center"/>
              </w:trPr>
              <w:tc>
                <w:tcPr>
                  <w:tcW w:w="735" w:type="pct"/>
                  <w:tcBorders>
                    <w:tl2br w:val="nil"/>
                    <w:tr2bl w:val="nil"/>
                  </w:tcBorders>
                  <w:noWrap/>
                  <w:tcMar>
                    <w:top w:w="0" w:type="dxa"/>
                    <w:left w:w="0" w:type="dxa"/>
                    <w:bottom w:w="0" w:type="dxa"/>
                    <w:right w:w="0" w:type="dxa"/>
                  </w:tcMar>
                  <w:vAlign w:val="center"/>
                </w:tcPr>
                <w:p w14:paraId="470406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leftChars="0" w:right="0" w:rightChars="0"/>
                    <w:jc w:val="center"/>
                    <w:textAlignment w:val="auto"/>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生产废水排放</w:t>
                  </w:r>
                  <w:r>
                    <w:rPr>
                      <w:rFonts w:hint="default" w:ascii="Times New Roman" w:hAnsi="Times New Roman" w:cs="Times New Roman"/>
                      <w:b/>
                      <w:bCs/>
                      <w:color w:val="auto"/>
                      <w:sz w:val="21"/>
                      <w:szCs w:val="21"/>
                      <w:highlight w:val="none"/>
                    </w:rPr>
                    <w:t>限值</w:t>
                  </w:r>
                </w:p>
              </w:tc>
              <w:tc>
                <w:tcPr>
                  <w:tcW w:w="405" w:type="pct"/>
                  <w:tcBorders>
                    <w:tl2br w:val="nil"/>
                    <w:tr2bl w:val="nil"/>
                  </w:tcBorders>
                  <w:noWrap/>
                  <w:tcMar>
                    <w:top w:w="0" w:type="dxa"/>
                    <w:left w:w="0" w:type="dxa"/>
                    <w:bottom w:w="0" w:type="dxa"/>
                    <w:right w:w="0" w:type="dxa"/>
                  </w:tcMar>
                  <w:vAlign w:val="center"/>
                </w:tcPr>
                <w:p w14:paraId="615BF1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leftChars="0" w:right="0" w:rightChars="0"/>
                    <w:jc w:val="center"/>
                    <w:textAlignment w:val="auto"/>
                    <w:rPr>
                      <w:rFonts w:hint="default" w:ascii="Times New Roman" w:hAnsi="Times New Roman"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6-9</w:t>
                  </w:r>
                </w:p>
              </w:tc>
              <w:tc>
                <w:tcPr>
                  <w:tcW w:w="463" w:type="pct"/>
                  <w:tcBorders>
                    <w:tl2br w:val="nil"/>
                    <w:tr2bl w:val="nil"/>
                  </w:tcBorders>
                  <w:noWrap/>
                  <w:tcMar>
                    <w:top w:w="0" w:type="dxa"/>
                    <w:left w:w="0" w:type="dxa"/>
                    <w:bottom w:w="0" w:type="dxa"/>
                    <w:right w:w="0" w:type="dxa"/>
                  </w:tcMar>
                  <w:vAlign w:val="center"/>
                </w:tcPr>
                <w:p w14:paraId="573EA5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leftChars="0" w:right="0" w:rightChars="0"/>
                    <w:jc w:val="center"/>
                    <w:textAlignment w:val="auto"/>
                    <w:rPr>
                      <w:rFonts w:hint="eastAsia" w:ascii="Times New Roman" w:hAnsi="Times New Roman" w:cs="Times New Roman"/>
                      <w:b/>
                      <w:bCs/>
                      <w:color w:val="auto"/>
                      <w:kern w:val="2"/>
                      <w:sz w:val="21"/>
                      <w:szCs w:val="21"/>
                      <w:highlight w:val="none"/>
                      <w:lang w:val="en-US" w:eastAsia="zh-CN" w:bidi="ar-SA"/>
                    </w:rPr>
                  </w:pPr>
                  <w:r>
                    <w:rPr>
                      <w:rFonts w:hint="eastAsia" w:cs="Times New Roman"/>
                      <w:b/>
                      <w:bCs/>
                      <w:color w:val="auto"/>
                      <w:sz w:val="21"/>
                      <w:szCs w:val="21"/>
                      <w:highlight w:val="none"/>
                      <w:lang w:val="en-US" w:eastAsia="zh-CN"/>
                    </w:rPr>
                    <w:t>80</w:t>
                  </w:r>
                </w:p>
              </w:tc>
              <w:tc>
                <w:tcPr>
                  <w:tcW w:w="434" w:type="pct"/>
                  <w:tcBorders>
                    <w:tl2br w:val="nil"/>
                    <w:tr2bl w:val="nil"/>
                  </w:tcBorders>
                  <w:noWrap/>
                  <w:tcMar>
                    <w:top w:w="0" w:type="dxa"/>
                    <w:left w:w="0" w:type="dxa"/>
                    <w:bottom w:w="0" w:type="dxa"/>
                    <w:right w:w="0" w:type="dxa"/>
                  </w:tcMar>
                  <w:vAlign w:val="center"/>
                </w:tcPr>
                <w:p w14:paraId="0AD65C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leftChars="0" w:right="0" w:rightChars="0"/>
                    <w:jc w:val="center"/>
                    <w:textAlignment w:val="auto"/>
                    <w:rPr>
                      <w:rFonts w:hint="default" w:ascii="Times New Roman" w:hAnsi="Times New Roman"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150</w:t>
                  </w:r>
                </w:p>
              </w:tc>
              <w:tc>
                <w:tcPr>
                  <w:tcW w:w="301" w:type="pct"/>
                  <w:tcBorders>
                    <w:tl2br w:val="nil"/>
                    <w:tr2bl w:val="nil"/>
                  </w:tcBorders>
                  <w:noWrap/>
                  <w:tcMar>
                    <w:top w:w="0" w:type="dxa"/>
                    <w:left w:w="0" w:type="dxa"/>
                    <w:bottom w:w="0" w:type="dxa"/>
                    <w:right w:w="0" w:type="dxa"/>
                  </w:tcMar>
                  <w:vAlign w:val="center"/>
                </w:tcPr>
                <w:p w14:paraId="2B9857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leftChars="0" w:right="0" w:rightChars="0"/>
                    <w:jc w:val="center"/>
                    <w:textAlignment w:val="auto"/>
                    <w:rPr>
                      <w:rFonts w:hint="eastAsia" w:ascii="Times New Roman" w:hAnsi="Times New Roman" w:cs="Times New Roman"/>
                      <w:b/>
                      <w:bCs/>
                      <w:color w:val="auto"/>
                      <w:kern w:val="2"/>
                      <w:sz w:val="21"/>
                      <w:szCs w:val="21"/>
                      <w:highlight w:val="none"/>
                      <w:lang w:val="en-US" w:eastAsia="zh-CN" w:bidi="ar-SA"/>
                    </w:rPr>
                  </w:pPr>
                  <w:r>
                    <w:rPr>
                      <w:rFonts w:hint="eastAsia" w:cs="Times New Roman"/>
                      <w:b/>
                      <w:bCs/>
                      <w:color w:val="auto"/>
                      <w:sz w:val="21"/>
                      <w:szCs w:val="21"/>
                      <w:highlight w:val="none"/>
                      <w:lang w:val="en-US" w:eastAsia="zh-CN"/>
                    </w:rPr>
                    <w:t>30</w:t>
                  </w:r>
                </w:p>
              </w:tc>
              <w:tc>
                <w:tcPr>
                  <w:tcW w:w="282" w:type="pct"/>
                  <w:tcBorders>
                    <w:tl2br w:val="nil"/>
                    <w:tr2bl w:val="nil"/>
                  </w:tcBorders>
                  <w:noWrap/>
                  <w:tcMar>
                    <w:top w:w="0" w:type="dxa"/>
                    <w:left w:w="0" w:type="dxa"/>
                    <w:bottom w:w="0" w:type="dxa"/>
                    <w:right w:w="0" w:type="dxa"/>
                  </w:tcMar>
                  <w:vAlign w:val="center"/>
                </w:tcPr>
                <w:p w14:paraId="5897E8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leftChars="0" w:right="0" w:rightChars="0"/>
                    <w:jc w:val="center"/>
                    <w:textAlignment w:val="auto"/>
                    <w:rPr>
                      <w:rFonts w:hint="eastAsia" w:ascii="Times New Roman" w:hAnsi="Times New Roman" w:cs="Times New Roman"/>
                      <w:b/>
                      <w:bCs/>
                      <w:color w:val="auto"/>
                      <w:kern w:val="2"/>
                      <w:sz w:val="21"/>
                      <w:szCs w:val="21"/>
                      <w:highlight w:val="none"/>
                      <w:lang w:val="en-US" w:eastAsia="zh-CN" w:bidi="ar-SA"/>
                    </w:rPr>
                  </w:pPr>
                  <w:r>
                    <w:rPr>
                      <w:rFonts w:hint="eastAsia" w:cs="Times New Roman"/>
                      <w:b/>
                      <w:bCs/>
                      <w:color w:val="auto"/>
                      <w:sz w:val="21"/>
                      <w:szCs w:val="21"/>
                      <w:highlight w:val="none"/>
                      <w:lang w:val="en-US" w:eastAsia="zh-CN"/>
                    </w:rPr>
                    <w:t>15</w:t>
                  </w:r>
                </w:p>
              </w:tc>
              <w:tc>
                <w:tcPr>
                  <w:tcW w:w="235" w:type="pct"/>
                  <w:tcBorders>
                    <w:tl2br w:val="nil"/>
                    <w:tr2bl w:val="nil"/>
                  </w:tcBorders>
                  <w:noWrap/>
                  <w:tcMar>
                    <w:top w:w="0" w:type="dxa"/>
                    <w:left w:w="0" w:type="dxa"/>
                    <w:bottom w:w="0" w:type="dxa"/>
                    <w:right w:w="0" w:type="dxa"/>
                  </w:tcMar>
                  <w:vAlign w:val="center"/>
                </w:tcPr>
                <w:p w14:paraId="733284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leftChars="0" w:right="0" w:rightChars="0"/>
                    <w:jc w:val="center"/>
                    <w:textAlignment w:val="auto"/>
                    <w:rPr>
                      <w:rFonts w:hint="default" w:ascii="Times New Roman" w:hAnsi="Times New Roman"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20</w:t>
                  </w:r>
                </w:p>
              </w:tc>
              <w:tc>
                <w:tcPr>
                  <w:tcW w:w="198" w:type="pct"/>
                  <w:tcBorders>
                    <w:tl2br w:val="nil"/>
                    <w:tr2bl w:val="nil"/>
                  </w:tcBorders>
                  <w:noWrap/>
                  <w:tcMar>
                    <w:top w:w="0" w:type="dxa"/>
                    <w:left w:w="0" w:type="dxa"/>
                    <w:bottom w:w="0" w:type="dxa"/>
                    <w:right w:w="0" w:type="dxa"/>
                  </w:tcMar>
                  <w:vAlign w:val="center"/>
                </w:tcPr>
                <w:p w14:paraId="7974A7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leftChars="0" w:right="0" w:rightChars="0"/>
                    <w:jc w:val="center"/>
                    <w:textAlignment w:val="auto"/>
                    <w:rPr>
                      <w:rFonts w:hint="eastAsia" w:ascii="Times New Roman" w:hAnsi="Times New Roman" w:cs="Times New Roman"/>
                      <w:b/>
                      <w:bCs/>
                      <w:color w:val="auto"/>
                      <w:kern w:val="2"/>
                      <w:sz w:val="21"/>
                      <w:szCs w:val="21"/>
                      <w:highlight w:val="none"/>
                      <w:lang w:val="en-US" w:eastAsia="zh-CN" w:bidi="ar-SA"/>
                    </w:rPr>
                  </w:pPr>
                  <w:r>
                    <w:rPr>
                      <w:rFonts w:hint="eastAsia" w:cs="Times New Roman"/>
                      <w:b/>
                      <w:bCs/>
                      <w:color w:val="auto"/>
                      <w:sz w:val="21"/>
                      <w:szCs w:val="21"/>
                      <w:highlight w:val="none"/>
                      <w:lang w:val="en-US" w:eastAsia="zh-CN"/>
                    </w:rPr>
                    <w:t>10</w:t>
                  </w:r>
                </w:p>
              </w:tc>
              <w:tc>
                <w:tcPr>
                  <w:tcW w:w="311" w:type="pct"/>
                  <w:tcBorders>
                    <w:tl2br w:val="nil"/>
                    <w:tr2bl w:val="nil"/>
                  </w:tcBorders>
                  <w:noWrap/>
                  <w:tcMar>
                    <w:top w:w="0" w:type="dxa"/>
                    <w:left w:w="0" w:type="dxa"/>
                    <w:bottom w:w="0" w:type="dxa"/>
                    <w:right w:w="0" w:type="dxa"/>
                  </w:tcMar>
                  <w:vAlign w:val="center"/>
                </w:tcPr>
                <w:p w14:paraId="5C5664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leftChars="0" w:right="0" w:rightChars="0"/>
                    <w:jc w:val="center"/>
                    <w:textAlignment w:val="auto"/>
                    <w:rPr>
                      <w:rFonts w:hint="eastAsia" w:ascii="Times New Roman" w:hAnsi="Times New Roman" w:eastAsia="宋体" w:cs="Times New Roman"/>
                      <w:b/>
                      <w:bCs/>
                      <w:color w:val="auto"/>
                      <w:kern w:val="2"/>
                      <w:sz w:val="21"/>
                      <w:szCs w:val="21"/>
                      <w:highlight w:val="none"/>
                      <w:lang w:val="en-US" w:eastAsia="zh-CN" w:bidi="ar-SA"/>
                    </w:rPr>
                  </w:pPr>
                  <w:r>
                    <w:rPr>
                      <w:rFonts w:hint="eastAsia" w:cs="Times New Roman"/>
                      <w:b/>
                      <w:bCs/>
                      <w:color w:val="auto"/>
                      <w:sz w:val="21"/>
                      <w:szCs w:val="21"/>
                      <w:highlight w:val="none"/>
                      <w:lang w:val="en-US" w:eastAsia="zh-CN"/>
                    </w:rPr>
                    <w:t>2.0</w:t>
                  </w:r>
                </w:p>
              </w:tc>
              <w:tc>
                <w:tcPr>
                  <w:tcW w:w="311" w:type="pct"/>
                  <w:tcBorders>
                    <w:tl2br w:val="nil"/>
                    <w:tr2bl w:val="nil"/>
                  </w:tcBorders>
                  <w:noWrap/>
                  <w:tcMar>
                    <w:top w:w="0" w:type="dxa"/>
                    <w:left w:w="0" w:type="dxa"/>
                    <w:bottom w:w="0" w:type="dxa"/>
                    <w:right w:w="0" w:type="dxa"/>
                  </w:tcMar>
                  <w:vAlign w:val="center"/>
                </w:tcPr>
                <w:p w14:paraId="6456E2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leftChars="0" w:right="0" w:rightChars="0"/>
                    <w:jc w:val="center"/>
                    <w:textAlignment w:val="auto"/>
                    <w:rPr>
                      <w:rFonts w:hint="eastAsia" w:ascii="Times New Roman" w:hAnsi="Times New Roman" w:cs="Times New Roman"/>
                      <w:b/>
                      <w:bCs/>
                      <w:color w:val="auto"/>
                      <w:kern w:val="2"/>
                      <w:sz w:val="21"/>
                      <w:szCs w:val="21"/>
                      <w:highlight w:val="none"/>
                      <w:lang w:val="en-US" w:eastAsia="zh-CN" w:bidi="ar-SA"/>
                    </w:rPr>
                  </w:pPr>
                  <w:r>
                    <w:rPr>
                      <w:rFonts w:hint="eastAsia" w:cs="Times New Roman"/>
                      <w:b/>
                      <w:bCs/>
                      <w:color w:val="auto"/>
                      <w:sz w:val="21"/>
                      <w:szCs w:val="21"/>
                      <w:highlight w:val="none"/>
                      <w:lang w:val="en-US" w:eastAsia="zh-CN"/>
                    </w:rPr>
                    <w:t>1.0</w:t>
                  </w:r>
                </w:p>
              </w:tc>
              <w:tc>
                <w:tcPr>
                  <w:tcW w:w="405" w:type="pct"/>
                  <w:tcBorders>
                    <w:tl2br w:val="nil"/>
                    <w:tr2bl w:val="nil"/>
                  </w:tcBorders>
                  <w:noWrap/>
                  <w:tcMar>
                    <w:top w:w="0" w:type="dxa"/>
                    <w:left w:w="0" w:type="dxa"/>
                    <w:bottom w:w="0" w:type="dxa"/>
                    <w:right w:w="0" w:type="dxa"/>
                  </w:tcMar>
                  <w:vAlign w:val="center"/>
                </w:tcPr>
                <w:p w14:paraId="5F31B7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leftChars="0" w:right="0" w:rightChars="0"/>
                    <w:jc w:val="center"/>
                    <w:textAlignment w:val="auto"/>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w:t>
                  </w:r>
                </w:p>
              </w:tc>
              <w:tc>
                <w:tcPr>
                  <w:tcW w:w="329" w:type="pct"/>
                  <w:tcBorders>
                    <w:tl2br w:val="nil"/>
                    <w:tr2bl w:val="nil"/>
                  </w:tcBorders>
                  <w:noWrap/>
                  <w:tcMar>
                    <w:top w:w="0" w:type="dxa"/>
                    <w:left w:w="0" w:type="dxa"/>
                    <w:bottom w:w="0" w:type="dxa"/>
                    <w:right w:w="0" w:type="dxa"/>
                  </w:tcMar>
                  <w:vAlign w:val="center"/>
                </w:tcPr>
                <w:p w14:paraId="4F986A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leftChars="0" w:right="0" w:rightChars="0"/>
                    <w:jc w:val="center"/>
                    <w:textAlignment w:val="auto"/>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20</w:t>
                  </w:r>
                </w:p>
              </w:tc>
              <w:tc>
                <w:tcPr>
                  <w:tcW w:w="292" w:type="pct"/>
                  <w:tcBorders>
                    <w:tl2br w:val="nil"/>
                    <w:tr2bl w:val="nil"/>
                  </w:tcBorders>
                  <w:noWrap/>
                  <w:tcMar>
                    <w:top w:w="0" w:type="dxa"/>
                    <w:left w:w="0" w:type="dxa"/>
                    <w:bottom w:w="0" w:type="dxa"/>
                    <w:right w:w="0" w:type="dxa"/>
                  </w:tcMar>
                  <w:vAlign w:val="center"/>
                </w:tcPr>
                <w:p w14:paraId="27DA63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leftChars="0" w:right="0" w:rightChars="0"/>
                    <w:jc w:val="center"/>
                    <w:textAlignment w:val="auto"/>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1.0</w:t>
                  </w:r>
                </w:p>
              </w:tc>
              <w:tc>
                <w:tcPr>
                  <w:tcW w:w="292" w:type="pct"/>
                  <w:tcBorders>
                    <w:tl2br w:val="nil"/>
                    <w:tr2bl w:val="nil"/>
                  </w:tcBorders>
                  <w:noWrap/>
                  <w:tcMar>
                    <w:top w:w="0" w:type="dxa"/>
                    <w:left w:w="0" w:type="dxa"/>
                    <w:bottom w:w="0" w:type="dxa"/>
                    <w:right w:w="0" w:type="dxa"/>
                  </w:tcMar>
                  <w:vAlign w:val="center"/>
                </w:tcPr>
                <w:p w14:paraId="6F828E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76" w:lineRule="auto"/>
                    <w:ind w:left="0" w:leftChars="0" w:right="0" w:rightChars="0"/>
                    <w:jc w:val="center"/>
                    <w:textAlignment w:val="auto"/>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2.0</w:t>
                  </w:r>
                </w:p>
              </w:tc>
            </w:tr>
          </w:tbl>
          <w:p w14:paraId="2EB7AFDB">
            <w:pPr>
              <w:keepNext w:val="0"/>
              <w:keepLines w:val="0"/>
              <w:pageBreakBefore w:val="0"/>
              <w:widowControl w:val="0"/>
              <w:numPr>
                <w:ilvl w:val="0"/>
                <w:numId w:val="9"/>
              </w:numPr>
              <w:kinsoku/>
              <w:wordWrap w:val="0"/>
              <w:overflowPunct/>
              <w:topLinePunct w:val="0"/>
              <w:autoSpaceDE/>
              <w:autoSpaceDN/>
              <w:bidi w:val="0"/>
              <w:adjustRightInd/>
              <w:snapToGrid/>
              <w:spacing w:line="240" w:lineRule="auto"/>
              <w:ind w:left="0" w:leftChars="0" w:firstLine="4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园区污水处理厂水污染物排放限值（摘录）   mg/L</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pH为无量纲</w:t>
            </w:r>
          </w:p>
          <w:tbl>
            <w:tblPr>
              <w:tblStyle w:val="43"/>
              <w:tblW w:w="78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18"/>
              <w:gridCol w:w="638"/>
              <w:gridCol w:w="809"/>
              <w:gridCol w:w="519"/>
              <w:gridCol w:w="892"/>
              <w:gridCol w:w="1303"/>
              <w:gridCol w:w="1056"/>
            </w:tblGrid>
            <w:tr w14:paraId="1D0B4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618" w:type="dxa"/>
                  <w:tcBorders>
                    <w:tl2br w:val="nil"/>
                    <w:tr2bl w:val="nil"/>
                  </w:tcBorders>
                  <w:noWrap/>
                  <w:tcMar>
                    <w:left w:w="0" w:type="dxa"/>
                    <w:right w:w="0" w:type="dxa"/>
                  </w:tcMar>
                  <w:vAlign w:val="center"/>
                </w:tcPr>
                <w:p w14:paraId="658A910E">
                  <w:pPr>
                    <w:pageBreakBefore w:val="0"/>
                    <w:wordWrap w:val="0"/>
                    <w:overflowPunct/>
                    <w:bidi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638" w:type="dxa"/>
                  <w:tcBorders>
                    <w:tl2br w:val="nil"/>
                    <w:tr2bl w:val="nil"/>
                  </w:tcBorders>
                  <w:noWrap/>
                  <w:tcMar>
                    <w:left w:w="0" w:type="dxa"/>
                    <w:right w:w="0" w:type="dxa"/>
                  </w:tcMar>
                  <w:vAlign w:val="center"/>
                </w:tcPr>
                <w:p w14:paraId="37EEBF8B">
                  <w:pPr>
                    <w:pageBreakBefore w:val="0"/>
                    <w:wordWrap w:val="0"/>
                    <w:overflowPunct/>
                    <w:bidi w:val="0"/>
                    <w:snapToGrid w:val="0"/>
                    <w:spacing w:line="240" w:lineRule="auto"/>
                    <w:jc w:val="center"/>
                    <w:rPr>
                      <w:rFonts w:hint="default" w:ascii="Times New Roman" w:hAnsi="Times New Roman" w:eastAsia="宋体" w:cs="Times New Roman"/>
                      <w:b/>
                      <w:bCs/>
                      <w:color w:val="auto"/>
                      <w:sz w:val="21"/>
                      <w:szCs w:val="21"/>
                      <w:highlight w:val="none"/>
                      <w:vertAlign w:val="subscript"/>
                    </w:rPr>
                  </w:pPr>
                  <w:r>
                    <w:rPr>
                      <w:rFonts w:hint="default" w:ascii="Times New Roman" w:hAnsi="Times New Roman" w:eastAsia="宋体" w:cs="Times New Roman"/>
                      <w:b/>
                      <w:bCs/>
                      <w:color w:val="auto"/>
                      <w:sz w:val="21"/>
                      <w:szCs w:val="21"/>
                      <w:highlight w:val="none"/>
                    </w:rPr>
                    <w:t>COD</w:t>
                  </w:r>
                  <w:r>
                    <w:rPr>
                      <w:rFonts w:hint="default" w:ascii="Times New Roman" w:hAnsi="Times New Roman" w:eastAsia="宋体" w:cs="Times New Roman"/>
                      <w:b/>
                      <w:bCs/>
                      <w:color w:val="auto"/>
                      <w:sz w:val="21"/>
                      <w:szCs w:val="21"/>
                      <w:highlight w:val="none"/>
                      <w:vertAlign w:val="subscript"/>
                    </w:rPr>
                    <w:t>Cr</w:t>
                  </w:r>
                </w:p>
              </w:tc>
              <w:tc>
                <w:tcPr>
                  <w:tcW w:w="809" w:type="dxa"/>
                  <w:tcBorders>
                    <w:tl2br w:val="nil"/>
                    <w:tr2bl w:val="nil"/>
                  </w:tcBorders>
                  <w:noWrap/>
                  <w:vAlign w:val="center"/>
                </w:tcPr>
                <w:p w14:paraId="3DED589B">
                  <w:pPr>
                    <w:pageBreakBefore w:val="0"/>
                    <w:wordWrap w:val="0"/>
                    <w:overflowPunct/>
                    <w:bidi w:val="0"/>
                    <w:snapToGrid w:val="0"/>
                    <w:spacing w:line="240" w:lineRule="auto"/>
                    <w:jc w:val="center"/>
                    <w:rPr>
                      <w:rFonts w:hint="default" w:ascii="Times New Roman" w:hAnsi="Times New Roman" w:eastAsia="宋体" w:cs="Times New Roman"/>
                      <w:b/>
                      <w:bCs/>
                      <w:color w:val="auto"/>
                      <w:sz w:val="21"/>
                      <w:szCs w:val="21"/>
                      <w:highlight w:val="none"/>
                      <w:vertAlign w:val="subscript"/>
                    </w:rPr>
                  </w:pPr>
                  <w:r>
                    <w:rPr>
                      <w:rFonts w:hint="default" w:ascii="Times New Roman" w:hAnsi="Times New Roman" w:eastAsia="宋体" w:cs="Times New Roman"/>
                      <w:b/>
                      <w:bCs/>
                      <w:color w:val="auto"/>
                      <w:sz w:val="21"/>
                      <w:szCs w:val="21"/>
                      <w:highlight w:val="none"/>
                    </w:rPr>
                    <w:t>BOD</w:t>
                  </w:r>
                  <w:r>
                    <w:rPr>
                      <w:rFonts w:hint="default" w:ascii="Times New Roman" w:hAnsi="Times New Roman" w:eastAsia="宋体" w:cs="Times New Roman"/>
                      <w:b/>
                      <w:bCs/>
                      <w:color w:val="auto"/>
                      <w:sz w:val="21"/>
                      <w:szCs w:val="21"/>
                      <w:highlight w:val="none"/>
                      <w:vertAlign w:val="subscript"/>
                    </w:rPr>
                    <w:t>5</w:t>
                  </w:r>
                </w:p>
              </w:tc>
              <w:tc>
                <w:tcPr>
                  <w:tcW w:w="519" w:type="dxa"/>
                  <w:tcBorders>
                    <w:tl2br w:val="nil"/>
                    <w:tr2bl w:val="nil"/>
                  </w:tcBorders>
                  <w:noWrap/>
                  <w:vAlign w:val="center"/>
                </w:tcPr>
                <w:p w14:paraId="71DEE822">
                  <w:pPr>
                    <w:pageBreakBefore w:val="0"/>
                    <w:wordWrap w:val="0"/>
                    <w:overflowPunct/>
                    <w:bidi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SS</w:t>
                  </w:r>
                </w:p>
              </w:tc>
              <w:tc>
                <w:tcPr>
                  <w:tcW w:w="892" w:type="dxa"/>
                  <w:tcBorders>
                    <w:tl2br w:val="nil"/>
                    <w:tr2bl w:val="nil"/>
                  </w:tcBorders>
                  <w:noWrap/>
                  <w:vAlign w:val="center"/>
                </w:tcPr>
                <w:p w14:paraId="7B275379">
                  <w:pPr>
                    <w:pageBreakBefore w:val="0"/>
                    <w:wordWrap w:val="0"/>
                    <w:overflowPunct/>
                    <w:bidi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氨氮</w:t>
                  </w:r>
                </w:p>
              </w:tc>
              <w:tc>
                <w:tcPr>
                  <w:tcW w:w="1303" w:type="dxa"/>
                  <w:tcBorders>
                    <w:tl2br w:val="nil"/>
                    <w:tr2bl w:val="nil"/>
                  </w:tcBorders>
                  <w:noWrap/>
                  <w:vAlign w:val="center"/>
                </w:tcPr>
                <w:p w14:paraId="7960C368">
                  <w:pPr>
                    <w:pageBreakBefore w:val="0"/>
                    <w:wordWrap w:val="0"/>
                    <w:overflowPunct/>
                    <w:bidi w:val="0"/>
                    <w:snapToGrid w:val="0"/>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LAS</w:t>
                  </w:r>
                </w:p>
              </w:tc>
              <w:tc>
                <w:tcPr>
                  <w:tcW w:w="1056" w:type="dxa"/>
                  <w:tcBorders>
                    <w:tl2br w:val="nil"/>
                    <w:tr2bl w:val="nil"/>
                  </w:tcBorders>
                  <w:noWrap/>
                  <w:vAlign w:val="center"/>
                </w:tcPr>
                <w:p w14:paraId="3CF6C763">
                  <w:pPr>
                    <w:pageBreakBefore w:val="0"/>
                    <w:wordWrap w:val="0"/>
                    <w:overflowPunct/>
                    <w:bidi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动植物油</w:t>
                  </w:r>
                </w:p>
              </w:tc>
            </w:tr>
            <w:tr w14:paraId="12E10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618" w:type="dxa"/>
                  <w:tcBorders>
                    <w:tl2br w:val="nil"/>
                    <w:tr2bl w:val="nil"/>
                  </w:tcBorders>
                  <w:noWrap/>
                  <w:tcMar>
                    <w:left w:w="0" w:type="dxa"/>
                    <w:right w:w="0" w:type="dxa"/>
                  </w:tcMar>
                  <w:vAlign w:val="center"/>
                </w:tcPr>
                <w:p w14:paraId="71E4B6B7">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DB44/26-2001第二时段一级排放标准</w:t>
                  </w:r>
                </w:p>
              </w:tc>
              <w:tc>
                <w:tcPr>
                  <w:tcW w:w="638" w:type="dxa"/>
                  <w:tcBorders>
                    <w:tl2br w:val="nil"/>
                    <w:tr2bl w:val="nil"/>
                  </w:tcBorders>
                  <w:noWrap/>
                  <w:tcMar>
                    <w:left w:w="0" w:type="dxa"/>
                    <w:right w:w="0" w:type="dxa"/>
                  </w:tcMar>
                  <w:vAlign w:val="center"/>
                </w:tcPr>
                <w:p w14:paraId="184FB614">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809" w:type="dxa"/>
                  <w:tcBorders>
                    <w:tl2br w:val="nil"/>
                    <w:tr2bl w:val="nil"/>
                  </w:tcBorders>
                  <w:noWrap/>
                  <w:vAlign w:val="center"/>
                </w:tcPr>
                <w:p w14:paraId="72F416BD">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519" w:type="dxa"/>
                  <w:tcBorders>
                    <w:tl2br w:val="nil"/>
                    <w:tr2bl w:val="nil"/>
                  </w:tcBorders>
                  <w:noWrap/>
                  <w:vAlign w:val="center"/>
                </w:tcPr>
                <w:p w14:paraId="00E40685">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892" w:type="dxa"/>
                  <w:tcBorders>
                    <w:tl2br w:val="nil"/>
                    <w:tr2bl w:val="nil"/>
                  </w:tcBorders>
                  <w:noWrap/>
                  <w:vAlign w:val="center"/>
                </w:tcPr>
                <w:p w14:paraId="6FEA1F8C">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1303" w:type="dxa"/>
                  <w:tcBorders>
                    <w:tl2br w:val="nil"/>
                    <w:tr2bl w:val="nil"/>
                  </w:tcBorders>
                  <w:noWrap/>
                  <w:vAlign w:val="center"/>
                </w:tcPr>
                <w:p w14:paraId="3EA47511">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1056" w:type="dxa"/>
                  <w:tcBorders>
                    <w:tl2br w:val="nil"/>
                    <w:tr2bl w:val="nil"/>
                  </w:tcBorders>
                  <w:noWrap/>
                  <w:vAlign w:val="center"/>
                </w:tcPr>
                <w:p w14:paraId="2856C605">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r>
            <w:tr w14:paraId="3BBD5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618" w:type="dxa"/>
                  <w:tcBorders>
                    <w:tl2br w:val="nil"/>
                    <w:tr2bl w:val="nil"/>
                  </w:tcBorders>
                  <w:noWrap/>
                  <w:tcMar>
                    <w:left w:w="0" w:type="dxa"/>
                    <w:right w:w="0" w:type="dxa"/>
                  </w:tcMar>
                  <w:vAlign w:val="center"/>
                </w:tcPr>
                <w:p w14:paraId="4B5C0CCE">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GB18918-2002一级B标准</w:t>
                  </w:r>
                </w:p>
              </w:tc>
              <w:tc>
                <w:tcPr>
                  <w:tcW w:w="638" w:type="dxa"/>
                  <w:tcBorders>
                    <w:tl2br w:val="nil"/>
                    <w:tr2bl w:val="nil"/>
                  </w:tcBorders>
                  <w:noWrap/>
                  <w:tcMar>
                    <w:left w:w="0" w:type="dxa"/>
                    <w:right w:w="0" w:type="dxa"/>
                  </w:tcMar>
                  <w:vAlign w:val="center"/>
                </w:tcPr>
                <w:p w14:paraId="7A3EEDA0">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809" w:type="dxa"/>
                  <w:tcBorders>
                    <w:tl2br w:val="nil"/>
                    <w:tr2bl w:val="nil"/>
                  </w:tcBorders>
                  <w:noWrap/>
                  <w:vAlign w:val="center"/>
                </w:tcPr>
                <w:p w14:paraId="6A582DAA">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519" w:type="dxa"/>
                  <w:tcBorders>
                    <w:tl2br w:val="nil"/>
                    <w:tr2bl w:val="nil"/>
                  </w:tcBorders>
                  <w:noWrap/>
                  <w:vAlign w:val="center"/>
                </w:tcPr>
                <w:p w14:paraId="3BEACB9F">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892" w:type="dxa"/>
                  <w:tcBorders>
                    <w:tl2br w:val="nil"/>
                    <w:tr2bl w:val="nil"/>
                  </w:tcBorders>
                  <w:noWrap/>
                  <w:vAlign w:val="center"/>
                </w:tcPr>
                <w:p w14:paraId="2185FEF2">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8(15①)</w:t>
                  </w:r>
                </w:p>
              </w:tc>
              <w:tc>
                <w:tcPr>
                  <w:tcW w:w="1303" w:type="dxa"/>
                  <w:tcBorders>
                    <w:tl2br w:val="nil"/>
                    <w:tr2bl w:val="nil"/>
                  </w:tcBorders>
                  <w:noWrap/>
                  <w:vAlign w:val="center"/>
                </w:tcPr>
                <w:p w14:paraId="060037CC">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1056" w:type="dxa"/>
                  <w:tcBorders>
                    <w:tl2br w:val="nil"/>
                    <w:tr2bl w:val="nil"/>
                  </w:tcBorders>
                  <w:noWrap/>
                  <w:vAlign w:val="center"/>
                </w:tcPr>
                <w:p w14:paraId="16CFD487">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r>
            <w:tr w14:paraId="7CE7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618" w:type="dxa"/>
                  <w:tcBorders>
                    <w:tl2br w:val="nil"/>
                    <w:tr2bl w:val="nil"/>
                  </w:tcBorders>
                  <w:noWrap/>
                  <w:tcMar>
                    <w:left w:w="0" w:type="dxa"/>
                    <w:right w:w="0" w:type="dxa"/>
                  </w:tcMar>
                  <w:vAlign w:val="center"/>
                </w:tcPr>
                <w:p w14:paraId="7E356D2B">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执行限值</w:t>
                  </w:r>
                </w:p>
              </w:tc>
              <w:tc>
                <w:tcPr>
                  <w:tcW w:w="638" w:type="dxa"/>
                  <w:tcBorders>
                    <w:tl2br w:val="nil"/>
                    <w:tr2bl w:val="nil"/>
                  </w:tcBorders>
                  <w:noWrap/>
                  <w:tcMar>
                    <w:left w:w="0" w:type="dxa"/>
                    <w:right w:w="0" w:type="dxa"/>
                  </w:tcMar>
                  <w:vAlign w:val="center"/>
                </w:tcPr>
                <w:p w14:paraId="32DE044F">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809" w:type="dxa"/>
                  <w:tcBorders>
                    <w:tl2br w:val="nil"/>
                    <w:tr2bl w:val="nil"/>
                  </w:tcBorders>
                  <w:noWrap/>
                  <w:vAlign w:val="center"/>
                </w:tcPr>
                <w:p w14:paraId="22DADB78">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519" w:type="dxa"/>
                  <w:tcBorders>
                    <w:tl2br w:val="nil"/>
                    <w:tr2bl w:val="nil"/>
                  </w:tcBorders>
                  <w:noWrap/>
                  <w:vAlign w:val="center"/>
                </w:tcPr>
                <w:p w14:paraId="12ECE370">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892" w:type="dxa"/>
                  <w:tcBorders>
                    <w:tl2br w:val="nil"/>
                    <w:tr2bl w:val="nil"/>
                  </w:tcBorders>
                  <w:noWrap/>
                  <w:vAlign w:val="center"/>
                </w:tcPr>
                <w:p w14:paraId="2D8C6056">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1303" w:type="dxa"/>
                  <w:tcBorders>
                    <w:tl2br w:val="nil"/>
                    <w:tr2bl w:val="nil"/>
                  </w:tcBorders>
                  <w:noWrap/>
                  <w:vAlign w:val="center"/>
                </w:tcPr>
                <w:p w14:paraId="218F0CBD">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1056" w:type="dxa"/>
                  <w:tcBorders>
                    <w:tl2br w:val="nil"/>
                    <w:tr2bl w:val="nil"/>
                  </w:tcBorders>
                  <w:noWrap/>
                  <w:vAlign w:val="center"/>
                </w:tcPr>
                <w:p w14:paraId="75F1DD37">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r>
            <w:tr w14:paraId="7E811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618" w:type="dxa"/>
                  <w:tcBorders>
                    <w:tl2br w:val="nil"/>
                    <w:tr2bl w:val="nil"/>
                  </w:tcBorders>
                  <w:noWrap/>
                  <w:tcMar>
                    <w:left w:w="0" w:type="dxa"/>
                    <w:right w:w="0" w:type="dxa"/>
                  </w:tcMar>
                  <w:vAlign w:val="center"/>
                </w:tcPr>
                <w:p w14:paraId="6073BB95">
                  <w:pPr>
                    <w:pageBreakBefore w:val="0"/>
                    <w:wordWrap w:val="0"/>
                    <w:overflowPunct/>
                    <w:bidi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638" w:type="dxa"/>
                  <w:tcBorders>
                    <w:tl2br w:val="nil"/>
                    <w:tr2bl w:val="nil"/>
                  </w:tcBorders>
                  <w:noWrap/>
                  <w:tcMar>
                    <w:left w:w="0" w:type="dxa"/>
                    <w:right w:w="0" w:type="dxa"/>
                  </w:tcMar>
                  <w:vAlign w:val="center"/>
                </w:tcPr>
                <w:p w14:paraId="34B8DEB4">
                  <w:pPr>
                    <w:pageBreakBefore w:val="0"/>
                    <w:wordWrap w:val="0"/>
                    <w:overflowPunct/>
                    <w:bidi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总氮</w:t>
                  </w:r>
                </w:p>
              </w:tc>
              <w:tc>
                <w:tcPr>
                  <w:tcW w:w="809" w:type="dxa"/>
                  <w:tcBorders>
                    <w:tl2br w:val="nil"/>
                    <w:tr2bl w:val="nil"/>
                  </w:tcBorders>
                  <w:noWrap/>
                  <w:vAlign w:val="center"/>
                </w:tcPr>
                <w:p w14:paraId="097E0AA5">
                  <w:pPr>
                    <w:pageBreakBefore w:val="0"/>
                    <w:wordWrap w:val="0"/>
                    <w:overflowPunct/>
                    <w:bidi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总磷</w:t>
                  </w:r>
                </w:p>
              </w:tc>
              <w:tc>
                <w:tcPr>
                  <w:tcW w:w="519" w:type="dxa"/>
                  <w:tcBorders>
                    <w:tl2br w:val="nil"/>
                    <w:tr2bl w:val="nil"/>
                  </w:tcBorders>
                  <w:noWrap/>
                  <w:vAlign w:val="center"/>
                </w:tcPr>
                <w:p w14:paraId="7952A9D9">
                  <w:pPr>
                    <w:pageBreakBefore w:val="0"/>
                    <w:wordWrap w:val="0"/>
                    <w:overflowPunct/>
                    <w:bidi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pH</w:t>
                  </w:r>
                </w:p>
              </w:tc>
              <w:tc>
                <w:tcPr>
                  <w:tcW w:w="892" w:type="dxa"/>
                  <w:tcBorders>
                    <w:tl2br w:val="nil"/>
                    <w:tr2bl w:val="nil"/>
                  </w:tcBorders>
                  <w:noWrap/>
                  <w:vAlign w:val="center"/>
                </w:tcPr>
                <w:p w14:paraId="266873DD">
                  <w:pPr>
                    <w:pageBreakBefore w:val="0"/>
                    <w:wordWrap w:val="0"/>
                    <w:overflowPunct/>
                    <w:bidi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石油类</w:t>
                  </w:r>
                </w:p>
              </w:tc>
              <w:tc>
                <w:tcPr>
                  <w:tcW w:w="1303" w:type="dxa"/>
                  <w:tcBorders>
                    <w:tl2br w:val="nil"/>
                    <w:tr2bl w:val="nil"/>
                  </w:tcBorders>
                  <w:noWrap/>
                  <w:vAlign w:val="center"/>
                </w:tcPr>
                <w:p w14:paraId="09F97C79">
                  <w:pPr>
                    <w:pageBreakBefore w:val="0"/>
                    <w:wordWrap w:val="0"/>
                    <w:overflowPunct/>
                    <w:bidi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色度</w:t>
                  </w:r>
                </w:p>
                <w:p w14:paraId="03ECCBF4">
                  <w:pPr>
                    <w:pageBreakBefore w:val="0"/>
                    <w:wordWrap w:val="0"/>
                    <w:overflowPunct/>
                    <w:bidi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（稀释倍数）</w:t>
                  </w:r>
                </w:p>
              </w:tc>
              <w:tc>
                <w:tcPr>
                  <w:tcW w:w="1056" w:type="dxa"/>
                  <w:tcBorders>
                    <w:tl2br w:val="nil"/>
                    <w:tr2bl w:val="nil"/>
                  </w:tcBorders>
                  <w:noWrap/>
                  <w:vAlign w:val="center"/>
                </w:tcPr>
                <w:p w14:paraId="3613F369">
                  <w:pPr>
                    <w:pageBreakBefore w:val="0"/>
                    <w:wordWrap w:val="0"/>
                    <w:overflowPunct/>
                    <w:bidi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粪大肠菌群</w:t>
                  </w:r>
                </w:p>
              </w:tc>
            </w:tr>
            <w:tr w14:paraId="44763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618" w:type="dxa"/>
                  <w:tcBorders>
                    <w:tl2br w:val="nil"/>
                    <w:tr2bl w:val="nil"/>
                  </w:tcBorders>
                  <w:noWrap/>
                  <w:tcMar>
                    <w:left w:w="0" w:type="dxa"/>
                    <w:right w:w="0" w:type="dxa"/>
                  </w:tcMar>
                  <w:vAlign w:val="center"/>
                </w:tcPr>
                <w:p w14:paraId="1B79603E">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DB44/26-2001第二时段一级排放标准</w:t>
                  </w:r>
                </w:p>
              </w:tc>
              <w:tc>
                <w:tcPr>
                  <w:tcW w:w="638" w:type="dxa"/>
                  <w:tcBorders>
                    <w:tl2br w:val="nil"/>
                    <w:tr2bl w:val="nil"/>
                  </w:tcBorders>
                  <w:noWrap/>
                  <w:tcMar>
                    <w:left w:w="0" w:type="dxa"/>
                    <w:right w:w="0" w:type="dxa"/>
                  </w:tcMar>
                  <w:vAlign w:val="center"/>
                </w:tcPr>
                <w:p w14:paraId="63E7D1D3">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809" w:type="dxa"/>
                  <w:tcBorders>
                    <w:tl2br w:val="nil"/>
                    <w:tr2bl w:val="nil"/>
                  </w:tcBorders>
                  <w:noWrap/>
                  <w:vAlign w:val="center"/>
                </w:tcPr>
                <w:p w14:paraId="1957B8FD">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519" w:type="dxa"/>
                  <w:tcBorders>
                    <w:tl2br w:val="nil"/>
                    <w:tr2bl w:val="nil"/>
                  </w:tcBorders>
                  <w:noWrap/>
                  <w:vAlign w:val="center"/>
                </w:tcPr>
                <w:p w14:paraId="246EAF2D">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w:t>
                  </w:r>
                </w:p>
              </w:tc>
              <w:tc>
                <w:tcPr>
                  <w:tcW w:w="892" w:type="dxa"/>
                  <w:tcBorders>
                    <w:tl2br w:val="nil"/>
                    <w:tr2bl w:val="nil"/>
                  </w:tcBorders>
                  <w:noWrap/>
                  <w:vAlign w:val="center"/>
                </w:tcPr>
                <w:p w14:paraId="4A3B2C8A">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1303" w:type="dxa"/>
                  <w:tcBorders>
                    <w:tl2br w:val="nil"/>
                    <w:tr2bl w:val="nil"/>
                  </w:tcBorders>
                  <w:noWrap/>
                  <w:vAlign w:val="center"/>
                </w:tcPr>
                <w:p w14:paraId="599C95F2">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1056" w:type="dxa"/>
                  <w:tcBorders>
                    <w:tl2br w:val="nil"/>
                    <w:tr2bl w:val="nil"/>
                  </w:tcBorders>
                  <w:noWrap/>
                  <w:vAlign w:val="center"/>
                </w:tcPr>
                <w:p w14:paraId="2B06949E">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39A10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618" w:type="dxa"/>
                  <w:tcBorders>
                    <w:tl2br w:val="nil"/>
                    <w:tr2bl w:val="nil"/>
                  </w:tcBorders>
                  <w:noWrap/>
                  <w:tcMar>
                    <w:left w:w="0" w:type="dxa"/>
                    <w:right w:w="0" w:type="dxa"/>
                  </w:tcMar>
                  <w:vAlign w:val="center"/>
                </w:tcPr>
                <w:p w14:paraId="3C909B05">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GB18918-2002一级B标准</w:t>
                  </w:r>
                </w:p>
              </w:tc>
              <w:tc>
                <w:tcPr>
                  <w:tcW w:w="638" w:type="dxa"/>
                  <w:tcBorders>
                    <w:tl2br w:val="nil"/>
                    <w:tr2bl w:val="nil"/>
                  </w:tcBorders>
                  <w:noWrap/>
                  <w:tcMar>
                    <w:left w:w="0" w:type="dxa"/>
                    <w:right w:w="0" w:type="dxa"/>
                  </w:tcMar>
                  <w:vAlign w:val="center"/>
                </w:tcPr>
                <w:p w14:paraId="216A8B49">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809" w:type="dxa"/>
                  <w:tcBorders>
                    <w:tl2br w:val="nil"/>
                    <w:tr2bl w:val="nil"/>
                  </w:tcBorders>
                  <w:noWrap/>
                  <w:vAlign w:val="center"/>
                </w:tcPr>
                <w:p w14:paraId="23DA62B1">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519" w:type="dxa"/>
                  <w:tcBorders>
                    <w:tl2br w:val="nil"/>
                    <w:tr2bl w:val="nil"/>
                  </w:tcBorders>
                  <w:noWrap/>
                  <w:vAlign w:val="center"/>
                </w:tcPr>
                <w:p w14:paraId="51FCA2AF">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w:t>
                  </w:r>
                </w:p>
              </w:tc>
              <w:tc>
                <w:tcPr>
                  <w:tcW w:w="892" w:type="dxa"/>
                  <w:tcBorders>
                    <w:tl2br w:val="nil"/>
                    <w:tr2bl w:val="nil"/>
                  </w:tcBorders>
                  <w:noWrap/>
                  <w:vAlign w:val="center"/>
                </w:tcPr>
                <w:p w14:paraId="0BBE59F4">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c>
                <w:tcPr>
                  <w:tcW w:w="1303" w:type="dxa"/>
                  <w:tcBorders>
                    <w:tl2br w:val="nil"/>
                    <w:tr2bl w:val="nil"/>
                  </w:tcBorders>
                  <w:noWrap/>
                  <w:vAlign w:val="center"/>
                </w:tcPr>
                <w:p w14:paraId="349E9BFE">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c>
                <w:tcPr>
                  <w:tcW w:w="1056" w:type="dxa"/>
                  <w:tcBorders>
                    <w:tl2br w:val="nil"/>
                    <w:tr2bl w:val="nil"/>
                  </w:tcBorders>
                  <w:noWrap/>
                  <w:vAlign w:val="center"/>
                </w:tcPr>
                <w:p w14:paraId="4871C5AD">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10000个/L</w:t>
                  </w:r>
                </w:p>
              </w:tc>
            </w:tr>
            <w:tr w14:paraId="0D437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618" w:type="dxa"/>
                  <w:tcBorders>
                    <w:tl2br w:val="nil"/>
                    <w:tr2bl w:val="nil"/>
                  </w:tcBorders>
                  <w:noWrap/>
                  <w:tcMar>
                    <w:left w:w="0" w:type="dxa"/>
                    <w:right w:w="0" w:type="dxa"/>
                  </w:tcMar>
                  <w:vAlign w:val="center"/>
                </w:tcPr>
                <w:p w14:paraId="672F8025">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执行限值</w:t>
                  </w:r>
                </w:p>
              </w:tc>
              <w:tc>
                <w:tcPr>
                  <w:tcW w:w="638" w:type="dxa"/>
                  <w:tcBorders>
                    <w:tl2br w:val="nil"/>
                    <w:tr2bl w:val="nil"/>
                  </w:tcBorders>
                  <w:noWrap/>
                  <w:tcMar>
                    <w:left w:w="0" w:type="dxa"/>
                    <w:right w:w="0" w:type="dxa"/>
                  </w:tcMar>
                  <w:vAlign w:val="center"/>
                </w:tcPr>
                <w:p w14:paraId="7AFE59EB">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809" w:type="dxa"/>
                  <w:tcBorders>
                    <w:tl2br w:val="nil"/>
                    <w:tr2bl w:val="nil"/>
                  </w:tcBorders>
                  <w:noWrap/>
                  <w:vAlign w:val="center"/>
                </w:tcPr>
                <w:p w14:paraId="5A6F6F7F">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519" w:type="dxa"/>
                  <w:tcBorders>
                    <w:tl2br w:val="nil"/>
                    <w:tr2bl w:val="nil"/>
                  </w:tcBorders>
                  <w:noWrap/>
                  <w:vAlign w:val="center"/>
                </w:tcPr>
                <w:p w14:paraId="36369989">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w:t>
                  </w:r>
                </w:p>
              </w:tc>
              <w:tc>
                <w:tcPr>
                  <w:tcW w:w="892" w:type="dxa"/>
                  <w:tcBorders>
                    <w:tl2br w:val="nil"/>
                    <w:tr2bl w:val="nil"/>
                  </w:tcBorders>
                  <w:noWrap/>
                  <w:vAlign w:val="center"/>
                </w:tcPr>
                <w:p w14:paraId="0AB85CB3">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c>
                <w:tcPr>
                  <w:tcW w:w="1303" w:type="dxa"/>
                  <w:tcBorders>
                    <w:tl2br w:val="nil"/>
                    <w:tr2bl w:val="nil"/>
                  </w:tcBorders>
                  <w:noWrap/>
                  <w:vAlign w:val="center"/>
                </w:tcPr>
                <w:p w14:paraId="6EE19274">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c>
                <w:tcPr>
                  <w:tcW w:w="1056" w:type="dxa"/>
                  <w:tcBorders>
                    <w:tl2br w:val="nil"/>
                    <w:tr2bl w:val="nil"/>
                  </w:tcBorders>
                  <w:noWrap/>
                  <w:vAlign w:val="center"/>
                </w:tcPr>
                <w:p w14:paraId="5A16F7E9">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10000个/L</w:t>
                  </w:r>
                </w:p>
              </w:tc>
            </w:tr>
            <w:tr w14:paraId="7C0CB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618" w:type="dxa"/>
                  <w:tcBorders>
                    <w:tl2br w:val="nil"/>
                    <w:tr2bl w:val="nil"/>
                  </w:tcBorders>
                  <w:noWrap/>
                  <w:tcMar>
                    <w:left w:w="0" w:type="dxa"/>
                    <w:right w:w="0" w:type="dxa"/>
                  </w:tcMar>
                  <w:vAlign w:val="center"/>
                </w:tcPr>
                <w:p w14:paraId="2525D316">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备注</w:t>
                  </w:r>
                </w:p>
              </w:tc>
              <w:tc>
                <w:tcPr>
                  <w:tcW w:w="5217" w:type="dxa"/>
                  <w:gridSpan w:val="6"/>
                  <w:tcBorders>
                    <w:tl2br w:val="nil"/>
                    <w:tr2bl w:val="nil"/>
                  </w:tcBorders>
                  <w:noWrap/>
                  <w:vAlign w:val="center"/>
                </w:tcPr>
                <w:p w14:paraId="15A8600F">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ja-JP"/>
                    </w:rPr>
                    <w:t>①</w:t>
                  </w:r>
                  <w:r>
                    <w:rPr>
                      <w:rFonts w:hint="default" w:ascii="Times New Roman" w:hAnsi="Times New Roman" w:eastAsia="宋体" w:cs="Times New Roman"/>
                      <w:color w:val="auto"/>
                      <w:sz w:val="21"/>
                      <w:szCs w:val="21"/>
                      <w:highlight w:val="none"/>
                    </w:rPr>
                    <w:t>括号内为水温&lt;12℃时的限值，括号外为水温在12℃以上的限值</w:t>
                  </w:r>
                </w:p>
              </w:tc>
            </w:tr>
          </w:tbl>
          <w:p w14:paraId="667CA327">
            <w:pPr>
              <w:keepNext/>
              <w:keepLines/>
              <w:pageBreakBefore w:val="0"/>
              <w:widowControl w:val="0"/>
              <w:numPr>
                <w:ilvl w:val="2"/>
                <w:numId w:val="0"/>
              </w:numPr>
              <w:wordWrap w:val="0"/>
              <w:overflowPunct/>
              <w:bidi w:val="0"/>
              <w:spacing w:line="360" w:lineRule="auto"/>
              <w:ind w:firstLine="480" w:firstLineChars="200"/>
              <w:jc w:val="both"/>
              <w:outlineLvl w:val="2"/>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三、噪声排放标准</w:t>
            </w:r>
          </w:p>
          <w:p w14:paraId="3050D0E3">
            <w:pPr>
              <w:pageBreakBefore w:val="0"/>
              <w:wordWrap w:val="0"/>
              <w:overflowPunct/>
              <w:bidi w:val="0"/>
              <w:ind w:firstLine="480" w:firstLineChars="200"/>
              <w:jc w:val="left"/>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运营期</w:t>
            </w:r>
          </w:p>
          <w:p w14:paraId="06779280">
            <w:pPr>
              <w:pageBreakBefore w:val="0"/>
              <w:wordWrap w:val="0"/>
              <w:overflowPunct/>
              <w:bidi w:val="0"/>
              <w:ind w:firstLine="480" w:firstLineChars="20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本项目厂界噪声排放执行《工业企业厂界环境噪声排放标准》（GB12348-2008）3类。</w:t>
            </w:r>
          </w:p>
          <w:p w14:paraId="56B03495">
            <w:pPr>
              <w:keepNext w:val="0"/>
              <w:keepLines w:val="0"/>
              <w:pageBreakBefore w:val="0"/>
              <w:widowControl w:val="0"/>
              <w:numPr>
                <w:ilvl w:val="0"/>
                <w:numId w:val="9"/>
              </w:numPr>
              <w:kinsoku/>
              <w:wordWrap w:val="0"/>
              <w:overflowPunct/>
              <w:topLinePunct w:val="0"/>
              <w:autoSpaceDE/>
              <w:autoSpaceDN/>
              <w:bidi w:val="0"/>
              <w:adjustRightInd/>
              <w:snapToGrid/>
              <w:spacing w:line="240" w:lineRule="auto"/>
              <w:ind w:left="0" w:leftChars="0" w:firstLine="4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 xml:space="preserve"> 工业企业厂界环境噪声排放标准</w:t>
            </w:r>
          </w:p>
          <w:tbl>
            <w:tblPr>
              <w:tblStyle w:val="4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61"/>
              <w:gridCol w:w="1963"/>
              <w:gridCol w:w="1964"/>
              <w:gridCol w:w="1964"/>
            </w:tblGrid>
            <w:tr w14:paraId="74FC9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49" w:type="pct"/>
                  <w:noWrap/>
                  <w:vAlign w:val="center"/>
                </w:tcPr>
                <w:p w14:paraId="64D5FB00">
                  <w:pPr>
                    <w:keepNext w:val="0"/>
                    <w:keepLines w:val="0"/>
                    <w:pageBreakBefore w:val="0"/>
                    <w:widowControl w:val="0"/>
                    <w:kinsoku/>
                    <w:wordWrap w:val="0"/>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eastAsia" w:cs="Times New Roman"/>
                      <w:b/>
                      <w:bCs/>
                      <w:color w:val="auto"/>
                      <w:position w:val="-10"/>
                      <w:sz w:val="21"/>
                      <w:szCs w:val="21"/>
                      <w:highlight w:val="none"/>
                      <w:lang w:val="en-US" w:eastAsia="zh-CN" w:bidi="ar-SA"/>
                    </w:rPr>
                    <w:t>项目</w:t>
                  </w:r>
                </w:p>
              </w:tc>
              <w:tc>
                <w:tcPr>
                  <w:tcW w:w="1250" w:type="pct"/>
                  <w:tcBorders>
                    <w:right w:val="single" w:color="auto" w:sz="4" w:space="0"/>
                  </w:tcBorders>
                  <w:noWrap/>
                  <w:vAlign w:val="center"/>
                </w:tcPr>
                <w:p w14:paraId="106B88C1">
                  <w:pPr>
                    <w:keepNext w:val="0"/>
                    <w:keepLines w:val="0"/>
                    <w:pageBreakBefore w:val="0"/>
                    <w:widowControl w:val="0"/>
                    <w:kinsoku/>
                    <w:wordWrap w:val="0"/>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昼间</w:t>
                  </w:r>
                </w:p>
              </w:tc>
              <w:tc>
                <w:tcPr>
                  <w:tcW w:w="1250" w:type="pct"/>
                  <w:tcBorders>
                    <w:left w:val="single" w:color="auto" w:sz="4" w:space="0"/>
                  </w:tcBorders>
                  <w:noWrap/>
                  <w:vAlign w:val="center"/>
                </w:tcPr>
                <w:p w14:paraId="1B567CAE">
                  <w:pPr>
                    <w:keepNext w:val="0"/>
                    <w:keepLines w:val="0"/>
                    <w:pageBreakBefore w:val="0"/>
                    <w:widowControl w:val="0"/>
                    <w:kinsoku/>
                    <w:wordWrap w:val="0"/>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夜间</w:t>
                  </w:r>
                </w:p>
              </w:tc>
              <w:tc>
                <w:tcPr>
                  <w:tcW w:w="1250" w:type="pct"/>
                  <w:tcBorders>
                    <w:left w:val="single" w:color="auto" w:sz="4" w:space="0"/>
                  </w:tcBorders>
                  <w:noWrap/>
                  <w:vAlign w:val="center"/>
                </w:tcPr>
                <w:p w14:paraId="3EE6CB25">
                  <w:pPr>
                    <w:keepNext w:val="0"/>
                    <w:keepLines w:val="0"/>
                    <w:pageBreakBefore w:val="0"/>
                    <w:widowControl w:val="0"/>
                    <w:kinsoku/>
                    <w:wordWrap w:val="0"/>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单位</w:t>
                  </w:r>
                </w:p>
              </w:tc>
            </w:tr>
            <w:tr w14:paraId="66C40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249" w:type="pct"/>
                  <w:noWrap/>
                  <w:vAlign w:val="center"/>
                </w:tcPr>
                <w:p w14:paraId="0B1DB755">
                  <w:pPr>
                    <w:keepNext w:val="0"/>
                    <w:keepLines w:val="0"/>
                    <w:pageBreakBefore w:val="0"/>
                    <w:widowControl w:val="0"/>
                    <w:kinsoku/>
                    <w:wordWrap w:val="0"/>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3类</w:t>
                  </w:r>
                </w:p>
              </w:tc>
              <w:tc>
                <w:tcPr>
                  <w:tcW w:w="1250" w:type="pct"/>
                  <w:noWrap/>
                  <w:vAlign w:val="center"/>
                </w:tcPr>
                <w:p w14:paraId="65797D08">
                  <w:pPr>
                    <w:keepNext w:val="0"/>
                    <w:keepLines w:val="0"/>
                    <w:pageBreakBefore w:val="0"/>
                    <w:widowControl w:val="0"/>
                    <w:kinsoku/>
                    <w:wordWrap w:val="0"/>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65</w:t>
                  </w:r>
                </w:p>
              </w:tc>
              <w:tc>
                <w:tcPr>
                  <w:tcW w:w="1250" w:type="pct"/>
                  <w:noWrap/>
                  <w:vAlign w:val="center"/>
                </w:tcPr>
                <w:p w14:paraId="1D2AED01">
                  <w:pPr>
                    <w:keepNext w:val="0"/>
                    <w:keepLines w:val="0"/>
                    <w:pageBreakBefore w:val="0"/>
                    <w:widowControl w:val="0"/>
                    <w:kinsoku/>
                    <w:wordWrap w:val="0"/>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55</w:t>
                  </w:r>
                </w:p>
              </w:tc>
              <w:tc>
                <w:tcPr>
                  <w:tcW w:w="1250" w:type="pct"/>
                  <w:noWrap/>
                  <w:vAlign w:val="center"/>
                </w:tcPr>
                <w:p w14:paraId="5A13CD43">
                  <w:pPr>
                    <w:keepNext w:val="0"/>
                    <w:keepLines w:val="0"/>
                    <w:pageBreakBefore w:val="0"/>
                    <w:widowControl w:val="0"/>
                    <w:kinsoku/>
                    <w:wordWrap w:val="0"/>
                    <w:overflowPunct/>
                    <w:topLinePunct w:val="0"/>
                    <w:autoSpaceDE w:val="0"/>
                    <w:autoSpaceDN w:val="0"/>
                    <w:bidi w:val="0"/>
                    <w:adjustRightInd/>
                    <w:snapToGri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dB（A）</w:t>
                  </w:r>
                </w:p>
              </w:tc>
            </w:tr>
          </w:tbl>
          <w:p w14:paraId="7DBE82F3">
            <w:pPr>
              <w:keepNext/>
              <w:keepLines/>
              <w:pageBreakBefore w:val="0"/>
              <w:widowControl w:val="0"/>
              <w:numPr>
                <w:ilvl w:val="2"/>
                <w:numId w:val="0"/>
              </w:numPr>
              <w:wordWrap w:val="0"/>
              <w:overflowPunct/>
              <w:bidi w:val="0"/>
              <w:spacing w:line="360" w:lineRule="auto"/>
              <w:ind w:firstLine="480" w:firstLineChars="200"/>
              <w:jc w:val="both"/>
              <w:outlineLvl w:val="2"/>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四、固体废物污染控制标准</w:t>
            </w:r>
          </w:p>
          <w:p w14:paraId="10F86E50">
            <w:pPr>
              <w:keepNext w:val="0"/>
              <w:keepLines w:val="0"/>
              <w:pageBreakBefore w:val="0"/>
              <w:widowControl/>
              <w:suppressLineNumbers w:val="0"/>
              <w:kinsoku/>
              <w:wordWrap w:val="0"/>
              <w:overflowPunct/>
              <w:topLinePunct w:val="0"/>
              <w:autoSpaceDE/>
              <w:autoSpaceDN/>
              <w:bidi w:val="0"/>
              <w:adjustRightInd/>
              <w:snapToGrid/>
              <w:ind w:firstLine="456" w:firstLineChars="200"/>
              <w:jc w:val="left"/>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spacing w:val="-6"/>
                <w:highlight w:val="none"/>
              </w:rPr>
              <w:t>一般工业固体废物在厂内采用库房或包装工具贮存，贮存过程应满足相应防渗漏、防雨淋、防扬尘等环境保护要求；危险废物贮存过程执行《危险废物贮存污染控制标准》（GB18597-2023）</w:t>
            </w:r>
            <w:r>
              <w:rPr>
                <w:rFonts w:hint="default" w:ascii="Times New Roman" w:hAnsi="Times New Roman" w:eastAsia="宋体" w:cs="Times New Roman"/>
                <w:color w:val="auto"/>
                <w:spacing w:val="-6"/>
                <w:highlight w:val="none"/>
                <w:lang w:eastAsia="zh-CN"/>
              </w:rPr>
              <w:t>和《危险废物收集贮存运输技术规范》（HJ 2025-2012）</w:t>
            </w:r>
            <w:r>
              <w:rPr>
                <w:rFonts w:hint="default" w:ascii="Times New Roman" w:hAnsi="Times New Roman" w:eastAsia="宋体" w:cs="Times New Roman"/>
                <w:color w:val="auto"/>
                <w:spacing w:val="-6"/>
                <w:highlight w:val="none"/>
              </w:rPr>
              <w:t>。</w:t>
            </w:r>
          </w:p>
        </w:tc>
      </w:tr>
      <w:tr w14:paraId="6FEE7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2" w:type="pct"/>
            <w:vAlign w:val="center"/>
          </w:tcPr>
          <w:p w14:paraId="0956FF19">
            <w:pPr>
              <w:keepNext/>
              <w:keepLines w:val="0"/>
              <w:pageBreakBefore w:val="0"/>
              <w:widowControl/>
              <w:numPr>
                <w:ilvl w:val="1"/>
                <w:numId w:val="0"/>
              </w:numPr>
              <w:tabs>
                <w:tab w:val="left" w:pos="420"/>
              </w:tabs>
              <w:kinsoku/>
              <w:wordWrap w:val="0"/>
              <w:overflowPunct/>
              <w:topLinePunct w:val="0"/>
              <w:autoSpaceDE/>
              <w:autoSpaceDN/>
              <w:bidi w:val="0"/>
              <w:adjustRightInd/>
              <w:snapToGrid/>
              <w:spacing w:line="240" w:lineRule="auto"/>
              <w:textAlignment w:val="auto"/>
              <w:outlineLvl w:val="9"/>
              <w:rPr>
                <w:rFonts w:hint="default" w:ascii="Times New Roman" w:hAnsi="Times New Roman" w:cs="Times New Roman"/>
                <w:color w:val="auto"/>
                <w:highlight w:val="none"/>
              </w:rPr>
            </w:pPr>
            <w:bookmarkStart w:id="85" w:name="_Toc31892"/>
            <w:bookmarkStart w:id="86" w:name="_Toc10891"/>
            <w:bookmarkStart w:id="87" w:name="_Toc9431"/>
            <w:bookmarkStart w:id="88" w:name="_Toc8540"/>
            <w:bookmarkStart w:id="89" w:name="_Toc7590"/>
            <w:bookmarkStart w:id="90" w:name="_Toc8863"/>
            <w:bookmarkStart w:id="91" w:name="_Toc23450"/>
            <w:bookmarkStart w:id="92" w:name="_Toc3077"/>
            <w:bookmarkStart w:id="93" w:name="_Toc4557"/>
            <w:bookmarkStart w:id="94" w:name="_Toc18024"/>
            <w:r>
              <w:rPr>
                <w:rFonts w:hint="default" w:ascii="Times New Roman" w:hAnsi="Times New Roman" w:cs="Times New Roman"/>
                <w:color w:val="auto"/>
                <w:highlight w:val="none"/>
              </w:rPr>
              <w:t>总量控制指标</w:t>
            </w:r>
            <w:bookmarkEnd w:id="85"/>
            <w:bookmarkEnd w:id="86"/>
            <w:bookmarkEnd w:id="87"/>
            <w:bookmarkEnd w:id="88"/>
            <w:bookmarkEnd w:id="89"/>
            <w:bookmarkEnd w:id="90"/>
            <w:bookmarkEnd w:id="91"/>
            <w:bookmarkEnd w:id="92"/>
            <w:bookmarkEnd w:id="93"/>
            <w:bookmarkEnd w:id="94"/>
          </w:p>
        </w:tc>
        <w:tc>
          <w:tcPr>
            <w:tcW w:w="4737" w:type="pct"/>
          </w:tcPr>
          <w:p w14:paraId="34882F16">
            <w:pPr>
              <w:pStyle w:val="9"/>
              <w:pageBreakBefore w:val="0"/>
              <w:numPr>
                <w:ilvl w:val="2"/>
                <w:numId w:val="0"/>
              </w:numPr>
              <w:wordWrap w:val="0"/>
              <w:overflowPunct/>
              <w:bidi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一、水污染物排放总量控制指标</w:t>
            </w:r>
          </w:p>
          <w:p w14:paraId="641B7C18">
            <w:pPr>
              <w:pageBreakBefore w:val="0"/>
              <w:wordWrap w:val="0"/>
              <w:overflowPunct/>
              <w:bidi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建设单位应根据本项目的废水和废气等污染物的排放量，向上级主管部门和环保部门申请各项目污染物排放总量控制指标。</w:t>
            </w:r>
          </w:p>
          <w:p w14:paraId="6FE9B005">
            <w:pPr>
              <w:pStyle w:val="93"/>
              <w:pageBreakBefore w:val="0"/>
              <w:widowControl/>
              <w:wordWrap w:val="0"/>
              <w:overflowPunct/>
              <w:bidi w:val="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（1）废水总量控制指标</w:t>
            </w:r>
          </w:p>
          <w:p w14:paraId="7F18053C">
            <w:pPr>
              <w:pageBreakBefore w:val="0"/>
              <w:widowControl/>
              <w:wordWrap w:val="0"/>
              <w:overflowPunct/>
              <w:bidi w:val="0"/>
              <w:ind w:firstLine="480" w:firstLineChars="200"/>
              <w:jc w:val="left"/>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w:t>
            </w:r>
            <w:r>
              <w:rPr>
                <w:rFonts w:hint="default" w:ascii="Times New Roman" w:hAnsi="Times New Roman" w:cs="Times New Roman"/>
                <w:color w:val="auto"/>
                <w:highlight w:val="none"/>
              </w:rPr>
              <w:t>项目生产废水排放量</w:t>
            </w:r>
            <w:r>
              <w:rPr>
                <w:rFonts w:hint="eastAsia" w:cs="Times New Roman"/>
                <w:color w:val="auto"/>
                <w:highlight w:val="none"/>
                <w:lang w:val="en-US" w:eastAsia="zh-CN"/>
              </w:rPr>
              <w:t>2508t/a</w:t>
            </w:r>
            <w:r>
              <w:rPr>
                <w:rFonts w:hint="default" w:ascii="Times New Roman" w:hAnsi="Times New Roman" w:cs="Times New Roman"/>
                <w:color w:val="auto"/>
                <w:highlight w:val="none"/>
              </w:rPr>
              <w:t>，生活污水排放量为</w:t>
            </w:r>
            <w:r>
              <w:rPr>
                <w:rFonts w:hint="eastAsia" w:cs="Times New Roman"/>
                <w:color w:val="auto"/>
                <w:highlight w:val="none"/>
                <w:lang w:val="en-US" w:eastAsia="zh-CN"/>
              </w:rPr>
              <w:t>756</w:t>
            </w:r>
            <w:r>
              <w:rPr>
                <w:rFonts w:hint="default" w:ascii="Times New Roman" w:hAnsi="Times New Roman" w:cs="Times New Roman"/>
                <w:color w:val="auto"/>
                <w:highlight w:val="none"/>
              </w:rPr>
              <w:t>t/a，</w:t>
            </w:r>
            <w:r>
              <w:rPr>
                <w:rFonts w:hint="eastAsia" w:cs="Times New Roman"/>
                <w:color w:val="auto"/>
                <w:highlight w:val="none"/>
                <w:lang w:val="en-US" w:eastAsia="zh-CN"/>
              </w:rPr>
              <w:t>经三级化粪池</w:t>
            </w:r>
            <w:r>
              <w:rPr>
                <w:rFonts w:hint="default" w:ascii="Times New Roman" w:hAnsi="Times New Roman" w:cs="Times New Roman"/>
                <w:color w:val="auto"/>
                <w:highlight w:val="none"/>
              </w:rPr>
              <w:t>预处理后</w:t>
            </w:r>
            <w:r>
              <w:rPr>
                <w:rFonts w:hint="eastAsia" w:cs="Times New Roman"/>
                <w:color w:val="auto"/>
                <w:highlight w:val="none"/>
                <w:lang w:eastAsia="zh-CN"/>
              </w:rPr>
              <w:t>，</w:t>
            </w:r>
            <w:r>
              <w:rPr>
                <w:rFonts w:hint="default" w:ascii="Times New Roman" w:hAnsi="Times New Roman" w:cs="Times New Roman"/>
                <w:color w:val="auto"/>
                <w:highlight w:val="none"/>
              </w:rPr>
              <w:t>排入园区污水处理厂进行处理，</w:t>
            </w:r>
            <w:r>
              <w:rPr>
                <w:rFonts w:hint="eastAsia" w:cs="Times New Roman"/>
                <w:color w:val="auto"/>
                <w:highlight w:val="none"/>
                <w:lang w:val="en-US" w:eastAsia="zh-CN"/>
              </w:rPr>
              <w:t>对应</w:t>
            </w:r>
            <w:r>
              <w:rPr>
                <w:rFonts w:hint="default" w:ascii="Times New Roman" w:hAnsi="Times New Roman" w:cs="Times New Roman"/>
                <w:color w:val="auto"/>
                <w:kern w:val="0"/>
                <w:highlight w:val="none"/>
              </w:rPr>
              <w:t>CODcr</w:t>
            </w:r>
            <w:r>
              <w:rPr>
                <w:rFonts w:hint="default" w:ascii="Times New Roman" w:hAnsi="Times New Roman" w:cs="Times New Roman"/>
                <w:color w:val="auto"/>
                <w:kern w:val="0"/>
                <w:highlight w:val="none"/>
                <w:lang w:eastAsia="zh-CN"/>
              </w:rPr>
              <w:t>（</w:t>
            </w:r>
            <w:r>
              <w:rPr>
                <w:rFonts w:hint="eastAsia" w:cs="Times New Roman"/>
                <w:color w:val="auto"/>
                <w:kern w:val="0"/>
                <w:highlight w:val="none"/>
                <w:lang w:val="en-US" w:eastAsia="zh-CN"/>
              </w:rPr>
              <w:t>0.292</w:t>
            </w:r>
            <w:r>
              <w:rPr>
                <w:rFonts w:hint="default" w:ascii="Times New Roman" w:hAnsi="Times New Roman" w:cs="Times New Roman"/>
                <w:color w:val="auto"/>
                <w:kern w:val="0"/>
                <w:highlight w:val="none"/>
                <w:lang w:val="en-US" w:eastAsia="zh-CN"/>
              </w:rPr>
              <w:t>t/a）</w:t>
            </w:r>
            <w:r>
              <w:rPr>
                <w:rFonts w:hint="default" w:ascii="Times New Roman" w:hAnsi="Times New Roman" w:cs="Times New Roman"/>
                <w:color w:val="auto"/>
                <w:kern w:val="0"/>
                <w:highlight w:val="none"/>
              </w:rPr>
              <w:t>、NH</w:t>
            </w:r>
            <w:r>
              <w:rPr>
                <w:rFonts w:hint="default" w:ascii="Times New Roman" w:hAnsi="Times New Roman" w:cs="Times New Roman"/>
                <w:color w:val="auto"/>
                <w:kern w:val="0"/>
                <w:highlight w:val="none"/>
                <w:vertAlign w:val="subscript"/>
                <w:lang w:val="en-US" w:eastAsia="zh-CN"/>
              </w:rPr>
              <w:t>3</w:t>
            </w:r>
            <w:r>
              <w:rPr>
                <w:rFonts w:hint="default" w:ascii="Times New Roman" w:hAnsi="Times New Roman" w:cs="Times New Roman"/>
                <w:color w:val="auto"/>
                <w:kern w:val="0"/>
                <w:highlight w:val="none"/>
                <w:lang w:val="en-US" w:eastAsia="zh-CN"/>
              </w:rPr>
              <w:t>-</w:t>
            </w:r>
            <w:r>
              <w:rPr>
                <w:rFonts w:hint="default" w:ascii="Times New Roman" w:hAnsi="Times New Roman" w:cs="Times New Roman"/>
                <w:color w:val="auto"/>
                <w:kern w:val="0"/>
                <w:highlight w:val="none"/>
              </w:rPr>
              <w:t>N</w:t>
            </w:r>
            <w:r>
              <w:rPr>
                <w:rFonts w:hint="default" w:ascii="Times New Roman" w:hAnsi="Times New Roman" w:cs="Times New Roman"/>
                <w:color w:val="auto"/>
                <w:kern w:val="0"/>
                <w:highlight w:val="none"/>
                <w:lang w:eastAsia="zh-CN"/>
              </w:rPr>
              <w:t>（</w:t>
            </w:r>
            <w:r>
              <w:rPr>
                <w:rFonts w:hint="eastAsia" w:cs="Times New Roman"/>
                <w:color w:val="auto"/>
                <w:kern w:val="0"/>
                <w:highlight w:val="none"/>
                <w:lang w:val="en-US" w:eastAsia="zh-CN"/>
              </w:rPr>
              <w:t>0.026</w:t>
            </w:r>
            <w:r>
              <w:rPr>
                <w:rFonts w:hint="default" w:ascii="Times New Roman" w:hAnsi="Times New Roman" w:cs="Times New Roman"/>
                <w:color w:val="auto"/>
                <w:kern w:val="0"/>
                <w:highlight w:val="none"/>
                <w:lang w:val="en-US" w:eastAsia="zh-CN"/>
              </w:rPr>
              <w:t>t/a）</w:t>
            </w:r>
            <w:r>
              <w:rPr>
                <w:rFonts w:hint="default" w:ascii="Times New Roman" w:hAnsi="Times New Roman" w:cs="Times New Roman"/>
                <w:color w:val="auto"/>
                <w:kern w:val="0"/>
                <w:highlight w:val="none"/>
              </w:rPr>
              <w:t>纳入园区污水处理厂的总量控制指标，不需再增加新的总量分配指标</w:t>
            </w:r>
            <w:r>
              <w:rPr>
                <w:rFonts w:hint="default" w:ascii="Times New Roman" w:hAnsi="Times New Roman" w:cs="Times New Roman"/>
                <w:color w:val="auto"/>
                <w:highlight w:val="none"/>
              </w:rPr>
              <w:t>。</w:t>
            </w:r>
          </w:p>
          <w:p w14:paraId="32DAB59A">
            <w:pPr>
              <w:pStyle w:val="93"/>
              <w:pageBreakBefore w:val="0"/>
              <w:widowControl/>
              <w:wordWrap w:val="0"/>
              <w:overflowPunct/>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（2）废气总量控制指标</w:t>
            </w:r>
          </w:p>
          <w:p w14:paraId="431C2EF0">
            <w:pPr>
              <w:pageBreakBefore w:val="0"/>
              <w:widowControl/>
              <w:wordWrap w:val="0"/>
              <w:overflowPunct/>
              <w:bidi w:val="0"/>
              <w:ind w:firstLine="480" w:firstLineChars="200"/>
              <w:jc w:val="both"/>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kern w:val="0"/>
                <w:highlight w:val="none"/>
              </w:rPr>
              <w:t>本项目建成后</w:t>
            </w:r>
            <w:r>
              <w:rPr>
                <w:rFonts w:hint="eastAsia" w:cs="Times New Roman"/>
                <w:color w:val="auto"/>
                <w:kern w:val="0"/>
                <w:highlight w:val="none"/>
                <w:lang w:val="en-US" w:eastAsia="zh-CN"/>
              </w:rPr>
              <w:t>VOCs</w:t>
            </w:r>
            <w:r>
              <w:rPr>
                <w:rFonts w:hint="default" w:ascii="Times New Roman" w:hAnsi="Times New Roman" w:cs="Times New Roman"/>
                <w:color w:val="auto"/>
                <w:kern w:val="0"/>
                <w:highlight w:val="none"/>
              </w:rPr>
              <w:t>总排放量为</w:t>
            </w:r>
            <w:r>
              <w:rPr>
                <w:rFonts w:hint="eastAsia" w:cs="Times New Roman"/>
                <w:color w:val="auto"/>
                <w:kern w:val="0"/>
                <w:highlight w:val="none"/>
                <w:lang w:val="en-US" w:eastAsia="zh-CN"/>
              </w:rPr>
              <w:t>0.282</w:t>
            </w:r>
            <w:r>
              <w:rPr>
                <w:rFonts w:hint="default" w:ascii="Times New Roman" w:hAnsi="Times New Roman" w:cs="Times New Roman"/>
                <w:color w:val="auto"/>
                <w:kern w:val="0"/>
                <w:highlight w:val="none"/>
              </w:rPr>
              <w:t>/a</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其中</w:t>
            </w:r>
            <w:r>
              <w:rPr>
                <w:rFonts w:hint="eastAsia" w:cs="Times New Roman"/>
                <w:color w:val="auto"/>
                <w:kern w:val="0"/>
                <w:highlight w:val="none"/>
                <w:lang w:val="en-US" w:eastAsia="zh-CN"/>
              </w:rPr>
              <w:t>VOCs</w:t>
            </w:r>
            <w:r>
              <w:rPr>
                <w:rFonts w:hint="default" w:ascii="Times New Roman" w:hAnsi="Times New Roman" w:cs="Times New Roman"/>
                <w:color w:val="auto"/>
                <w:kern w:val="0"/>
                <w:highlight w:val="none"/>
              </w:rPr>
              <w:t>有组织排放</w:t>
            </w:r>
            <w:r>
              <w:rPr>
                <w:rFonts w:hint="eastAsia" w:cs="Times New Roman"/>
                <w:color w:val="auto"/>
                <w:kern w:val="0"/>
                <w:highlight w:val="none"/>
                <w:lang w:val="en-US" w:eastAsia="zh-CN"/>
              </w:rPr>
              <w:t>量</w:t>
            </w:r>
            <w:r>
              <w:rPr>
                <w:rFonts w:hint="default" w:ascii="Times New Roman" w:hAnsi="Times New Roman" w:cs="Times New Roman"/>
                <w:color w:val="auto"/>
                <w:kern w:val="0"/>
                <w:highlight w:val="none"/>
              </w:rPr>
              <w:t>：</w:t>
            </w:r>
            <w:r>
              <w:rPr>
                <w:rFonts w:hint="eastAsia" w:cs="Times New Roman"/>
                <w:color w:val="auto"/>
                <w:kern w:val="0"/>
                <w:highlight w:val="none"/>
                <w:lang w:val="en-US" w:eastAsia="zh-CN"/>
              </w:rPr>
              <w:t>0.184</w:t>
            </w:r>
            <w:r>
              <w:rPr>
                <w:rFonts w:hint="default" w:ascii="Times New Roman" w:hAnsi="Times New Roman" w:cs="Times New Roman"/>
                <w:color w:val="auto"/>
                <w:kern w:val="0"/>
                <w:highlight w:val="none"/>
              </w:rPr>
              <w:t>t/a，</w:t>
            </w:r>
            <w:r>
              <w:rPr>
                <w:rFonts w:hint="eastAsia" w:cs="Times New Roman"/>
                <w:color w:val="auto"/>
                <w:kern w:val="0"/>
                <w:highlight w:val="none"/>
                <w:lang w:val="en-US" w:eastAsia="zh-CN"/>
              </w:rPr>
              <w:t>VOCs</w:t>
            </w:r>
            <w:r>
              <w:rPr>
                <w:rFonts w:hint="default" w:ascii="Times New Roman" w:hAnsi="Times New Roman" w:cs="Times New Roman"/>
                <w:color w:val="auto"/>
                <w:kern w:val="0"/>
                <w:highlight w:val="none"/>
              </w:rPr>
              <w:t>无组织排放</w:t>
            </w:r>
            <w:r>
              <w:rPr>
                <w:rFonts w:hint="eastAsia" w:cs="Times New Roman"/>
                <w:color w:val="auto"/>
                <w:kern w:val="0"/>
                <w:highlight w:val="none"/>
                <w:lang w:val="en-US" w:eastAsia="zh-CN"/>
              </w:rPr>
              <w:t>量</w:t>
            </w:r>
            <w:r>
              <w:rPr>
                <w:rFonts w:hint="default" w:ascii="Times New Roman" w:hAnsi="Times New Roman" w:cs="Times New Roman"/>
                <w:color w:val="auto"/>
                <w:kern w:val="0"/>
                <w:highlight w:val="none"/>
              </w:rPr>
              <w:t>：</w:t>
            </w:r>
            <w:r>
              <w:rPr>
                <w:rFonts w:hint="eastAsia" w:cs="Times New Roman"/>
                <w:color w:val="auto"/>
                <w:kern w:val="0"/>
                <w:highlight w:val="none"/>
                <w:lang w:val="en-US" w:eastAsia="zh-CN"/>
              </w:rPr>
              <w:t>0.098</w:t>
            </w:r>
            <w:r>
              <w:rPr>
                <w:rFonts w:hint="default" w:ascii="Times New Roman" w:hAnsi="Times New Roman" w:cs="Times New Roman"/>
                <w:color w:val="auto"/>
                <w:kern w:val="0"/>
                <w:highlight w:val="none"/>
              </w:rPr>
              <w:t>t/a</w:t>
            </w:r>
            <w:r>
              <w:rPr>
                <w:rFonts w:hint="default" w:ascii="Times New Roman" w:hAnsi="Times New Roman" w:cs="Times New Roman"/>
                <w:color w:val="auto"/>
                <w:kern w:val="0"/>
                <w:highlight w:val="none"/>
                <w:lang w:eastAsia="zh-CN"/>
              </w:rPr>
              <w:t>）</w:t>
            </w:r>
            <w:r>
              <w:rPr>
                <w:rFonts w:hint="eastAsia" w:cs="Times New Roman"/>
                <w:color w:val="auto"/>
                <w:kern w:val="0"/>
                <w:highlight w:val="none"/>
                <w:lang w:eastAsia="zh-CN"/>
              </w:rPr>
              <w:t>，</w:t>
            </w:r>
            <w:r>
              <w:rPr>
                <w:rFonts w:hint="eastAsia" w:cs="Times New Roman"/>
                <w:color w:val="auto"/>
                <w:kern w:val="0"/>
                <w:highlight w:val="none"/>
                <w:lang w:val="en-US" w:eastAsia="zh-CN"/>
              </w:rPr>
              <w:t>氮氧化物排放量为0.374t/a</w:t>
            </w:r>
            <w:r>
              <w:rPr>
                <w:rFonts w:hint="default" w:ascii="Times New Roman" w:hAnsi="Times New Roman" w:cs="Times New Roman"/>
                <w:color w:val="auto"/>
                <w:kern w:val="0"/>
                <w:highlight w:val="none"/>
                <w:lang w:eastAsia="zh-CN"/>
              </w:rPr>
              <w:t>。</w:t>
            </w:r>
          </w:p>
          <w:p w14:paraId="4AB35B84">
            <w:pPr>
              <w:pageBreakBefore w:val="0"/>
              <w:widowControl/>
              <w:wordWrap w:val="0"/>
              <w:overflowPunct/>
              <w:bidi w:val="0"/>
              <w:ind w:firstLine="480" w:firstLineChars="200"/>
              <w:jc w:val="left"/>
              <w:rPr>
                <w:rFonts w:hint="default" w:ascii="Times New Roman" w:hAnsi="Times New Roman" w:cs="Times New Roman"/>
                <w:color w:val="auto"/>
                <w:highlight w:val="none"/>
              </w:rPr>
            </w:pPr>
            <w:r>
              <w:rPr>
                <w:rFonts w:hint="eastAsia" w:cs="Times New Roman"/>
                <w:color w:val="auto"/>
                <w:kern w:val="0"/>
                <w:highlight w:val="none"/>
                <w:lang w:val="en-US" w:eastAsia="zh-CN"/>
              </w:rPr>
              <w:t>需申请新的总量分配指标</w:t>
            </w:r>
            <w:r>
              <w:rPr>
                <w:rFonts w:hint="default" w:ascii="Times New Roman" w:hAnsi="Times New Roman" w:cs="Times New Roman"/>
                <w:color w:val="auto"/>
                <w:kern w:val="0"/>
                <w:highlight w:val="none"/>
              </w:rPr>
              <w:t>。</w:t>
            </w:r>
          </w:p>
          <w:p w14:paraId="617DD663">
            <w:pPr>
              <w:pStyle w:val="9"/>
              <w:pageBreakBefore w:val="0"/>
              <w:numPr>
                <w:ilvl w:val="2"/>
                <w:numId w:val="0"/>
              </w:numPr>
              <w:wordWrap w:val="0"/>
              <w:overflowPunct/>
              <w:bidi w:val="0"/>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三、固体废物排放总量控制指标</w:t>
            </w:r>
          </w:p>
          <w:p w14:paraId="1E5C8FEE">
            <w:pPr>
              <w:pStyle w:val="9"/>
              <w:pageBreakBefore w:val="0"/>
              <w:numPr>
                <w:ilvl w:val="2"/>
                <w:numId w:val="0"/>
              </w:numPr>
              <w:wordWrap w:val="0"/>
              <w:overflowPunct/>
              <w:bidi w:val="0"/>
              <w:ind w:firstLine="480" w:firstLineChars="200"/>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 xml:space="preserve">本项目固体废物不自行处理排放，不设置固体废物总量控制指标。 </w:t>
            </w:r>
          </w:p>
        </w:tc>
      </w:tr>
    </w:tbl>
    <w:p w14:paraId="0CF69F69">
      <w:pPr>
        <w:pStyle w:val="7"/>
        <w:pageBreakBefore w:val="0"/>
        <w:wordWrap w:val="0"/>
        <w:overflowPunct/>
        <w:bidi w:val="0"/>
        <w:rPr>
          <w:rFonts w:hint="default" w:ascii="Times New Roman" w:hAnsi="Times New Roman" w:cs="Times New Roman"/>
          <w:color w:val="auto"/>
          <w:highlight w:val="none"/>
        </w:rPr>
        <w:sectPr>
          <w:footerReference r:id="rId7" w:type="default"/>
          <w:pgSz w:w="11906" w:h="16838"/>
          <w:pgMar w:top="1440" w:right="1797" w:bottom="1440" w:left="1797" w:header="851" w:footer="680" w:gutter="0"/>
          <w:pgBorders>
            <w:top w:val="none" w:sz="0" w:space="0"/>
            <w:left w:val="none" w:sz="0" w:space="0"/>
            <w:bottom w:val="none" w:sz="0" w:space="0"/>
            <w:right w:val="none" w:sz="0" w:space="0"/>
          </w:pgBorders>
          <w:pgNumType w:fmt="decimal" w:start="1"/>
          <w:cols w:space="720" w:num="1"/>
          <w:docGrid w:type="linesAndChars" w:linePitch="312" w:charSpace="0"/>
        </w:sectPr>
      </w:pPr>
    </w:p>
    <w:p w14:paraId="7DFA8BC1">
      <w:pPr>
        <w:pStyle w:val="7"/>
        <w:pageBreakBefore w:val="0"/>
        <w:numPr>
          <w:ilvl w:val="0"/>
          <w:numId w:val="0"/>
        </w:numPr>
        <w:wordWrap w:val="0"/>
        <w:overflowPunct/>
        <w:bidi w:val="0"/>
        <w:rPr>
          <w:rFonts w:hint="default" w:ascii="Times New Roman" w:hAnsi="Times New Roman" w:cs="Times New Roman"/>
          <w:color w:val="auto"/>
          <w:highlight w:val="none"/>
        </w:rPr>
      </w:pPr>
      <w:bookmarkStart w:id="95" w:name="_Toc29934"/>
      <w:bookmarkStart w:id="96" w:name="_Toc9760"/>
      <w:bookmarkStart w:id="97" w:name="_Toc32008"/>
      <w:r>
        <w:rPr>
          <w:rFonts w:hint="default" w:ascii="Times New Roman" w:hAnsi="Times New Roman" w:cs="Times New Roman"/>
          <w:color w:val="auto"/>
          <w:highlight w:val="none"/>
        </w:rPr>
        <w:t>四、主要环境影响和保护措施</w:t>
      </w:r>
      <w:bookmarkEnd w:id="95"/>
      <w:bookmarkEnd w:id="96"/>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
        <w:gridCol w:w="8046"/>
      </w:tblGrid>
      <w:tr w14:paraId="08D33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1" w:hRule="atLeast"/>
        </w:trPr>
        <w:tc>
          <w:tcPr>
            <w:tcW w:w="482" w:type="dxa"/>
            <w:vAlign w:val="center"/>
          </w:tcPr>
          <w:p w14:paraId="0AE3A5C5">
            <w:pPr>
              <w:pageBreakBefore w:val="0"/>
              <w:numPr>
                <w:ilvl w:val="1"/>
                <w:numId w:val="0"/>
              </w:numPr>
              <w:tabs>
                <w:tab w:val="left" w:pos="420"/>
              </w:tabs>
              <w:wordWrap w:val="0"/>
              <w:overflowPunct/>
              <w:bidi w:val="0"/>
              <w:outlineLvl w:val="9"/>
              <w:rPr>
                <w:rFonts w:hint="default" w:ascii="Times New Roman" w:hAnsi="Times New Roman" w:cs="Times New Roman"/>
                <w:color w:val="auto"/>
                <w:highlight w:val="none"/>
              </w:rPr>
            </w:pPr>
            <w:bookmarkStart w:id="98" w:name="_Toc25142"/>
            <w:bookmarkStart w:id="99" w:name="_Toc25331"/>
            <w:bookmarkStart w:id="100" w:name="_Toc18588"/>
            <w:bookmarkStart w:id="101" w:name="_Toc7895"/>
            <w:bookmarkStart w:id="102" w:name="_Toc30266"/>
            <w:bookmarkStart w:id="103" w:name="_Toc3227"/>
            <w:bookmarkStart w:id="104" w:name="_Toc22339"/>
            <w:r>
              <w:rPr>
                <w:rFonts w:hint="default" w:ascii="Times New Roman" w:hAnsi="Times New Roman" w:cs="Times New Roman"/>
                <w:color w:val="auto"/>
                <w:highlight w:val="none"/>
              </w:rPr>
              <w:t>施工期环境保护措施</w:t>
            </w:r>
            <w:bookmarkEnd w:id="98"/>
            <w:bookmarkEnd w:id="99"/>
            <w:bookmarkEnd w:id="100"/>
            <w:bookmarkEnd w:id="101"/>
            <w:bookmarkEnd w:id="102"/>
            <w:bookmarkEnd w:id="103"/>
            <w:bookmarkEnd w:id="104"/>
          </w:p>
        </w:tc>
        <w:tc>
          <w:tcPr>
            <w:tcW w:w="8046" w:type="dxa"/>
            <w:vAlign w:val="center"/>
          </w:tcPr>
          <w:p w14:paraId="1354A10F">
            <w:pPr>
              <w:pStyle w:val="21"/>
              <w:pageBreakBefore w:val="0"/>
              <w:wordWrap w:val="0"/>
              <w:overflowPunct/>
              <w:bidi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eastAsia="zh-CN"/>
              </w:rPr>
              <w:t>位于韶关市乐昌市乐昌产业转移工业园乐园大道33号（1号厂房）</w:t>
            </w:r>
            <w:r>
              <w:rPr>
                <w:rFonts w:hint="default" w:ascii="Times New Roman" w:hAnsi="Times New Roman" w:cs="Times New Roman"/>
                <w:color w:val="auto"/>
                <w:highlight w:val="none"/>
              </w:rPr>
              <w:t>，</w:t>
            </w:r>
            <w:r>
              <w:rPr>
                <w:rFonts w:hint="eastAsia" w:cs="Times New Roman"/>
                <w:color w:val="auto"/>
                <w:highlight w:val="none"/>
                <w:lang w:val="en-US" w:eastAsia="zh-CN"/>
              </w:rPr>
              <w:t>租赁厂房进行生产建设，施工期主要为设备安装，无主体建筑施工</w:t>
            </w:r>
            <w:r>
              <w:rPr>
                <w:rFonts w:hint="default" w:ascii="Times New Roman" w:hAnsi="Times New Roman" w:cs="Times New Roman"/>
                <w:color w:val="auto"/>
                <w:highlight w:val="none"/>
                <w:lang w:eastAsia="zh-CN"/>
              </w:rPr>
              <w:t>。</w:t>
            </w:r>
          </w:p>
        </w:tc>
      </w:tr>
    </w:tbl>
    <w:p w14:paraId="4034D3F6">
      <w:pPr>
        <w:pageBreakBefore w:val="0"/>
        <w:wordWrap w:val="0"/>
        <w:overflowPunct/>
        <w:bidi w:val="0"/>
        <w:rPr>
          <w:rFonts w:hint="default" w:ascii="Times New Roman" w:hAnsi="Times New Roman" w:eastAsia="宋体" w:cs="Times New Roman"/>
          <w:color w:val="auto"/>
          <w:highlight w:val="none"/>
        </w:rPr>
      </w:pPr>
    </w:p>
    <w:p w14:paraId="5715C555">
      <w:pPr>
        <w:pageBreakBefore w:val="0"/>
        <w:wordWrap w:val="0"/>
        <w:overflowPunct/>
        <w:bidi w:val="0"/>
        <w:rPr>
          <w:rFonts w:hint="default" w:ascii="Times New Roman" w:hAnsi="Times New Roman" w:eastAsia="宋体" w:cs="Times New Roman"/>
          <w:color w:val="auto"/>
          <w:highlight w:val="none"/>
        </w:rPr>
        <w:sectPr>
          <w:pgSz w:w="11906" w:h="16838"/>
          <w:pgMar w:top="1440" w:right="1797" w:bottom="1440" w:left="1797" w:header="851" w:footer="680" w:gutter="0"/>
          <w:pgBorders>
            <w:top w:val="none" w:sz="0" w:space="0"/>
            <w:left w:val="none" w:sz="0" w:space="0"/>
            <w:bottom w:val="none" w:sz="0" w:space="0"/>
            <w:right w:val="none" w:sz="0" w:space="0"/>
          </w:pgBorders>
          <w:pgNumType w:fmt="decimal"/>
          <w:cols w:space="720" w:num="1"/>
          <w:docGrid w:type="linesAndChars" w:linePitch="312" w:charSpace="0"/>
        </w:sectPr>
      </w:pPr>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3712"/>
      </w:tblGrid>
      <w:tr w14:paraId="63E2D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9" w:hRule="atLeast"/>
        </w:trPr>
        <w:tc>
          <w:tcPr>
            <w:tcW w:w="133" w:type="pct"/>
            <w:vAlign w:val="center"/>
          </w:tcPr>
          <w:p w14:paraId="4689BD56">
            <w:pPr>
              <w:pageBreakBefore w:val="0"/>
              <w:numPr>
                <w:ilvl w:val="1"/>
                <w:numId w:val="0"/>
              </w:numPr>
              <w:tabs>
                <w:tab w:val="left" w:pos="420"/>
              </w:tabs>
              <w:wordWrap w:val="0"/>
              <w:overflowPunct/>
              <w:bidi w:val="0"/>
              <w:outlineLvl w:val="9"/>
              <w:rPr>
                <w:rFonts w:hint="default" w:ascii="Times New Roman" w:hAnsi="Times New Roman" w:cs="Times New Roman"/>
                <w:color w:val="auto"/>
                <w:highlight w:val="none"/>
              </w:rPr>
            </w:pPr>
            <w:bookmarkStart w:id="105" w:name="_Toc12228"/>
            <w:bookmarkStart w:id="106" w:name="_Toc8375"/>
            <w:bookmarkStart w:id="107" w:name="_Toc665"/>
            <w:bookmarkStart w:id="108" w:name="_Toc29600"/>
            <w:bookmarkStart w:id="109" w:name="_Toc20905"/>
            <w:bookmarkStart w:id="110" w:name="_Toc14651"/>
            <w:bookmarkStart w:id="111" w:name="_Toc15252"/>
            <w:r>
              <w:rPr>
                <w:rFonts w:hint="default" w:ascii="Times New Roman" w:hAnsi="Times New Roman" w:cs="Times New Roman"/>
                <w:color w:val="auto"/>
                <w:highlight w:val="none"/>
              </w:rPr>
              <w:t>运营期环境影响和保护措施</w:t>
            </w:r>
            <w:bookmarkEnd w:id="105"/>
            <w:bookmarkEnd w:id="106"/>
            <w:bookmarkEnd w:id="107"/>
            <w:bookmarkEnd w:id="108"/>
            <w:bookmarkEnd w:id="109"/>
            <w:bookmarkEnd w:id="110"/>
            <w:bookmarkEnd w:id="111"/>
          </w:p>
        </w:tc>
        <w:tc>
          <w:tcPr>
            <w:tcW w:w="4866" w:type="pct"/>
            <w:vAlign w:val="center"/>
          </w:tcPr>
          <w:p w14:paraId="4E9762FA">
            <w:pPr>
              <w:pStyle w:val="29"/>
              <w:pageBreakBefore w:val="0"/>
              <w:numPr>
                <w:ilvl w:val="0"/>
                <w:numId w:val="0"/>
              </w:numPr>
              <w:tabs>
                <w:tab w:val="left" w:pos="0"/>
              </w:tabs>
              <w:wordWrap w:val="0"/>
              <w:overflowPunct/>
              <w:bidi w:val="0"/>
              <w:spacing w:after="0" w:line="360" w:lineRule="auto"/>
              <w:ind w:left="0" w:leftChars="0" w:firstLine="420" w:firstLineChars="0"/>
              <w:rPr>
                <w:rFonts w:hint="eastAsia" w:cs="Times New Roman"/>
                <w:b/>
                <w:color w:val="auto"/>
                <w:sz w:val="24"/>
                <w:szCs w:val="24"/>
                <w:highlight w:val="none"/>
                <w:lang w:val="en-US" w:eastAsia="zh-CN"/>
              </w:rPr>
            </w:pPr>
            <w:r>
              <w:rPr>
                <w:rFonts w:hint="eastAsia" w:ascii="Times New Roman" w:hAnsi="Times New Roman" w:cs="Times New Roman"/>
                <w:b/>
                <w:color w:val="auto"/>
                <w:sz w:val="24"/>
                <w:szCs w:val="24"/>
                <w:highlight w:val="none"/>
                <w:lang w:val="en-US" w:eastAsia="zh-CN"/>
              </w:rPr>
              <w:t>1、废气</w:t>
            </w:r>
            <w:r>
              <w:rPr>
                <w:rFonts w:hint="eastAsia" w:cs="Times New Roman"/>
                <w:b/>
                <w:color w:val="auto"/>
                <w:sz w:val="24"/>
                <w:szCs w:val="24"/>
                <w:highlight w:val="none"/>
                <w:lang w:val="en-US" w:eastAsia="zh-CN"/>
              </w:rPr>
              <w:t>排放情况</w:t>
            </w:r>
          </w:p>
          <w:p w14:paraId="556A4F08">
            <w:pPr>
              <w:pStyle w:val="29"/>
              <w:pageBreakBefore w:val="0"/>
              <w:numPr>
                <w:ilvl w:val="0"/>
                <w:numId w:val="0"/>
              </w:numPr>
              <w:tabs>
                <w:tab w:val="left" w:pos="0"/>
              </w:tabs>
              <w:wordWrap w:val="0"/>
              <w:overflowPunct/>
              <w:bidi w:val="0"/>
              <w:spacing w:after="0" w:line="360" w:lineRule="auto"/>
              <w:ind w:left="0" w:leftChars="0" w:firstLine="420" w:firstLineChars="0"/>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snapToGrid/>
                <w:color w:val="auto"/>
                <w:spacing w:val="-4"/>
                <w:kern w:val="2"/>
                <w:sz w:val="24"/>
                <w:szCs w:val="24"/>
                <w:highlight w:val="none"/>
                <w:lang w:eastAsia="zh-CN"/>
              </w:rPr>
              <w:t>本项目营运期产生的废气主要为钣金车间的</w:t>
            </w:r>
            <w:r>
              <w:rPr>
                <w:rFonts w:hint="default" w:ascii="Times New Roman" w:hAnsi="Times New Roman" w:eastAsia="宋体" w:cs="Times New Roman"/>
                <w:snapToGrid/>
                <w:color w:val="auto"/>
                <w:spacing w:val="-4"/>
                <w:kern w:val="2"/>
                <w:sz w:val="24"/>
                <w:szCs w:val="24"/>
                <w:highlight w:val="none"/>
                <w:lang w:val="en-US" w:eastAsia="zh-CN"/>
              </w:rPr>
              <w:t>机加工粉尘</w:t>
            </w:r>
            <w:r>
              <w:rPr>
                <w:rFonts w:hint="eastAsia" w:ascii="Times New Roman" w:hAnsi="Times New Roman" w:eastAsia="宋体" w:cs="Times New Roman"/>
                <w:snapToGrid/>
                <w:color w:val="auto"/>
                <w:spacing w:val="-4"/>
                <w:kern w:val="2"/>
                <w:sz w:val="24"/>
                <w:szCs w:val="24"/>
                <w:highlight w:val="none"/>
                <w:lang w:val="en-US" w:eastAsia="zh-CN"/>
              </w:rPr>
              <w:t>（含切割粉尘、</w:t>
            </w:r>
            <w:r>
              <w:rPr>
                <w:rFonts w:hint="default" w:ascii="Times New Roman" w:hAnsi="Times New Roman" w:eastAsia="宋体" w:cs="Times New Roman"/>
                <w:snapToGrid/>
                <w:color w:val="auto"/>
                <w:spacing w:val="-4"/>
                <w:kern w:val="2"/>
                <w:sz w:val="24"/>
                <w:szCs w:val="24"/>
                <w:highlight w:val="none"/>
                <w:lang w:eastAsia="zh-CN"/>
              </w:rPr>
              <w:t>打磨抛光粉尘</w:t>
            </w:r>
            <w:r>
              <w:rPr>
                <w:rFonts w:hint="eastAsia" w:ascii="Times New Roman" w:hAnsi="Times New Roman" w:eastAsia="宋体" w:cs="Times New Roman"/>
                <w:snapToGrid/>
                <w:color w:val="auto"/>
                <w:spacing w:val="-4"/>
                <w:kern w:val="2"/>
                <w:sz w:val="24"/>
                <w:szCs w:val="24"/>
                <w:highlight w:val="none"/>
                <w:lang w:val="en-US" w:eastAsia="zh-CN"/>
              </w:rPr>
              <w:t>）</w:t>
            </w:r>
            <w:r>
              <w:rPr>
                <w:rFonts w:hint="default" w:ascii="Times New Roman" w:hAnsi="Times New Roman" w:eastAsia="宋体" w:cs="Times New Roman"/>
                <w:snapToGrid/>
                <w:color w:val="auto"/>
                <w:spacing w:val="-4"/>
                <w:kern w:val="2"/>
                <w:sz w:val="24"/>
                <w:szCs w:val="24"/>
                <w:highlight w:val="none"/>
                <w:lang w:val="en-US" w:eastAsia="zh-CN"/>
              </w:rPr>
              <w:t>、</w:t>
            </w:r>
            <w:r>
              <w:rPr>
                <w:rFonts w:hint="default" w:ascii="Times New Roman" w:hAnsi="Times New Roman" w:eastAsia="宋体" w:cs="Times New Roman"/>
                <w:snapToGrid/>
                <w:color w:val="auto"/>
                <w:spacing w:val="-4"/>
                <w:kern w:val="2"/>
                <w:sz w:val="24"/>
                <w:szCs w:val="24"/>
                <w:highlight w:val="none"/>
                <w:lang w:eastAsia="zh-CN"/>
              </w:rPr>
              <w:t>焊接烟尘；</w:t>
            </w:r>
            <w:r>
              <w:rPr>
                <w:rFonts w:hint="eastAsia" w:cs="Times New Roman"/>
                <w:snapToGrid/>
                <w:color w:val="auto"/>
                <w:spacing w:val="-4"/>
                <w:kern w:val="2"/>
                <w:sz w:val="24"/>
                <w:szCs w:val="24"/>
                <w:highlight w:val="none"/>
                <w:lang w:val="en-US" w:eastAsia="zh-CN"/>
              </w:rPr>
              <w:t>钢材</w:t>
            </w:r>
            <w:r>
              <w:rPr>
                <w:rFonts w:hint="default" w:ascii="Times New Roman" w:hAnsi="Times New Roman" w:eastAsia="宋体" w:cs="Times New Roman"/>
                <w:snapToGrid/>
                <w:color w:val="auto"/>
                <w:spacing w:val="-4"/>
                <w:kern w:val="2"/>
                <w:sz w:val="24"/>
                <w:szCs w:val="24"/>
                <w:highlight w:val="none"/>
                <w:lang w:eastAsia="zh-CN"/>
              </w:rPr>
              <w:t>表</w:t>
            </w:r>
            <w:r>
              <w:rPr>
                <w:rFonts w:hint="eastAsia" w:ascii="Times New Roman" w:hAnsi="Times New Roman" w:eastAsia="宋体" w:cs="Times New Roman"/>
                <w:snapToGrid/>
                <w:color w:val="auto"/>
                <w:spacing w:val="-4"/>
                <w:kern w:val="2"/>
                <w:sz w:val="24"/>
                <w:szCs w:val="24"/>
                <w:highlight w:val="none"/>
                <w:lang w:eastAsia="zh-CN"/>
              </w:rPr>
              <w:t>面预处理生产线的</w:t>
            </w:r>
            <w:r>
              <w:rPr>
                <w:rFonts w:hint="eastAsia" w:ascii="Times New Roman" w:hAnsi="Times New Roman" w:eastAsia="宋体" w:cs="Times New Roman"/>
                <w:snapToGrid/>
                <w:color w:val="auto"/>
                <w:spacing w:val="-4"/>
                <w:kern w:val="2"/>
                <w:sz w:val="24"/>
                <w:szCs w:val="24"/>
                <w:highlight w:val="none"/>
                <w:lang w:val="en-US" w:eastAsia="zh-CN"/>
              </w:rPr>
              <w:t>天然气</w:t>
            </w:r>
            <w:r>
              <w:rPr>
                <w:rFonts w:hint="eastAsia" w:ascii="Times New Roman" w:hAnsi="Times New Roman" w:eastAsia="宋体" w:cs="Times New Roman"/>
                <w:snapToGrid/>
                <w:color w:val="auto"/>
                <w:spacing w:val="-4"/>
                <w:kern w:val="2"/>
                <w:sz w:val="24"/>
                <w:szCs w:val="24"/>
                <w:highlight w:val="none"/>
                <w:lang w:eastAsia="zh-CN"/>
              </w:rPr>
              <w:t>燃烧废气</w:t>
            </w:r>
            <w:r>
              <w:rPr>
                <w:rFonts w:hint="eastAsia" w:cs="Times New Roman"/>
                <w:snapToGrid/>
                <w:color w:val="auto"/>
                <w:spacing w:val="-4"/>
                <w:kern w:val="2"/>
                <w:sz w:val="24"/>
                <w:szCs w:val="24"/>
                <w:highlight w:val="none"/>
                <w:lang w:val="en-US" w:eastAsia="zh-CN"/>
              </w:rPr>
              <w:t>、喷涂车间产生的喷粉粉尘、喷漆废气、丝印（含表面清洁）废气和固化废气。</w:t>
            </w:r>
            <w:r>
              <w:rPr>
                <w:rFonts w:hint="default" w:ascii="Times New Roman" w:hAnsi="Times New Roman" w:eastAsia="宋体" w:cs="Times New Roman"/>
                <w:b w:val="0"/>
                <w:bCs w:val="0"/>
                <w:color w:val="auto"/>
                <w:kern w:val="2"/>
                <w:sz w:val="24"/>
                <w:szCs w:val="24"/>
                <w:highlight w:val="none"/>
                <w:lang w:val="en-US" w:eastAsia="zh-CN" w:bidi="ar-SA"/>
              </w:rPr>
              <w:t>项目废气污染物排放情况、污染源源强核算结果及相关参数见下列一览表</w:t>
            </w:r>
          </w:p>
          <w:p w14:paraId="5C023581">
            <w:pPr>
              <w:keepNext w:val="0"/>
              <w:keepLines w:val="0"/>
              <w:pageBreakBefore w:val="0"/>
              <w:widowControl w:val="0"/>
              <w:numPr>
                <w:ilvl w:val="0"/>
                <w:numId w:val="10"/>
              </w:numPr>
              <w:kinsoku/>
              <w:wordWrap w:val="0"/>
              <w:overflowPunct/>
              <w:topLinePunct w:val="0"/>
              <w:autoSpaceDE/>
              <w:autoSpaceDN/>
              <w:bidi w:val="0"/>
              <w:adjustRightInd/>
              <w:snapToGrid/>
              <w:spacing w:line="240" w:lineRule="auto"/>
              <w:ind w:left="0" w:leftChars="0" w:hanging="1"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废气污染源源强核算结果及相关参数一览表</w:t>
            </w:r>
          </w:p>
          <w:tbl>
            <w:tblPr>
              <w:tblStyle w:val="4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5"/>
              <w:gridCol w:w="1005"/>
              <w:gridCol w:w="1169"/>
              <w:gridCol w:w="1072"/>
              <w:gridCol w:w="938"/>
              <w:gridCol w:w="872"/>
              <w:gridCol w:w="1056"/>
              <w:gridCol w:w="858"/>
              <w:gridCol w:w="847"/>
              <w:gridCol w:w="1179"/>
              <w:gridCol w:w="1038"/>
              <w:gridCol w:w="1219"/>
              <w:gridCol w:w="903"/>
            </w:tblGrid>
            <w:tr w14:paraId="2D4A2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8" w:type="dxa"/>
                  <w:vMerge w:val="restart"/>
                  <w:tcBorders>
                    <w:tl2br w:val="nil"/>
                    <w:tr2bl w:val="nil"/>
                  </w:tcBorders>
                  <w:vAlign w:val="center"/>
                </w:tcPr>
                <w:p w14:paraId="4F7C1CCE">
                  <w:pPr>
                    <w:keepNext w:val="0"/>
                    <w:keepLines w:val="0"/>
                    <w:widowControl/>
                    <w:suppressLineNumbers w:val="0"/>
                    <w:spacing w:line="240" w:lineRule="auto"/>
                    <w:jc w:val="center"/>
                    <w:textAlignment w:val="center"/>
                    <w:rPr>
                      <w:rFonts w:hint="default" w:ascii="Times New Roman" w:hAnsi="Times New Roman" w:cs="Times New Roman"/>
                      <w:b/>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污染源</w:t>
                  </w:r>
                </w:p>
              </w:tc>
              <w:tc>
                <w:tcPr>
                  <w:tcW w:w="1068" w:type="dxa"/>
                  <w:vMerge w:val="restart"/>
                  <w:tcBorders>
                    <w:tl2br w:val="nil"/>
                    <w:tr2bl w:val="nil"/>
                  </w:tcBorders>
                  <w:vAlign w:val="center"/>
                </w:tcPr>
                <w:p w14:paraId="09829341">
                  <w:pPr>
                    <w:keepNext w:val="0"/>
                    <w:keepLines w:val="0"/>
                    <w:widowControl/>
                    <w:suppressLineNumbers w:val="0"/>
                    <w:spacing w:line="240" w:lineRule="auto"/>
                    <w:jc w:val="center"/>
                    <w:textAlignment w:val="center"/>
                    <w:rPr>
                      <w:rFonts w:hint="default" w:ascii="Times New Roman" w:hAnsi="Times New Roman" w:cs="Times New Roman"/>
                      <w:b/>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污染物种类</w:t>
                  </w:r>
                </w:p>
              </w:tc>
              <w:tc>
                <w:tcPr>
                  <w:tcW w:w="3215" w:type="dxa"/>
                  <w:gridSpan w:val="3"/>
                  <w:tcBorders>
                    <w:tl2br w:val="nil"/>
                    <w:tr2bl w:val="nil"/>
                  </w:tcBorders>
                  <w:vAlign w:val="center"/>
                </w:tcPr>
                <w:p w14:paraId="3EB2D694">
                  <w:pPr>
                    <w:keepNext w:val="0"/>
                    <w:keepLines w:val="0"/>
                    <w:widowControl/>
                    <w:suppressLineNumbers w:val="0"/>
                    <w:spacing w:line="240" w:lineRule="auto"/>
                    <w:jc w:val="center"/>
                    <w:textAlignment w:val="center"/>
                    <w:rPr>
                      <w:rFonts w:hint="default" w:ascii="Times New Roman" w:hAnsi="Times New Roman" w:cs="Times New Roman"/>
                      <w:b/>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污染物产生情况</w:t>
                  </w:r>
                </w:p>
              </w:tc>
              <w:tc>
                <w:tcPr>
                  <w:tcW w:w="955" w:type="dxa"/>
                  <w:vMerge w:val="restart"/>
                  <w:tcBorders>
                    <w:tl2br w:val="nil"/>
                    <w:tr2bl w:val="nil"/>
                  </w:tcBorders>
                  <w:vAlign w:val="center"/>
                </w:tcPr>
                <w:p w14:paraId="5B5CDE30">
                  <w:pPr>
                    <w:keepNext w:val="0"/>
                    <w:keepLines w:val="0"/>
                    <w:widowControl/>
                    <w:suppressLineNumbers w:val="0"/>
                    <w:spacing w:line="240" w:lineRule="auto"/>
                    <w:jc w:val="center"/>
                    <w:textAlignment w:val="center"/>
                    <w:rPr>
                      <w:rFonts w:hint="default" w:ascii="Times New Roman" w:hAnsi="Times New Roman" w:cs="Times New Roman"/>
                      <w:b/>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排放形式</w:t>
                  </w:r>
                </w:p>
              </w:tc>
              <w:tc>
                <w:tcPr>
                  <w:tcW w:w="2658" w:type="dxa"/>
                  <w:gridSpan w:val="3"/>
                  <w:tcBorders>
                    <w:tl2br w:val="nil"/>
                    <w:tr2bl w:val="nil"/>
                  </w:tcBorders>
                  <w:vAlign w:val="center"/>
                </w:tcPr>
                <w:p w14:paraId="7D7A4EAE">
                  <w:pPr>
                    <w:keepNext w:val="0"/>
                    <w:keepLines w:val="0"/>
                    <w:widowControl/>
                    <w:suppressLineNumbers w:val="0"/>
                    <w:spacing w:line="240" w:lineRule="auto"/>
                    <w:jc w:val="center"/>
                    <w:textAlignment w:val="center"/>
                    <w:rPr>
                      <w:rFonts w:hint="default" w:ascii="Times New Roman" w:hAnsi="Times New Roman" w:cs="Times New Roman"/>
                      <w:b/>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治理设施情况</w:t>
                  </w:r>
                </w:p>
              </w:tc>
              <w:tc>
                <w:tcPr>
                  <w:tcW w:w="3316" w:type="dxa"/>
                  <w:gridSpan w:val="3"/>
                  <w:tcBorders>
                    <w:tl2br w:val="nil"/>
                    <w:tr2bl w:val="nil"/>
                  </w:tcBorders>
                  <w:vAlign w:val="center"/>
                </w:tcPr>
                <w:p w14:paraId="09922A18">
                  <w:pPr>
                    <w:keepNext w:val="0"/>
                    <w:keepLines w:val="0"/>
                    <w:widowControl/>
                    <w:suppressLineNumbers w:val="0"/>
                    <w:spacing w:line="240" w:lineRule="auto"/>
                    <w:jc w:val="center"/>
                    <w:textAlignment w:val="center"/>
                    <w:rPr>
                      <w:rFonts w:hint="default" w:ascii="Times New Roman" w:hAnsi="Times New Roman" w:cs="Times New Roman"/>
                      <w:b/>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污染物排放情况</w:t>
                  </w:r>
                </w:p>
              </w:tc>
              <w:tc>
                <w:tcPr>
                  <w:tcW w:w="931" w:type="dxa"/>
                  <w:vMerge w:val="restart"/>
                  <w:tcBorders>
                    <w:tl2br w:val="nil"/>
                    <w:tr2bl w:val="nil"/>
                  </w:tcBorders>
                  <w:vAlign w:val="center"/>
                </w:tcPr>
                <w:p w14:paraId="4EC7CDCB">
                  <w:pPr>
                    <w:keepNext w:val="0"/>
                    <w:keepLines w:val="0"/>
                    <w:widowControl/>
                    <w:suppressLineNumbers w:val="0"/>
                    <w:spacing w:line="240" w:lineRule="auto"/>
                    <w:jc w:val="center"/>
                    <w:textAlignment w:val="center"/>
                    <w:rPr>
                      <w:rFonts w:hint="default" w:ascii="Times New Roman" w:hAnsi="Times New Roman" w:cs="Times New Roman"/>
                      <w:b/>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排放时间（h）</w:t>
                  </w:r>
                </w:p>
              </w:tc>
            </w:tr>
            <w:tr w14:paraId="08856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8" w:type="dxa"/>
                  <w:vMerge w:val="continue"/>
                  <w:tcBorders>
                    <w:tl2br w:val="nil"/>
                    <w:tr2bl w:val="nil"/>
                  </w:tcBorders>
                  <w:vAlign w:val="center"/>
                </w:tcPr>
                <w:p w14:paraId="3064AD91">
                  <w:pPr>
                    <w:spacing w:line="240" w:lineRule="auto"/>
                    <w:jc w:val="center"/>
                    <w:rPr>
                      <w:rFonts w:hint="default" w:ascii="Times New Roman" w:hAnsi="Times New Roman" w:cs="Times New Roman"/>
                      <w:b/>
                      <w:color w:val="auto"/>
                      <w:sz w:val="21"/>
                      <w:szCs w:val="21"/>
                      <w:highlight w:val="none"/>
                    </w:rPr>
                  </w:pPr>
                </w:p>
              </w:tc>
              <w:tc>
                <w:tcPr>
                  <w:tcW w:w="1068" w:type="dxa"/>
                  <w:vMerge w:val="continue"/>
                  <w:tcBorders>
                    <w:tl2br w:val="nil"/>
                    <w:tr2bl w:val="nil"/>
                  </w:tcBorders>
                  <w:vAlign w:val="center"/>
                </w:tcPr>
                <w:p w14:paraId="5AAD6B95">
                  <w:pPr>
                    <w:spacing w:line="240" w:lineRule="auto"/>
                    <w:jc w:val="center"/>
                    <w:rPr>
                      <w:rFonts w:hint="default" w:ascii="Times New Roman" w:hAnsi="Times New Roman" w:cs="Times New Roman"/>
                      <w:b/>
                      <w:color w:val="auto"/>
                      <w:sz w:val="21"/>
                      <w:szCs w:val="21"/>
                      <w:highlight w:val="none"/>
                    </w:rPr>
                  </w:pPr>
                </w:p>
              </w:tc>
              <w:tc>
                <w:tcPr>
                  <w:tcW w:w="1225" w:type="dxa"/>
                  <w:vMerge w:val="restart"/>
                  <w:tcBorders>
                    <w:tl2br w:val="nil"/>
                    <w:tr2bl w:val="nil"/>
                  </w:tcBorders>
                  <w:vAlign w:val="center"/>
                </w:tcPr>
                <w:p w14:paraId="54175116">
                  <w:pPr>
                    <w:keepNext w:val="0"/>
                    <w:keepLines w:val="0"/>
                    <w:widowControl/>
                    <w:suppressLineNumbers w:val="0"/>
                    <w:spacing w:line="240" w:lineRule="auto"/>
                    <w:jc w:val="center"/>
                    <w:textAlignment w:val="center"/>
                    <w:rPr>
                      <w:rFonts w:hint="default" w:ascii="Times New Roman" w:hAnsi="Times New Roman" w:cs="Times New Roman"/>
                      <w:b/>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产生量（t/a）</w:t>
                  </w:r>
                </w:p>
              </w:tc>
              <w:tc>
                <w:tcPr>
                  <w:tcW w:w="1079" w:type="dxa"/>
                  <w:vMerge w:val="restart"/>
                  <w:tcBorders>
                    <w:tl2br w:val="nil"/>
                    <w:tr2bl w:val="nil"/>
                  </w:tcBorders>
                  <w:vAlign w:val="center"/>
                </w:tcPr>
                <w:p w14:paraId="0ABF5303">
                  <w:pPr>
                    <w:keepNext w:val="0"/>
                    <w:keepLines w:val="0"/>
                    <w:widowControl/>
                    <w:suppressLineNumbers w:val="0"/>
                    <w:spacing w:line="240" w:lineRule="auto"/>
                    <w:jc w:val="center"/>
                    <w:textAlignment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产生速率（kg/h）</w:t>
                  </w:r>
                </w:p>
              </w:tc>
              <w:tc>
                <w:tcPr>
                  <w:tcW w:w="911" w:type="dxa"/>
                  <w:vMerge w:val="restart"/>
                  <w:tcBorders>
                    <w:tl2br w:val="nil"/>
                    <w:tr2bl w:val="nil"/>
                  </w:tcBorders>
                  <w:vAlign w:val="center"/>
                </w:tcPr>
                <w:p w14:paraId="277EC888">
                  <w:pPr>
                    <w:keepNext w:val="0"/>
                    <w:keepLines w:val="0"/>
                    <w:widowControl/>
                    <w:suppressLineNumbers w:val="0"/>
                    <w:spacing w:line="240" w:lineRule="auto"/>
                    <w:jc w:val="center"/>
                    <w:textAlignment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产生浓度(mg/m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highlight w:val="none"/>
                      <w:u w:val="none"/>
                      <w:lang w:val="en-US" w:eastAsia="zh-CN" w:bidi="ar"/>
                    </w:rPr>
                    <w:t>)</w:t>
                  </w:r>
                </w:p>
              </w:tc>
              <w:tc>
                <w:tcPr>
                  <w:tcW w:w="955" w:type="dxa"/>
                  <w:vMerge w:val="continue"/>
                  <w:tcBorders>
                    <w:tl2br w:val="nil"/>
                    <w:tr2bl w:val="nil"/>
                  </w:tcBorders>
                  <w:vAlign w:val="center"/>
                </w:tcPr>
                <w:p w14:paraId="7E5444DB">
                  <w:pPr>
                    <w:spacing w:line="240" w:lineRule="auto"/>
                    <w:jc w:val="center"/>
                    <w:rPr>
                      <w:rFonts w:hint="default" w:ascii="Times New Roman" w:hAnsi="Times New Roman" w:cs="Times New Roman"/>
                      <w:b/>
                      <w:color w:val="auto"/>
                      <w:sz w:val="21"/>
                      <w:szCs w:val="21"/>
                      <w:highlight w:val="none"/>
                    </w:rPr>
                  </w:pPr>
                </w:p>
              </w:tc>
              <w:tc>
                <w:tcPr>
                  <w:tcW w:w="886" w:type="dxa"/>
                  <w:vMerge w:val="restart"/>
                  <w:tcBorders>
                    <w:tl2br w:val="nil"/>
                    <w:tr2bl w:val="nil"/>
                  </w:tcBorders>
                  <w:vAlign w:val="center"/>
                </w:tcPr>
                <w:p w14:paraId="5DF7FF0B">
                  <w:pPr>
                    <w:keepNext w:val="0"/>
                    <w:keepLines w:val="0"/>
                    <w:widowControl/>
                    <w:suppressLineNumbers w:val="0"/>
                    <w:spacing w:line="240" w:lineRule="auto"/>
                    <w:jc w:val="center"/>
                    <w:textAlignment w:val="center"/>
                    <w:rPr>
                      <w:rFonts w:hint="default" w:ascii="Times New Roman" w:hAnsi="Times New Roman" w:cs="Times New Roman"/>
                      <w:b/>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处理能力（m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highlight w:val="none"/>
                      <w:u w:val="none"/>
                      <w:lang w:val="en-US" w:eastAsia="zh-CN" w:bidi="ar"/>
                    </w:rPr>
                    <w:t>/h）</w:t>
                  </w:r>
                </w:p>
              </w:tc>
              <w:tc>
                <w:tcPr>
                  <w:tcW w:w="886" w:type="dxa"/>
                  <w:vMerge w:val="restart"/>
                  <w:tcBorders>
                    <w:tl2br w:val="nil"/>
                    <w:tr2bl w:val="nil"/>
                  </w:tcBorders>
                  <w:vAlign w:val="center"/>
                </w:tcPr>
                <w:p w14:paraId="7097E37E">
                  <w:pPr>
                    <w:keepNext w:val="0"/>
                    <w:keepLines w:val="0"/>
                    <w:widowControl/>
                    <w:suppressLineNumbers w:val="0"/>
                    <w:spacing w:line="240" w:lineRule="auto"/>
                    <w:jc w:val="center"/>
                    <w:textAlignment w:val="center"/>
                    <w:rPr>
                      <w:rFonts w:hint="default" w:ascii="Times New Roman" w:hAnsi="Times New Roman" w:cs="Times New Roman"/>
                      <w:b/>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收集效率</w:t>
                  </w:r>
                </w:p>
              </w:tc>
              <w:tc>
                <w:tcPr>
                  <w:tcW w:w="886" w:type="dxa"/>
                  <w:vMerge w:val="restart"/>
                  <w:tcBorders>
                    <w:tl2br w:val="nil"/>
                    <w:tr2bl w:val="nil"/>
                  </w:tcBorders>
                  <w:vAlign w:val="center"/>
                </w:tcPr>
                <w:p w14:paraId="586FD075">
                  <w:pPr>
                    <w:keepNext w:val="0"/>
                    <w:keepLines w:val="0"/>
                    <w:widowControl/>
                    <w:suppressLineNumbers w:val="0"/>
                    <w:spacing w:line="240" w:lineRule="auto"/>
                    <w:jc w:val="center"/>
                    <w:textAlignment w:val="center"/>
                    <w:rPr>
                      <w:rFonts w:hint="default" w:ascii="Times New Roman" w:hAnsi="Times New Roman" w:cs="Times New Roman"/>
                      <w:b/>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去除率</w:t>
                  </w:r>
                </w:p>
              </w:tc>
              <w:tc>
                <w:tcPr>
                  <w:tcW w:w="1237" w:type="dxa"/>
                  <w:vMerge w:val="restart"/>
                  <w:tcBorders>
                    <w:tl2br w:val="nil"/>
                    <w:tr2bl w:val="nil"/>
                  </w:tcBorders>
                  <w:vAlign w:val="center"/>
                </w:tcPr>
                <w:p w14:paraId="0372D48A">
                  <w:pPr>
                    <w:keepNext w:val="0"/>
                    <w:keepLines w:val="0"/>
                    <w:widowControl/>
                    <w:suppressLineNumbers w:val="0"/>
                    <w:spacing w:line="240" w:lineRule="auto"/>
                    <w:jc w:val="center"/>
                    <w:textAlignment w:val="center"/>
                    <w:rPr>
                      <w:rFonts w:hint="default" w:ascii="Times New Roman" w:hAnsi="Times New Roman" w:cs="Times New Roman"/>
                      <w:b/>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排放量（t/a）</w:t>
                  </w:r>
                </w:p>
              </w:tc>
              <w:tc>
                <w:tcPr>
                  <w:tcW w:w="1039" w:type="dxa"/>
                  <w:vMerge w:val="restart"/>
                  <w:tcBorders>
                    <w:tl2br w:val="nil"/>
                    <w:tr2bl w:val="nil"/>
                  </w:tcBorders>
                  <w:vAlign w:val="center"/>
                </w:tcPr>
                <w:p w14:paraId="6DB6F9A7">
                  <w:pPr>
                    <w:keepNext w:val="0"/>
                    <w:keepLines w:val="0"/>
                    <w:widowControl/>
                    <w:suppressLineNumbers w:val="0"/>
                    <w:spacing w:line="240" w:lineRule="auto"/>
                    <w:jc w:val="center"/>
                    <w:textAlignment w:val="center"/>
                    <w:rPr>
                      <w:rFonts w:hint="default" w:ascii="Times New Roman" w:hAnsi="Times New Roman" w:cs="Times New Roman"/>
                      <w:b/>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排放速率（kg/h）</w:t>
                  </w:r>
                </w:p>
              </w:tc>
              <w:tc>
                <w:tcPr>
                  <w:tcW w:w="1040" w:type="dxa"/>
                  <w:tcBorders>
                    <w:tl2br w:val="nil"/>
                    <w:tr2bl w:val="nil"/>
                  </w:tcBorders>
                  <w:vAlign w:val="center"/>
                </w:tcPr>
                <w:p w14:paraId="3C468990">
                  <w:pPr>
                    <w:keepNext w:val="0"/>
                    <w:keepLines w:val="0"/>
                    <w:widowControl/>
                    <w:suppressLineNumbers w:val="0"/>
                    <w:spacing w:line="240" w:lineRule="auto"/>
                    <w:jc w:val="center"/>
                    <w:textAlignment w:val="center"/>
                    <w:rPr>
                      <w:rFonts w:hint="default" w:ascii="Times New Roman" w:hAnsi="Times New Roman" w:cs="Times New Roman"/>
                      <w:b/>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排放浓度</w:t>
                  </w:r>
                </w:p>
              </w:tc>
              <w:tc>
                <w:tcPr>
                  <w:tcW w:w="931" w:type="dxa"/>
                  <w:vMerge w:val="continue"/>
                  <w:tcBorders>
                    <w:tl2br w:val="nil"/>
                    <w:tr2bl w:val="nil"/>
                  </w:tcBorders>
                  <w:vAlign w:val="center"/>
                </w:tcPr>
                <w:p w14:paraId="7EEE811B">
                  <w:pPr>
                    <w:spacing w:line="240" w:lineRule="auto"/>
                    <w:jc w:val="center"/>
                    <w:rPr>
                      <w:rFonts w:hint="default" w:ascii="Times New Roman" w:hAnsi="Times New Roman" w:cs="Times New Roman"/>
                      <w:b/>
                      <w:color w:val="auto"/>
                      <w:sz w:val="21"/>
                      <w:szCs w:val="21"/>
                      <w:highlight w:val="none"/>
                    </w:rPr>
                  </w:pPr>
                </w:p>
              </w:tc>
            </w:tr>
            <w:tr w14:paraId="37084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8" w:type="dxa"/>
                  <w:vMerge w:val="continue"/>
                  <w:tcBorders>
                    <w:tl2br w:val="nil"/>
                    <w:tr2bl w:val="nil"/>
                  </w:tcBorders>
                  <w:vAlign w:val="center"/>
                </w:tcPr>
                <w:p w14:paraId="6CF24704">
                  <w:pPr>
                    <w:spacing w:line="240" w:lineRule="auto"/>
                    <w:jc w:val="center"/>
                    <w:rPr>
                      <w:rFonts w:hint="default" w:ascii="Times New Roman" w:hAnsi="Times New Roman" w:eastAsia="宋体" w:cs="Times New Roman"/>
                      <w:bCs/>
                      <w:color w:val="auto"/>
                      <w:sz w:val="21"/>
                      <w:szCs w:val="21"/>
                      <w:highlight w:val="none"/>
                      <w:lang w:val="en-US" w:eastAsia="zh-CN"/>
                    </w:rPr>
                  </w:pPr>
                </w:p>
              </w:tc>
              <w:tc>
                <w:tcPr>
                  <w:tcW w:w="1068" w:type="dxa"/>
                  <w:vMerge w:val="continue"/>
                  <w:tcBorders>
                    <w:tl2br w:val="nil"/>
                    <w:tr2bl w:val="nil"/>
                  </w:tcBorders>
                  <w:vAlign w:val="center"/>
                </w:tcPr>
                <w:p w14:paraId="4DE5373D">
                  <w:pPr>
                    <w:spacing w:line="240" w:lineRule="auto"/>
                    <w:jc w:val="center"/>
                    <w:rPr>
                      <w:rFonts w:hint="default" w:ascii="Times New Roman" w:hAnsi="Times New Roman" w:cs="Times New Roman"/>
                      <w:bCs/>
                      <w:color w:val="auto"/>
                      <w:sz w:val="21"/>
                      <w:szCs w:val="21"/>
                      <w:highlight w:val="none"/>
                    </w:rPr>
                  </w:pPr>
                </w:p>
              </w:tc>
              <w:tc>
                <w:tcPr>
                  <w:tcW w:w="1225" w:type="dxa"/>
                  <w:vMerge w:val="continue"/>
                  <w:tcBorders>
                    <w:tl2br w:val="nil"/>
                    <w:tr2bl w:val="nil"/>
                  </w:tcBorders>
                  <w:vAlign w:val="center"/>
                </w:tcPr>
                <w:p w14:paraId="31BF8FFD">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c>
                <w:tcPr>
                  <w:tcW w:w="1079" w:type="dxa"/>
                  <w:vMerge w:val="continue"/>
                  <w:tcBorders>
                    <w:tl2br w:val="nil"/>
                    <w:tr2bl w:val="nil"/>
                  </w:tcBorders>
                  <w:vAlign w:val="center"/>
                </w:tcPr>
                <w:p w14:paraId="478A37BC">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c>
                <w:tcPr>
                  <w:tcW w:w="911" w:type="dxa"/>
                  <w:vMerge w:val="continue"/>
                  <w:tcBorders>
                    <w:tl2br w:val="nil"/>
                    <w:tr2bl w:val="nil"/>
                  </w:tcBorders>
                  <w:vAlign w:val="center"/>
                </w:tcPr>
                <w:p w14:paraId="7594F57C">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c>
                <w:tcPr>
                  <w:tcW w:w="955" w:type="dxa"/>
                  <w:vMerge w:val="continue"/>
                  <w:tcBorders>
                    <w:tl2br w:val="nil"/>
                    <w:tr2bl w:val="nil"/>
                  </w:tcBorders>
                  <w:vAlign w:val="center"/>
                </w:tcPr>
                <w:p w14:paraId="6DFD0F14">
                  <w:pPr>
                    <w:spacing w:line="240" w:lineRule="auto"/>
                    <w:jc w:val="center"/>
                    <w:rPr>
                      <w:rFonts w:hint="default" w:ascii="Times New Roman" w:hAnsi="Times New Roman" w:cs="Times New Roman"/>
                      <w:bCs/>
                      <w:color w:val="auto"/>
                      <w:kern w:val="2"/>
                      <w:sz w:val="21"/>
                      <w:szCs w:val="21"/>
                      <w:highlight w:val="none"/>
                      <w:lang w:val="en-US" w:eastAsia="zh-CN" w:bidi="ar-SA"/>
                    </w:rPr>
                  </w:pPr>
                </w:p>
              </w:tc>
              <w:tc>
                <w:tcPr>
                  <w:tcW w:w="886" w:type="dxa"/>
                  <w:vMerge w:val="continue"/>
                  <w:tcBorders>
                    <w:tl2br w:val="nil"/>
                    <w:tr2bl w:val="nil"/>
                  </w:tcBorders>
                  <w:vAlign w:val="center"/>
                </w:tcPr>
                <w:p w14:paraId="07B65D3F">
                  <w:pPr>
                    <w:spacing w:line="240" w:lineRule="auto"/>
                    <w:jc w:val="center"/>
                    <w:rPr>
                      <w:rFonts w:hint="default" w:ascii="Times New Roman" w:hAnsi="Times New Roman" w:cs="Times New Roman"/>
                      <w:bCs/>
                      <w:color w:val="auto"/>
                      <w:kern w:val="2"/>
                      <w:sz w:val="21"/>
                      <w:szCs w:val="21"/>
                      <w:highlight w:val="none"/>
                      <w:lang w:val="en-US" w:eastAsia="zh-CN" w:bidi="ar-SA"/>
                    </w:rPr>
                  </w:pPr>
                </w:p>
              </w:tc>
              <w:tc>
                <w:tcPr>
                  <w:tcW w:w="886" w:type="dxa"/>
                  <w:vMerge w:val="continue"/>
                  <w:tcBorders>
                    <w:tl2br w:val="nil"/>
                    <w:tr2bl w:val="nil"/>
                  </w:tcBorders>
                  <w:vAlign w:val="center"/>
                </w:tcPr>
                <w:p w14:paraId="344CD450">
                  <w:pPr>
                    <w:spacing w:line="240" w:lineRule="auto"/>
                    <w:jc w:val="center"/>
                    <w:rPr>
                      <w:rFonts w:hint="default" w:ascii="Times New Roman" w:hAnsi="Times New Roman" w:cs="Times New Roman"/>
                      <w:bCs/>
                      <w:color w:val="auto"/>
                      <w:kern w:val="2"/>
                      <w:sz w:val="21"/>
                      <w:szCs w:val="21"/>
                      <w:highlight w:val="none"/>
                      <w:lang w:val="en-US" w:eastAsia="zh-CN" w:bidi="ar-SA"/>
                    </w:rPr>
                  </w:pPr>
                </w:p>
              </w:tc>
              <w:tc>
                <w:tcPr>
                  <w:tcW w:w="886" w:type="dxa"/>
                  <w:vMerge w:val="continue"/>
                  <w:tcBorders>
                    <w:tl2br w:val="nil"/>
                    <w:tr2bl w:val="nil"/>
                  </w:tcBorders>
                  <w:vAlign w:val="center"/>
                </w:tcPr>
                <w:p w14:paraId="7C4B318E">
                  <w:pPr>
                    <w:spacing w:line="240" w:lineRule="auto"/>
                    <w:jc w:val="center"/>
                    <w:rPr>
                      <w:rFonts w:hint="default" w:ascii="Times New Roman" w:hAnsi="Times New Roman" w:cs="Times New Roman"/>
                      <w:bCs/>
                      <w:color w:val="auto"/>
                      <w:kern w:val="2"/>
                      <w:sz w:val="21"/>
                      <w:szCs w:val="21"/>
                      <w:highlight w:val="none"/>
                      <w:lang w:val="en-US" w:eastAsia="zh-CN" w:bidi="ar-SA"/>
                    </w:rPr>
                  </w:pPr>
                </w:p>
              </w:tc>
              <w:tc>
                <w:tcPr>
                  <w:tcW w:w="1237" w:type="dxa"/>
                  <w:vMerge w:val="continue"/>
                  <w:tcBorders>
                    <w:tl2br w:val="nil"/>
                    <w:tr2bl w:val="nil"/>
                  </w:tcBorders>
                  <w:vAlign w:val="center"/>
                </w:tcPr>
                <w:p w14:paraId="6EA49A53">
                  <w:pPr>
                    <w:spacing w:line="240" w:lineRule="auto"/>
                    <w:jc w:val="center"/>
                    <w:rPr>
                      <w:rFonts w:hint="default" w:ascii="Times New Roman" w:hAnsi="Times New Roman" w:cs="Times New Roman"/>
                      <w:bCs/>
                      <w:color w:val="auto"/>
                      <w:kern w:val="2"/>
                      <w:sz w:val="21"/>
                      <w:szCs w:val="21"/>
                      <w:highlight w:val="none"/>
                      <w:lang w:val="en-US" w:eastAsia="zh-CN" w:bidi="ar-SA"/>
                    </w:rPr>
                  </w:pPr>
                </w:p>
              </w:tc>
              <w:tc>
                <w:tcPr>
                  <w:tcW w:w="1039" w:type="dxa"/>
                  <w:vMerge w:val="continue"/>
                  <w:tcBorders>
                    <w:tl2br w:val="nil"/>
                    <w:tr2bl w:val="nil"/>
                  </w:tcBorders>
                  <w:vAlign w:val="center"/>
                </w:tcPr>
                <w:p w14:paraId="011A744F">
                  <w:pPr>
                    <w:spacing w:line="240" w:lineRule="auto"/>
                    <w:jc w:val="center"/>
                    <w:rPr>
                      <w:rFonts w:hint="default" w:ascii="Times New Roman" w:hAnsi="Times New Roman" w:cs="Times New Roman"/>
                      <w:bCs/>
                      <w:color w:val="auto"/>
                      <w:kern w:val="2"/>
                      <w:sz w:val="21"/>
                      <w:szCs w:val="21"/>
                      <w:highlight w:val="none"/>
                      <w:lang w:val="en-US" w:eastAsia="zh-CN" w:bidi="ar-SA"/>
                    </w:rPr>
                  </w:pPr>
                </w:p>
              </w:tc>
              <w:tc>
                <w:tcPr>
                  <w:tcW w:w="1040" w:type="dxa"/>
                  <w:tcBorders>
                    <w:tl2br w:val="nil"/>
                    <w:tr2bl w:val="nil"/>
                  </w:tcBorders>
                  <w:vAlign w:val="center"/>
                </w:tcPr>
                <w:p w14:paraId="6F6A74AB">
                  <w:pPr>
                    <w:keepNext w:val="0"/>
                    <w:keepLines w:val="0"/>
                    <w:widowControl/>
                    <w:suppressLineNumbers w:val="0"/>
                    <w:spacing w:line="240" w:lineRule="auto"/>
                    <w:jc w:val="center"/>
                    <w:textAlignment w:val="center"/>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（mg/m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highlight w:val="none"/>
                      <w:u w:val="none"/>
                      <w:lang w:val="en-US" w:eastAsia="zh-CN" w:bidi="ar"/>
                    </w:rPr>
                    <w:t>）</w:t>
                  </w:r>
                </w:p>
              </w:tc>
              <w:tc>
                <w:tcPr>
                  <w:tcW w:w="931" w:type="dxa"/>
                  <w:vMerge w:val="continue"/>
                  <w:tcBorders>
                    <w:tl2br w:val="nil"/>
                    <w:tr2bl w:val="nil"/>
                  </w:tcBorders>
                  <w:vAlign w:val="center"/>
                </w:tcPr>
                <w:p w14:paraId="7F4170AA">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r>
            <w:tr w14:paraId="1B989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8" w:type="dxa"/>
                  <w:tcBorders>
                    <w:tl2br w:val="nil"/>
                    <w:tr2bl w:val="nil"/>
                  </w:tcBorders>
                  <w:vAlign w:val="center"/>
                </w:tcPr>
                <w:p w14:paraId="16DB9F5F">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切割粉尘</w:t>
                  </w:r>
                </w:p>
              </w:tc>
              <w:tc>
                <w:tcPr>
                  <w:tcW w:w="1068" w:type="dxa"/>
                  <w:tcBorders>
                    <w:tl2br w:val="nil"/>
                    <w:tr2bl w:val="nil"/>
                  </w:tcBorders>
                  <w:vAlign w:val="center"/>
                </w:tcPr>
                <w:p w14:paraId="52402CF5">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225" w:type="dxa"/>
                  <w:tcBorders>
                    <w:tl2br w:val="nil"/>
                    <w:tr2bl w:val="nil"/>
                  </w:tcBorders>
                  <w:vAlign w:val="center"/>
                </w:tcPr>
                <w:p w14:paraId="436BF17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0.167 </w:t>
                  </w:r>
                </w:p>
              </w:tc>
              <w:tc>
                <w:tcPr>
                  <w:tcW w:w="1079" w:type="dxa"/>
                  <w:tcBorders>
                    <w:tl2br w:val="nil"/>
                    <w:tr2bl w:val="nil"/>
                  </w:tcBorders>
                  <w:vAlign w:val="center"/>
                </w:tcPr>
                <w:p w14:paraId="4B22696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0.056 </w:t>
                  </w:r>
                </w:p>
              </w:tc>
              <w:tc>
                <w:tcPr>
                  <w:tcW w:w="911" w:type="dxa"/>
                  <w:tcBorders>
                    <w:tl2br w:val="nil"/>
                    <w:tr2bl w:val="nil"/>
                  </w:tcBorders>
                  <w:vAlign w:val="center"/>
                </w:tcPr>
                <w:p w14:paraId="711EA20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55" w:type="dxa"/>
                  <w:tcBorders>
                    <w:tl2br w:val="nil"/>
                    <w:tr2bl w:val="nil"/>
                  </w:tcBorders>
                  <w:vAlign w:val="center"/>
                </w:tcPr>
                <w:p w14:paraId="01FBACE4">
                  <w:pPr>
                    <w:keepNext w:val="0"/>
                    <w:keepLines w:val="0"/>
                    <w:widowControl/>
                    <w:suppressLineNumbers w:val="0"/>
                    <w:spacing w:line="240" w:lineRule="auto"/>
                    <w:jc w:val="center"/>
                    <w:textAlignment w:val="center"/>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无组织</w:t>
                  </w:r>
                </w:p>
              </w:tc>
              <w:tc>
                <w:tcPr>
                  <w:tcW w:w="886" w:type="dxa"/>
                  <w:tcBorders>
                    <w:tl2br w:val="nil"/>
                    <w:tr2bl w:val="nil"/>
                  </w:tcBorders>
                  <w:vAlign w:val="center"/>
                </w:tcPr>
                <w:p w14:paraId="3B10FA08">
                  <w:pPr>
                    <w:keepNext w:val="0"/>
                    <w:keepLines w:val="0"/>
                    <w:widowControl/>
                    <w:suppressLineNumbers w:val="0"/>
                    <w:spacing w:line="240" w:lineRule="auto"/>
                    <w:jc w:val="center"/>
                    <w:textAlignment w:val="center"/>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86" w:type="dxa"/>
                  <w:tcBorders>
                    <w:tl2br w:val="nil"/>
                    <w:tr2bl w:val="nil"/>
                  </w:tcBorders>
                  <w:vAlign w:val="center"/>
                </w:tcPr>
                <w:p w14:paraId="193D19FC">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86" w:type="dxa"/>
                  <w:tcBorders>
                    <w:tl2br w:val="nil"/>
                    <w:tr2bl w:val="nil"/>
                  </w:tcBorders>
                  <w:vAlign w:val="center"/>
                </w:tcPr>
                <w:p w14:paraId="5EE1B304">
                  <w:pPr>
                    <w:keepNext w:val="0"/>
                    <w:keepLines w:val="0"/>
                    <w:widowControl/>
                    <w:suppressLineNumbers w:val="0"/>
                    <w:spacing w:line="240" w:lineRule="auto"/>
                    <w:jc w:val="center"/>
                    <w:textAlignment w:val="center"/>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7" w:type="dxa"/>
                  <w:tcBorders>
                    <w:tl2br w:val="nil"/>
                    <w:tr2bl w:val="nil"/>
                  </w:tcBorders>
                  <w:vAlign w:val="center"/>
                </w:tcPr>
                <w:p w14:paraId="30DD710F">
                  <w:pPr>
                    <w:keepNext w:val="0"/>
                    <w:keepLines w:val="0"/>
                    <w:widowControl/>
                    <w:suppressLineNumbers w:val="0"/>
                    <w:spacing w:line="240" w:lineRule="auto"/>
                    <w:jc w:val="center"/>
                    <w:textAlignment w:val="center"/>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0.167 </w:t>
                  </w:r>
                </w:p>
              </w:tc>
              <w:tc>
                <w:tcPr>
                  <w:tcW w:w="1039" w:type="dxa"/>
                  <w:tcBorders>
                    <w:tl2br w:val="nil"/>
                    <w:tr2bl w:val="nil"/>
                  </w:tcBorders>
                  <w:vAlign w:val="center"/>
                </w:tcPr>
                <w:p w14:paraId="478C3B12">
                  <w:pPr>
                    <w:keepNext w:val="0"/>
                    <w:keepLines w:val="0"/>
                    <w:widowControl/>
                    <w:suppressLineNumbers w:val="0"/>
                    <w:spacing w:line="240" w:lineRule="auto"/>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0.056 </w:t>
                  </w:r>
                </w:p>
              </w:tc>
              <w:tc>
                <w:tcPr>
                  <w:tcW w:w="1040" w:type="dxa"/>
                  <w:tcBorders>
                    <w:tl2br w:val="nil"/>
                    <w:tr2bl w:val="nil"/>
                  </w:tcBorders>
                  <w:vAlign w:val="center"/>
                </w:tcPr>
                <w:p w14:paraId="090404C6">
                  <w:pPr>
                    <w:keepNext w:val="0"/>
                    <w:keepLines w:val="0"/>
                    <w:widowControl/>
                    <w:suppressLineNumbers w:val="0"/>
                    <w:spacing w:line="240" w:lineRule="auto"/>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31" w:type="dxa"/>
                  <w:tcBorders>
                    <w:tl2br w:val="nil"/>
                    <w:tr2bl w:val="nil"/>
                  </w:tcBorders>
                  <w:vAlign w:val="center"/>
                </w:tcPr>
                <w:p w14:paraId="0F7DFAAA">
                  <w:pPr>
                    <w:keepNext w:val="0"/>
                    <w:keepLines w:val="0"/>
                    <w:widowControl/>
                    <w:suppressLineNumbers w:val="0"/>
                    <w:spacing w:line="240" w:lineRule="auto"/>
                    <w:jc w:val="center"/>
                    <w:textAlignment w:val="center"/>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3000</w:t>
                  </w:r>
                </w:p>
              </w:tc>
            </w:tr>
            <w:tr w14:paraId="59452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8" w:type="dxa"/>
                  <w:tcBorders>
                    <w:tl2br w:val="nil"/>
                    <w:tr2bl w:val="nil"/>
                  </w:tcBorders>
                  <w:vAlign w:val="center"/>
                </w:tcPr>
                <w:p w14:paraId="33C4B12F">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焊接烟尘</w:t>
                  </w:r>
                </w:p>
              </w:tc>
              <w:tc>
                <w:tcPr>
                  <w:tcW w:w="1068" w:type="dxa"/>
                  <w:tcBorders>
                    <w:tl2br w:val="nil"/>
                    <w:tr2bl w:val="nil"/>
                  </w:tcBorders>
                  <w:vAlign w:val="center"/>
                </w:tcPr>
                <w:p w14:paraId="4ED4DCF1">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225" w:type="dxa"/>
                  <w:tcBorders>
                    <w:tl2br w:val="nil"/>
                    <w:tr2bl w:val="nil"/>
                  </w:tcBorders>
                  <w:vAlign w:val="center"/>
                </w:tcPr>
                <w:p w14:paraId="46CE4D2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0.012 </w:t>
                  </w:r>
                </w:p>
              </w:tc>
              <w:tc>
                <w:tcPr>
                  <w:tcW w:w="1079" w:type="dxa"/>
                  <w:tcBorders>
                    <w:tl2br w:val="nil"/>
                    <w:tr2bl w:val="nil"/>
                  </w:tcBorders>
                  <w:vAlign w:val="center"/>
                </w:tcPr>
                <w:p w14:paraId="60B489D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0.004 </w:t>
                  </w:r>
                </w:p>
              </w:tc>
              <w:tc>
                <w:tcPr>
                  <w:tcW w:w="911" w:type="dxa"/>
                  <w:tcBorders>
                    <w:tl2br w:val="nil"/>
                    <w:tr2bl w:val="nil"/>
                  </w:tcBorders>
                  <w:vAlign w:val="center"/>
                </w:tcPr>
                <w:p w14:paraId="60216A8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55" w:type="dxa"/>
                  <w:tcBorders>
                    <w:tl2br w:val="nil"/>
                    <w:tr2bl w:val="nil"/>
                  </w:tcBorders>
                  <w:vAlign w:val="center"/>
                </w:tcPr>
                <w:p w14:paraId="207C8B9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无组织</w:t>
                  </w:r>
                </w:p>
              </w:tc>
              <w:tc>
                <w:tcPr>
                  <w:tcW w:w="886" w:type="dxa"/>
                  <w:tcBorders>
                    <w:tl2br w:val="nil"/>
                    <w:tr2bl w:val="nil"/>
                  </w:tcBorders>
                  <w:vAlign w:val="center"/>
                </w:tcPr>
                <w:p w14:paraId="4425C05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86" w:type="dxa"/>
                  <w:tcBorders>
                    <w:tl2br w:val="nil"/>
                    <w:tr2bl w:val="nil"/>
                  </w:tcBorders>
                  <w:vAlign w:val="center"/>
                </w:tcPr>
                <w:p w14:paraId="6284639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86" w:type="dxa"/>
                  <w:tcBorders>
                    <w:tl2br w:val="nil"/>
                    <w:tr2bl w:val="nil"/>
                  </w:tcBorders>
                  <w:vAlign w:val="center"/>
                </w:tcPr>
                <w:p w14:paraId="7A8FF07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7" w:type="dxa"/>
                  <w:tcBorders>
                    <w:tl2br w:val="nil"/>
                    <w:tr2bl w:val="nil"/>
                  </w:tcBorders>
                  <w:vAlign w:val="center"/>
                </w:tcPr>
                <w:p w14:paraId="08F5640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0.012 </w:t>
                  </w:r>
                </w:p>
              </w:tc>
              <w:tc>
                <w:tcPr>
                  <w:tcW w:w="1039" w:type="dxa"/>
                  <w:tcBorders>
                    <w:tl2br w:val="nil"/>
                    <w:tr2bl w:val="nil"/>
                  </w:tcBorders>
                  <w:vAlign w:val="center"/>
                </w:tcPr>
                <w:p w14:paraId="38D35EF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0.004 </w:t>
                  </w:r>
                </w:p>
              </w:tc>
              <w:tc>
                <w:tcPr>
                  <w:tcW w:w="1040" w:type="dxa"/>
                  <w:tcBorders>
                    <w:tl2br w:val="nil"/>
                    <w:tr2bl w:val="nil"/>
                  </w:tcBorders>
                  <w:vAlign w:val="center"/>
                </w:tcPr>
                <w:p w14:paraId="2B9258F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31" w:type="dxa"/>
                  <w:tcBorders>
                    <w:tl2br w:val="nil"/>
                    <w:tr2bl w:val="nil"/>
                  </w:tcBorders>
                  <w:vAlign w:val="center"/>
                </w:tcPr>
                <w:p w14:paraId="5227637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3000</w:t>
                  </w:r>
                </w:p>
              </w:tc>
            </w:tr>
            <w:tr w14:paraId="12C32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8" w:type="dxa"/>
                  <w:vMerge w:val="restart"/>
                  <w:tcBorders>
                    <w:tl2br w:val="nil"/>
                    <w:tr2bl w:val="nil"/>
                  </w:tcBorders>
                  <w:vAlign w:val="center"/>
                </w:tcPr>
                <w:p w14:paraId="1C504BA6">
                  <w:pPr>
                    <w:keepNext w:val="0"/>
                    <w:keepLines w:val="0"/>
                    <w:widowControl/>
                    <w:suppressLineNumbers w:val="0"/>
                    <w:spacing w:line="240" w:lineRule="auto"/>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抛光打磨粉尘（DA001）</w:t>
                  </w:r>
                </w:p>
              </w:tc>
              <w:tc>
                <w:tcPr>
                  <w:tcW w:w="1068" w:type="dxa"/>
                  <w:vMerge w:val="restart"/>
                  <w:tcBorders>
                    <w:tl2br w:val="nil"/>
                    <w:tr2bl w:val="nil"/>
                  </w:tcBorders>
                  <w:vAlign w:val="center"/>
                </w:tcPr>
                <w:p w14:paraId="2F177607">
                  <w:pPr>
                    <w:keepNext w:val="0"/>
                    <w:keepLines w:val="0"/>
                    <w:widowControl/>
                    <w:suppressLineNumbers w:val="0"/>
                    <w:spacing w:line="240" w:lineRule="auto"/>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225" w:type="dxa"/>
                  <w:tcBorders>
                    <w:tl2br w:val="nil"/>
                    <w:tr2bl w:val="nil"/>
                  </w:tcBorders>
                  <w:vAlign w:val="center"/>
                </w:tcPr>
                <w:p w14:paraId="2E450B9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2.359 </w:t>
                  </w:r>
                </w:p>
              </w:tc>
              <w:tc>
                <w:tcPr>
                  <w:tcW w:w="1079" w:type="dxa"/>
                  <w:tcBorders>
                    <w:tl2br w:val="nil"/>
                    <w:tr2bl w:val="nil"/>
                  </w:tcBorders>
                  <w:vAlign w:val="center"/>
                </w:tcPr>
                <w:p w14:paraId="62B2D62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0.786 </w:t>
                  </w:r>
                </w:p>
              </w:tc>
              <w:tc>
                <w:tcPr>
                  <w:tcW w:w="911" w:type="dxa"/>
                  <w:tcBorders>
                    <w:tl2br w:val="nil"/>
                    <w:tr2bl w:val="nil"/>
                  </w:tcBorders>
                  <w:vAlign w:val="center"/>
                </w:tcPr>
                <w:p w14:paraId="2BE5E45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33.8 </w:t>
                  </w:r>
                </w:p>
              </w:tc>
              <w:tc>
                <w:tcPr>
                  <w:tcW w:w="955" w:type="dxa"/>
                  <w:tcBorders>
                    <w:tl2br w:val="nil"/>
                    <w:tr2bl w:val="nil"/>
                  </w:tcBorders>
                  <w:vAlign w:val="center"/>
                </w:tcPr>
                <w:p w14:paraId="5685E29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有组织</w:t>
                  </w:r>
                </w:p>
              </w:tc>
              <w:tc>
                <w:tcPr>
                  <w:tcW w:w="886" w:type="dxa"/>
                  <w:tcBorders>
                    <w:tl2br w:val="nil"/>
                    <w:tr2bl w:val="nil"/>
                  </w:tcBorders>
                  <w:vAlign w:val="center"/>
                </w:tcPr>
                <w:p w14:paraId="4F25E75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23300</w:t>
                  </w:r>
                </w:p>
              </w:tc>
              <w:tc>
                <w:tcPr>
                  <w:tcW w:w="886" w:type="dxa"/>
                  <w:tcBorders>
                    <w:tl2br w:val="nil"/>
                    <w:tr2bl w:val="nil"/>
                  </w:tcBorders>
                  <w:vAlign w:val="center"/>
                </w:tcPr>
                <w:p w14:paraId="44C4BA8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886" w:type="dxa"/>
                  <w:tcBorders>
                    <w:tl2br w:val="nil"/>
                    <w:tr2bl w:val="nil"/>
                  </w:tcBorders>
                  <w:vAlign w:val="center"/>
                </w:tcPr>
                <w:p w14:paraId="0634354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95%</w:t>
                  </w:r>
                </w:p>
              </w:tc>
              <w:tc>
                <w:tcPr>
                  <w:tcW w:w="1237" w:type="dxa"/>
                  <w:tcBorders>
                    <w:tl2br w:val="nil"/>
                    <w:tr2bl w:val="nil"/>
                  </w:tcBorders>
                  <w:vAlign w:val="center"/>
                </w:tcPr>
                <w:p w14:paraId="781CD6C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0.118 </w:t>
                  </w:r>
                </w:p>
              </w:tc>
              <w:tc>
                <w:tcPr>
                  <w:tcW w:w="1039" w:type="dxa"/>
                  <w:tcBorders>
                    <w:tl2br w:val="nil"/>
                    <w:tr2bl w:val="nil"/>
                  </w:tcBorders>
                  <w:vAlign w:val="center"/>
                </w:tcPr>
                <w:p w14:paraId="5C04BA5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0.039 </w:t>
                  </w:r>
                </w:p>
              </w:tc>
              <w:tc>
                <w:tcPr>
                  <w:tcW w:w="1040" w:type="dxa"/>
                  <w:tcBorders>
                    <w:tl2br w:val="nil"/>
                    <w:tr2bl w:val="nil"/>
                  </w:tcBorders>
                  <w:vAlign w:val="center"/>
                </w:tcPr>
                <w:p w14:paraId="6585C03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1.7 </w:t>
                  </w:r>
                </w:p>
              </w:tc>
              <w:tc>
                <w:tcPr>
                  <w:tcW w:w="931" w:type="dxa"/>
                  <w:vMerge w:val="restart"/>
                  <w:tcBorders>
                    <w:tl2br w:val="nil"/>
                    <w:tr2bl w:val="nil"/>
                  </w:tcBorders>
                  <w:vAlign w:val="center"/>
                </w:tcPr>
                <w:p w14:paraId="56FD9A6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3000</w:t>
                  </w:r>
                </w:p>
              </w:tc>
            </w:tr>
            <w:tr w14:paraId="23B9C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8" w:type="dxa"/>
                  <w:vMerge w:val="continue"/>
                  <w:tcBorders>
                    <w:tl2br w:val="nil"/>
                    <w:tr2bl w:val="nil"/>
                  </w:tcBorders>
                  <w:vAlign w:val="center"/>
                </w:tcPr>
                <w:p w14:paraId="6AF3B8E6">
                  <w:pPr>
                    <w:spacing w:line="240" w:lineRule="auto"/>
                    <w:jc w:val="center"/>
                    <w:rPr>
                      <w:rFonts w:hint="default" w:ascii="Times New Roman" w:hAnsi="Times New Roman" w:cs="Times New Roman"/>
                      <w:bCs/>
                      <w:color w:val="auto"/>
                      <w:sz w:val="21"/>
                      <w:szCs w:val="21"/>
                      <w:highlight w:val="none"/>
                    </w:rPr>
                  </w:pPr>
                </w:p>
              </w:tc>
              <w:tc>
                <w:tcPr>
                  <w:tcW w:w="1068" w:type="dxa"/>
                  <w:vMerge w:val="continue"/>
                  <w:tcBorders>
                    <w:tl2br w:val="nil"/>
                    <w:tr2bl w:val="nil"/>
                  </w:tcBorders>
                  <w:vAlign w:val="center"/>
                </w:tcPr>
                <w:p w14:paraId="64708852">
                  <w:pPr>
                    <w:spacing w:line="240" w:lineRule="auto"/>
                    <w:jc w:val="center"/>
                    <w:rPr>
                      <w:rFonts w:hint="default" w:ascii="Times New Roman" w:hAnsi="Times New Roman" w:cs="Times New Roman"/>
                      <w:bCs/>
                      <w:color w:val="auto"/>
                      <w:kern w:val="2"/>
                      <w:sz w:val="21"/>
                      <w:szCs w:val="21"/>
                      <w:highlight w:val="none"/>
                      <w:lang w:val="en-US" w:eastAsia="zh-CN" w:bidi="ar-SA"/>
                    </w:rPr>
                  </w:pPr>
                </w:p>
              </w:tc>
              <w:tc>
                <w:tcPr>
                  <w:tcW w:w="1225" w:type="dxa"/>
                  <w:tcBorders>
                    <w:tl2br w:val="nil"/>
                    <w:tr2bl w:val="nil"/>
                  </w:tcBorders>
                  <w:vAlign w:val="center"/>
                </w:tcPr>
                <w:p w14:paraId="5C5BC50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0.262 </w:t>
                  </w:r>
                </w:p>
              </w:tc>
              <w:tc>
                <w:tcPr>
                  <w:tcW w:w="1079" w:type="dxa"/>
                  <w:tcBorders>
                    <w:tl2br w:val="nil"/>
                    <w:tr2bl w:val="nil"/>
                  </w:tcBorders>
                  <w:vAlign w:val="center"/>
                </w:tcPr>
                <w:p w14:paraId="7C7742F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0.087 </w:t>
                  </w:r>
                </w:p>
              </w:tc>
              <w:tc>
                <w:tcPr>
                  <w:tcW w:w="911" w:type="dxa"/>
                  <w:tcBorders>
                    <w:tl2br w:val="nil"/>
                    <w:tr2bl w:val="nil"/>
                  </w:tcBorders>
                  <w:vAlign w:val="center"/>
                </w:tcPr>
                <w:p w14:paraId="27432FF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55" w:type="dxa"/>
                  <w:tcBorders>
                    <w:tl2br w:val="nil"/>
                    <w:tr2bl w:val="nil"/>
                  </w:tcBorders>
                  <w:vAlign w:val="center"/>
                </w:tcPr>
                <w:p w14:paraId="5EDF5A3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无组织</w:t>
                  </w:r>
                </w:p>
              </w:tc>
              <w:tc>
                <w:tcPr>
                  <w:tcW w:w="886" w:type="dxa"/>
                  <w:tcBorders>
                    <w:tl2br w:val="nil"/>
                    <w:tr2bl w:val="nil"/>
                  </w:tcBorders>
                  <w:vAlign w:val="center"/>
                </w:tcPr>
                <w:p w14:paraId="57803F5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86" w:type="dxa"/>
                  <w:tcBorders>
                    <w:tl2br w:val="nil"/>
                    <w:tr2bl w:val="nil"/>
                  </w:tcBorders>
                  <w:vAlign w:val="center"/>
                </w:tcPr>
                <w:p w14:paraId="417B100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86" w:type="dxa"/>
                  <w:tcBorders>
                    <w:tl2br w:val="nil"/>
                    <w:tr2bl w:val="nil"/>
                  </w:tcBorders>
                  <w:vAlign w:val="center"/>
                </w:tcPr>
                <w:p w14:paraId="51DC4A5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7" w:type="dxa"/>
                  <w:tcBorders>
                    <w:tl2br w:val="nil"/>
                    <w:tr2bl w:val="nil"/>
                  </w:tcBorders>
                  <w:vAlign w:val="center"/>
                </w:tcPr>
                <w:p w14:paraId="59D7EAF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0.262 </w:t>
                  </w:r>
                </w:p>
              </w:tc>
              <w:tc>
                <w:tcPr>
                  <w:tcW w:w="1039" w:type="dxa"/>
                  <w:tcBorders>
                    <w:tl2br w:val="nil"/>
                    <w:tr2bl w:val="nil"/>
                  </w:tcBorders>
                  <w:vAlign w:val="center"/>
                </w:tcPr>
                <w:p w14:paraId="4D768F3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0.087 </w:t>
                  </w:r>
                </w:p>
              </w:tc>
              <w:tc>
                <w:tcPr>
                  <w:tcW w:w="1040" w:type="dxa"/>
                  <w:tcBorders>
                    <w:tl2br w:val="nil"/>
                    <w:tr2bl w:val="nil"/>
                  </w:tcBorders>
                  <w:vAlign w:val="center"/>
                </w:tcPr>
                <w:p w14:paraId="72175BF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31" w:type="dxa"/>
                  <w:vMerge w:val="continue"/>
                  <w:tcBorders>
                    <w:tl2br w:val="nil"/>
                    <w:tr2bl w:val="nil"/>
                  </w:tcBorders>
                  <w:vAlign w:val="center"/>
                </w:tcPr>
                <w:p w14:paraId="68883F8D">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r>
            <w:tr w14:paraId="30B35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8" w:type="dxa"/>
                  <w:vMerge w:val="restart"/>
                  <w:tcBorders>
                    <w:tl2br w:val="nil"/>
                    <w:tr2bl w:val="nil"/>
                  </w:tcBorders>
                  <w:vAlign w:val="center"/>
                </w:tcPr>
                <w:p w14:paraId="7EAB1D0C">
                  <w:pPr>
                    <w:keepNext w:val="0"/>
                    <w:keepLines w:val="0"/>
                    <w:widowControl/>
                    <w:suppressLineNumbers w:val="0"/>
                    <w:spacing w:line="240" w:lineRule="auto"/>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天然气燃烧废气（DA002）</w:t>
                  </w:r>
                </w:p>
              </w:tc>
              <w:tc>
                <w:tcPr>
                  <w:tcW w:w="1068" w:type="dxa"/>
                  <w:tcBorders>
                    <w:tl2br w:val="nil"/>
                    <w:tr2bl w:val="nil"/>
                  </w:tcBorders>
                  <w:vAlign w:val="center"/>
                </w:tcPr>
                <w:p w14:paraId="343A7A6D">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225" w:type="dxa"/>
                  <w:tcBorders>
                    <w:tl2br w:val="nil"/>
                    <w:tr2bl w:val="nil"/>
                  </w:tcBorders>
                  <w:vAlign w:val="center"/>
                </w:tcPr>
                <w:p w14:paraId="23404EA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0.010 </w:t>
                  </w:r>
                </w:p>
              </w:tc>
              <w:tc>
                <w:tcPr>
                  <w:tcW w:w="1079" w:type="dxa"/>
                  <w:tcBorders>
                    <w:tl2br w:val="nil"/>
                    <w:tr2bl w:val="nil"/>
                  </w:tcBorders>
                  <w:vAlign w:val="center"/>
                </w:tcPr>
                <w:p w14:paraId="2980D70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0.003 </w:t>
                  </w:r>
                </w:p>
              </w:tc>
              <w:tc>
                <w:tcPr>
                  <w:tcW w:w="911" w:type="dxa"/>
                  <w:tcBorders>
                    <w:tl2br w:val="nil"/>
                    <w:tr2bl w:val="nil"/>
                  </w:tcBorders>
                  <w:vAlign w:val="center"/>
                </w:tcPr>
                <w:p w14:paraId="5676206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0.6 </w:t>
                  </w:r>
                </w:p>
              </w:tc>
              <w:tc>
                <w:tcPr>
                  <w:tcW w:w="955" w:type="dxa"/>
                  <w:vMerge w:val="restart"/>
                  <w:tcBorders>
                    <w:tl2br w:val="nil"/>
                    <w:tr2bl w:val="nil"/>
                  </w:tcBorders>
                  <w:vAlign w:val="center"/>
                </w:tcPr>
                <w:p w14:paraId="02677CB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有组织</w:t>
                  </w:r>
                </w:p>
              </w:tc>
              <w:tc>
                <w:tcPr>
                  <w:tcW w:w="886" w:type="dxa"/>
                  <w:vMerge w:val="restart"/>
                  <w:tcBorders>
                    <w:tl2br w:val="nil"/>
                    <w:tr2bl w:val="nil"/>
                  </w:tcBorders>
                  <w:vAlign w:val="center"/>
                </w:tcPr>
                <w:p w14:paraId="2F30EDD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5000</w:t>
                  </w:r>
                </w:p>
              </w:tc>
              <w:tc>
                <w:tcPr>
                  <w:tcW w:w="886" w:type="dxa"/>
                  <w:vMerge w:val="restart"/>
                  <w:tcBorders>
                    <w:tl2br w:val="nil"/>
                    <w:tr2bl w:val="nil"/>
                  </w:tcBorders>
                  <w:vAlign w:val="center"/>
                </w:tcPr>
                <w:p w14:paraId="0F78FD4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886" w:type="dxa"/>
                  <w:vMerge w:val="restart"/>
                  <w:tcBorders>
                    <w:tl2br w:val="nil"/>
                    <w:tr2bl w:val="nil"/>
                  </w:tcBorders>
                  <w:vAlign w:val="center"/>
                </w:tcPr>
                <w:p w14:paraId="4D8E016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7" w:type="dxa"/>
                  <w:tcBorders>
                    <w:tl2br w:val="nil"/>
                    <w:tr2bl w:val="nil"/>
                  </w:tcBorders>
                  <w:vAlign w:val="center"/>
                </w:tcPr>
                <w:p w14:paraId="1B5F821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0.010 </w:t>
                  </w:r>
                </w:p>
              </w:tc>
              <w:tc>
                <w:tcPr>
                  <w:tcW w:w="1039" w:type="dxa"/>
                  <w:tcBorders>
                    <w:tl2br w:val="nil"/>
                    <w:tr2bl w:val="nil"/>
                  </w:tcBorders>
                  <w:vAlign w:val="center"/>
                </w:tcPr>
                <w:p w14:paraId="14C32C4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0.003 </w:t>
                  </w:r>
                </w:p>
              </w:tc>
              <w:tc>
                <w:tcPr>
                  <w:tcW w:w="1040" w:type="dxa"/>
                  <w:tcBorders>
                    <w:tl2br w:val="nil"/>
                    <w:tr2bl w:val="nil"/>
                  </w:tcBorders>
                  <w:vAlign w:val="center"/>
                </w:tcPr>
                <w:p w14:paraId="134A765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0.6 </w:t>
                  </w:r>
                </w:p>
              </w:tc>
              <w:tc>
                <w:tcPr>
                  <w:tcW w:w="931" w:type="dxa"/>
                  <w:vMerge w:val="continue"/>
                  <w:tcBorders>
                    <w:tl2br w:val="nil"/>
                    <w:tr2bl w:val="nil"/>
                  </w:tcBorders>
                  <w:vAlign w:val="center"/>
                </w:tcPr>
                <w:p w14:paraId="7915738D">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r>
            <w:tr w14:paraId="161FB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8" w:type="dxa"/>
                  <w:vMerge w:val="continue"/>
                  <w:tcBorders>
                    <w:tl2br w:val="nil"/>
                    <w:tr2bl w:val="nil"/>
                  </w:tcBorders>
                  <w:vAlign w:val="center"/>
                </w:tcPr>
                <w:p w14:paraId="01DB18D5">
                  <w:pPr>
                    <w:spacing w:line="240" w:lineRule="auto"/>
                    <w:jc w:val="center"/>
                    <w:rPr>
                      <w:rFonts w:hint="default" w:ascii="Times New Roman" w:hAnsi="Times New Roman" w:cs="Times New Roman"/>
                      <w:bCs/>
                      <w:color w:val="auto"/>
                      <w:sz w:val="21"/>
                      <w:szCs w:val="21"/>
                      <w:highlight w:val="none"/>
                    </w:rPr>
                  </w:pPr>
                </w:p>
              </w:tc>
              <w:tc>
                <w:tcPr>
                  <w:tcW w:w="1068" w:type="dxa"/>
                  <w:tcBorders>
                    <w:tl2br w:val="nil"/>
                    <w:tr2bl w:val="nil"/>
                  </w:tcBorders>
                  <w:vAlign w:val="center"/>
                </w:tcPr>
                <w:p w14:paraId="71D257F8">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X</w:t>
                  </w:r>
                </w:p>
              </w:tc>
              <w:tc>
                <w:tcPr>
                  <w:tcW w:w="1225" w:type="dxa"/>
                  <w:tcBorders>
                    <w:tl2br w:val="nil"/>
                    <w:tr2bl w:val="nil"/>
                  </w:tcBorders>
                  <w:vAlign w:val="center"/>
                </w:tcPr>
                <w:p w14:paraId="62DAF3F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0.089 </w:t>
                  </w:r>
                </w:p>
              </w:tc>
              <w:tc>
                <w:tcPr>
                  <w:tcW w:w="1079" w:type="dxa"/>
                  <w:tcBorders>
                    <w:tl2br w:val="nil"/>
                    <w:tr2bl w:val="nil"/>
                  </w:tcBorders>
                  <w:vAlign w:val="center"/>
                </w:tcPr>
                <w:p w14:paraId="3658449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0.030 </w:t>
                  </w:r>
                </w:p>
              </w:tc>
              <w:tc>
                <w:tcPr>
                  <w:tcW w:w="911" w:type="dxa"/>
                  <w:tcBorders>
                    <w:tl2br w:val="nil"/>
                    <w:tr2bl w:val="nil"/>
                  </w:tcBorders>
                  <w:vAlign w:val="center"/>
                </w:tcPr>
                <w:p w14:paraId="5316400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6.0 </w:t>
                  </w:r>
                </w:p>
              </w:tc>
              <w:tc>
                <w:tcPr>
                  <w:tcW w:w="955" w:type="dxa"/>
                  <w:vMerge w:val="continue"/>
                  <w:tcBorders>
                    <w:tl2br w:val="nil"/>
                    <w:tr2bl w:val="nil"/>
                  </w:tcBorders>
                  <w:vAlign w:val="center"/>
                </w:tcPr>
                <w:p w14:paraId="4708A3B1">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c>
                <w:tcPr>
                  <w:tcW w:w="886" w:type="dxa"/>
                  <w:vMerge w:val="continue"/>
                  <w:tcBorders>
                    <w:tl2br w:val="nil"/>
                    <w:tr2bl w:val="nil"/>
                  </w:tcBorders>
                  <w:vAlign w:val="center"/>
                </w:tcPr>
                <w:p w14:paraId="39E483F3">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c>
                <w:tcPr>
                  <w:tcW w:w="886" w:type="dxa"/>
                  <w:vMerge w:val="continue"/>
                  <w:tcBorders>
                    <w:tl2br w:val="nil"/>
                    <w:tr2bl w:val="nil"/>
                  </w:tcBorders>
                  <w:vAlign w:val="center"/>
                </w:tcPr>
                <w:p w14:paraId="60F35FFB">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c>
                <w:tcPr>
                  <w:tcW w:w="886" w:type="dxa"/>
                  <w:vMerge w:val="continue"/>
                  <w:tcBorders>
                    <w:tl2br w:val="nil"/>
                    <w:tr2bl w:val="nil"/>
                  </w:tcBorders>
                  <w:vAlign w:val="center"/>
                </w:tcPr>
                <w:p w14:paraId="3EC9FCC9">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c>
                <w:tcPr>
                  <w:tcW w:w="1237" w:type="dxa"/>
                  <w:tcBorders>
                    <w:tl2br w:val="nil"/>
                    <w:tr2bl w:val="nil"/>
                  </w:tcBorders>
                  <w:vAlign w:val="center"/>
                </w:tcPr>
                <w:p w14:paraId="56B8024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0.089 </w:t>
                  </w:r>
                </w:p>
              </w:tc>
              <w:tc>
                <w:tcPr>
                  <w:tcW w:w="1039" w:type="dxa"/>
                  <w:tcBorders>
                    <w:tl2br w:val="nil"/>
                    <w:tr2bl w:val="nil"/>
                  </w:tcBorders>
                  <w:vAlign w:val="center"/>
                </w:tcPr>
                <w:p w14:paraId="54F9C6F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0.030 </w:t>
                  </w:r>
                </w:p>
              </w:tc>
              <w:tc>
                <w:tcPr>
                  <w:tcW w:w="1040" w:type="dxa"/>
                  <w:tcBorders>
                    <w:tl2br w:val="nil"/>
                    <w:tr2bl w:val="nil"/>
                  </w:tcBorders>
                  <w:vAlign w:val="center"/>
                </w:tcPr>
                <w:p w14:paraId="4A95D09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6.0 </w:t>
                  </w:r>
                </w:p>
              </w:tc>
              <w:tc>
                <w:tcPr>
                  <w:tcW w:w="931" w:type="dxa"/>
                  <w:vMerge w:val="continue"/>
                  <w:tcBorders>
                    <w:tl2br w:val="nil"/>
                    <w:tr2bl w:val="nil"/>
                  </w:tcBorders>
                  <w:vAlign w:val="center"/>
                </w:tcPr>
                <w:p w14:paraId="07815D48">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r>
            <w:tr w14:paraId="1697C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8" w:type="dxa"/>
                  <w:vMerge w:val="continue"/>
                  <w:tcBorders>
                    <w:tl2br w:val="nil"/>
                    <w:tr2bl w:val="nil"/>
                  </w:tcBorders>
                  <w:vAlign w:val="center"/>
                </w:tcPr>
                <w:p w14:paraId="4F957B54">
                  <w:pPr>
                    <w:spacing w:line="240" w:lineRule="auto"/>
                    <w:jc w:val="center"/>
                    <w:rPr>
                      <w:rFonts w:hint="default" w:ascii="Times New Roman" w:hAnsi="Times New Roman" w:eastAsia="宋体" w:cs="Times New Roman"/>
                      <w:bCs/>
                      <w:color w:val="auto"/>
                      <w:sz w:val="21"/>
                      <w:szCs w:val="21"/>
                      <w:highlight w:val="none"/>
                      <w:lang w:val="en-US" w:eastAsia="zh-CN"/>
                    </w:rPr>
                  </w:pPr>
                </w:p>
              </w:tc>
              <w:tc>
                <w:tcPr>
                  <w:tcW w:w="1068" w:type="dxa"/>
                  <w:tcBorders>
                    <w:tl2br w:val="nil"/>
                    <w:tr2bl w:val="nil"/>
                  </w:tcBorders>
                  <w:vAlign w:val="center"/>
                </w:tcPr>
                <w:p w14:paraId="2FBFC6E4">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225" w:type="dxa"/>
                  <w:tcBorders>
                    <w:tl2br w:val="nil"/>
                    <w:tr2bl w:val="nil"/>
                  </w:tcBorders>
                  <w:vAlign w:val="center"/>
                </w:tcPr>
                <w:p w14:paraId="162D0DC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0.014 </w:t>
                  </w:r>
                </w:p>
              </w:tc>
              <w:tc>
                <w:tcPr>
                  <w:tcW w:w="1079" w:type="dxa"/>
                  <w:tcBorders>
                    <w:tl2br w:val="nil"/>
                    <w:tr2bl w:val="nil"/>
                  </w:tcBorders>
                  <w:vAlign w:val="center"/>
                </w:tcPr>
                <w:p w14:paraId="6DC7FF5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0.005 </w:t>
                  </w:r>
                </w:p>
              </w:tc>
              <w:tc>
                <w:tcPr>
                  <w:tcW w:w="911" w:type="dxa"/>
                  <w:tcBorders>
                    <w:tl2br w:val="nil"/>
                    <w:tr2bl w:val="nil"/>
                  </w:tcBorders>
                  <w:vAlign w:val="center"/>
                </w:tcPr>
                <w:p w14:paraId="5A26558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0.9 </w:t>
                  </w:r>
                </w:p>
              </w:tc>
              <w:tc>
                <w:tcPr>
                  <w:tcW w:w="955" w:type="dxa"/>
                  <w:vMerge w:val="continue"/>
                  <w:tcBorders>
                    <w:tl2br w:val="nil"/>
                    <w:tr2bl w:val="nil"/>
                  </w:tcBorders>
                  <w:vAlign w:val="center"/>
                </w:tcPr>
                <w:p w14:paraId="1CE1481E">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c>
                <w:tcPr>
                  <w:tcW w:w="886" w:type="dxa"/>
                  <w:vMerge w:val="continue"/>
                  <w:tcBorders>
                    <w:tl2br w:val="nil"/>
                    <w:tr2bl w:val="nil"/>
                  </w:tcBorders>
                  <w:vAlign w:val="center"/>
                </w:tcPr>
                <w:p w14:paraId="3059F35C">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c>
                <w:tcPr>
                  <w:tcW w:w="886" w:type="dxa"/>
                  <w:vMerge w:val="continue"/>
                  <w:tcBorders>
                    <w:tl2br w:val="nil"/>
                    <w:tr2bl w:val="nil"/>
                  </w:tcBorders>
                  <w:vAlign w:val="center"/>
                </w:tcPr>
                <w:p w14:paraId="608841EF">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c>
                <w:tcPr>
                  <w:tcW w:w="886" w:type="dxa"/>
                  <w:vMerge w:val="continue"/>
                  <w:tcBorders>
                    <w:tl2br w:val="nil"/>
                    <w:tr2bl w:val="nil"/>
                  </w:tcBorders>
                  <w:vAlign w:val="center"/>
                </w:tcPr>
                <w:p w14:paraId="0F6DFC67">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c>
                <w:tcPr>
                  <w:tcW w:w="1237" w:type="dxa"/>
                  <w:tcBorders>
                    <w:tl2br w:val="nil"/>
                    <w:tr2bl w:val="nil"/>
                  </w:tcBorders>
                  <w:vAlign w:val="center"/>
                </w:tcPr>
                <w:p w14:paraId="7151196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0.014 </w:t>
                  </w:r>
                </w:p>
              </w:tc>
              <w:tc>
                <w:tcPr>
                  <w:tcW w:w="1039" w:type="dxa"/>
                  <w:tcBorders>
                    <w:tl2br w:val="nil"/>
                    <w:tr2bl w:val="nil"/>
                  </w:tcBorders>
                  <w:vAlign w:val="center"/>
                </w:tcPr>
                <w:p w14:paraId="12A3744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0.005 </w:t>
                  </w:r>
                </w:p>
              </w:tc>
              <w:tc>
                <w:tcPr>
                  <w:tcW w:w="1040" w:type="dxa"/>
                  <w:tcBorders>
                    <w:tl2br w:val="nil"/>
                    <w:tr2bl w:val="nil"/>
                  </w:tcBorders>
                  <w:vAlign w:val="center"/>
                </w:tcPr>
                <w:p w14:paraId="0588041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0.9 </w:t>
                  </w:r>
                </w:p>
              </w:tc>
              <w:tc>
                <w:tcPr>
                  <w:tcW w:w="931" w:type="dxa"/>
                  <w:vMerge w:val="continue"/>
                  <w:tcBorders>
                    <w:tl2br w:val="nil"/>
                    <w:tr2bl w:val="nil"/>
                  </w:tcBorders>
                  <w:vAlign w:val="center"/>
                </w:tcPr>
                <w:p w14:paraId="706341D8">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r>
            <w:tr w14:paraId="509A3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8" w:type="dxa"/>
                  <w:tcBorders>
                    <w:tl2br w:val="nil"/>
                    <w:tr2bl w:val="nil"/>
                  </w:tcBorders>
                  <w:vAlign w:val="center"/>
                </w:tcPr>
                <w:p w14:paraId="430CD08F">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喷粉废气</w:t>
                  </w:r>
                </w:p>
              </w:tc>
              <w:tc>
                <w:tcPr>
                  <w:tcW w:w="1068" w:type="dxa"/>
                  <w:tcBorders>
                    <w:tl2br w:val="nil"/>
                    <w:tr2bl w:val="nil"/>
                  </w:tcBorders>
                  <w:vAlign w:val="center"/>
                </w:tcPr>
                <w:p w14:paraId="79DDFD06">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225" w:type="dxa"/>
                  <w:tcBorders>
                    <w:tl2br w:val="nil"/>
                    <w:tr2bl w:val="nil"/>
                  </w:tcBorders>
                  <w:vAlign w:val="center"/>
                </w:tcPr>
                <w:p w14:paraId="25C1F9F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0.136 </w:t>
                  </w:r>
                </w:p>
              </w:tc>
              <w:tc>
                <w:tcPr>
                  <w:tcW w:w="1079" w:type="dxa"/>
                  <w:tcBorders>
                    <w:tl2br w:val="nil"/>
                    <w:tr2bl w:val="nil"/>
                  </w:tcBorders>
                  <w:vAlign w:val="center"/>
                </w:tcPr>
                <w:p w14:paraId="494F8CA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0.045 </w:t>
                  </w:r>
                </w:p>
              </w:tc>
              <w:tc>
                <w:tcPr>
                  <w:tcW w:w="911" w:type="dxa"/>
                  <w:tcBorders>
                    <w:tl2br w:val="nil"/>
                    <w:tr2bl w:val="nil"/>
                  </w:tcBorders>
                  <w:vAlign w:val="center"/>
                </w:tcPr>
                <w:p w14:paraId="0427872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55" w:type="dxa"/>
                  <w:tcBorders>
                    <w:tl2br w:val="nil"/>
                    <w:tr2bl w:val="nil"/>
                  </w:tcBorders>
                  <w:vAlign w:val="center"/>
                </w:tcPr>
                <w:p w14:paraId="2A25357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无组织</w:t>
                  </w:r>
                </w:p>
              </w:tc>
              <w:tc>
                <w:tcPr>
                  <w:tcW w:w="886" w:type="dxa"/>
                  <w:tcBorders>
                    <w:tl2br w:val="nil"/>
                    <w:tr2bl w:val="nil"/>
                  </w:tcBorders>
                  <w:vAlign w:val="center"/>
                </w:tcPr>
                <w:p w14:paraId="50995F4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86" w:type="dxa"/>
                  <w:tcBorders>
                    <w:tl2br w:val="nil"/>
                    <w:tr2bl w:val="nil"/>
                  </w:tcBorders>
                  <w:shd w:val="clear" w:color="auto" w:fill="auto"/>
                  <w:vAlign w:val="center"/>
                </w:tcPr>
                <w:p w14:paraId="6516F8D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86" w:type="dxa"/>
                  <w:tcBorders>
                    <w:tl2br w:val="nil"/>
                    <w:tr2bl w:val="nil"/>
                  </w:tcBorders>
                  <w:shd w:val="clear" w:color="auto" w:fill="auto"/>
                  <w:vAlign w:val="center"/>
                </w:tcPr>
                <w:p w14:paraId="166835C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7" w:type="dxa"/>
                  <w:tcBorders>
                    <w:tl2br w:val="nil"/>
                    <w:tr2bl w:val="nil"/>
                  </w:tcBorders>
                  <w:vAlign w:val="center"/>
                </w:tcPr>
                <w:p w14:paraId="1A1F19E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0.136 </w:t>
                  </w:r>
                </w:p>
              </w:tc>
              <w:tc>
                <w:tcPr>
                  <w:tcW w:w="1039" w:type="dxa"/>
                  <w:tcBorders>
                    <w:tl2br w:val="nil"/>
                    <w:tr2bl w:val="nil"/>
                  </w:tcBorders>
                  <w:vAlign w:val="center"/>
                </w:tcPr>
                <w:p w14:paraId="47D85DB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0.045 </w:t>
                  </w:r>
                </w:p>
              </w:tc>
              <w:tc>
                <w:tcPr>
                  <w:tcW w:w="1040" w:type="dxa"/>
                  <w:tcBorders>
                    <w:tl2br w:val="nil"/>
                    <w:tr2bl w:val="nil"/>
                  </w:tcBorders>
                  <w:vAlign w:val="center"/>
                </w:tcPr>
                <w:p w14:paraId="36D2B34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31" w:type="dxa"/>
                  <w:tcBorders>
                    <w:tl2br w:val="nil"/>
                    <w:tr2bl w:val="nil"/>
                  </w:tcBorders>
                  <w:vAlign w:val="center"/>
                </w:tcPr>
                <w:p w14:paraId="64ECD4A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3000</w:t>
                  </w:r>
                </w:p>
              </w:tc>
            </w:tr>
            <w:tr w14:paraId="01ACB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8" w:type="dxa"/>
                  <w:vMerge w:val="restart"/>
                  <w:tcBorders>
                    <w:tl2br w:val="nil"/>
                    <w:tr2bl w:val="nil"/>
                  </w:tcBorders>
                  <w:vAlign w:val="center"/>
                </w:tcPr>
                <w:p w14:paraId="370127B5">
                  <w:pPr>
                    <w:keepNext w:val="0"/>
                    <w:keepLines w:val="0"/>
                    <w:widowControl/>
                    <w:suppressLineNumbers w:val="0"/>
                    <w:spacing w:line="240" w:lineRule="auto"/>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喷漆废气（DA003）</w:t>
                  </w:r>
                </w:p>
              </w:tc>
              <w:tc>
                <w:tcPr>
                  <w:tcW w:w="1068" w:type="dxa"/>
                  <w:tcBorders>
                    <w:tl2br w:val="nil"/>
                    <w:tr2bl w:val="nil"/>
                  </w:tcBorders>
                  <w:vAlign w:val="center"/>
                </w:tcPr>
                <w:p w14:paraId="17B4A898">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225" w:type="dxa"/>
                  <w:tcBorders>
                    <w:tl2br w:val="nil"/>
                    <w:tr2bl w:val="nil"/>
                  </w:tcBorders>
                  <w:vAlign w:val="center"/>
                </w:tcPr>
                <w:p w14:paraId="01CCFE7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1.120 </w:t>
                  </w:r>
                </w:p>
              </w:tc>
              <w:tc>
                <w:tcPr>
                  <w:tcW w:w="1079" w:type="dxa"/>
                  <w:tcBorders>
                    <w:tl2br w:val="nil"/>
                    <w:tr2bl w:val="nil"/>
                  </w:tcBorders>
                  <w:vAlign w:val="center"/>
                </w:tcPr>
                <w:p w14:paraId="0500826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0.373 </w:t>
                  </w:r>
                </w:p>
              </w:tc>
              <w:tc>
                <w:tcPr>
                  <w:tcW w:w="911" w:type="dxa"/>
                  <w:tcBorders>
                    <w:tl2br w:val="nil"/>
                    <w:tr2bl w:val="nil"/>
                  </w:tcBorders>
                  <w:vAlign w:val="center"/>
                </w:tcPr>
                <w:p w14:paraId="23FD489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37.3 </w:t>
                  </w:r>
                </w:p>
              </w:tc>
              <w:tc>
                <w:tcPr>
                  <w:tcW w:w="955" w:type="dxa"/>
                  <w:vMerge w:val="restart"/>
                  <w:tcBorders>
                    <w:tl2br w:val="nil"/>
                    <w:tr2bl w:val="nil"/>
                  </w:tcBorders>
                  <w:vAlign w:val="center"/>
                </w:tcPr>
                <w:p w14:paraId="67BE466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有组织</w:t>
                  </w:r>
                </w:p>
              </w:tc>
              <w:tc>
                <w:tcPr>
                  <w:tcW w:w="886" w:type="dxa"/>
                  <w:vMerge w:val="restart"/>
                  <w:tcBorders>
                    <w:tl2br w:val="nil"/>
                    <w:tr2bl w:val="nil"/>
                  </w:tcBorders>
                  <w:vAlign w:val="center"/>
                </w:tcPr>
                <w:p w14:paraId="2712F05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10000</w:t>
                  </w:r>
                </w:p>
              </w:tc>
              <w:tc>
                <w:tcPr>
                  <w:tcW w:w="886" w:type="dxa"/>
                  <w:tcBorders>
                    <w:tl2br w:val="nil"/>
                    <w:tr2bl w:val="nil"/>
                  </w:tcBorders>
                  <w:shd w:val="clear" w:color="auto" w:fill="auto"/>
                  <w:vAlign w:val="center"/>
                </w:tcPr>
                <w:p w14:paraId="1A81FED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886" w:type="dxa"/>
                  <w:tcBorders>
                    <w:tl2br w:val="nil"/>
                    <w:tr2bl w:val="nil"/>
                  </w:tcBorders>
                  <w:shd w:val="clear" w:color="auto" w:fill="auto"/>
                  <w:vAlign w:val="center"/>
                </w:tcPr>
                <w:p w14:paraId="581354E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99%</w:t>
                  </w:r>
                </w:p>
              </w:tc>
              <w:tc>
                <w:tcPr>
                  <w:tcW w:w="1237" w:type="dxa"/>
                  <w:tcBorders>
                    <w:tl2br w:val="nil"/>
                    <w:tr2bl w:val="nil"/>
                  </w:tcBorders>
                  <w:vAlign w:val="center"/>
                </w:tcPr>
                <w:p w14:paraId="69921E9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0.011 </w:t>
                  </w:r>
                </w:p>
              </w:tc>
              <w:tc>
                <w:tcPr>
                  <w:tcW w:w="1039" w:type="dxa"/>
                  <w:tcBorders>
                    <w:tl2br w:val="nil"/>
                    <w:tr2bl w:val="nil"/>
                  </w:tcBorders>
                  <w:vAlign w:val="center"/>
                </w:tcPr>
                <w:p w14:paraId="7E6726C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0.004 </w:t>
                  </w:r>
                </w:p>
              </w:tc>
              <w:tc>
                <w:tcPr>
                  <w:tcW w:w="1040" w:type="dxa"/>
                  <w:tcBorders>
                    <w:tl2br w:val="nil"/>
                    <w:tr2bl w:val="nil"/>
                  </w:tcBorders>
                  <w:vAlign w:val="center"/>
                </w:tcPr>
                <w:p w14:paraId="37E64D0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 </w:t>
                  </w:r>
                </w:p>
              </w:tc>
              <w:tc>
                <w:tcPr>
                  <w:tcW w:w="931" w:type="dxa"/>
                  <w:vMerge w:val="restart"/>
                  <w:tcBorders>
                    <w:tl2br w:val="nil"/>
                    <w:tr2bl w:val="nil"/>
                  </w:tcBorders>
                  <w:vAlign w:val="center"/>
                </w:tcPr>
                <w:p w14:paraId="2C5FC00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3000</w:t>
                  </w:r>
                </w:p>
              </w:tc>
            </w:tr>
            <w:tr w14:paraId="1E835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8" w:type="dxa"/>
                  <w:vMerge w:val="continue"/>
                  <w:tcBorders>
                    <w:tl2br w:val="nil"/>
                    <w:tr2bl w:val="nil"/>
                  </w:tcBorders>
                  <w:vAlign w:val="center"/>
                </w:tcPr>
                <w:p w14:paraId="60CDC5F7">
                  <w:pPr>
                    <w:spacing w:line="240" w:lineRule="auto"/>
                    <w:jc w:val="center"/>
                    <w:rPr>
                      <w:rFonts w:hint="default" w:ascii="Times New Roman" w:hAnsi="Times New Roman" w:cs="Times New Roman"/>
                      <w:bCs/>
                      <w:color w:val="auto"/>
                      <w:sz w:val="21"/>
                      <w:szCs w:val="21"/>
                      <w:highlight w:val="none"/>
                    </w:rPr>
                  </w:pPr>
                </w:p>
              </w:tc>
              <w:tc>
                <w:tcPr>
                  <w:tcW w:w="1068" w:type="dxa"/>
                  <w:tcBorders>
                    <w:tl2br w:val="nil"/>
                    <w:tr2bl w:val="nil"/>
                  </w:tcBorders>
                  <w:vAlign w:val="center"/>
                </w:tcPr>
                <w:p w14:paraId="75EF76B3">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1225" w:type="dxa"/>
                  <w:tcBorders>
                    <w:tl2br w:val="nil"/>
                    <w:tr2bl w:val="nil"/>
                  </w:tcBorders>
                  <w:vAlign w:val="center"/>
                </w:tcPr>
                <w:p w14:paraId="1092CAD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0.922 </w:t>
                  </w:r>
                </w:p>
              </w:tc>
              <w:tc>
                <w:tcPr>
                  <w:tcW w:w="1079" w:type="dxa"/>
                  <w:tcBorders>
                    <w:tl2br w:val="nil"/>
                    <w:tr2bl w:val="nil"/>
                  </w:tcBorders>
                  <w:vAlign w:val="center"/>
                </w:tcPr>
                <w:p w14:paraId="0C6623D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0.307 </w:t>
                  </w:r>
                </w:p>
              </w:tc>
              <w:tc>
                <w:tcPr>
                  <w:tcW w:w="911" w:type="dxa"/>
                  <w:tcBorders>
                    <w:tl2br w:val="nil"/>
                    <w:tr2bl w:val="nil"/>
                  </w:tcBorders>
                  <w:vAlign w:val="center"/>
                </w:tcPr>
                <w:p w14:paraId="74D90FC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30.7 </w:t>
                  </w:r>
                </w:p>
              </w:tc>
              <w:tc>
                <w:tcPr>
                  <w:tcW w:w="955" w:type="dxa"/>
                  <w:vMerge w:val="continue"/>
                  <w:tcBorders>
                    <w:tl2br w:val="nil"/>
                    <w:tr2bl w:val="nil"/>
                  </w:tcBorders>
                  <w:vAlign w:val="center"/>
                </w:tcPr>
                <w:p w14:paraId="40986B53">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c>
                <w:tcPr>
                  <w:tcW w:w="886" w:type="dxa"/>
                  <w:vMerge w:val="continue"/>
                  <w:tcBorders>
                    <w:tl2br w:val="nil"/>
                    <w:tr2bl w:val="nil"/>
                  </w:tcBorders>
                  <w:vAlign w:val="center"/>
                </w:tcPr>
                <w:p w14:paraId="5B60C145">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c>
                <w:tcPr>
                  <w:tcW w:w="886" w:type="dxa"/>
                  <w:tcBorders>
                    <w:tl2br w:val="nil"/>
                    <w:tr2bl w:val="nil"/>
                  </w:tcBorders>
                  <w:shd w:val="clear" w:color="auto" w:fill="auto"/>
                  <w:vAlign w:val="center"/>
                </w:tcPr>
                <w:p w14:paraId="30AE6C1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886" w:type="dxa"/>
                  <w:tcBorders>
                    <w:tl2br w:val="nil"/>
                    <w:tr2bl w:val="nil"/>
                  </w:tcBorders>
                  <w:shd w:val="clear" w:color="auto" w:fill="auto"/>
                  <w:vAlign w:val="center"/>
                </w:tcPr>
                <w:p w14:paraId="2215919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1237" w:type="dxa"/>
                  <w:tcBorders>
                    <w:tl2br w:val="nil"/>
                    <w:tr2bl w:val="nil"/>
                  </w:tcBorders>
                  <w:vAlign w:val="center"/>
                </w:tcPr>
                <w:p w14:paraId="26300B8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0.184 </w:t>
                  </w:r>
                </w:p>
              </w:tc>
              <w:tc>
                <w:tcPr>
                  <w:tcW w:w="1039" w:type="dxa"/>
                  <w:tcBorders>
                    <w:tl2br w:val="nil"/>
                    <w:tr2bl w:val="nil"/>
                  </w:tcBorders>
                  <w:vAlign w:val="center"/>
                </w:tcPr>
                <w:p w14:paraId="3369380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0.061 </w:t>
                  </w:r>
                </w:p>
              </w:tc>
              <w:tc>
                <w:tcPr>
                  <w:tcW w:w="1040" w:type="dxa"/>
                  <w:tcBorders>
                    <w:tl2br w:val="nil"/>
                    <w:tr2bl w:val="nil"/>
                  </w:tcBorders>
                  <w:vAlign w:val="center"/>
                </w:tcPr>
                <w:p w14:paraId="4549E24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6.1 </w:t>
                  </w:r>
                </w:p>
              </w:tc>
              <w:tc>
                <w:tcPr>
                  <w:tcW w:w="931" w:type="dxa"/>
                  <w:vMerge w:val="continue"/>
                  <w:tcBorders>
                    <w:tl2br w:val="nil"/>
                    <w:tr2bl w:val="nil"/>
                  </w:tcBorders>
                  <w:vAlign w:val="center"/>
                </w:tcPr>
                <w:p w14:paraId="29CC68F7">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r>
            <w:tr w14:paraId="4029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8" w:type="dxa"/>
                  <w:vMerge w:val="continue"/>
                  <w:tcBorders>
                    <w:tl2br w:val="nil"/>
                    <w:tr2bl w:val="nil"/>
                  </w:tcBorders>
                  <w:vAlign w:val="center"/>
                </w:tcPr>
                <w:p w14:paraId="0D963FF7">
                  <w:pPr>
                    <w:spacing w:line="240" w:lineRule="auto"/>
                    <w:jc w:val="center"/>
                    <w:rPr>
                      <w:rFonts w:hint="default" w:ascii="Times New Roman" w:hAnsi="Times New Roman" w:cs="Times New Roman"/>
                      <w:bCs/>
                      <w:color w:val="auto"/>
                      <w:sz w:val="21"/>
                      <w:szCs w:val="21"/>
                      <w:highlight w:val="none"/>
                    </w:rPr>
                  </w:pPr>
                </w:p>
              </w:tc>
              <w:tc>
                <w:tcPr>
                  <w:tcW w:w="1068" w:type="dxa"/>
                  <w:tcBorders>
                    <w:tl2br w:val="nil"/>
                    <w:tr2bl w:val="nil"/>
                  </w:tcBorders>
                  <w:vAlign w:val="center"/>
                </w:tcPr>
                <w:p w14:paraId="2CC8EA17">
                  <w:pPr>
                    <w:keepNext w:val="0"/>
                    <w:keepLines w:val="0"/>
                    <w:widowControl/>
                    <w:suppressLineNumbers w:val="0"/>
                    <w:spacing w:line="240" w:lineRule="auto"/>
                    <w:jc w:val="center"/>
                    <w:textAlignment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苯系物</w:t>
                  </w:r>
                </w:p>
              </w:tc>
              <w:tc>
                <w:tcPr>
                  <w:tcW w:w="1225" w:type="dxa"/>
                  <w:tcBorders>
                    <w:tl2br w:val="nil"/>
                    <w:tr2bl w:val="nil"/>
                  </w:tcBorders>
                  <w:vAlign w:val="center"/>
                </w:tcPr>
                <w:p w14:paraId="29D7237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0.181 </w:t>
                  </w:r>
                </w:p>
              </w:tc>
              <w:tc>
                <w:tcPr>
                  <w:tcW w:w="1079" w:type="dxa"/>
                  <w:tcBorders>
                    <w:tl2br w:val="nil"/>
                    <w:tr2bl w:val="nil"/>
                  </w:tcBorders>
                  <w:vAlign w:val="center"/>
                </w:tcPr>
                <w:p w14:paraId="1382BB7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0.060 </w:t>
                  </w:r>
                </w:p>
              </w:tc>
              <w:tc>
                <w:tcPr>
                  <w:tcW w:w="911" w:type="dxa"/>
                  <w:tcBorders>
                    <w:tl2br w:val="nil"/>
                    <w:tr2bl w:val="nil"/>
                  </w:tcBorders>
                  <w:vAlign w:val="center"/>
                </w:tcPr>
                <w:p w14:paraId="4D9F9B5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6.0 </w:t>
                  </w:r>
                </w:p>
              </w:tc>
              <w:tc>
                <w:tcPr>
                  <w:tcW w:w="955" w:type="dxa"/>
                  <w:vMerge w:val="continue"/>
                  <w:tcBorders>
                    <w:tl2br w:val="nil"/>
                    <w:tr2bl w:val="nil"/>
                  </w:tcBorders>
                  <w:vAlign w:val="center"/>
                </w:tcPr>
                <w:p w14:paraId="44E75568">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c>
                <w:tcPr>
                  <w:tcW w:w="886" w:type="dxa"/>
                  <w:vMerge w:val="continue"/>
                  <w:tcBorders>
                    <w:tl2br w:val="nil"/>
                    <w:tr2bl w:val="nil"/>
                  </w:tcBorders>
                  <w:vAlign w:val="center"/>
                </w:tcPr>
                <w:p w14:paraId="43CA34F3">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c>
                <w:tcPr>
                  <w:tcW w:w="886" w:type="dxa"/>
                  <w:tcBorders>
                    <w:tl2br w:val="nil"/>
                    <w:tr2bl w:val="nil"/>
                  </w:tcBorders>
                  <w:shd w:val="clear" w:color="auto" w:fill="auto"/>
                  <w:vAlign w:val="center"/>
                </w:tcPr>
                <w:p w14:paraId="56B15EC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886" w:type="dxa"/>
                  <w:tcBorders>
                    <w:tl2br w:val="nil"/>
                    <w:tr2bl w:val="nil"/>
                  </w:tcBorders>
                  <w:shd w:val="clear" w:color="auto" w:fill="auto"/>
                  <w:vAlign w:val="center"/>
                </w:tcPr>
                <w:p w14:paraId="6FEB357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1237" w:type="dxa"/>
                  <w:tcBorders>
                    <w:tl2br w:val="nil"/>
                    <w:tr2bl w:val="nil"/>
                  </w:tcBorders>
                  <w:vAlign w:val="center"/>
                </w:tcPr>
                <w:p w14:paraId="670DBA6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0.036 </w:t>
                  </w:r>
                </w:p>
              </w:tc>
              <w:tc>
                <w:tcPr>
                  <w:tcW w:w="1039" w:type="dxa"/>
                  <w:tcBorders>
                    <w:tl2br w:val="nil"/>
                    <w:tr2bl w:val="nil"/>
                  </w:tcBorders>
                  <w:vAlign w:val="center"/>
                </w:tcPr>
                <w:p w14:paraId="1B088BC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0.012 </w:t>
                  </w:r>
                </w:p>
              </w:tc>
              <w:tc>
                <w:tcPr>
                  <w:tcW w:w="1040" w:type="dxa"/>
                  <w:tcBorders>
                    <w:tl2br w:val="nil"/>
                    <w:tr2bl w:val="nil"/>
                  </w:tcBorders>
                  <w:vAlign w:val="center"/>
                </w:tcPr>
                <w:p w14:paraId="59C839B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 </w:t>
                  </w:r>
                </w:p>
              </w:tc>
              <w:tc>
                <w:tcPr>
                  <w:tcW w:w="931" w:type="dxa"/>
                  <w:vMerge w:val="continue"/>
                  <w:tcBorders>
                    <w:tl2br w:val="nil"/>
                    <w:tr2bl w:val="nil"/>
                  </w:tcBorders>
                  <w:vAlign w:val="center"/>
                </w:tcPr>
                <w:p w14:paraId="49A6DE5B">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r>
            <w:tr w14:paraId="1950D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8" w:type="dxa"/>
                  <w:vMerge w:val="continue"/>
                  <w:tcBorders>
                    <w:tl2br w:val="nil"/>
                    <w:tr2bl w:val="nil"/>
                  </w:tcBorders>
                  <w:vAlign w:val="center"/>
                </w:tcPr>
                <w:p w14:paraId="64006F83">
                  <w:pPr>
                    <w:spacing w:line="240" w:lineRule="auto"/>
                    <w:jc w:val="center"/>
                    <w:rPr>
                      <w:rFonts w:hint="default" w:ascii="Times New Roman" w:hAnsi="Times New Roman" w:cs="Times New Roman"/>
                      <w:bCs/>
                      <w:color w:val="auto"/>
                      <w:sz w:val="21"/>
                      <w:szCs w:val="21"/>
                      <w:highlight w:val="none"/>
                    </w:rPr>
                  </w:pPr>
                </w:p>
              </w:tc>
              <w:tc>
                <w:tcPr>
                  <w:tcW w:w="1068" w:type="dxa"/>
                  <w:tcBorders>
                    <w:tl2br w:val="nil"/>
                    <w:tr2bl w:val="nil"/>
                  </w:tcBorders>
                  <w:shd w:val="clear" w:color="auto" w:fill="auto"/>
                  <w:vAlign w:val="center"/>
                </w:tcPr>
                <w:p w14:paraId="0B58CC87">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臭气浓度</w:t>
                  </w:r>
                </w:p>
              </w:tc>
              <w:tc>
                <w:tcPr>
                  <w:tcW w:w="1225" w:type="dxa"/>
                  <w:tcBorders>
                    <w:tl2br w:val="nil"/>
                    <w:tr2bl w:val="nil"/>
                  </w:tcBorders>
                  <w:vAlign w:val="center"/>
                </w:tcPr>
                <w:p w14:paraId="5A05F91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079" w:type="dxa"/>
                  <w:tcBorders>
                    <w:tl2br w:val="nil"/>
                    <w:tr2bl w:val="nil"/>
                  </w:tcBorders>
                  <w:vAlign w:val="center"/>
                </w:tcPr>
                <w:p w14:paraId="2B55602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11" w:type="dxa"/>
                  <w:tcBorders>
                    <w:tl2br w:val="nil"/>
                    <w:tr2bl w:val="nil"/>
                  </w:tcBorders>
                  <w:vAlign w:val="center"/>
                </w:tcPr>
                <w:p w14:paraId="5ED6945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55" w:type="dxa"/>
                  <w:vMerge w:val="continue"/>
                  <w:tcBorders>
                    <w:tl2br w:val="nil"/>
                    <w:tr2bl w:val="nil"/>
                  </w:tcBorders>
                  <w:vAlign w:val="center"/>
                </w:tcPr>
                <w:p w14:paraId="5E7E066F">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c>
                <w:tcPr>
                  <w:tcW w:w="886" w:type="dxa"/>
                  <w:vMerge w:val="continue"/>
                  <w:tcBorders>
                    <w:tl2br w:val="nil"/>
                    <w:tr2bl w:val="nil"/>
                  </w:tcBorders>
                  <w:vAlign w:val="center"/>
                </w:tcPr>
                <w:p w14:paraId="2881E25B">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c>
                <w:tcPr>
                  <w:tcW w:w="886" w:type="dxa"/>
                  <w:tcBorders>
                    <w:tl2br w:val="nil"/>
                    <w:tr2bl w:val="nil"/>
                  </w:tcBorders>
                  <w:shd w:val="clear" w:color="auto" w:fill="auto"/>
                  <w:vAlign w:val="center"/>
                </w:tcPr>
                <w:p w14:paraId="2B532D2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86" w:type="dxa"/>
                  <w:tcBorders>
                    <w:tl2br w:val="nil"/>
                    <w:tr2bl w:val="nil"/>
                  </w:tcBorders>
                  <w:shd w:val="clear" w:color="auto" w:fill="auto"/>
                  <w:vAlign w:val="center"/>
                </w:tcPr>
                <w:p w14:paraId="26CDEC3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7" w:type="dxa"/>
                  <w:tcBorders>
                    <w:tl2br w:val="nil"/>
                    <w:tr2bl w:val="nil"/>
                  </w:tcBorders>
                  <w:vAlign w:val="center"/>
                </w:tcPr>
                <w:p w14:paraId="32E4802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039" w:type="dxa"/>
                  <w:tcBorders>
                    <w:tl2br w:val="nil"/>
                    <w:tr2bl w:val="nil"/>
                  </w:tcBorders>
                  <w:vAlign w:val="center"/>
                </w:tcPr>
                <w:p w14:paraId="025984E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040" w:type="dxa"/>
                  <w:tcBorders>
                    <w:tl2br w:val="nil"/>
                    <w:tr2bl w:val="nil"/>
                  </w:tcBorders>
                  <w:vAlign w:val="center"/>
                </w:tcPr>
                <w:p w14:paraId="6D101D8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31" w:type="dxa"/>
                  <w:vMerge w:val="continue"/>
                  <w:tcBorders>
                    <w:tl2br w:val="nil"/>
                    <w:tr2bl w:val="nil"/>
                  </w:tcBorders>
                  <w:vAlign w:val="center"/>
                </w:tcPr>
                <w:p w14:paraId="1512FA15">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r>
            <w:tr w14:paraId="6788F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8" w:type="dxa"/>
                  <w:vMerge w:val="continue"/>
                  <w:tcBorders>
                    <w:tl2br w:val="nil"/>
                    <w:tr2bl w:val="nil"/>
                  </w:tcBorders>
                  <w:vAlign w:val="center"/>
                </w:tcPr>
                <w:p w14:paraId="2C28FDF0">
                  <w:pPr>
                    <w:spacing w:line="240" w:lineRule="auto"/>
                    <w:jc w:val="center"/>
                    <w:rPr>
                      <w:rFonts w:hint="default" w:ascii="Times New Roman" w:hAnsi="Times New Roman" w:cs="Times New Roman"/>
                      <w:bCs/>
                      <w:color w:val="auto"/>
                      <w:sz w:val="21"/>
                      <w:szCs w:val="21"/>
                      <w:highlight w:val="none"/>
                    </w:rPr>
                  </w:pPr>
                </w:p>
              </w:tc>
              <w:tc>
                <w:tcPr>
                  <w:tcW w:w="1068" w:type="dxa"/>
                  <w:tcBorders>
                    <w:tl2br w:val="nil"/>
                    <w:tr2bl w:val="nil"/>
                  </w:tcBorders>
                  <w:shd w:val="clear" w:color="auto" w:fill="auto"/>
                  <w:vAlign w:val="center"/>
                </w:tcPr>
                <w:p w14:paraId="7319F0E6">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225" w:type="dxa"/>
                  <w:tcBorders>
                    <w:tl2br w:val="nil"/>
                    <w:tr2bl w:val="nil"/>
                  </w:tcBorders>
                  <w:vAlign w:val="center"/>
                </w:tcPr>
                <w:p w14:paraId="0E3E542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0.030 </w:t>
                  </w:r>
                </w:p>
              </w:tc>
              <w:tc>
                <w:tcPr>
                  <w:tcW w:w="1079" w:type="dxa"/>
                  <w:tcBorders>
                    <w:tl2br w:val="nil"/>
                    <w:tr2bl w:val="nil"/>
                  </w:tcBorders>
                  <w:vAlign w:val="center"/>
                </w:tcPr>
                <w:p w14:paraId="3C175FD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0.010 </w:t>
                  </w:r>
                </w:p>
              </w:tc>
              <w:tc>
                <w:tcPr>
                  <w:tcW w:w="911" w:type="dxa"/>
                  <w:tcBorders>
                    <w:tl2br w:val="nil"/>
                    <w:tr2bl w:val="nil"/>
                  </w:tcBorders>
                  <w:vAlign w:val="center"/>
                </w:tcPr>
                <w:p w14:paraId="160D1F9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 </w:t>
                  </w:r>
                </w:p>
              </w:tc>
              <w:tc>
                <w:tcPr>
                  <w:tcW w:w="955" w:type="dxa"/>
                  <w:vMerge w:val="continue"/>
                  <w:tcBorders>
                    <w:tl2br w:val="nil"/>
                    <w:tr2bl w:val="nil"/>
                  </w:tcBorders>
                  <w:vAlign w:val="center"/>
                </w:tcPr>
                <w:p w14:paraId="41137F79">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c>
                <w:tcPr>
                  <w:tcW w:w="886" w:type="dxa"/>
                  <w:vMerge w:val="continue"/>
                  <w:tcBorders>
                    <w:tl2br w:val="nil"/>
                    <w:tr2bl w:val="nil"/>
                  </w:tcBorders>
                  <w:vAlign w:val="center"/>
                </w:tcPr>
                <w:p w14:paraId="5D774683">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c>
                <w:tcPr>
                  <w:tcW w:w="886" w:type="dxa"/>
                  <w:tcBorders>
                    <w:tl2br w:val="nil"/>
                    <w:tr2bl w:val="nil"/>
                  </w:tcBorders>
                  <w:shd w:val="clear" w:color="auto" w:fill="auto"/>
                  <w:vAlign w:val="center"/>
                </w:tcPr>
                <w:p w14:paraId="2D729A3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886" w:type="dxa"/>
                  <w:tcBorders>
                    <w:tl2br w:val="nil"/>
                    <w:tr2bl w:val="nil"/>
                  </w:tcBorders>
                  <w:shd w:val="clear" w:color="auto" w:fill="auto"/>
                  <w:vAlign w:val="center"/>
                </w:tcPr>
                <w:p w14:paraId="31A734A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7" w:type="dxa"/>
                  <w:tcBorders>
                    <w:tl2br w:val="nil"/>
                    <w:tr2bl w:val="nil"/>
                  </w:tcBorders>
                  <w:vAlign w:val="center"/>
                </w:tcPr>
                <w:p w14:paraId="51763B3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0.030 </w:t>
                  </w:r>
                </w:p>
              </w:tc>
              <w:tc>
                <w:tcPr>
                  <w:tcW w:w="1039" w:type="dxa"/>
                  <w:tcBorders>
                    <w:tl2br w:val="nil"/>
                    <w:tr2bl w:val="nil"/>
                  </w:tcBorders>
                  <w:vAlign w:val="center"/>
                </w:tcPr>
                <w:p w14:paraId="30AC61B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0.010 </w:t>
                  </w:r>
                </w:p>
              </w:tc>
              <w:tc>
                <w:tcPr>
                  <w:tcW w:w="1040" w:type="dxa"/>
                  <w:tcBorders>
                    <w:tl2br w:val="nil"/>
                    <w:tr2bl w:val="nil"/>
                  </w:tcBorders>
                  <w:vAlign w:val="center"/>
                </w:tcPr>
                <w:p w14:paraId="4921CF1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 </w:t>
                  </w:r>
                </w:p>
              </w:tc>
              <w:tc>
                <w:tcPr>
                  <w:tcW w:w="931" w:type="dxa"/>
                  <w:vMerge w:val="continue"/>
                  <w:tcBorders>
                    <w:tl2br w:val="nil"/>
                    <w:tr2bl w:val="nil"/>
                  </w:tcBorders>
                  <w:vAlign w:val="center"/>
                </w:tcPr>
                <w:p w14:paraId="5EB89B2E">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r>
            <w:tr w14:paraId="2550D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8" w:type="dxa"/>
                  <w:vMerge w:val="continue"/>
                  <w:tcBorders>
                    <w:tl2br w:val="nil"/>
                    <w:tr2bl w:val="nil"/>
                  </w:tcBorders>
                  <w:vAlign w:val="center"/>
                </w:tcPr>
                <w:p w14:paraId="231AAFF7">
                  <w:pPr>
                    <w:spacing w:line="240" w:lineRule="auto"/>
                    <w:jc w:val="center"/>
                    <w:rPr>
                      <w:rFonts w:hint="default" w:ascii="Times New Roman" w:hAnsi="Times New Roman" w:cs="Times New Roman"/>
                      <w:bCs/>
                      <w:color w:val="auto"/>
                      <w:sz w:val="21"/>
                      <w:szCs w:val="21"/>
                      <w:highlight w:val="none"/>
                    </w:rPr>
                  </w:pPr>
                </w:p>
              </w:tc>
              <w:tc>
                <w:tcPr>
                  <w:tcW w:w="1068" w:type="dxa"/>
                  <w:tcBorders>
                    <w:tl2br w:val="nil"/>
                    <w:tr2bl w:val="nil"/>
                  </w:tcBorders>
                  <w:shd w:val="clear" w:color="auto" w:fill="auto"/>
                  <w:vAlign w:val="center"/>
                </w:tcPr>
                <w:p w14:paraId="7FC162DB">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1225" w:type="dxa"/>
                  <w:tcBorders>
                    <w:tl2br w:val="nil"/>
                    <w:tr2bl w:val="nil"/>
                  </w:tcBorders>
                  <w:vAlign w:val="center"/>
                </w:tcPr>
                <w:p w14:paraId="5602DA4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0.285 </w:t>
                  </w:r>
                </w:p>
              </w:tc>
              <w:tc>
                <w:tcPr>
                  <w:tcW w:w="1079" w:type="dxa"/>
                  <w:tcBorders>
                    <w:tl2br w:val="nil"/>
                    <w:tr2bl w:val="nil"/>
                  </w:tcBorders>
                  <w:vAlign w:val="center"/>
                </w:tcPr>
                <w:p w14:paraId="09283D4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0.095 </w:t>
                  </w:r>
                </w:p>
              </w:tc>
              <w:tc>
                <w:tcPr>
                  <w:tcW w:w="911" w:type="dxa"/>
                  <w:tcBorders>
                    <w:tl2br w:val="nil"/>
                    <w:tr2bl w:val="nil"/>
                  </w:tcBorders>
                  <w:vAlign w:val="center"/>
                </w:tcPr>
                <w:p w14:paraId="16B1FF0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9.5 </w:t>
                  </w:r>
                </w:p>
              </w:tc>
              <w:tc>
                <w:tcPr>
                  <w:tcW w:w="955" w:type="dxa"/>
                  <w:vMerge w:val="continue"/>
                  <w:tcBorders>
                    <w:tl2br w:val="nil"/>
                    <w:tr2bl w:val="nil"/>
                  </w:tcBorders>
                  <w:vAlign w:val="center"/>
                </w:tcPr>
                <w:p w14:paraId="68082402">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c>
                <w:tcPr>
                  <w:tcW w:w="886" w:type="dxa"/>
                  <w:vMerge w:val="continue"/>
                  <w:tcBorders>
                    <w:tl2br w:val="nil"/>
                    <w:tr2bl w:val="nil"/>
                  </w:tcBorders>
                  <w:vAlign w:val="center"/>
                </w:tcPr>
                <w:p w14:paraId="44A78A29">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c>
                <w:tcPr>
                  <w:tcW w:w="886" w:type="dxa"/>
                  <w:tcBorders>
                    <w:tl2br w:val="nil"/>
                    <w:tr2bl w:val="nil"/>
                  </w:tcBorders>
                  <w:vAlign w:val="center"/>
                </w:tcPr>
                <w:p w14:paraId="5C51D27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886" w:type="dxa"/>
                  <w:tcBorders>
                    <w:tl2br w:val="nil"/>
                    <w:tr2bl w:val="nil"/>
                  </w:tcBorders>
                  <w:vAlign w:val="center"/>
                </w:tcPr>
                <w:p w14:paraId="10AB2E8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7" w:type="dxa"/>
                  <w:tcBorders>
                    <w:tl2br w:val="nil"/>
                    <w:tr2bl w:val="nil"/>
                  </w:tcBorders>
                  <w:vAlign w:val="center"/>
                </w:tcPr>
                <w:p w14:paraId="1F3E50E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0.285 </w:t>
                  </w:r>
                </w:p>
              </w:tc>
              <w:tc>
                <w:tcPr>
                  <w:tcW w:w="1039" w:type="dxa"/>
                  <w:tcBorders>
                    <w:tl2br w:val="nil"/>
                    <w:tr2bl w:val="nil"/>
                  </w:tcBorders>
                  <w:vAlign w:val="center"/>
                </w:tcPr>
                <w:p w14:paraId="44D9931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0.095 </w:t>
                  </w:r>
                </w:p>
              </w:tc>
              <w:tc>
                <w:tcPr>
                  <w:tcW w:w="1040" w:type="dxa"/>
                  <w:tcBorders>
                    <w:tl2br w:val="nil"/>
                    <w:tr2bl w:val="nil"/>
                  </w:tcBorders>
                  <w:vAlign w:val="center"/>
                </w:tcPr>
                <w:p w14:paraId="0221C20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9.5 </w:t>
                  </w:r>
                </w:p>
              </w:tc>
              <w:tc>
                <w:tcPr>
                  <w:tcW w:w="931" w:type="dxa"/>
                  <w:vMerge w:val="continue"/>
                  <w:tcBorders>
                    <w:tl2br w:val="nil"/>
                    <w:tr2bl w:val="nil"/>
                  </w:tcBorders>
                  <w:vAlign w:val="center"/>
                </w:tcPr>
                <w:p w14:paraId="648ECD75">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r>
            <w:tr w14:paraId="1F68F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8" w:type="dxa"/>
                  <w:vMerge w:val="continue"/>
                  <w:tcBorders>
                    <w:tl2br w:val="nil"/>
                    <w:tr2bl w:val="nil"/>
                  </w:tcBorders>
                  <w:vAlign w:val="center"/>
                </w:tcPr>
                <w:p w14:paraId="2CA5DCA5">
                  <w:pPr>
                    <w:spacing w:line="240" w:lineRule="auto"/>
                    <w:jc w:val="center"/>
                    <w:rPr>
                      <w:rFonts w:hint="default" w:ascii="Times New Roman" w:hAnsi="Times New Roman" w:cs="Times New Roman"/>
                      <w:bCs/>
                      <w:color w:val="auto"/>
                      <w:sz w:val="21"/>
                      <w:szCs w:val="21"/>
                      <w:highlight w:val="none"/>
                    </w:rPr>
                  </w:pPr>
                </w:p>
              </w:tc>
              <w:tc>
                <w:tcPr>
                  <w:tcW w:w="1068" w:type="dxa"/>
                  <w:tcBorders>
                    <w:tl2br w:val="nil"/>
                    <w:tr2bl w:val="nil"/>
                  </w:tcBorders>
                  <w:shd w:val="clear" w:color="auto" w:fill="auto"/>
                  <w:vAlign w:val="center"/>
                </w:tcPr>
                <w:p w14:paraId="479E93AD">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225" w:type="dxa"/>
                  <w:tcBorders>
                    <w:tl2br w:val="nil"/>
                    <w:tr2bl w:val="nil"/>
                  </w:tcBorders>
                  <w:vAlign w:val="center"/>
                </w:tcPr>
                <w:p w14:paraId="0D86EBB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0.120 </w:t>
                  </w:r>
                </w:p>
              </w:tc>
              <w:tc>
                <w:tcPr>
                  <w:tcW w:w="1079" w:type="dxa"/>
                  <w:tcBorders>
                    <w:tl2br w:val="nil"/>
                    <w:tr2bl w:val="nil"/>
                  </w:tcBorders>
                  <w:vAlign w:val="center"/>
                </w:tcPr>
                <w:p w14:paraId="33C0D39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0.040 </w:t>
                  </w:r>
                </w:p>
              </w:tc>
              <w:tc>
                <w:tcPr>
                  <w:tcW w:w="911" w:type="dxa"/>
                  <w:tcBorders>
                    <w:tl2br w:val="nil"/>
                    <w:tr2bl w:val="nil"/>
                  </w:tcBorders>
                  <w:vAlign w:val="center"/>
                </w:tcPr>
                <w:p w14:paraId="5C6B32C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55" w:type="dxa"/>
                  <w:vMerge w:val="restart"/>
                  <w:tcBorders>
                    <w:tl2br w:val="nil"/>
                    <w:tr2bl w:val="nil"/>
                  </w:tcBorders>
                  <w:vAlign w:val="center"/>
                </w:tcPr>
                <w:p w14:paraId="5785CE3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无组织</w:t>
                  </w:r>
                </w:p>
              </w:tc>
              <w:tc>
                <w:tcPr>
                  <w:tcW w:w="886" w:type="dxa"/>
                  <w:tcBorders>
                    <w:tl2br w:val="nil"/>
                    <w:tr2bl w:val="nil"/>
                  </w:tcBorders>
                  <w:vAlign w:val="center"/>
                </w:tcPr>
                <w:p w14:paraId="6A8D4AF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86" w:type="dxa"/>
                  <w:tcBorders>
                    <w:tl2br w:val="nil"/>
                    <w:tr2bl w:val="nil"/>
                  </w:tcBorders>
                  <w:vAlign w:val="center"/>
                </w:tcPr>
                <w:p w14:paraId="01F851A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86" w:type="dxa"/>
                  <w:tcBorders>
                    <w:tl2br w:val="nil"/>
                    <w:tr2bl w:val="nil"/>
                  </w:tcBorders>
                  <w:vAlign w:val="center"/>
                </w:tcPr>
                <w:p w14:paraId="56739D6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7" w:type="dxa"/>
                  <w:tcBorders>
                    <w:tl2br w:val="nil"/>
                    <w:tr2bl w:val="nil"/>
                  </w:tcBorders>
                  <w:vAlign w:val="center"/>
                </w:tcPr>
                <w:p w14:paraId="1624C6F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0.120 </w:t>
                  </w:r>
                </w:p>
              </w:tc>
              <w:tc>
                <w:tcPr>
                  <w:tcW w:w="1039" w:type="dxa"/>
                  <w:tcBorders>
                    <w:tl2br w:val="nil"/>
                    <w:tr2bl w:val="nil"/>
                  </w:tcBorders>
                  <w:vAlign w:val="center"/>
                </w:tcPr>
                <w:p w14:paraId="1E248C4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0.040 </w:t>
                  </w:r>
                </w:p>
              </w:tc>
              <w:tc>
                <w:tcPr>
                  <w:tcW w:w="1040" w:type="dxa"/>
                  <w:tcBorders>
                    <w:tl2br w:val="nil"/>
                    <w:tr2bl w:val="nil"/>
                  </w:tcBorders>
                  <w:vAlign w:val="center"/>
                </w:tcPr>
                <w:p w14:paraId="4561F2C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31" w:type="dxa"/>
                  <w:vMerge w:val="continue"/>
                  <w:tcBorders>
                    <w:tl2br w:val="nil"/>
                    <w:tr2bl w:val="nil"/>
                  </w:tcBorders>
                  <w:vAlign w:val="center"/>
                </w:tcPr>
                <w:p w14:paraId="5BA3A6BD">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r>
            <w:tr w14:paraId="56A3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8" w:type="dxa"/>
                  <w:vMerge w:val="continue"/>
                  <w:tcBorders>
                    <w:tl2br w:val="nil"/>
                    <w:tr2bl w:val="nil"/>
                  </w:tcBorders>
                  <w:vAlign w:val="center"/>
                </w:tcPr>
                <w:p w14:paraId="5B681AA1">
                  <w:pPr>
                    <w:spacing w:line="240" w:lineRule="auto"/>
                    <w:jc w:val="center"/>
                    <w:rPr>
                      <w:rFonts w:hint="default" w:ascii="Times New Roman" w:hAnsi="Times New Roman" w:cs="Times New Roman"/>
                      <w:bCs/>
                      <w:color w:val="auto"/>
                      <w:sz w:val="21"/>
                      <w:szCs w:val="21"/>
                      <w:highlight w:val="none"/>
                    </w:rPr>
                  </w:pPr>
                </w:p>
              </w:tc>
              <w:tc>
                <w:tcPr>
                  <w:tcW w:w="1068" w:type="dxa"/>
                  <w:tcBorders>
                    <w:tl2br w:val="nil"/>
                    <w:tr2bl w:val="nil"/>
                  </w:tcBorders>
                  <w:shd w:val="clear" w:color="auto" w:fill="auto"/>
                  <w:vAlign w:val="center"/>
                </w:tcPr>
                <w:p w14:paraId="3D46A31B">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1225" w:type="dxa"/>
                  <w:tcBorders>
                    <w:tl2br w:val="nil"/>
                    <w:tr2bl w:val="nil"/>
                  </w:tcBorders>
                  <w:vAlign w:val="center"/>
                </w:tcPr>
                <w:p w14:paraId="78F8ACB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0.09</w:t>
                  </w:r>
                  <w:r>
                    <w:rPr>
                      <w:rFonts w:hint="eastAsia" w:ascii="Times New Roman" w:hAnsi="Times New Roman" w:eastAsia="宋体" w:cs="Times New Roman"/>
                      <w:i w:val="0"/>
                      <w:iCs w:val="0"/>
                      <w:color w:val="auto"/>
                      <w:kern w:val="0"/>
                      <w:sz w:val="21"/>
                      <w:szCs w:val="21"/>
                      <w:highlight w:val="none"/>
                      <w:u w:val="none"/>
                      <w:lang w:val="en-US" w:eastAsia="zh-CN" w:bidi="ar"/>
                    </w:rPr>
                    <w:t>8</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079" w:type="dxa"/>
                  <w:tcBorders>
                    <w:tl2br w:val="nil"/>
                    <w:tr2bl w:val="nil"/>
                  </w:tcBorders>
                  <w:vAlign w:val="center"/>
                </w:tcPr>
                <w:p w14:paraId="6E8B1D6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w:t>
                  </w:r>
                  <w:r>
                    <w:rPr>
                      <w:rFonts w:hint="eastAsia" w:ascii="Times New Roman" w:hAnsi="Times New Roman" w:eastAsia="宋体"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911" w:type="dxa"/>
                  <w:tcBorders>
                    <w:tl2br w:val="nil"/>
                    <w:tr2bl w:val="nil"/>
                  </w:tcBorders>
                  <w:vAlign w:val="center"/>
                </w:tcPr>
                <w:p w14:paraId="39EA3AD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55" w:type="dxa"/>
                  <w:vMerge w:val="continue"/>
                  <w:tcBorders>
                    <w:tl2br w:val="nil"/>
                    <w:tr2bl w:val="nil"/>
                  </w:tcBorders>
                  <w:vAlign w:val="center"/>
                </w:tcPr>
                <w:p w14:paraId="41605965">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c>
                <w:tcPr>
                  <w:tcW w:w="886" w:type="dxa"/>
                  <w:tcBorders>
                    <w:tl2br w:val="nil"/>
                    <w:tr2bl w:val="nil"/>
                  </w:tcBorders>
                  <w:vAlign w:val="center"/>
                </w:tcPr>
                <w:p w14:paraId="30EF010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86" w:type="dxa"/>
                  <w:tcBorders>
                    <w:tl2br w:val="nil"/>
                    <w:tr2bl w:val="nil"/>
                  </w:tcBorders>
                  <w:vAlign w:val="center"/>
                </w:tcPr>
                <w:p w14:paraId="310CC99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86" w:type="dxa"/>
                  <w:tcBorders>
                    <w:tl2br w:val="nil"/>
                    <w:tr2bl w:val="nil"/>
                  </w:tcBorders>
                  <w:vAlign w:val="center"/>
                </w:tcPr>
                <w:p w14:paraId="68A204B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7" w:type="dxa"/>
                  <w:tcBorders>
                    <w:tl2br w:val="nil"/>
                    <w:tr2bl w:val="nil"/>
                  </w:tcBorders>
                  <w:vAlign w:val="center"/>
                </w:tcPr>
                <w:p w14:paraId="19AF196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0.09</w:t>
                  </w:r>
                  <w:r>
                    <w:rPr>
                      <w:rFonts w:hint="eastAsia" w:ascii="Times New Roman" w:hAnsi="Times New Roman" w:eastAsia="宋体" w:cs="Times New Roman"/>
                      <w:i w:val="0"/>
                      <w:iCs w:val="0"/>
                      <w:color w:val="auto"/>
                      <w:kern w:val="0"/>
                      <w:sz w:val="21"/>
                      <w:szCs w:val="21"/>
                      <w:highlight w:val="none"/>
                      <w:u w:val="none"/>
                      <w:lang w:val="en-US" w:eastAsia="zh-CN" w:bidi="ar"/>
                    </w:rPr>
                    <w:t>8</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039" w:type="dxa"/>
                  <w:tcBorders>
                    <w:tl2br w:val="nil"/>
                    <w:tr2bl w:val="nil"/>
                  </w:tcBorders>
                  <w:vAlign w:val="center"/>
                </w:tcPr>
                <w:p w14:paraId="3C06DF3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w:t>
                  </w:r>
                  <w:r>
                    <w:rPr>
                      <w:rFonts w:hint="eastAsia" w:ascii="Times New Roman" w:hAnsi="Times New Roman" w:eastAsia="宋体" w:cs="Times New Roman"/>
                      <w:i w:val="0"/>
                      <w:iCs w:val="0"/>
                      <w:color w:val="auto"/>
                      <w:kern w:val="0"/>
                      <w:sz w:val="21"/>
                      <w:szCs w:val="21"/>
                      <w:highlight w:val="none"/>
                      <w:u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040" w:type="dxa"/>
                  <w:tcBorders>
                    <w:tl2br w:val="nil"/>
                    <w:tr2bl w:val="nil"/>
                  </w:tcBorders>
                  <w:vAlign w:val="center"/>
                </w:tcPr>
                <w:p w14:paraId="1A8A27B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31" w:type="dxa"/>
                  <w:vMerge w:val="continue"/>
                  <w:tcBorders>
                    <w:tl2br w:val="nil"/>
                    <w:tr2bl w:val="nil"/>
                  </w:tcBorders>
                  <w:vAlign w:val="center"/>
                </w:tcPr>
                <w:p w14:paraId="396EDDFF">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r>
            <w:tr w14:paraId="72E0A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8" w:type="dxa"/>
                  <w:vMerge w:val="continue"/>
                  <w:tcBorders>
                    <w:tl2br w:val="nil"/>
                    <w:tr2bl w:val="nil"/>
                  </w:tcBorders>
                  <w:vAlign w:val="center"/>
                </w:tcPr>
                <w:p w14:paraId="238F2CDF">
                  <w:pPr>
                    <w:spacing w:line="240" w:lineRule="auto"/>
                    <w:jc w:val="center"/>
                    <w:rPr>
                      <w:rFonts w:hint="default" w:ascii="Times New Roman" w:hAnsi="Times New Roman" w:cs="Times New Roman"/>
                      <w:bCs/>
                      <w:color w:val="auto"/>
                      <w:sz w:val="21"/>
                      <w:szCs w:val="21"/>
                      <w:highlight w:val="none"/>
                    </w:rPr>
                  </w:pPr>
                </w:p>
              </w:tc>
              <w:tc>
                <w:tcPr>
                  <w:tcW w:w="1068" w:type="dxa"/>
                  <w:tcBorders>
                    <w:tl2br w:val="nil"/>
                    <w:tr2bl w:val="nil"/>
                  </w:tcBorders>
                  <w:shd w:val="clear" w:color="auto" w:fill="auto"/>
                  <w:vAlign w:val="center"/>
                </w:tcPr>
                <w:p w14:paraId="55B747D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苯系物</w:t>
                  </w:r>
                </w:p>
              </w:tc>
              <w:tc>
                <w:tcPr>
                  <w:tcW w:w="1225" w:type="dxa"/>
                  <w:tcBorders>
                    <w:tl2br w:val="nil"/>
                    <w:tr2bl w:val="nil"/>
                  </w:tcBorders>
                  <w:vAlign w:val="center"/>
                </w:tcPr>
                <w:p w14:paraId="289513A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0.019 </w:t>
                  </w:r>
                </w:p>
              </w:tc>
              <w:tc>
                <w:tcPr>
                  <w:tcW w:w="1079" w:type="dxa"/>
                  <w:tcBorders>
                    <w:tl2br w:val="nil"/>
                    <w:tr2bl w:val="nil"/>
                  </w:tcBorders>
                  <w:vAlign w:val="center"/>
                </w:tcPr>
                <w:p w14:paraId="6800C32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0.006 </w:t>
                  </w:r>
                </w:p>
              </w:tc>
              <w:tc>
                <w:tcPr>
                  <w:tcW w:w="911" w:type="dxa"/>
                  <w:tcBorders>
                    <w:tl2br w:val="nil"/>
                    <w:tr2bl w:val="nil"/>
                  </w:tcBorders>
                  <w:vAlign w:val="center"/>
                </w:tcPr>
                <w:p w14:paraId="1027CF5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55" w:type="dxa"/>
                  <w:vMerge w:val="continue"/>
                  <w:tcBorders>
                    <w:tl2br w:val="nil"/>
                    <w:tr2bl w:val="nil"/>
                  </w:tcBorders>
                  <w:vAlign w:val="center"/>
                </w:tcPr>
                <w:p w14:paraId="0CB7EA7B">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c>
                <w:tcPr>
                  <w:tcW w:w="886" w:type="dxa"/>
                  <w:tcBorders>
                    <w:tl2br w:val="nil"/>
                    <w:tr2bl w:val="nil"/>
                  </w:tcBorders>
                  <w:vAlign w:val="center"/>
                </w:tcPr>
                <w:p w14:paraId="49A17AE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86" w:type="dxa"/>
                  <w:tcBorders>
                    <w:tl2br w:val="nil"/>
                    <w:tr2bl w:val="nil"/>
                  </w:tcBorders>
                  <w:vAlign w:val="center"/>
                </w:tcPr>
                <w:p w14:paraId="6218838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86" w:type="dxa"/>
                  <w:tcBorders>
                    <w:tl2br w:val="nil"/>
                    <w:tr2bl w:val="nil"/>
                  </w:tcBorders>
                  <w:vAlign w:val="center"/>
                </w:tcPr>
                <w:p w14:paraId="025C71B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7" w:type="dxa"/>
                  <w:tcBorders>
                    <w:tl2br w:val="nil"/>
                    <w:tr2bl w:val="nil"/>
                  </w:tcBorders>
                  <w:vAlign w:val="center"/>
                </w:tcPr>
                <w:p w14:paraId="02CCA59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0.019 </w:t>
                  </w:r>
                </w:p>
              </w:tc>
              <w:tc>
                <w:tcPr>
                  <w:tcW w:w="1039" w:type="dxa"/>
                  <w:tcBorders>
                    <w:tl2br w:val="nil"/>
                    <w:tr2bl w:val="nil"/>
                  </w:tcBorders>
                  <w:vAlign w:val="center"/>
                </w:tcPr>
                <w:p w14:paraId="026F1E2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0.006 </w:t>
                  </w:r>
                </w:p>
              </w:tc>
              <w:tc>
                <w:tcPr>
                  <w:tcW w:w="1040" w:type="dxa"/>
                  <w:tcBorders>
                    <w:tl2br w:val="nil"/>
                    <w:tr2bl w:val="nil"/>
                  </w:tcBorders>
                  <w:vAlign w:val="center"/>
                </w:tcPr>
                <w:p w14:paraId="44A1921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31" w:type="dxa"/>
                  <w:vMerge w:val="continue"/>
                  <w:tcBorders>
                    <w:tl2br w:val="nil"/>
                    <w:tr2bl w:val="nil"/>
                  </w:tcBorders>
                  <w:vAlign w:val="center"/>
                </w:tcPr>
                <w:p w14:paraId="29E37237">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r>
            <w:tr w14:paraId="2AD6F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8" w:type="dxa"/>
                  <w:vMerge w:val="continue"/>
                  <w:tcBorders>
                    <w:tl2br w:val="nil"/>
                    <w:tr2bl w:val="nil"/>
                  </w:tcBorders>
                  <w:vAlign w:val="center"/>
                </w:tcPr>
                <w:p w14:paraId="76BC5745">
                  <w:pPr>
                    <w:spacing w:line="240" w:lineRule="auto"/>
                    <w:jc w:val="center"/>
                    <w:rPr>
                      <w:rFonts w:hint="default" w:ascii="Times New Roman" w:hAnsi="Times New Roman" w:cs="Times New Roman"/>
                      <w:bCs/>
                      <w:color w:val="auto"/>
                      <w:sz w:val="21"/>
                      <w:szCs w:val="21"/>
                      <w:highlight w:val="none"/>
                    </w:rPr>
                  </w:pPr>
                </w:p>
              </w:tc>
              <w:tc>
                <w:tcPr>
                  <w:tcW w:w="1068" w:type="dxa"/>
                  <w:tcBorders>
                    <w:tl2br w:val="nil"/>
                    <w:tr2bl w:val="nil"/>
                  </w:tcBorders>
                  <w:shd w:val="clear" w:color="auto" w:fill="auto"/>
                  <w:vAlign w:val="center"/>
                </w:tcPr>
                <w:p w14:paraId="3DEB1A80">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臭气浓度</w:t>
                  </w:r>
                </w:p>
              </w:tc>
              <w:tc>
                <w:tcPr>
                  <w:tcW w:w="1225" w:type="dxa"/>
                  <w:tcBorders>
                    <w:tl2br w:val="nil"/>
                    <w:tr2bl w:val="nil"/>
                  </w:tcBorders>
                  <w:vAlign w:val="center"/>
                </w:tcPr>
                <w:p w14:paraId="4089240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079" w:type="dxa"/>
                  <w:tcBorders>
                    <w:tl2br w:val="nil"/>
                    <w:tr2bl w:val="nil"/>
                  </w:tcBorders>
                  <w:vAlign w:val="center"/>
                </w:tcPr>
                <w:p w14:paraId="42021D8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11" w:type="dxa"/>
                  <w:tcBorders>
                    <w:tl2br w:val="nil"/>
                    <w:tr2bl w:val="nil"/>
                  </w:tcBorders>
                  <w:vAlign w:val="center"/>
                </w:tcPr>
                <w:p w14:paraId="20B10DD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55" w:type="dxa"/>
                  <w:vMerge w:val="continue"/>
                  <w:tcBorders>
                    <w:tl2br w:val="nil"/>
                    <w:tr2bl w:val="nil"/>
                  </w:tcBorders>
                  <w:vAlign w:val="center"/>
                </w:tcPr>
                <w:p w14:paraId="61299280">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c>
                <w:tcPr>
                  <w:tcW w:w="886" w:type="dxa"/>
                  <w:tcBorders>
                    <w:tl2br w:val="nil"/>
                    <w:tr2bl w:val="nil"/>
                  </w:tcBorders>
                  <w:vAlign w:val="center"/>
                </w:tcPr>
                <w:p w14:paraId="2AA8722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86" w:type="dxa"/>
                  <w:tcBorders>
                    <w:tl2br w:val="nil"/>
                    <w:tr2bl w:val="nil"/>
                  </w:tcBorders>
                  <w:vAlign w:val="center"/>
                </w:tcPr>
                <w:p w14:paraId="7253BD0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86" w:type="dxa"/>
                  <w:tcBorders>
                    <w:tl2br w:val="nil"/>
                    <w:tr2bl w:val="nil"/>
                  </w:tcBorders>
                  <w:vAlign w:val="center"/>
                </w:tcPr>
                <w:p w14:paraId="33208F9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7" w:type="dxa"/>
                  <w:tcBorders>
                    <w:tl2br w:val="nil"/>
                    <w:tr2bl w:val="nil"/>
                  </w:tcBorders>
                  <w:vAlign w:val="center"/>
                </w:tcPr>
                <w:p w14:paraId="4B2988A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039" w:type="dxa"/>
                  <w:tcBorders>
                    <w:tl2br w:val="nil"/>
                    <w:tr2bl w:val="nil"/>
                  </w:tcBorders>
                  <w:vAlign w:val="center"/>
                </w:tcPr>
                <w:p w14:paraId="3DF76B4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040" w:type="dxa"/>
                  <w:tcBorders>
                    <w:tl2br w:val="nil"/>
                    <w:tr2bl w:val="nil"/>
                  </w:tcBorders>
                  <w:vAlign w:val="center"/>
                </w:tcPr>
                <w:p w14:paraId="0D5EE52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31" w:type="dxa"/>
                  <w:vMerge w:val="continue"/>
                  <w:tcBorders>
                    <w:tl2br w:val="nil"/>
                    <w:tr2bl w:val="nil"/>
                  </w:tcBorders>
                  <w:vAlign w:val="center"/>
                </w:tcPr>
                <w:p w14:paraId="3B8559CF">
                  <w:pPr>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rPr>
                  </w:pPr>
                </w:p>
              </w:tc>
            </w:tr>
          </w:tbl>
          <w:p w14:paraId="61520B42">
            <w:pPr>
              <w:keepNext w:val="0"/>
              <w:keepLines w:val="0"/>
              <w:pageBreakBefore w:val="0"/>
              <w:widowControl w:val="0"/>
              <w:numPr>
                <w:ilvl w:val="0"/>
                <w:numId w:val="10"/>
              </w:numPr>
              <w:kinsoku/>
              <w:wordWrap w:val="0"/>
              <w:overflowPunct/>
              <w:topLinePunct w:val="0"/>
              <w:autoSpaceDE/>
              <w:autoSpaceDN/>
              <w:bidi w:val="0"/>
              <w:adjustRightInd/>
              <w:snapToGrid/>
              <w:spacing w:line="240" w:lineRule="auto"/>
              <w:ind w:left="0" w:leftChars="0" w:hanging="1" w:firstLineChars="0"/>
              <w:jc w:val="center"/>
              <w:textAlignment w:val="auto"/>
              <w:rPr>
                <w:rFonts w:ascii="Times New Roman" w:hAnsi="Times New Roman" w:eastAsia="宋体" w:cs="Times New Roman"/>
                <w:b/>
                <w:bCs/>
                <w:color w:val="auto"/>
                <w:sz w:val="21"/>
                <w:szCs w:val="21"/>
                <w:highlight w:val="none"/>
                <w:lang w:eastAsia="zh-CN"/>
              </w:rPr>
            </w:pPr>
            <w:r>
              <w:rPr>
                <w:b/>
                <w:color w:val="auto"/>
                <w:sz w:val="21"/>
                <w:szCs w:val="21"/>
                <w:highlight w:val="none"/>
              </w:rPr>
              <w:t>大气污染物有组织排放量核算表</w:t>
            </w:r>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6"/>
              <w:gridCol w:w="2451"/>
              <w:gridCol w:w="1591"/>
              <w:gridCol w:w="2842"/>
              <w:gridCol w:w="3117"/>
              <w:gridCol w:w="2594"/>
            </w:tblGrid>
            <w:tr w14:paraId="30DFB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9" w:type="pct"/>
                  <w:shd w:val="clear" w:color="auto" w:fill="auto"/>
                  <w:vAlign w:val="center"/>
                </w:tcPr>
                <w:p w14:paraId="1C0DB0E2">
                  <w:pPr>
                    <w:keepNext w:val="0"/>
                    <w:keepLines w:val="0"/>
                    <w:pageBreakBefore w:val="0"/>
                    <w:widowControl/>
                    <w:kinsoku/>
                    <w:wordWrap w:val="0"/>
                    <w:overflowPunct/>
                    <w:topLinePunct/>
                    <w:autoSpaceDE/>
                    <w:autoSpaceDN/>
                    <w:bidi w:val="0"/>
                    <w:adjustRightInd/>
                    <w:snapToGrid/>
                    <w:spacing w:beforeAutospacing="0" w:afterAutospacing="0"/>
                    <w:ind w:left="0"/>
                    <w:jc w:val="center"/>
                    <w:textAlignment w:val="auto"/>
                    <w:rPr>
                      <w:rFonts w:hint="default" w:ascii="Times New Roman" w:hAnsi="Times New Roman"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序号</w:t>
                  </w:r>
                </w:p>
              </w:tc>
              <w:tc>
                <w:tcPr>
                  <w:tcW w:w="909" w:type="pct"/>
                  <w:shd w:val="clear" w:color="auto" w:fill="auto"/>
                  <w:vAlign w:val="center"/>
                </w:tcPr>
                <w:p w14:paraId="22A6A885">
                  <w:pPr>
                    <w:keepNext w:val="0"/>
                    <w:keepLines w:val="0"/>
                    <w:pageBreakBefore w:val="0"/>
                    <w:widowControl/>
                    <w:kinsoku/>
                    <w:wordWrap w:val="0"/>
                    <w:overflowPunct/>
                    <w:topLinePunct/>
                    <w:autoSpaceDE/>
                    <w:autoSpaceDN/>
                    <w:bidi w:val="0"/>
                    <w:adjustRightInd/>
                    <w:snapToGrid/>
                    <w:spacing w:beforeAutospacing="0" w:afterAutospacing="0"/>
                    <w:ind w:left="0"/>
                    <w:jc w:val="center"/>
                    <w:textAlignment w:val="auto"/>
                    <w:rPr>
                      <w:rFonts w:hint="default" w:ascii="Times New Roman" w:hAnsi="Times New Roman"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排放口编号</w:t>
                  </w:r>
                </w:p>
              </w:tc>
              <w:tc>
                <w:tcPr>
                  <w:tcW w:w="590" w:type="pct"/>
                  <w:shd w:val="clear" w:color="auto" w:fill="auto"/>
                  <w:vAlign w:val="center"/>
                </w:tcPr>
                <w:p w14:paraId="50378BC2">
                  <w:pPr>
                    <w:keepNext w:val="0"/>
                    <w:keepLines w:val="0"/>
                    <w:pageBreakBefore w:val="0"/>
                    <w:widowControl/>
                    <w:kinsoku/>
                    <w:wordWrap w:val="0"/>
                    <w:overflowPunct/>
                    <w:topLinePunct/>
                    <w:autoSpaceDE/>
                    <w:autoSpaceDN/>
                    <w:bidi w:val="0"/>
                    <w:adjustRightInd/>
                    <w:snapToGrid/>
                    <w:spacing w:beforeAutospacing="0" w:afterAutospacing="0"/>
                    <w:ind w:left="0"/>
                    <w:jc w:val="center"/>
                    <w:textAlignment w:val="auto"/>
                    <w:rPr>
                      <w:rFonts w:hint="default" w:ascii="Times New Roman" w:hAnsi="Times New Roman"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污染物</w:t>
                  </w:r>
                </w:p>
              </w:tc>
              <w:tc>
                <w:tcPr>
                  <w:tcW w:w="1054" w:type="pct"/>
                  <w:shd w:val="clear" w:color="auto" w:fill="auto"/>
                  <w:vAlign w:val="center"/>
                </w:tcPr>
                <w:p w14:paraId="240AEB61">
                  <w:pPr>
                    <w:keepNext w:val="0"/>
                    <w:keepLines w:val="0"/>
                    <w:pageBreakBefore w:val="0"/>
                    <w:widowControl/>
                    <w:kinsoku/>
                    <w:wordWrap w:val="0"/>
                    <w:overflowPunct/>
                    <w:topLinePunct/>
                    <w:autoSpaceDE/>
                    <w:autoSpaceDN/>
                    <w:bidi w:val="0"/>
                    <w:adjustRightInd/>
                    <w:snapToGrid/>
                    <w:spacing w:beforeAutospacing="0" w:afterAutospacing="0"/>
                    <w:ind w:left="0"/>
                    <w:jc w:val="center"/>
                    <w:textAlignment w:val="auto"/>
                    <w:rPr>
                      <w:rFonts w:hint="default" w:ascii="Times New Roman" w:hAnsi="Times New Roman"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排放速率/（kg/h）</w:t>
                  </w:r>
                </w:p>
              </w:tc>
              <w:tc>
                <w:tcPr>
                  <w:tcW w:w="1156" w:type="pct"/>
                  <w:shd w:val="clear" w:color="auto" w:fill="auto"/>
                  <w:vAlign w:val="center"/>
                </w:tcPr>
                <w:p w14:paraId="282E388E">
                  <w:pPr>
                    <w:keepNext w:val="0"/>
                    <w:keepLines w:val="0"/>
                    <w:pageBreakBefore w:val="0"/>
                    <w:widowControl/>
                    <w:kinsoku/>
                    <w:wordWrap w:val="0"/>
                    <w:overflowPunct/>
                    <w:topLinePunct/>
                    <w:autoSpaceDE/>
                    <w:autoSpaceDN/>
                    <w:bidi w:val="0"/>
                    <w:adjustRightInd/>
                    <w:snapToGrid/>
                    <w:spacing w:beforeAutospacing="0" w:afterAutospacing="0"/>
                    <w:ind w:left="0"/>
                    <w:jc w:val="center"/>
                    <w:textAlignment w:val="auto"/>
                    <w:rPr>
                      <w:rFonts w:hint="default" w:ascii="Times New Roman" w:hAnsi="Times New Roman"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排放浓度/（mg/m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w:t>
                  </w:r>
                </w:p>
              </w:tc>
              <w:tc>
                <w:tcPr>
                  <w:tcW w:w="960" w:type="pct"/>
                  <w:shd w:val="clear" w:color="auto" w:fill="auto"/>
                  <w:vAlign w:val="center"/>
                </w:tcPr>
                <w:p w14:paraId="203438A2">
                  <w:pPr>
                    <w:keepNext w:val="0"/>
                    <w:keepLines w:val="0"/>
                    <w:pageBreakBefore w:val="0"/>
                    <w:widowControl/>
                    <w:kinsoku/>
                    <w:wordWrap w:val="0"/>
                    <w:overflowPunct/>
                    <w:topLinePunct/>
                    <w:autoSpaceDE/>
                    <w:autoSpaceDN/>
                    <w:bidi w:val="0"/>
                    <w:adjustRightInd/>
                    <w:snapToGrid/>
                    <w:spacing w:beforeAutospacing="0" w:afterAutospacing="0"/>
                    <w:ind w:left="0"/>
                    <w:jc w:val="center"/>
                    <w:textAlignment w:val="auto"/>
                    <w:rPr>
                      <w:rFonts w:hint="default" w:ascii="Times New Roman" w:hAnsi="Times New Roman"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年排放量（t/a）</w:t>
                  </w:r>
                </w:p>
              </w:tc>
            </w:tr>
            <w:tr w14:paraId="60615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vAlign w:val="center"/>
                </w:tcPr>
                <w:p w14:paraId="6ABEDBFF">
                  <w:pPr>
                    <w:pStyle w:val="4"/>
                    <w:keepNext w:val="0"/>
                    <w:keepLines w:val="0"/>
                    <w:pageBreakBefore w:val="0"/>
                    <w:kinsoku/>
                    <w:overflowPunct/>
                    <w:autoSpaceDE/>
                    <w:autoSpaceDN/>
                    <w:bidi w:val="0"/>
                    <w:adjustRightInd/>
                    <w:snapToGrid/>
                    <w:ind w:left="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一般排放口</w:t>
                  </w:r>
                </w:p>
              </w:tc>
            </w:tr>
            <w:tr w14:paraId="7458F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Align w:val="center"/>
                </w:tcPr>
                <w:p w14:paraId="152B6258">
                  <w:pPr>
                    <w:pStyle w:val="4"/>
                    <w:keepNext w:val="0"/>
                    <w:keepLines w:val="0"/>
                    <w:pageBreakBefore w:val="0"/>
                    <w:kinsoku/>
                    <w:overflowPunct/>
                    <w:autoSpaceDE/>
                    <w:autoSpaceDN/>
                    <w:bidi w:val="0"/>
                    <w:adjustRightInd/>
                    <w:snapToGrid/>
                    <w:ind w:lef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1</w:t>
                  </w:r>
                </w:p>
              </w:tc>
              <w:tc>
                <w:tcPr>
                  <w:tcW w:w="909" w:type="pct"/>
                  <w:vAlign w:val="center"/>
                </w:tcPr>
                <w:p w14:paraId="2C0C8764">
                  <w:pPr>
                    <w:pStyle w:val="4"/>
                    <w:keepNext w:val="0"/>
                    <w:keepLines w:val="0"/>
                    <w:pageBreakBefore w:val="0"/>
                    <w:kinsoku/>
                    <w:overflowPunct/>
                    <w:autoSpaceDE/>
                    <w:autoSpaceDN/>
                    <w:bidi w:val="0"/>
                    <w:adjustRightInd/>
                    <w:snapToGrid/>
                    <w:ind w:left="0"/>
                    <w:jc w:val="center"/>
                    <w:textAlignment w:val="auto"/>
                    <w:rPr>
                      <w:rFonts w:hint="default" w:ascii="Times New Roman" w:hAnsi="Times New Roman" w:cs="Times New Roman"/>
                      <w:b w:val="0"/>
                      <w:bCs w:val="0"/>
                      <w:color w:val="auto"/>
                      <w:sz w:val="21"/>
                      <w:szCs w:val="21"/>
                      <w:highlight w:val="none"/>
                      <w:vertAlign w:val="baseline"/>
                      <w:lang w:eastAsia="zh-CN"/>
                    </w:rPr>
                  </w:pPr>
                  <w:r>
                    <w:rPr>
                      <w:rFonts w:hint="default" w:ascii="Times New Roman" w:hAnsi="Times New Roman" w:cs="Times New Roman"/>
                      <w:b w:val="0"/>
                      <w:bCs w:val="0"/>
                      <w:color w:val="auto"/>
                      <w:sz w:val="21"/>
                      <w:szCs w:val="21"/>
                      <w:highlight w:val="none"/>
                      <w:vertAlign w:val="baseline"/>
                      <w:lang w:val="en-US" w:eastAsia="zh-CN"/>
                    </w:rPr>
                    <w:t>排气筒DA001</w:t>
                  </w:r>
                </w:p>
              </w:tc>
              <w:tc>
                <w:tcPr>
                  <w:tcW w:w="590" w:type="pct"/>
                  <w:vAlign w:val="center"/>
                </w:tcPr>
                <w:p w14:paraId="4481E81A">
                  <w:pPr>
                    <w:pStyle w:val="4"/>
                    <w:keepNext w:val="0"/>
                    <w:keepLines w:val="0"/>
                    <w:pageBreakBefore w:val="0"/>
                    <w:kinsoku/>
                    <w:overflowPunct/>
                    <w:autoSpaceDE/>
                    <w:autoSpaceDN/>
                    <w:bidi w:val="0"/>
                    <w:adjustRightInd/>
                    <w:snapToGrid/>
                    <w:ind w:lef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颗粒物</w:t>
                  </w:r>
                </w:p>
              </w:tc>
              <w:tc>
                <w:tcPr>
                  <w:tcW w:w="2842" w:type="dxa"/>
                  <w:vAlign w:val="center"/>
                </w:tcPr>
                <w:p w14:paraId="7E156468">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0.039 </w:t>
                  </w:r>
                </w:p>
              </w:tc>
              <w:tc>
                <w:tcPr>
                  <w:tcW w:w="3117" w:type="dxa"/>
                  <w:vAlign w:val="center"/>
                </w:tcPr>
                <w:p w14:paraId="522F1C3C">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1.7 </w:t>
                  </w:r>
                </w:p>
              </w:tc>
              <w:tc>
                <w:tcPr>
                  <w:tcW w:w="2594" w:type="dxa"/>
                  <w:vAlign w:val="center"/>
                </w:tcPr>
                <w:p w14:paraId="777D912D">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0.118 </w:t>
                  </w:r>
                </w:p>
              </w:tc>
            </w:tr>
            <w:tr w14:paraId="558F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Merge w:val="restart"/>
                  <w:vAlign w:val="center"/>
                </w:tcPr>
                <w:p w14:paraId="4EFB1876">
                  <w:pPr>
                    <w:pStyle w:val="4"/>
                    <w:keepNext w:val="0"/>
                    <w:keepLines w:val="0"/>
                    <w:pageBreakBefore w:val="0"/>
                    <w:kinsoku/>
                    <w:overflowPunct/>
                    <w:autoSpaceDE/>
                    <w:autoSpaceDN/>
                    <w:bidi w:val="0"/>
                    <w:adjustRightInd/>
                    <w:snapToGrid/>
                    <w:ind w:lef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2</w:t>
                  </w:r>
                </w:p>
              </w:tc>
              <w:tc>
                <w:tcPr>
                  <w:tcW w:w="909" w:type="pct"/>
                  <w:vMerge w:val="restart"/>
                  <w:vAlign w:val="center"/>
                </w:tcPr>
                <w:p w14:paraId="5D0F0777">
                  <w:pPr>
                    <w:pStyle w:val="4"/>
                    <w:keepNext w:val="0"/>
                    <w:keepLines w:val="0"/>
                    <w:pageBreakBefore w:val="0"/>
                    <w:kinsoku/>
                    <w:overflowPunct/>
                    <w:autoSpaceDE/>
                    <w:autoSpaceDN/>
                    <w:bidi w:val="0"/>
                    <w:adjustRightInd/>
                    <w:snapToGrid/>
                    <w:ind w:lef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排气筒DA002</w:t>
                  </w:r>
                </w:p>
              </w:tc>
              <w:tc>
                <w:tcPr>
                  <w:tcW w:w="590" w:type="pct"/>
                  <w:vAlign w:val="center"/>
                </w:tcPr>
                <w:p w14:paraId="01D0F427">
                  <w:pPr>
                    <w:keepNext w:val="0"/>
                    <w:keepLines w:val="0"/>
                    <w:pageBreakBefore w:val="0"/>
                    <w:kinsoku/>
                    <w:overflowPunct/>
                    <w:autoSpaceDE/>
                    <w:autoSpaceDN/>
                    <w:bidi w:val="0"/>
                    <w:adjustRightInd/>
                    <w:snapToGrid/>
                    <w:ind w:left="0"/>
                    <w:jc w:val="center"/>
                    <w:textAlignment w:val="auto"/>
                    <w:rPr>
                      <w:rFonts w:hint="default" w:ascii="Times New Roman" w:hAnsi="Times New Roman" w:cs="Times New Roman"/>
                      <w:b w:val="0"/>
                      <w:bCs w:val="0"/>
                      <w:color w:val="auto"/>
                      <w:sz w:val="21"/>
                      <w:szCs w:val="21"/>
                      <w:highlight w:val="none"/>
                      <w:vertAlign w:val="baseline"/>
                      <w:lang w:eastAsia="zh-CN"/>
                    </w:rPr>
                  </w:pPr>
                  <w:r>
                    <w:rPr>
                      <w:rFonts w:hint="default" w:ascii="Times New Roman" w:hAnsi="Times New Roman" w:cs="Times New Roman"/>
                      <w:b w:val="0"/>
                      <w:bCs w:val="0"/>
                      <w:color w:val="auto"/>
                      <w:sz w:val="21"/>
                      <w:szCs w:val="21"/>
                      <w:highlight w:val="none"/>
                    </w:rPr>
                    <w:t>颗粒物</w:t>
                  </w:r>
                </w:p>
              </w:tc>
              <w:tc>
                <w:tcPr>
                  <w:tcW w:w="2842" w:type="dxa"/>
                  <w:vAlign w:val="center"/>
                </w:tcPr>
                <w:p w14:paraId="762C4CA4">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0.005 </w:t>
                  </w:r>
                </w:p>
              </w:tc>
              <w:tc>
                <w:tcPr>
                  <w:tcW w:w="3117" w:type="dxa"/>
                  <w:vAlign w:val="center"/>
                </w:tcPr>
                <w:p w14:paraId="1B892E32">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0.9 </w:t>
                  </w:r>
                </w:p>
              </w:tc>
              <w:tc>
                <w:tcPr>
                  <w:tcW w:w="2594" w:type="dxa"/>
                  <w:vAlign w:val="center"/>
                </w:tcPr>
                <w:p w14:paraId="3904C5FA">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0.014 </w:t>
                  </w:r>
                </w:p>
              </w:tc>
            </w:tr>
            <w:tr w14:paraId="36BE6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Merge w:val="continue"/>
                  <w:vAlign w:val="center"/>
                </w:tcPr>
                <w:p w14:paraId="45851811">
                  <w:pPr>
                    <w:pStyle w:val="4"/>
                    <w:keepNext w:val="0"/>
                    <w:keepLines w:val="0"/>
                    <w:pageBreakBefore w:val="0"/>
                    <w:kinsoku/>
                    <w:overflowPunct/>
                    <w:autoSpaceDE/>
                    <w:autoSpaceDN/>
                    <w:bidi w:val="0"/>
                    <w:adjustRightInd/>
                    <w:snapToGrid/>
                    <w:ind w:left="0"/>
                    <w:jc w:val="center"/>
                    <w:textAlignment w:val="auto"/>
                    <w:rPr>
                      <w:rFonts w:hint="default" w:ascii="Times New Roman" w:hAnsi="Times New Roman" w:cs="Times New Roman"/>
                      <w:b w:val="0"/>
                      <w:bCs w:val="0"/>
                      <w:color w:val="auto"/>
                      <w:sz w:val="21"/>
                      <w:szCs w:val="21"/>
                      <w:highlight w:val="none"/>
                      <w:vertAlign w:val="baseline"/>
                      <w:lang w:eastAsia="zh-CN"/>
                    </w:rPr>
                  </w:pPr>
                </w:p>
              </w:tc>
              <w:tc>
                <w:tcPr>
                  <w:tcW w:w="909" w:type="pct"/>
                  <w:vMerge w:val="continue"/>
                  <w:vAlign w:val="center"/>
                </w:tcPr>
                <w:p w14:paraId="5FAA3FCD">
                  <w:pPr>
                    <w:pStyle w:val="4"/>
                    <w:keepNext w:val="0"/>
                    <w:keepLines w:val="0"/>
                    <w:pageBreakBefore w:val="0"/>
                    <w:kinsoku/>
                    <w:overflowPunct/>
                    <w:autoSpaceDE/>
                    <w:autoSpaceDN/>
                    <w:bidi w:val="0"/>
                    <w:adjustRightInd/>
                    <w:snapToGrid/>
                    <w:ind w:left="0"/>
                    <w:jc w:val="center"/>
                    <w:textAlignment w:val="auto"/>
                    <w:rPr>
                      <w:rFonts w:hint="default" w:ascii="Times New Roman" w:hAnsi="Times New Roman" w:cs="Times New Roman"/>
                      <w:b w:val="0"/>
                      <w:bCs w:val="0"/>
                      <w:color w:val="auto"/>
                      <w:sz w:val="21"/>
                      <w:szCs w:val="21"/>
                      <w:highlight w:val="none"/>
                      <w:vertAlign w:val="baseline"/>
                      <w:lang w:eastAsia="zh-CN"/>
                    </w:rPr>
                  </w:pPr>
                </w:p>
              </w:tc>
              <w:tc>
                <w:tcPr>
                  <w:tcW w:w="590" w:type="pct"/>
                  <w:vAlign w:val="center"/>
                </w:tcPr>
                <w:p w14:paraId="11A5C8D9">
                  <w:pPr>
                    <w:keepNext w:val="0"/>
                    <w:keepLines w:val="0"/>
                    <w:pageBreakBefore w:val="0"/>
                    <w:kinsoku/>
                    <w:overflowPunct/>
                    <w:autoSpaceDE/>
                    <w:autoSpaceDN/>
                    <w:bidi w:val="0"/>
                    <w:adjustRightInd/>
                    <w:snapToGrid/>
                    <w:ind w:left="0"/>
                    <w:jc w:val="center"/>
                    <w:textAlignment w:val="auto"/>
                    <w:rPr>
                      <w:rFonts w:hint="default" w:ascii="Times New Roman" w:hAnsi="Times New Roman" w:cs="Times New Roman"/>
                      <w:b w:val="0"/>
                      <w:bCs w:val="0"/>
                      <w:color w:val="auto"/>
                      <w:sz w:val="21"/>
                      <w:szCs w:val="21"/>
                      <w:highlight w:val="none"/>
                      <w:vertAlign w:val="baseline"/>
                      <w:lang w:eastAsia="zh-CN"/>
                    </w:rPr>
                  </w:pPr>
                  <w:r>
                    <w:rPr>
                      <w:rFonts w:hint="default" w:ascii="Times New Roman" w:hAnsi="Times New Roman" w:cs="Times New Roman"/>
                      <w:b w:val="0"/>
                      <w:bCs w:val="0"/>
                      <w:color w:val="auto"/>
                      <w:sz w:val="21"/>
                      <w:szCs w:val="21"/>
                      <w:highlight w:val="none"/>
                      <w:lang w:val="en-US" w:eastAsia="zh-CN"/>
                    </w:rPr>
                    <w:t>SO</w:t>
                  </w:r>
                  <w:r>
                    <w:rPr>
                      <w:rFonts w:hint="default" w:ascii="Times New Roman" w:hAnsi="Times New Roman" w:cs="Times New Roman"/>
                      <w:b w:val="0"/>
                      <w:bCs w:val="0"/>
                      <w:color w:val="auto"/>
                      <w:sz w:val="21"/>
                      <w:szCs w:val="21"/>
                      <w:highlight w:val="none"/>
                      <w:vertAlign w:val="subscript"/>
                      <w:lang w:val="en-US" w:eastAsia="zh-CN"/>
                    </w:rPr>
                    <w:t>2</w:t>
                  </w:r>
                </w:p>
              </w:tc>
              <w:tc>
                <w:tcPr>
                  <w:tcW w:w="2842" w:type="dxa"/>
                  <w:vAlign w:val="center"/>
                </w:tcPr>
                <w:p w14:paraId="35D65036">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0.003 </w:t>
                  </w:r>
                </w:p>
              </w:tc>
              <w:tc>
                <w:tcPr>
                  <w:tcW w:w="3117" w:type="dxa"/>
                  <w:vAlign w:val="center"/>
                </w:tcPr>
                <w:p w14:paraId="204171A8">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0.6 </w:t>
                  </w:r>
                </w:p>
              </w:tc>
              <w:tc>
                <w:tcPr>
                  <w:tcW w:w="2594" w:type="dxa"/>
                  <w:vAlign w:val="center"/>
                </w:tcPr>
                <w:p w14:paraId="56AD1528">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0.010 </w:t>
                  </w:r>
                </w:p>
              </w:tc>
            </w:tr>
            <w:tr w14:paraId="3D5EA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Merge w:val="continue"/>
                  <w:vAlign w:val="center"/>
                </w:tcPr>
                <w:p w14:paraId="15CE8546">
                  <w:pPr>
                    <w:pStyle w:val="4"/>
                    <w:keepNext w:val="0"/>
                    <w:keepLines w:val="0"/>
                    <w:pageBreakBefore w:val="0"/>
                    <w:kinsoku/>
                    <w:overflowPunct/>
                    <w:autoSpaceDE/>
                    <w:autoSpaceDN/>
                    <w:bidi w:val="0"/>
                    <w:adjustRightInd/>
                    <w:snapToGrid/>
                    <w:ind w:left="0"/>
                    <w:jc w:val="center"/>
                    <w:textAlignment w:val="auto"/>
                    <w:rPr>
                      <w:rFonts w:hint="default" w:ascii="Times New Roman" w:hAnsi="Times New Roman" w:cs="Times New Roman"/>
                      <w:b w:val="0"/>
                      <w:bCs w:val="0"/>
                      <w:color w:val="auto"/>
                      <w:sz w:val="21"/>
                      <w:szCs w:val="21"/>
                      <w:highlight w:val="none"/>
                      <w:vertAlign w:val="baseline"/>
                      <w:lang w:eastAsia="zh-CN"/>
                    </w:rPr>
                  </w:pPr>
                </w:p>
              </w:tc>
              <w:tc>
                <w:tcPr>
                  <w:tcW w:w="909" w:type="pct"/>
                  <w:vMerge w:val="continue"/>
                  <w:vAlign w:val="center"/>
                </w:tcPr>
                <w:p w14:paraId="2A5FE8D5">
                  <w:pPr>
                    <w:pStyle w:val="4"/>
                    <w:keepNext w:val="0"/>
                    <w:keepLines w:val="0"/>
                    <w:pageBreakBefore w:val="0"/>
                    <w:kinsoku/>
                    <w:overflowPunct/>
                    <w:autoSpaceDE/>
                    <w:autoSpaceDN/>
                    <w:bidi w:val="0"/>
                    <w:adjustRightInd/>
                    <w:snapToGrid/>
                    <w:ind w:left="0"/>
                    <w:jc w:val="center"/>
                    <w:textAlignment w:val="auto"/>
                    <w:rPr>
                      <w:rFonts w:hint="default" w:ascii="Times New Roman" w:hAnsi="Times New Roman" w:cs="Times New Roman"/>
                      <w:b w:val="0"/>
                      <w:bCs w:val="0"/>
                      <w:color w:val="auto"/>
                      <w:sz w:val="21"/>
                      <w:szCs w:val="21"/>
                      <w:highlight w:val="none"/>
                      <w:vertAlign w:val="baseline"/>
                      <w:lang w:eastAsia="zh-CN"/>
                    </w:rPr>
                  </w:pPr>
                </w:p>
              </w:tc>
              <w:tc>
                <w:tcPr>
                  <w:tcW w:w="590" w:type="pct"/>
                  <w:vAlign w:val="center"/>
                </w:tcPr>
                <w:p w14:paraId="1465D443">
                  <w:pPr>
                    <w:keepNext w:val="0"/>
                    <w:keepLines w:val="0"/>
                    <w:pageBreakBefore w:val="0"/>
                    <w:kinsoku/>
                    <w:overflowPunct/>
                    <w:autoSpaceDE/>
                    <w:autoSpaceDN/>
                    <w:bidi w:val="0"/>
                    <w:adjustRightInd/>
                    <w:snapToGrid/>
                    <w:ind w:left="0"/>
                    <w:jc w:val="center"/>
                    <w:textAlignment w:val="auto"/>
                    <w:rPr>
                      <w:rFonts w:hint="default" w:ascii="Times New Roman" w:hAnsi="Times New Roman" w:cs="Times New Roman"/>
                      <w:b w:val="0"/>
                      <w:bCs w:val="0"/>
                      <w:color w:val="auto"/>
                      <w:sz w:val="21"/>
                      <w:szCs w:val="21"/>
                      <w:highlight w:val="none"/>
                      <w:vertAlign w:val="baseline"/>
                      <w:lang w:eastAsia="zh-CN"/>
                    </w:rPr>
                  </w:pPr>
                  <w:r>
                    <w:rPr>
                      <w:rFonts w:hint="default" w:ascii="Times New Roman" w:hAnsi="Times New Roman" w:cs="Times New Roman"/>
                      <w:b w:val="0"/>
                      <w:bCs w:val="0"/>
                      <w:color w:val="auto"/>
                      <w:sz w:val="21"/>
                      <w:szCs w:val="21"/>
                      <w:highlight w:val="none"/>
                      <w:lang w:val="en-US" w:eastAsia="zh-CN"/>
                    </w:rPr>
                    <w:t>NO</w:t>
                  </w:r>
                  <w:r>
                    <w:rPr>
                      <w:rFonts w:hint="default" w:ascii="Times New Roman" w:hAnsi="Times New Roman" w:cs="Times New Roman"/>
                      <w:b w:val="0"/>
                      <w:bCs w:val="0"/>
                      <w:color w:val="auto"/>
                      <w:sz w:val="21"/>
                      <w:szCs w:val="21"/>
                      <w:highlight w:val="none"/>
                      <w:vertAlign w:val="subscript"/>
                      <w:lang w:val="en-US" w:eastAsia="zh-CN"/>
                    </w:rPr>
                    <w:t>X</w:t>
                  </w:r>
                </w:p>
              </w:tc>
              <w:tc>
                <w:tcPr>
                  <w:tcW w:w="2842" w:type="dxa"/>
                  <w:vAlign w:val="center"/>
                </w:tcPr>
                <w:p w14:paraId="6C515DB6">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0.030 </w:t>
                  </w:r>
                </w:p>
              </w:tc>
              <w:tc>
                <w:tcPr>
                  <w:tcW w:w="3117" w:type="dxa"/>
                  <w:vAlign w:val="center"/>
                </w:tcPr>
                <w:p w14:paraId="461DC14B">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6.0 </w:t>
                  </w:r>
                </w:p>
              </w:tc>
              <w:tc>
                <w:tcPr>
                  <w:tcW w:w="2594" w:type="dxa"/>
                  <w:vAlign w:val="center"/>
                </w:tcPr>
                <w:p w14:paraId="6598B216">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0.089 </w:t>
                  </w:r>
                </w:p>
              </w:tc>
            </w:tr>
            <w:tr w14:paraId="4D33E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Merge w:val="restart"/>
                  <w:vAlign w:val="center"/>
                </w:tcPr>
                <w:p w14:paraId="409B9EAA">
                  <w:pPr>
                    <w:pStyle w:val="4"/>
                    <w:keepNext w:val="0"/>
                    <w:keepLines w:val="0"/>
                    <w:pageBreakBefore w:val="0"/>
                    <w:kinsoku/>
                    <w:overflowPunct/>
                    <w:autoSpaceDE/>
                    <w:autoSpaceDN/>
                    <w:bidi w:val="0"/>
                    <w:adjustRightInd/>
                    <w:snapToGrid/>
                    <w:ind w:lef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3</w:t>
                  </w:r>
                </w:p>
              </w:tc>
              <w:tc>
                <w:tcPr>
                  <w:tcW w:w="909" w:type="pct"/>
                  <w:vMerge w:val="restart"/>
                  <w:vAlign w:val="center"/>
                </w:tcPr>
                <w:p w14:paraId="20DAB21F">
                  <w:pPr>
                    <w:pStyle w:val="4"/>
                    <w:keepNext w:val="0"/>
                    <w:keepLines w:val="0"/>
                    <w:pageBreakBefore w:val="0"/>
                    <w:kinsoku/>
                    <w:overflowPunct/>
                    <w:autoSpaceDE/>
                    <w:autoSpaceDN/>
                    <w:bidi w:val="0"/>
                    <w:adjustRightInd/>
                    <w:snapToGrid/>
                    <w:ind w:lef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排气筒DA003</w:t>
                  </w:r>
                </w:p>
              </w:tc>
              <w:tc>
                <w:tcPr>
                  <w:tcW w:w="590" w:type="pct"/>
                  <w:shd w:val="clear" w:color="auto" w:fill="auto"/>
                  <w:vAlign w:val="center"/>
                </w:tcPr>
                <w:p w14:paraId="0A559376">
                  <w:pPr>
                    <w:keepNext w:val="0"/>
                    <w:keepLines w:val="0"/>
                    <w:pageBreakBefore w:val="0"/>
                    <w:kinsoku/>
                    <w:overflowPunct/>
                    <w:autoSpaceDE/>
                    <w:autoSpaceDN/>
                    <w:bidi w:val="0"/>
                    <w:adjustRightInd/>
                    <w:snapToGrid/>
                    <w:ind w:lef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颗粒物</w:t>
                  </w:r>
                </w:p>
              </w:tc>
              <w:tc>
                <w:tcPr>
                  <w:tcW w:w="2842" w:type="dxa"/>
                  <w:vAlign w:val="center"/>
                </w:tcPr>
                <w:p w14:paraId="7765CCB5">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0.004 </w:t>
                  </w:r>
                </w:p>
              </w:tc>
              <w:tc>
                <w:tcPr>
                  <w:tcW w:w="3117" w:type="dxa"/>
                  <w:vAlign w:val="center"/>
                </w:tcPr>
                <w:p w14:paraId="53C77008">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 </w:t>
                  </w:r>
                </w:p>
              </w:tc>
              <w:tc>
                <w:tcPr>
                  <w:tcW w:w="2594" w:type="dxa"/>
                  <w:vAlign w:val="center"/>
                </w:tcPr>
                <w:p w14:paraId="62F5D75C">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0.011 </w:t>
                  </w:r>
                </w:p>
              </w:tc>
            </w:tr>
            <w:tr w14:paraId="7A843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Merge w:val="continue"/>
                  <w:vAlign w:val="center"/>
                </w:tcPr>
                <w:p w14:paraId="2C67B777">
                  <w:pPr>
                    <w:pStyle w:val="4"/>
                    <w:keepNext w:val="0"/>
                    <w:keepLines w:val="0"/>
                    <w:pageBreakBefore w:val="0"/>
                    <w:kinsoku/>
                    <w:overflowPunct/>
                    <w:autoSpaceDE/>
                    <w:autoSpaceDN/>
                    <w:bidi w:val="0"/>
                    <w:adjustRightInd/>
                    <w:snapToGrid/>
                    <w:ind w:left="0"/>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909" w:type="pct"/>
                  <w:vMerge w:val="continue"/>
                  <w:vAlign w:val="center"/>
                </w:tcPr>
                <w:p w14:paraId="7CCD713F">
                  <w:pPr>
                    <w:pStyle w:val="4"/>
                    <w:keepNext w:val="0"/>
                    <w:keepLines w:val="0"/>
                    <w:pageBreakBefore w:val="0"/>
                    <w:kinsoku/>
                    <w:overflowPunct/>
                    <w:autoSpaceDE/>
                    <w:autoSpaceDN/>
                    <w:bidi w:val="0"/>
                    <w:adjustRightInd/>
                    <w:snapToGrid/>
                    <w:ind w:left="0"/>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590" w:type="pct"/>
                  <w:shd w:val="clear" w:color="auto" w:fill="auto"/>
                  <w:vAlign w:val="center"/>
                </w:tcPr>
                <w:p w14:paraId="0D27ABC5">
                  <w:pPr>
                    <w:keepNext w:val="0"/>
                    <w:keepLines w:val="0"/>
                    <w:pageBreakBefore w:val="0"/>
                    <w:kinsoku/>
                    <w:overflowPunct/>
                    <w:autoSpaceDE/>
                    <w:autoSpaceDN/>
                    <w:bidi w:val="0"/>
                    <w:adjustRightInd/>
                    <w:snapToGrid/>
                    <w:ind w:lef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非甲烷总烃</w:t>
                  </w:r>
                </w:p>
              </w:tc>
              <w:tc>
                <w:tcPr>
                  <w:tcW w:w="2842" w:type="dxa"/>
                  <w:vAlign w:val="center"/>
                </w:tcPr>
                <w:p w14:paraId="1BA636E6">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0.061 </w:t>
                  </w:r>
                </w:p>
              </w:tc>
              <w:tc>
                <w:tcPr>
                  <w:tcW w:w="3117" w:type="dxa"/>
                  <w:vAlign w:val="center"/>
                </w:tcPr>
                <w:p w14:paraId="22E843AC">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6.1 </w:t>
                  </w:r>
                </w:p>
              </w:tc>
              <w:tc>
                <w:tcPr>
                  <w:tcW w:w="2594" w:type="dxa"/>
                  <w:vAlign w:val="center"/>
                </w:tcPr>
                <w:p w14:paraId="3572238B">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0.184 </w:t>
                  </w:r>
                </w:p>
              </w:tc>
            </w:tr>
            <w:tr w14:paraId="1F2DE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Merge w:val="continue"/>
                  <w:vAlign w:val="center"/>
                </w:tcPr>
                <w:p w14:paraId="502B7645">
                  <w:pPr>
                    <w:pStyle w:val="4"/>
                    <w:keepNext w:val="0"/>
                    <w:keepLines w:val="0"/>
                    <w:pageBreakBefore w:val="0"/>
                    <w:kinsoku/>
                    <w:overflowPunct/>
                    <w:autoSpaceDE/>
                    <w:autoSpaceDN/>
                    <w:bidi w:val="0"/>
                    <w:adjustRightInd/>
                    <w:snapToGrid/>
                    <w:ind w:left="0"/>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909" w:type="pct"/>
                  <w:vMerge w:val="continue"/>
                  <w:vAlign w:val="center"/>
                </w:tcPr>
                <w:p w14:paraId="426F6809">
                  <w:pPr>
                    <w:pStyle w:val="4"/>
                    <w:keepNext w:val="0"/>
                    <w:keepLines w:val="0"/>
                    <w:pageBreakBefore w:val="0"/>
                    <w:kinsoku/>
                    <w:overflowPunct/>
                    <w:autoSpaceDE/>
                    <w:autoSpaceDN/>
                    <w:bidi w:val="0"/>
                    <w:adjustRightInd/>
                    <w:snapToGrid/>
                    <w:ind w:left="0"/>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590" w:type="pct"/>
                  <w:shd w:val="clear" w:color="auto" w:fill="auto"/>
                  <w:vAlign w:val="center"/>
                </w:tcPr>
                <w:p w14:paraId="0D366F02">
                  <w:pPr>
                    <w:keepNext w:val="0"/>
                    <w:keepLines w:val="0"/>
                    <w:pageBreakBefore w:val="0"/>
                    <w:kinsoku/>
                    <w:overflowPunct/>
                    <w:autoSpaceDE/>
                    <w:autoSpaceDN/>
                    <w:bidi w:val="0"/>
                    <w:adjustRightInd/>
                    <w:snapToGrid/>
                    <w:ind w:lef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苯系物</w:t>
                  </w:r>
                </w:p>
              </w:tc>
              <w:tc>
                <w:tcPr>
                  <w:tcW w:w="2842" w:type="dxa"/>
                  <w:vAlign w:val="center"/>
                </w:tcPr>
                <w:p w14:paraId="25D5A1C4">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0.012 </w:t>
                  </w:r>
                </w:p>
              </w:tc>
              <w:tc>
                <w:tcPr>
                  <w:tcW w:w="3117" w:type="dxa"/>
                  <w:vAlign w:val="center"/>
                </w:tcPr>
                <w:p w14:paraId="22D9BA76">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 </w:t>
                  </w:r>
                </w:p>
              </w:tc>
              <w:tc>
                <w:tcPr>
                  <w:tcW w:w="2594" w:type="dxa"/>
                  <w:vAlign w:val="center"/>
                </w:tcPr>
                <w:p w14:paraId="66F3C711">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0.036 </w:t>
                  </w:r>
                </w:p>
              </w:tc>
            </w:tr>
            <w:tr w14:paraId="35965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Merge w:val="continue"/>
                  <w:vAlign w:val="center"/>
                </w:tcPr>
                <w:p w14:paraId="50F0E57B">
                  <w:pPr>
                    <w:pStyle w:val="4"/>
                    <w:keepNext w:val="0"/>
                    <w:keepLines w:val="0"/>
                    <w:pageBreakBefore w:val="0"/>
                    <w:kinsoku/>
                    <w:overflowPunct/>
                    <w:autoSpaceDE/>
                    <w:autoSpaceDN/>
                    <w:bidi w:val="0"/>
                    <w:adjustRightInd/>
                    <w:snapToGrid/>
                    <w:ind w:left="0"/>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909" w:type="pct"/>
                  <w:vMerge w:val="continue"/>
                  <w:vAlign w:val="center"/>
                </w:tcPr>
                <w:p w14:paraId="6730A52F">
                  <w:pPr>
                    <w:pStyle w:val="4"/>
                    <w:keepNext w:val="0"/>
                    <w:keepLines w:val="0"/>
                    <w:pageBreakBefore w:val="0"/>
                    <w:kinsoku/>
                    <w:overflowPunct/>
                    <w:autoSpaceDE/>
                    <w:autoSpaceDN/>
                    <w:bidi w:val="0"/>
                    <w:adjustRightInd/>
                    <w:snapToGrid/>
                    <w:ind w:left="0"/>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590" w:type="pct"/>
                  <w:shd w:val="clear" w:color="auto" w:fill="auto"/>
                  <w:vAlign w:val="center"/>
                </w:tcPr>
                <w:p w14:paraId="6F5F5A61">
                  <w:pPr>
                    <w:keepNext w:val="0"/>
                    <w:keepLines w:val="0"/>
                    <w:pageBreakBefore w:val="0"/>
                    <w:kinsoku/>
                    <w:overflowPunct/>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臭气浓度</w:t>
                  </w:r>
                </w:p>
              </w:tc>
              <w:tc>
                <w:tcPr>
                  <w:tcW w:w="2842" w:type="dxa"/>
                  <w:shd w:val="clear" w:color="auto" w:fill="auto"/>
                  <w:vAlign w:val="center"/>
                </w:tcPr>
                <w:p w14:paraId="463D323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3117" w:type="dxa"/>
                  <w:shd w:val="clear" w:color="auto" w:fill="auto"/>
                  <w:vAlign w:val="center"/>
                </w:tcPr>
                <w:p w14:paraId="7890017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2594" w:type="dxa"/>
                  <w:shd w:val="clear" w:color="auto" w:fill="auto"/>
                  <w:vAlign w:val="center"/>
                </w:tcPr>
                <w:p w14:paraId="006DE58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2B215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Merge w:val="continue"/>
                  <w:vAlign w:val="center"/>
                </w:tcPr>
                <w:p w14:paraId="5F7E2059">
                  <w:pPr>
                    <w:pStyle w:val="4"/>
                    <w:keepNext w:val="0"/>
                    <w:keepLines w:val="0"/>
                    <w:pageBreakBefore w:val="0"/>
                    <w:kinsoku/>
                    <w:overflowPunct/>
                    <w:autoSpaceDE/>
                    <w:autoSpaceDN/>
                    <w:bidi w:val="0"/>
                    <w:adjustRightInd/>
                    <w:snapToGrid/>
                    <w:ind w:left="0"/>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909" w:type="pct"/>
                  <w:vMerge w:val="continue"/>
                  <w:vAlign w:val="center"/>
                </w:tcPr>
                <w:p w14:paraId="2752661D">
                  <w:pPr>
                    <w:pStyle w:val="4"/>
                    <w:keepNext w:val="0"/>
                    <w:keepLines w:val="0"/>
                    <w:pageBreakBefore w:val="0"/>
                    <w:kinsoku/>
                    <w:overflowPunct/>
                    <w:autoSpaceDE/>
                    <w:autoSpaceDN/>
                    <w:bidi w:val="0"/>
                    <w:adjustRightInd/>
                    <w:snapToGrid/>
                    <w:ind w:left="0"/>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590" w:type="pct"/>
                  <w:shd w:val="clear" w:color="auto" w:fill="auto"/>
                  <w:vAlign w:val="center"/>
                </w:tcPr>
                <w:p w14:paraId="570554E7">
                  <w:pPr>
                    <w:keepNext w:val="0"/>
                    <w:keepLines w:val="0"/>
                    <w:pageBreakBefore w:val="0"/>
                    <w:kinsoku/>
                    <w:overflowPunct/>
                    <w:autoSpaceDE/>
                    <w:autoSpaceDN/>
                    <w:bidi w:val="0"/>
                    <w:adjustRightInd/>
                    <w:snapToGrid/>
                    <w:ind w:left="0" w:left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SO</w:t>
                  </w:r>
                  <w:r>
                    <w:rPr>
                      <w:rFonts w:hint="default" w:ascii="Times New Roman" w:hAnsi="Times New Roman" w:cs="Times New Roman"/>
                      <w:b w:val="0"/>
                      <w:bCs w:val="0"/>
                      <w:color w:val="auto"/>
                      <w:sz w:val="21"/>
                      <w:szCs w:val="21"/>
                      <w:highlight w:val="none"/>
                      <w:vertAlign w:val="subscript"/>
                      <w:lang w:val="en-US" w:eastAsia="zh-CN"/>
                    </w:rPr>
                    <w:t>2</w:t>
                  </w:r>
                </w:p>
              </w:tc>
              <w:tc>
                <w:tcPr>
                  <w:tcW w:w="2842" w:type="dxa"/>
                  <w:vAlign w:val="center"/>
                </w:tcPr>
                <w:p w14:paraId="38D868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0.010 </w:t>
                  </w:r>
                </w:p>
              </w:tc>
              <w:tc>
                <w:tcPr>
                  <w:tcW w:w="3117" w:type="dxa"/>
                  <w:vAlign w:val="center"/>
                </w:tcPr>
                <w:p w14:paraId="07303A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 </w:t>
                  </w:r>
                </w:p>
              </w:tc>
              <w:tc>
                <w:tcPr>
                  <w:tcW w:w="2594" w:type="dxa"/>
                  <w:vAlign w:val="center"/>
                </w:tcPr>
                <w:p w14:paraId="069089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0.030 </w:t>
                  </w:r>
                </w:p>
              </w:tc>
            </w:tr>
            <w:tr w14:paraId="23045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Merge w:val="continue"/>
                  <w:vAlign w:val="center"/>
                </w:tcPr>
                <w:p w14:paraId="286E8C58">
                  <w:pPr>
                    <w:pStyle w:val="4"/>
                    <w:keepNext w:val="0"/>
                    <w:keepLines w:val="0"/>
                    <w:pageBreakBefore w:val="0"/>
                    <w:kinsoku/>
                    <w:overflowPunct/>
                    <w:autoSpaceDE/>
                    <w:autoSpaceDN/>
                    <w:bidi w:val="0"/>
                    <w:adjustRightInd/>
                    <w:snapToGrid/>
                    <w:ind w:left="0"/>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909" w:type="pct"/>
                  <w:vMerge w:val="continue"/>
                  <w:vAlign w:val="center"/>
                </w:tcPr>
                <w:p w14:paraId="1C3653F6">
                  <w:pPr>
                    <w:pStyle w:val="4"/>
                    <w:keepNext w:val="0"/>
                    <w:keepLines w:val="0"/>
                    <w:pageBreakBefore w:val="0"/>
                    <w:kinsoku/>
                    <w:overflowPunct/>
                    <w:autoSpaceDE/>
                    <w:autoSpaceDN/>
                    <w:bidi w:val="0"/>
                    <w:adjustRightInd/>
                    <w:snapToGrid/>
                    <w:ind w:left="0"/>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590" w:type="pct"/>
                  <w:shd w:val="clear" w:color="auto" w:fill="auto"/>
                  <w:vAlign w:val="center"/>
                </w:tcPr>
                <w:p w14:paraId="5CF24663">
                  <w:pPr>
                    <w:keepNext w:val="0"/>
                    <w:keepLines w:val="0"/>
                    <w:pageBreakBefore w:val="0"/>
                    <w:kinsoku/>
                    <w:overflowPunct/>
                    <w:autoSpaceDE/>
                    <w:autoSpaceDN/>
                    <w:bidi w:val="0"/>
                    <w:adjustRightInd/>
                    <w:snapToGrid/>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NO</w:t>
                  </w:r>
                  <w:r>
                    <w:rPr>
                      <w:rFonts w:hint="default" w:ascii="Times New Roman" w:hAnsi="Times New Roman" w:cs="Times New Roman"/>
                      <w:b w:val="0"/>
                      <w:bCs w:val="0"/>
                      <w:color w:val="auto"/>
                      <w:sz w:val="21"/>
                      <w:szCs w:val="21"/>
                      <w:highlight w:val="none"/>
                      <w:vertAlign w:val="subscript"/>
                      <w:lang w:val="en-US" w:eastAsia="zh-CN"/>
                    </w:rPr>
                    <w:t>X</w:t>
                  </w:r>
                </w:p>
              </w:tc>
              <w:tc>
                <w:tcPr>
                  <w:tcW w:w="2842" w:type="dxa"/>
                  <w:vAlign w:val="center"/>
                </w:tcPr>
                <w:p w14:paraId="7832501D">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0.095 </w:t>
                  </w:r>
                </w:p>
              </w:tc>
              <w:tc>
                <w:tcPr>
                  <w:tcW w:w="3117" w:type="dxa"/>
                  <w:vAlign w:val="center"/>
                </w:tcPr>
                <w:p w14:paraId="03DAA56D">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9.5 </w:t>
                  </w:r>
                </w:p>
              </w:tc>
              <w:tc>
                <w:tcPr>
                  <w:tcW w:w="2594" w:type="dxa"/>
                  <w:vAlign w:val="center"/>
                </w:tcPr>
                <w:p w14:paraId="264D7413">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0.285 </w:t>
                  </w:r>
                </w:p>
              </w:tc>
            </w:tr>
            <w:tr w14:paraId="1F31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8" w:type="pct"/>
                  <w:gridSpan w:val="2"/>
                  <w:vMerge w:val="restart"/>
                  <w:vAlign w:val="center"/>
                </w:tcPr>
                <w:p w14:paraId="2D07E1C5">
                  <w:pPr>
                    <w:pStyle w:val="4"/>
                    <w:keepNext w:val="0"/>
                    <w:keepLines w:val="0"/>
                    <w:pageBreakBefore w:val="0"/>
                    <w:kinsoku/>
                    <w:overflowPunct/>
                    <w:autoSpaceDE/>
                    <w:autoSpaceDN/>
                    <w:bidi w:val="0"/>
                    <w:adjustRightInd/>
                    <w:snapToGrid/>
                    <w:ind w:left="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有组织排放合计t/a</w:t>
                  </w:r>
                </w:p>
              </w:tc>
              <w:tc>
                <w:tcPr>
                  <w:tcW w:w="7550" w:type="dxa"/>
                  <w:gridSpan w:val="3"/>
                  <w:vAlign w:val="center"/>
                </w:tcPr>
                <w:p w14:paraId="70ACEB56">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颗粒物</w:t>
                  </w:r>
                </w:p>
              </w:tc>
              <w:tc>
                <w:tcPr>
                  <w:tcW w:w="2594" w:type="dxa"/>
                  <w:vAlign w:val="center"/>
                </w:tcPr>
                <w:p w14:paraId="15D22CAB">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0.143 </w:t>
                  </w:r>
                </w:p>
              </w:tc>
            </w:tr>
            <w:tr w14:paraId="219A4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8" w:type="pct"/>
                  <w:gridSpan w:val="2"/>
                  <w:vMerge w:val="continue"/>
                  <w:vAlign w:val="center"/>
                </w:tcPr>
                <w:p w14:paraId="5C3CB6A9">
                  <w:pPr>
                    <w:pStyle w:val="4"/>
                    <w:keepNext w:val="0"/>
                    <w:keepLines w:val="0"/>
                    <w:pageBreakBefore w:val="0"/>
                    <w:kinsoku/>
                    <w:overflowPunct/>
                    <w:autoSpaceDE/>
                    <w:autoSpaceDN/>
                    <w:bidi w:val="0"/>
                    <w:adjustRightInd/>
                    <w:snapToGrid/>
                    <w:ind w:left="0"/>
                    <w:jc w:val="center"/>
                    <w:textAlignment w:val="auto"/>
                    <w:rPr>
                      <w:rFonts w:hint="default" w:ascii="Times New Roman" w:hAnsi="Times New Roman" w:cs="Times New Roman"/>
                      <w:b w:val="0"/>
                      <w:bCs w:val="0"/>
                      <w:color w:val="auto"/>
                      <w:sz w:val="21"/>
                      <w:szCs w:val="21"/>
                      <w:highlight w:val="none"/>
                      <w:vertAlign w:val="baseline"/>
                      <w:lang w:eastAsia="zh-CN"/>
                    </w:rPr>
                  </w:pPr>
                </w:p>
              </w:tc>
              <w:tc>
                <w:tcPr>
                  <w:tcW w:w="7550" w:type="dxa"/>
                  <w:gridSpan w:val="3"/>
                  <w:shd w:val="clear" w:color="auto" w:fill="auto"/>
                  <w:vAlign w:val="center"/>
                </w:tcPr>
                <w:p w14:paraId="3C59DBEB">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非甲烷总烃</w:t>
                  </w:r>
                </w:p>
              </w:tc>
              <w:tc>
                <w:tcPr>
                  <w:tcW w:w="2594" w:type="dxa"/>
                  <w:vAlign w:val="center"/>
                </w:tcPr>
                <w:p w14:paraId="4CB800C5">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0.184 </w:t>
                  </w:r>
                </w:p>
              </w:tc>
            </w:tr>
            <w:tr w14:paraId="01E44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8" w:type="pct"/>
                  <w:gridSpan w:val="2"/>
                  <w:vMerge w:val="continue"/>
                  <w:vAlign w:val="center"/>
                </w:tcPr>
                <w:p w14:paraId="554A40C8">
                  <w:pPr>
                    <w:pStyle w:val="4"/>
                    <w:keepNext w:val="0"/>
                    <w:keepLines w:val="0"/>
                    <w:pageBreakBefore w:val="0"/>
                    <w:kinsoku/>
                    <w:overflowPunct/>
                    <w:autoSpaceDE/>
                    <w:autoSpaceDN/>
                    <w:bidi w:val="0"/>
                    <w:adjustRightInd/>
                    <w:snapToGrid/>
                    <w:ind w:left="0"/>
                    <w:jc w:val="center"/>
                    <w:textAlignment w:val="auto"/>
                    <w:rPr>
                      <w:rFonts w:hint="default" w:ascii="Times New Roman" w:hAnsi="Times New Roman" w:cs="Times New Roman"/>
                      <w:color w:val="auto"/>
                      <w:sz w:val="21"/>
                      <w:szCs w:val="21"/>
                      <w:highlight w:val="none"/>
                      <w:vertAlign w:val="baseline"/>
                      <w:lang w:eastAsia="zh-CN"/>
                    </w:rPr>
                  </w:pPr>
                </w:p>
              </w:tc>
              <w:tc>
                <w:tcPr>
                  <w:tcW w:w="7550" w:type="dxa"/>
                  <w:gridSpan w:val="3"/>
                  <w:shd w:val="clear" w:color="auto" w:fill="auto"/>
                  <w:vAlign w:val="center"/>
                </w:tcPr>
                <w:p w14:paraId="41FB75D9">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苯系物</w:t>
                  </w:r>
                </w:p>
              </w:tc>
              <w:tc>
                <w:tcPr>
                  <w:tcW w:w="2594" w:type="dxa"/>
                  <w:vAlign w:val="center"/>
                </w:tcPr>
                <w:p w14:paraId="1008714D">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0.036 </w:t>
                  </w:r>
                </w:p>
              </w:tc>
            </w:tr>
            <w:tr w14:paraId="70636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8" w:type="pct"/>
                  <w:gridSpan w:val="2"/>
                  <w:vMerge w:val="continue"/>
                  <w:vAlign w:val="center"/>
                </w:tcPr>
                <w:p w14:paraId="19F4CB78">
                  <w:pPr>
                    <w:pStyle w:val="4"/>
                    <w:keepNext w:val="0"/>
                    <w:keepLines w:val="0"/>
                    <w:pageBreakBefore w:val="0"/>
                    <w:kinsoku/>
                    <w:overflowPunct/>
                    <w:autoSpaceDE/>
                    <w:autoSpaceDN/>
                    <w:bidi w:val="0"/>
                    <w:adjustRightInd/>
                    <w:snapToGrid/>
                    <w:ind w:left="0"/>
                    <w:jc w:val="center"/>
                    <w:textAlignment w:val="auto"/>
                    <w:rPr>
                      <w:rFonts w:hint="default" w:ascii="Times New Roman" w:hAnsi="Times New Roman" w:cs="Times New Roman"/>
                      <w:color w:val="auto"/>
                      <w:sz w:val="21"/>
                      <w:szCs w:val="21"/>
                      <w:highlight w:val="none"/>
                      <w:vertAlign w:val="baseline"/>
                      <w:lang w:eastAsia="zh-CN"/>
                    </w:rPr>
                  </w:pPr>
                </w:p>
              </w:tc>
              <w:tc>
                <w:tcPr>
                  <w:tcW w:w="7550" w:type="dxa"/>
                  <w:gridSpan w:val="3"/>
                  <w:shd w:val="clear" w:color="auto" w:fill="auto"/>
                  <w:vAlign w:val="center"/>
                </w:tcPr>
                <w:p w14:paraId="6E96BE9D">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2594" w:type="dxa"/>
                  <w:vAlign w:val="center"/>
                </w:tcPr>
                <w:p w14:paraId="22B1CE1E">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0.040 </w:t>
                  </w:r>
                </w:p>
              </w:tc>
            </w:tr>
            <w:tr w14:paraId="49A5E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8" w:type="pct"/>
                  <w:gridSpan w:val="2"/>
                  <w:vMerge w:val="continue"/>
                  <w:vAlign w:val="center"/>
                </w:tcPr>
                <w:p w14:paraId="48F840BC">
                  <w:pPr>
                    <w:pStyle w:val="4"/>
                    <w:keepNext w:val="0"/>
                    <w:keepLines w:val="0"/>
                    <w:pageBreakBefore w:val="0"/>
                    <w:kinsoku/>
                    <w:overflowPunct/>
                    <w:autoSpaceDE/>
                    <w:autoSpaceDN/>
                    <w:bidi w:val="0"/>
                    <w:adjustRightInd/>
                    <w:snapToGrid/>
                    <w:ind w:left="0"/>
                    <w:jc w:val="center"/>
                    <w:textAlignment w:val="auto"/>
                    <w:rPr>
                      <w:rFonts w:hint="default" w:ascii="Times New Roman" w:hAnsi="Times New Roman" w:cs="Times New Roman"/>
                      <w:color w:val="auto"/>
                      <w:sz w:val="21"/>
                      <w:szCs w:val="21"/>
                      <w:highlight w:val="none"/>
                      <w:vertAlign w:val="baseline"/>
                      <w:lang w:eastAsia="zh-CN"/>
                    </w:rPr>
                  </w:pPr>
                </w:p>
              </w:tc>
              <w:tc>
                <w:tcPr>
                  <w:tcW w:w="7550" w:type="dxa"/>
                  <w:gridSpan w:val="3"/>
                  <w:shd w:val="clear" w:color="auto" w:fill="auto"/>
                  <w:vAlign w:val="center"/>
                </w:tcPr>
                <w:p w14:paraId="51C3E461">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none"/>
                      <w:vertAlign w:val="baseli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X</w:t>
                  </w:r>
                </w:p>
              </w:tc>
              <w:tc>
                <w:tcPr>
                  <w:tcW w:w="2594" w:type="dxa"/>
                  <w:vAlign w:val="center"/>
                </w:tcPr>
                <w:p w14:paraId="58A67EC5">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0.374 </w:t>
                  </w:r>
                </w:p>
              </w:tc>
            </w:tr>
            <w:tr w14:paraId="065D6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8" w:type="pct"/>
                  <w:gridSpan w:val="2"/>
                  <w:vMerge w:val="continue"/>
                  <w:vAlign w:val="center"/>
                </w:tcPr>
                <w:p w14:paraId="521155F5">
                  <w:pPr>
                    <w:pStyle w:val="4"/>
                    <w:keepNext w:val="0"/>
                    <w:keepLines w:val="0"/>
                    <w:pageBreakBefore w:val="0"/>
                    <w:kinsoku/>
                    <w:overflowPunct/>
                    <w:autoSpaceDE/>
                    <w:autoSpaceDN/>
                    <w:bidi w:val="0"/>
                    <w:adjustRightInd/>
                    <w:snapToGrid/>
                    <w:ind w:left="0"/>
                    <w:jc w:val="center"/>
                    <w:textAlignment w:val="auto"/>
                    <w:rPr>
                      <w:rFonts w:hint="default" w:ascii="Times New Roman" w:hAnsi="Times New Roman" w:cs="Times New Roman"/>
                      <w:color w:val="auto"/>
                      <w:sz w:val="21"/>
                      <w:szCs w:val="21"/>
                      <w:highlight w:val="none"/>
                      <w:vertAlign w:val="baseline"/>
                      <w:lang w:eastAsia="zh-CN"/>
                    </w:rPr>
                  </w:pPr>
                </w:p>
              </w:tc>
              <w:tc>
                <w:tcPr>
                  <w:tcW w:w="7550" w:type="dxa"/>
                  <w:gridSpan w:val="3"/>
                  <w:shd w:val="clear" w:color="auto" w:fill="auto"/>
                  <w:vAlign w:val="center"/>
                </w:tcPr>
                <w:p w14:paraId="6BDCE3C7">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none"/>
                      <w:vertAlign w:val="baseline"/>
                      <w:lang w:eastAsia="zh-CN"/>
                    </w:rPr>
                  </w:pPr>
                  <w:r>
                    <w:rPr>
                      <w:rFonts w:hint="eastAsia" w:ascii="宋体" w:hAnsi="宋体" w:eastAsia="宋体" w:cs="宋体"/>
                      <w:i w:val="0"/>
                      <w:iCs w:val="0"/>
                      <w:color w:val="auto"/>
                      <w:kern w:val="0"/>
                      <w:sz w:val="21"/>
                      <w:szCs w:val="21"/>
                      <w:highlight w:val="none"/>
                      <w:u w:val="none"/>
                      <w:lang w:val="en-US" w:eastAsia="zh-CN" w:bidi="ar"/>
                    </w:rPr>
                    <w:t>臭气浓度</w:t>
                  </w:r>
                </w:p>
              </w:tc>
              <w:tc>
                <w:tcPr>
                  <w:tcW w:w="2594" w:type="dxa"/>
                  <w:vAlign w:val="center"/>
                </w:tcPr>
                <w:p w14:paraId="6FDF434B">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bl>
          <w:p w14:paraId="4C18E3B2">
            <w:pPr>
              <w:pStyle w:val="2"/>
              <w:keepNext w:val="0"/>
              <w:keepLines w:val="0"/>
              <w:numPr>
                <w:ilvl w:val="0"/>
                <w:numId w:val="10"/>
              </w:numPr>
              <w:suppressLineNumbers w:val="0"/>
              <w:spacing w:before="0" w:beforeAutospacing="0" w:after="0" w:afterAutospacing="0"/>
              <w:ind w:left="0" w:leftChars="0" w:right="0" w:hanging="1" w:firstLineChars="0"/>
              <w:jc w:val="center"/>
              <w:rPr>
                <w:rFonts w:ascii="Times New Roman" w:hAnsi="Times New Roman" w:eastAsia="宋体" w:cs="Times New Roman"/>
                <w:b/>
                <w:bCs/>
                <w:color w:val="auto"/>
                <w:sz w:val="21"/>
                <w:szCs w:val="21"/>
                <w:highlight w:val="none"/>
                <w:lang w:eastAsia="zh-CN"/>
              </w:rPr>
            </w:pPr>
            <w:r>
              <w:rPr>
                <w:b/>
                <w:color w:val="auto"/>
                <w:sz w:val="21"/>
                <w:szCs w:val="21"/>
                <w:highlight w:val="none"/>
              </w:rPr>
              <w:t>大气污染物无组织排放核算表</w:t>
            </w:r>
          </w:p>
          <w:tbl>
            <w:tblPr>
              <w:tblStyle w:val="4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40"/>
              <w:gridCol w:w="696"/>
              <w:gridCol w:w="650"/>
              <w:gridCol w:w="1130"/>
              <w:gridCol w:w="1194"/>
              <w:gridCol w:w="5716"/>
              <w:gridCol w:w="1661"/>
              <w:gridCol w:w="483"/>
              <w:gridCol w:w="1011"/>
            </w:tblGrid>
            <w:tr w14:paraId="7F703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49" w:type="pct"/>
                  <w:vMerge w:val="restart"/>
                  <w:shd w:val="clear" w:color="auto" w:fill="auto"/>
                  <w:vAlign w:val="center"/>
                </w:tcPr>
                <w:p w14:paraId="2B7204F4">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序号</w:t>
                  </w:r>
                </w:p>
              </w:tc>
              <w:tc>
                <w:tcPr>
                  <w:tcW w:w="258" w:type="pct"/>
                  <w:vMerge w:val="restart"/>
                  <w:shd w:val="clear" w:color="auto" w:fill="auto"/>
                  <w:vAlign w:val="center"/>
                </w:tcPr>
                <w:p w14:paraId="55F49BF4">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排放口编号</w:t>
                  </w:r>
                </w:p>
              </w:tc>
              <w:tc>
                <w:tcPr>
                  <w:tcW w:w="241" w:type="pct"/>
                  <w:vMerge w:val="restart"/>
                  <w:shd w:val="clear" w:color="auto" w:fill="auto"/>
                  <w:vAlign w:val="center"/>
                </w:tcPr>
                <w:p w14:paraId="46543AF5">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产污环节</w:t>
                  </w:r>
                </w:p>
              </w:tc>
              <w:tc>
                <w:tcPr>
                  <w:tcW w:w="419" w:type="pct"/>
                  <w:vMerge w:val="restart"/>
                  <w:shd w:val="clear" w:color="auto" w:fill="auto"/>
                  <w:vAlign w:val="center"/>
                </w:tcPr>
                <w:p w14:paraId="0DC65057">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污染物种类</w:t>
                  </w:r>
                </w:p>
              </w:tc>
              <w:tc>
                <w:tcPr>
                  <w:tcW w:w="443" w:type="pct"/>
                  <w:vMerge w:val="restart"/>
                  <w:shd w:val="clear" w:color="auto" w:fill="auto"/>
                  <w:vAlign w:val="center"/>
                </w:tcPr>
                <w:p w14:paraId="643B0FC3">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主要污染防治措施</w:t>
                  </w:r>
                </w:p>
              </w:tc>
              <w:tc>
                <w:tcPr>
                  <w:tcW w:w="2913" w:type="pct"/>
                  <w:gridSpan w:val="3"/>
                  <w:shd w:val="clear" w:color="auto" w:fill="auto"/>
                  <w:vAlign w:val="center"/>
                </w:tcPr>
                <w:p w14:paraId="50A1CBE8">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国家或地方污染物排放标准</w:t>
                  </w:r>
                </w:p>
              </w:tc>
              <w:tc>
                <w:tcPr>
                  <w:tcW w:w="373" w:type="pct"/>
                  <w:vMerge w:val="restart"/>
                  <w:shd w:val="clear" w:color="auto" w:fill="auto"/>
                  <w:vAlign w:val="center"/>
                </w:tcPr>
                <w:p w14:paraId="515871CC">
                  <w:pPr>
                    <w:keepNext w:val="0"/>
                    <w:keepLines w:val="0"/>
                    <w:widowControl/>
                    <w:suppressLineNumbers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排放量（t/a）</w:t>
                  </w:r>
                </w:p>
              </w:tc>
            </w:tr>
            <w:tr w14:paraId="57C4E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5" w:hRule="atLeast"/>
              </w:trPr>
              <w:tc>
                <w:tcPr>
                  <w:tcW w:w="349" w:type="pct"/>
                  <w:vMerge w:val="continue"/>
                  <w:shd w:val="clear" w:color="auto" w:fill="auto"/>
                  <w:vAlign w:val="center"/>
                </w:tcPr>
                <w:p w14:paraId="1754DE69">
                  <w:pPr>
                    <w:spacing w:line="240" w:lineRule="auto"/>
                    <w:jc w:val="center"/>
                    <w:rPr>
                      <w:rFonts w:hint="default" w:ascii="Times New Roman" w:hAnsi="Times New Roman" w:eastAsia="宋体" w:cs="Times New Roman"/>
                      <w:b/>
                      <w:bCs/>
                      <w:i w:val="0"/>
                      <w:iCs w:val="0"/>
                      <w:color w:val="auto"/>
                      <w:sz w:val="21"/>
                      <w:szCs w:val="21"/>
                      <w:highlight w:val="none"/>
                      <w:u w:val="none"/>
                    </w:rPr>
                  </w:pPr>
                </w:p>
              </w:tc>
              <w:tc>
                <w:tcPr>
                  <w:tcW w:w="258" w:type="pct"/>
                  <w:vMerge w:val="continue"/>
                  <w:shd w:val="clear" w:color="auto" w:fill="auto"/>
                  <w:vAlign w:val="center"/>
                </w:tcPr>
                <w:p w14:paraId="4C708B47">
                  <w:pPr>
                    <w:spacing w:line="240" w:lineRule="auto"/>
                    <w:jc w:val="center"/>
                    <w:rPr>
                      <w:rFonts w:hint="default" w:ascii="Times New Roman" w:hAnsi="Times New Roman" w:eastAsia="宋体" w:cs="Times New Roman"/>
                      <w:b/>
                      <w:bCs/>
                      <w:i w:val="0"/>
                      <w:iCs w:val="0"/>
                      <w:color w:val="auto"/>
                      <w:sz w:val="21"/>
                      <w:szCs w:val="21"/>
                      <w:highlight w:val="none"/>
                      <w:u w:val="none"/>
                    </w:rPr>
                  </w:pPr>
                </w:p>
              </w:tc>
              <w:tc>
                <w:tcPr>
                  <w:tcW w:w="241" w:type="pct"/>
                  <w:vMerge w:val="continue"/>
                  <w:shd w:val="clear" w:color="auto" w:fill="auto"/>
                  <w:vAlign w:val="center"/>
                </w:tcPr>
                <w:p w14:paraId="0CAD3DC1">
                  <w:pPr>
                    <w:spacing w:line="240" w:lineRule="auto"/>
                    <w:jc w:val="center"/>
                    <w:rPr>
                      <w:rFonts w:hint="default" w:ascii="Times New Roman" w:hAnsi="Times New Roman" w:eastAsia="宋体" w:cs="Times New Roman"/>
                      <w:b/>
                      <w:bCs/>
                      <w:i w:val="0"/>
                      <w:iCs w:val="0"/>
                      <w:color w:val="auto"/>
                      <w:sz w:val="21"/>
                      <w:szCs w:val="21"/>
                      <w:highlight w:val="none"/>
                      <w:u w:val="none"/>
                    </w:rPr>
                  </w:pPr>
                </w:p>
              </w:tc>
              <w:tc>
                <w:tcPr>
                  <w:tcW w:w="419" w:type="pct"/>
                  <w:vMerge w:val="continue"/>
                  <w:shd w:val="clear" w:color="auto" w:fill="auto"/>
                  <w:vAlign w:val="center"/>
                </w:tcPr>
                <w:p w14:paraId="6E3002D4">
                  <w:pPr>
                    <w:spacing w:line="240" w:lineRule="auto"/>
                    <w:jc w:val="center"/>
                    <w:rPr>
                      <w:rFonts w:hint="default" w:ascii="Times New Roman" w:hAnsi="Times New Roman" w:eastAsia="宋体" w:cs="Times New Roman"/>
                      <w:b/>
                      <w:bCs/>
                      <w:i w:val="0"/>
                      <w:iCs w:val="0"/>
                      <w:color w:val="auto"/>
                      <w:sz w:val="21"/>
                      <w:szCs w:val="21"/>
                      <w:highlight w:val="none"/>
                      <w:u w:val="none"/>
                    </w:rPr>
                  </w:pPr>
                </w:p>
              </w:tc>
              <w:tc>
                <w:tcPr>
                  <w:tcW w:w="443" w:type="pct"/>
                  <w:vMerge w:val="continue"/>
                  <w:shd w:val="clear" w:color="auto" w:fill="auto"/>
                  <w:vAlign w:val="center"/>
                </w:tcPr>
                <w:p w14:paraId="1BF95AB4">
                  <w:pPr>
                    <w:spacing w:line="240" w:lineRule="auto"/>
                    <w:jc w:val="center"/>
                    <w:rPr>
                      <w:rFonts w:hint="default" w:ascii="Times New Roman" w:hAnsi="Times New Roman" w:eastAsia="宋体" w:cs="Times New Roman"/>
                      <w:b/>
                      <w:bCs/>
                      <w:i w:val="0"/>
                      <w:iCs w:val="0"/>
                      <w:color w:val="auto"/>
                      <w:sz w:val="21"/>
                      <w:szCs w:val="21"/>
                      <w:highlight w:val="none"/>
                      <w:u w:val="none"/>
                    </w:rPr>
                  </w:pPr>
                </w:p>
              </w:tc>
              <w:tc>
                <w:tcPr>
                  <w:tcW w:w="2120" w:type="pct"/>
                  <w:shd w:val="clear" w:color="auto" w:fill="auto"/>
                  <w:vAlign w:val="center"/>
                </w:tcPr>
                <w:p w14:paraId="63CEAA30">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标准名称</w:t>
                  </w:r>
                </w:p>
              </w:tc>
              <w:tc>
                <w:tcPr>
                  <w:tcW w:w="792" w:type="pct"/>
                  <w:gridSpan w:val="2"/>
                  <w:shd w:val="clear" w:color="auto" w:fill="auto"/>
                  <w:vAlign w:val="center"/>
                </w:tcPr>
                <w:p w14:paraId="438A32CF">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浓度限值/（mg/m</w:t>
                  </w:r>
                  <w:r>
                    <w:rPr>
                      <w:rStyle w:val="70"/>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i w:val="0"/>
                      <w:iCs w:val="0"/>
                      <w:color w:val="auto"/>
                      <w:kern w:val="0"/>
                      <w:sz w:val="21"/>
                      <w:szCs w:val="21"/>
                      <w:highlight w:val="none"/>
                      <w:u w:val="none"/>
                      <w:lang w:val="en-US" w:eastAsia="zh-CN"/>
                    </w:rPr>
                    <w:t>）</w:t>
                  </w:r>
                </w:p>
              </w:tc>
              <w:tc>
                <w:tcPr>
                  <w:tcW w:w="373" w:type="pct"/>
                  <w:vMerge w:val="continue"/>
                  <w:shd w:val="clear" w:color="auto" w:fill="auto"/>
                  <w:vAlign w:val="center"/>
                </w:tcPr>
                <w:p w14:paraId="2C47E6D4">
                  <w:pPr>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r>
            <w:tr w14:paraId="3A119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3" w:hRule="atLeast"/>
              </w:trPr>
              <w:tc>
                <w:tcPr>
                  <w:tcW w:w="349" w:type="pct"/>
                  <w:vMerge w:val="restart"/>
                  <w:shd w:val="clear" w:color="auto" w:fill="auto"/>
                  <w:vAlign w:val="center"/>
                </w:tcPr>
                <w:p w14:paraId="192D6D7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rPr>
                    <w:t>1</w:t>
                  </w:r>
                </w:p>
              </w:tc>
              <w:tc>
                <w:tcPr>
                  <w:tcW w:w="258" w:type="pct"/>
                  <w:vMerge w:val="restart"/>
                  <w:shd w:val="clear" w:color="auto" w:fill="auto"/>
                  <w:vAlign w:val="center"/>
                </w:tcPr>
                <w:p w14:paraId="0F8E080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Style w:val="72"/>
                      <w:rFonts w:hint="default" w:ascii="Times New Roman" w:hAnsi="Times New Roman" w:eastAsia="宋体" w:cs="Times New Roman"/>
                      <w:b w:val="0"/>
                      <w:bCs w:val="0"/>
                      <w:color w:val="auto"/>
                      <w:sz w:val="21"/>
                      <w:szCs w:val="21"/>
                      <w:highlight w:val="none"/>
                      <w:lang w:val="en-US" w:eastAsia="zh-CN"/>
                    </w:rPr>
                    <w:t>/</w:t>
                  </w:r>
                </w:p>
              </w:tc>
              <w:tc>
                <w:tcPr>
                  <w:tcW w:w="241" w:type="pct"/>
                  <w:vMerge w:val="restart"/>
                  <w:shd w:val="clear" w:color="auto" w:fill="auto"/>
                  <w:vAlign w:val="center"/>
                </w:tcPr>
                <w:p w14:paraId="0D7786C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Style w:val="74"/>
                      <w:rFonts w:hint="default" w:ascii="Times New Roman" w:hAnsi="Times New Roman" w:eastAsia="宋体" w:cs="Times New Roman"/>
                      <w:b w:val="0"/>
                      <w:bCs w:val="0"/>
                      <w:color w:val="auto"/>
                      <w:sz w:val="21"/>
                      <w:szCs w:val="21"/>
                      <w:highlight w:val="none"/>
                      <w:lang w:val="en-US" w:eastAsia="zh-CN"/>
                    </w:rPr>
                    <w:t>生产全程</w:t>
                  </w:r>
                </w:p>
              </w:tc>
              <w:tc>
                <w:tcPr>
                  <w:tcW w:w="419" w:type="pct"/>
                  <w:shd w:val="clear" w:color="auto" w:fill="auto"/>
                  <w:vAlign w:val="center"/>
                </w:tcPr>
                <w:p w14:paraId="76DB26B0">
                  <w:pPr>
                    <w:pStyle w:val="61"/>
                    <w:keepNext w:val="0"/>
                    <w:keepLines w:val="0"/>
                    <w:pageBreakBefore w:val="0"/>
                    <w:kinsoku/>
                    <w:wordWrap w:val="0"/>
                    <w:overflowPunct/>
                    <w:topLinePunct/>
                    <w:autoSpaceDE/>
                    <w:autoSpaceDN/>
                    <w:bidi w:val="0"/>
                    <w:adjustRightInd/>
                    <w:snapToGrid/>
                    <w:spacing w:beforeAutospacing="0" w:afterAutospacing="0" w:line="240" w:lineRule="auto"/>
                    <w:jc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rPr>
                    <w:t>颗粒物</w:t>
                  </w:r>
                </w:p>
              </w:tc>
              <w:tc>
                <w:tcPr>
                  <w:tcW w:w="443" w:type="pct"/>
                  <w:vMerge w:val="restart"/>
                  <w:shd w:val="clear" w:color="auto" w:fill="auto"/>
                  <w:vAlign w:val="center"/>
                </w:tcPr>
                <w:p w14:paraId="3508CD93">
                  <w:pPr>
                    <w:keepNext w:val="0"/>
                    <w:keepLines w:val="0"/>
                    <w:pageBreakBefore w:val="0"/>
                    <w:widowControl/>
                    <w:kinsoku/>
                    <w:wordWrap w:val="0"/>
                    <w:overflowPunct/>
                    <w:topLinePunct/>
                    <w:autoSpaceDE/>
                    <w:autoSpaceDN/>
                    <w:bidi w:val="0"/>
                    <w:adjustRightInd/>
                    <w:snapToGrid/>
                    <w:spacing w:beforeAutospacing="0" w:afterAutospacing="0" w:line="240" w:lineRule="auto"/>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rPr>
                    <w:t>加强车间通风换气</w:t>
                  </w:r>
                </w:p>
              </w:tc>
              <w:tc>
                <w:tcPr>
                  <w:tcW w:w="2120" w:type="pct"/>
                  <w:shd w:val="clear" w:color="auto" w:fill="auto"/>
                  <w:vAlign w:val="center"/>
                </w:tcPr>
                <w:p w14:paraId="2D44ADD3">
                  <w:pPr>
                    <w:keepNext w:val="0"/>
                    <w:keepLines w:val="0"/>
                    <w:pageBreakBefore w:val="0"/>
                    <w:widowControl/>
                    <w:kinsoku/>
                    <w:wordWrap w:val="0"/>
                    <w:overflowPunct/>
                    <w:topLinePunct/>
                    <w:autoSpaceDE/>
                    <w:autoSpaceDN/>
                    <w:bidi w:val="0"/>
                    <w:adjustRightInd/>
                    <w:snapToGrid/>
                    <w:spacing w:beforeAutospacing="0" w:afterAutospacing="0" w:line="240" w:lineRule="auto"/>
                    <w:jc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rPr>
                    <w:t>广东省《大气污染物排放限值》（DB44/27-2001）第二时段无组织排放浓度限值</w:t>
                  </w:r>
                </w:p>
              </w:tc>
              <w:tc>
                <w:tcPr>
                  <w:tcW w:w="792" w:type="pct"/>
                  <w:gridSpan w:val="2"/>
                  <w:shd w:val="clear" w:color="auto" w:fill="auto"/>
                  <w:vAlign w:val="center"/>
                </w:tcPr>
                <w:p w14:paraId="2E453BD4">
                  <w:pPr>
                    <w:keepNext w:val="0"/>
                    <w:keepLines w:val="0"/>
                    <w:pageBreakBefore w:val="0"/>
                    <w:widowControl/>
                    <w:kinsoku/>
                    <w:wordWrap w:val="0"/>
                    <w:overflowPunct/>
                    <w:topLinePunct/>
                    <w:autoSpaceDE/>
                    <w:autoSpaceDN/>
                    <w:bidi w:val="0"/>
                    <w:adjustRightInd/>
                    <w:snapToGrid/>
                    <w:spacing w:beforeAutospacing="0" w:afterAutospacing="0" w:line="240" w:lineRule="auto"/>
                    <w:jc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rPr>
                    <w:t>1.0</w:t>
                  </w:r>
                </w:p>
              </w:tc>
              <w:tc>
                <w:tcPr>
                  <w:tcW w:w="373" w:type="pct"/>
                  <w:shd w:val="clear" w:color="auto" w:fill="auto"/>
                  <w:vAlign w:val="center"/>
                </w:tcPr>
                <w:p w14:paraId="4624ED6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0.6</w:t>
                  </w:r>
                  <w:r>
                    <w:rPr>
                      <w:rFonts w:hint="eastAsia" w:cs="Times New Roman"/>
                      <w:i w:val="0"/>
                      <w:iCs w:val="0"/>
                      <w:color w:val="auto"/>
                      <w:kern w:val="0"/>
                      <w:sz w:val="21"/>
                      <w:szCs w:val="21"/>
                      <w:highlight w:val="none"/>
                      <w:u w:val="none"/>
                      <w:lang w:val="en-US" w:eastAsia="zh-CN"/>
                    </w:rPr>
                    <w:t>97</w:t>
                  </w:r>
                  <w:r>
                    <w:rPr>
                      <w:rFonts w:hint="default" w:ascii="Times New Roman" w:hAnsi="Times New Roman" w:eastAsia="宋体" w:cs="Times New Roman"/>
                      <w:i w:val="0"/>
                      <w:iCs w:val="0"/>
                      <w:color w:val="auto"/>
                      <w:kern w:val="0"/>
                      <w:sz w:val="21"/>
                      <w:szCs w:val="21"/>
                      <w:highlight w:val="none"/>
                      <w:u w:val="none"/>
                      <w:lang w:val="en-US" w:eastAsia="zh-CN"/>
                    </w:rPr>
                    <w:t xml:space="preserve"> </w:t>
                  </w:r>
                </w:p>
              </w:tc>
            </w:tr>
            <w:tr w14:paraId="04E2F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5" w:hRule="atLeast"/>
              </w:trPr>
              <w:tc>
                <w:tcPr>
                  <w:tcW w:w="349" w:type="pct"/>
                  <w:vMerge w:val="continue"/>
                  <w:shd w:val="clear" w:color="auto" w:fill="auto"/>
                  <w:vAlign w:val="center"/>
                </w:tcPr>
                <w:p w14:paraId="137C653D">
                  <w:pPr>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258" w:type="pct"/>
                  <w:vMerge w:val="continue"/>
                  <w:shd w:val="clear" w:color="auto" w:fill="auto"/>
                  <w:vAlign w:val="center"/>
                </w:tcPr>
                <w:p w14:paraId="29AA5297">
                  <w:pPr>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241" w:type="pct"/>
                  <w:vMerge w:val="continue"/>
                  <w:shd w:val="clear" w:color="auto" w:fill="auto"/>
                  <w:vAlign w:val="center"/>
                </w:tcPr>
                <w:p w14:paraId="05CD163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419" w:type="pct"/>
                  <w:vMerge w:val="restart"/>
                  <w:shd w:val="clear" w:color="auto" w:fill="auto"/>
                  <w:vAlign w:val="center"/>
                </w:tcPr>
                <w:p w14:paraId="15B07E1B">
                  <w:pPr>
                    <w:keepNext w:val="0"/>
                    <w:keepLines w:val="0"/>
                    <w:pageBreakBefore w:val="0"/>
                    <w:widowControl/>
                    <w:kinsoku/>
                    <w:wordWrap w:val="0"/>
                    <w:overflowPunct/>
                    <w:topLinePunct/>
                    <w:autoSpaceDE/>
                    <w:autoSpaceDN/>
                    <w:bidi w:val="0"/>
                    <w:adjustRightInd/>
                    <w:snapToGrid/>
                    <w:spacing w:beforeAutospacing="0" w:afterAutospacing="0"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VOCs（以</w:t>
                  </w:r>
                  <w:r>
                    <w:rPr>
                      <w:rFonts w:hint="default" w:ascii="Times New Roman" w:hAnsi="Times New Roman" w:eastAsia="宋体" w:cs="Times New Roman"/>
                      <w:b w:val="0"/>
                      <w:bCs w:val="0"/>
                      <w:color w:val="auto"/>
                      <w:sz w:val="21"/>
                      <w:szCs w:val="21"/>
                      <w:highlight w:val="none"/>
                    </w:rPr>
                    <w:t>N</w:t>
                  </w:r>
                  <w:r>
                    <w:rPr>
                      <w:rFonts w:hint="default" w:ascii="Times New Roman" w:hAnsi="Times New Roman" w:eastAsia="宋体" w:cs="Times New Roman"/>
                      <w:b w:val="0"/>
                      <w:bCs w:val="0"/>
                      <w:color w:val="auto"/>
                      <w:sz w:val="21"/>
                      <w:szCs w:val="21"/>
                      <w:highlight w:val="none"/>
                      <w:lang w:val="en-US" w:eastAsia="zh-CN"/>
                    </w:rPr>
                    <w:t>M</w:t>
                  </w:r>
                  <w:r>
                    <w:rPr>
                      <w:rFonts w:hint="default" w:ascii="Times New Roman" w:hAnsi="Times New Roman" w:eastAsia="宋体" w:cs="Times New Roman"/>
                      <w:b w:val="0"/>
                      <w:bCs w:val="0"/>
                      <w:color w:val="auto"/>
                      <w:sz w:val="21"/>
                      <w:szCs w:val="21"/>
                      <w:highlight w:val="none"/>
                    </w:rPr>
                    <w:t>HC</w:t>
                  </w:r>
                  <w:r>
                    <w:rPr>
                      <w:rFonts w:hint="default" w:ascii="Times New Roman" w:hAnsi="Times New Roman" w:eastAsia="宋体" w:cs="Times New Roman"/>
                      <w:b w:val="0"/>
                      <w:bCs w:val="0"/>
                      <w:color w:val="auto"/>
                      <w:sz w:val="21"/>
                      <w:szCs w:val="21"/>
                      <w:highlight w:val="none"/>
                      <w:lang w:val="en-US" w:eastAsia="zh-CN"/>
                    </w:rPr>
                    <w:t>计）</w:t>
                  </w:r>
                </w:p>
              </w:tc>
              <w:tc>
                <w:tcPr>
                  <w:tcW w:w="443" w:type="pct"/>
                  <w:vMerge w:val="continue"/>
                  <w:shd w:val="clear" w:color="auto" w:fill="auto"/>
                  <w:vAlign w:val="center"/>
                </w:tcPr>
                <w:p w14:paraId="5C4766A6">
                  <w:pPr>
                    <w:keepNext w:val="0"/>
                    <w:keepLines w:val="0"/>
                    <w:pageBreakBefore w:val="0"/>
                    <w:widowControl/>
                    <w:kinsoku/>
                    <w:wordWrap w:val="0"/>
                    <w:overflowPunct/>
                    <w:topLinePunct/>
                    <w:autoSpaceDE/>
                    <w:autoSpaceDN/>
                    <w:bidi w:val="0"/>
                    <w:adjustRightInd/>
                    <w:snapToGrid/>
                    <w:spacing w:beforeAutospacing="0" w:afterAutospacing="0"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2120" w:type="pct"/>
                  <w:vMerge w:val="restart"/>
                  <w:shd w:val="clear" w:color="auto" w:fill="auto"/>
                  <w:vAlign w:val="center"/>
                </w:tcPr>
                <w:p w14:paraId="6BA3B6FE">
                  <w:pPr>
                    <w:keepNext w:val="0"/>
                    <w:keepLines w:val="0"/>
                    <w:pageBreakBefore w:val="0"/>
                    <w:widowControl/>
                    <w:kinsoku/>
                    <w:wordWrap w:val="0"/>
                    <w:overflowPunct/>
                    <w:topLinePunct/>
                    <w:autoSpaceDE/>
                    <w:autoSpaceDN/>
                    <w:bidi w:val="0"/>
                    <w:adjustRightInd/>
                    <w:snapToGrid/>
                    <w:spacing w:beforeAutospacing="0" w:afterAutospacing="0" w:line="240" w:lineRule="auto"/>
                    <w:jc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rPr>
                    <w:t>广东省《固定污染源挥发性有机物综合排放标准》（DB44/2367-2022）表3厂区内VOCs 无组织排放限值要求</w:t>
                  </w:r>
                </w:p>
              </w:tc>
              <w:tc>
                <w:tcPr>
                  <w:tcW w:w="616" w:type="pct"/>
                  <w:shd w:val="clear" w:color="auto" w:fill="auto"/>
                  <w:vAlign w:val="center"/>
                </w:tcPr>
                <w:p w14:paraId="53D90EBB">
                  <w:pPr>
                    <w:keepNext w:val="0"/>
                    <w:keepLines w:val="0"/>
                    <w:pageBreakBefore w:val="0"/>
                    <w:widowControl/>
                    <w:tabs>
                      <w:tab w:val="left" w:pos="452"/>
                    </w:tabs>
                    <w:kinsoku/>
                    <w:wordWrap w:val="0"/>
                    <w:overflowPunct/>
                    <w:topLinePunct/>
                    <w:autoSpaceDE/>
                    <w:autoSpaceDN/>
                    <w:bidi w:val="0"/>
                    <w:adjustRightInd/>
                    <w:snapToGrid/>
                    <w:spacing w:beforeAutospacing="0" w:afterAutospacing="0" w:line="240" w:lineRule="auto"/>
                    <w:jc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rPr>
                    <w:t>监控点处1小时平均浓度值</w:t>
                  </w:r>
                </w:p>
              </w:tc>
              <w:tc>
                <w:tcPr>
                  <w:tcW w:w="176" w:type="pct"/>
                  <w:shd w:val="clear" w:color="auto" w:fill="auto"/>
                  <w:vAlign w:val="center"/>
                </w:tcPr>
                <w:p w14:paraId="4F194322">
                  <w:pPr>
                    <w:keepNext w:val="0"/>
                    <w:keepLines w:val="0"/>
                    <w:pageBreakBefore w:val="0"/>
                    <w:widowControl/>
                    <w:tabs>
                      <w:tab w:val="left" w:pos="452"/>
                    </w:tabs>
                    <w:kinsoku/>
                    <w:wordWrap w:val="0"/>
                    <w:overflowPunct/>
                    <w:topLinePunct/>
                    <w:autoSpaceDE/>
                    <w:autoSpaceDN/>
                    <w:bidi w:val="0"/>
                    <w:adjustRightInd/>
                    <w:snapToGrid/>
                    <w:spacing w:beforeAutospacing="0" w:afterAutospacing="0" w:line="240" w:lineRule="auto"/>
                    <w:jc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rPr>
                    <w:t>6</w:t>
                  </w:r>
                </w:p>
              </w:tc>
              <w:tc>
                <w:tcPr>
                  <w:tcW w:w="373" w:type="pct"/>
                  <w:vMerge w:val="restart"/>
                  <w:shd w:val="clear" w:color="auto" w:fill="auto"/>
                  <w:vAlign w:val="center"/>
                </w:tcPr>
                <w:p w14:paraId="71723DA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rPr>
                    <w:t>0.</w:t>
                  </w:r>
                  <w:r>
                    <w:rPr>
                      <w:rFonts w:hint="eastAsia" w:cs="Times New Roman"/>
                      <w:i w:val="0"/>
                      <w:iCs w:val="0"/>
                      <w:color w:val="auto"/>
                      <w:kern w:val="0"/>
                      <w:sz w:val="21"/>
                      <w:szCs w:val="21"/>
                      <w:highlight w:val="none"/>
                      <w:u w:val="none"/>
                      <w:lang w:val="en-US" w:eastAsia="zh-CN"/>
                    </w:rPr>
                    <w:t>098</w:t>
                  </w:r>
                </w:p>
              </w:tc>
            </w:tr>
            <w:tr w14:paraId="38323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5" w:hRule="atLeast"/>
              </w:trPr>
              <w:tc>
                <w:tcPr>
                  <w:tcW w:w="349" w:type="pct"/>
                  <w:vMerge w:val="continue"/>
                  <w:shd w:val="clear" w:color="auto" w:fill="auto"/>
                  <w:vAlign w:val="center"/>
                </w:tcPr>
                <w:p w14:paraId="5598091D">
                  <w:pPr>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258" w:type="pct"/>
                  <w:vMerge w:val="continue"/>
                  <w:shd w:val="clear" w:color="auto" w:fill="auto"/>
                  <w:vAlign w:val="center"/>
                </w:tcPr>
                <w:p w14:paraId="1E599F19">
                  <w:pPr>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241" w:type="pct"/>
                  <w:vMerge w:val="continue"/>
                  <w:shd w:val="clear" w:color="auto" w:fill="auto"/>
                  <w:vAlign w:val="center"/>
                </w:tcPr>
                <w:p w14:paraId="53FB2F3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p>
              </w:tc>
              <w:tc>
                <w:tcPr>
                  <w:tcW w:w="419" w:type="pct"/>
                  <w:vMerge w:val="continue"/>
                  <w:shd w:val="clear" w:color="auto" w:fill="auto"/>
                  <w:vAlign w:val="center"/>
                </w:tcPr>
                <w:p w14:paraId="76B087EB">
                  <w:pPr>
                    <w:keepNext w:val="0"/>
                    <w:keepLines w:val="0"/>
                    <w:pageBreakBefore w:val="0"/>
                    <w:widowControl/>
                    <w:kinsoku/>
                    <w:wordWrap w:val="0"/>
                    <w:overflowPunct/>
                    <w:topLinePunct/>
                    <w:autoSpaceDE/>
                    <w:autoSpaceDN/>
                    <w:bidi w:val="0"/>
                    <w:adjustRightInd/>
                    <w:snapToGrid/>
                    <w:spacing w:beforeAutospacing="0" w:afterAutospacing="0"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p>
              </w:tc>
              <w:tc>
                <w:tcPr>
                  <w:tcW w:w="443" w:type="pct"/>
                  <w:vMerge w:val="continue"/>
                  <w:shd w:val="clear" w:color="auto" w:fill="auto"/>
                  <w:vAlign w:val="center"/>
                </w:tcPr>
                <w:p w14:paraId="5F675370">
                  <w:pPr>
                    <w:keepNext w:val="0"/>
                    <w:keepLines w:val="0"/>
                    <w:pageBreakBefore w:val="0"/>
                    <w:widowControl/>
                    <w:kinsoku/>
                    <w:wordWrap w:val="0"/>
                    <w:overflowPunct/>
                    <w:topLinePunct/>
                    <w:autoSpaceDE/>
                    <w:autoSpaceDN/>
                    <w:bidi w:val="0"/>
                    <w:adjustRightInd/>
                    <w:snapToGrid/>
                    <w:spacing w:beforeAutospacing="0" w:afterAutospacing="0"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2120" w:type="pct"/>
                  <w:vMerge w:val="continue"/>
                  <w:shd w:val="clear" w:color="auto" w:fill="auto"/>
                  <w:vAlign w:val="center"/>
                </w:tcPr>
                <w:p w14:paraId="008CBC2B">
                  <w:pPr>
                    <w:keepNext w:val="0"/>
                    <w:keepLines w:val="0"/>
                    <w:pageBreakBefore w:val="0"/>
                    <w:widowControl/>
                    <w:kinsoku/>
                    <w:wordWrap w:val="0"/>
                    <w:overflowPunct/>
                    <w:topLinePunct/>
                    <w:autoSpaceDE/>
                    <w:autoSpaceDN/>
                    <w:bidi w:val="0"/>
                    <w:adjustRightInd/>
                    <w:snapToGrid/>
                    <w:spacing w:beforeAutospacing="0" w:afterAutospacing="0"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616" w:type="pct"/>
                  <w:shd w:val="clear" w:color="auto" w:fill="auto"/>
                  <w:vAlign w:val="center"/>
                </w:tcPr>
                <w:p w14:paraId="44C14CC8">
                  <w:pPr>
                    <w:keepNext w:val="0"/>
                    <w:keepLines w:val="0"/>
                    <w:pageBreakBefore w:val="0"/>
                    <w:widowControl/>
                    <w:tabs>
                      <w:tab w:val="left" w:pos="452"/>
                    </w:tabs>
                    <w:kinsoku/>
                    <w:wordWrap w:val="0"/>
                    <w:overflowPunct/>
                    <w:topLinePunct/>
                    <w:autoSpaceDE/>
                    <w:autoSpaceDN/>
                    <w:bidi w:val="0"/>
                    <w:adjustRightInd/>
                    <w:snapToGrid/>
                    <w:spacing w:beforeAutospacing="0" w:afterAutospacing="0" w:line="240" w:lineRule="auto"/>
                    <w:jc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rPr>
                    <w:t>监控点处任意一次浓度值</w:t>
                  </w:r>
                </w:p>
              </w:tc>
              <w:tc>
                <w:tcPr>
                  <w:tcW w:w="176" w:type="pct"/>
                  <w:shd w:val="clear" w:color="auto" w:fill="auto"/>
                  <w:vAlign w:val="center"/>
                </w:tcPr>
                <w:p w14:paraId="395BB067">
                  <w:pPr>
                    <w:keepNext w:val="0"/>
                    <w:keepLines w:val="0"/>
                    <w:pageBreakBefore w:val="0"/>
                    <w:widowControl/>
                    <w:tabs>
                      <w:tab w:val="left" w:pos="452"/>
                    </w:tabs>
                    <w:kinsoku/>
                    <w:wordWrap w:val="0"/>
                    <w:overflowPunct/>
                    <w:topLinePunct/>
                    <w:autoSpaceDE/>
                    <w:autoSpaceDN/>
                    <w:bidi w:val="0"/>
                    <w:adjustRightInd/>
                    <w:snapToGrid/>
                    <w:spacing w:beforeAutospacing="0" w:afterAutospacing="0" w:line="240" w:lineRule="auto"/>
                    <w:jc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rPr>
                    <w:t>20</w:t>
                  </w:r>
                </w:p>
              </w:tc>
              <w:tc>
                <w:tcPr>
                  <w:tcW w:w="373" w:type="pct"/>
                  <w:vMerge w:val="continue"/>
                  <w:shd w:val="clear" w:color="auto" w:fill="auto"/>
                  <w:vAlign w:val="center"/>
                </w:tcPr>
                <w:p w14:paraId="514E400C">
                  <w:pPr>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r>
            <w:tr w14:paraId="1F104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6" w:hRule="atLeast"/>
              </w:trPr>
              <w:tc>
                <w:tcPr>
                  <w:tcW w:w="349" w:type="pct"/>
                  <w:vMerge w:val="continue"/>
                  <w:shd w:val="clear" w:color="auto" w:fill="auto"/>
                  <w:vAlign w:val="center"/>
                </w:tcPr>
                <w:p w14:paraId="77A6345C">
                  <w:pPr>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258" w:type="pct"/>
                  <w:vMerge w:val="continue"/>
                  <w:shd w:val="clear" w:color="auto" w:fill="auto"/>
                  <w:vAlign w:val="center"/>
                </w:tcPr>
                <w:p w14:paraId="00FD1F6C">
                  <w:pPr>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241" w:type="pct"/>
                  <w:vMerge w:val="continue"/>
                  <w:shd w:val="clear" w:color="auto" w:fill="auto"/>
                  <w:vAlign w:val="center"/>
                </w:tcPr>
                <w:p w14:paraId="7627FA6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419" w:type="pct"/>
                  <w:shd w:val="clear" w:color="auto" w:fill="auto"/>
                  <w:vAlign w:val="center"/>
                </w:tcPr>
                <w:p w14:paraId="545CBBA1">
                  <w:pPr>
                    <w:keepNext w:val="0"/>
                    <w:keepLines w:val="0"/>
                    <w:pageBreakBefore w:val="0"/>
                    <w:widowControl/>
                    <w:kinsoku/>
                    <w:wordWrap w:val="0"/>
                    <w:overflowPunct/>
                    <w:topLinePunct/>
                    <w:autoSpaceDE/>
                    <w:autoSpaceDN/>
                    <w:bidi w:val="0"/>
                    <w:adjustRightInd/>
                    <w:snapToGrid/>
                    <w:spacing w:beforeAutospacing="0" w:afterAutospacing="0"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rPr>
                    <w:t>苯系物</w:t>
                  </w:r>
                </w:p>
              </w:tc>
              <w:tc>
                <w:tcPr>
                  <w:tcW w:w="443" w:type="pct"/>
                  <w:vMerge w:val="continue"/>
                  <w:shd w:val="clear" w:color="auto" w:fill="auto"/>
                  <w:vAlign w:val="center"/>
                </w:tcPr>
                <w:p w14:paraId="20CFE11A">
                  <w:pPr>
                    <w:keepNext w:val="0"/>
                    <w:keepLines w:val="0"/>
                    <w:pageBreakBefore w:val="0"/>
                    <w:widowControl/>
                    <w:kinsoku/>
                    <w:wordWrap w:val="0"/>
                    <w:overflowPunct/>
                    <w:topLinePunct/>
                    <w:autoSpaceDE/>
                    <w:autoSpaceDN/>
                    <w:bidi w:val="0"/>
                    <w:adjustRightInd/>
                    <w:snapToGrid/>
                    <w:spacing w:beforeAutospacing="0" w:afterAutospacing="0"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2120" w:type="pct"/>
                  <w:shd w:val="clear" w:color="auto" w:fill="auto"/>
                  <w:vAlign w:val="center"/>
                </w:tcPr>
                <w:p w14:paraId="16121F02">
                  <w:pPr>
                    <w:keepNext w:val="0"/>
                    <w:keepLines w:val="0"/>
                    <w:pageBreakBefore w:val="0"/>
                    <w:widowControl/>
                    <w:kinsoku/>
                    <w:wordWrap w:val="0"/>
                    <w:overflowPunct/>
                    <w:topLinePunct/>
                    <w:autoSpaceDE/>
                    <w:autoSpaceDN/>
                    <w:bidi w:val="0"/>
                    <w:adjustRightInd/>
                    <w:snapToGrid/>
                    <w:spacing w:beforeAutospacing="0" w:afterAutospacing="0" w:line="240" w:lineRule="auto"/>
                    <w:jc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rPr>
                    <w:t>广东省《大气污染物排放限值》（DB44/27-2001）第二时段无组织排放浓度限值</w:t>
                  </w:r>
                </w:p>
              </w:tc>
              <w:tc>
                <w:tcPr>
                  <w:tcW w:w="792" w:type="pct"/>
                  <w:gridSpan w:val="2"/>
                  <w:shd w:val="clear" w:color="auto" w:fill="auto"/>
                  <w:vAlign w:val="center"/>
                </w:tcPr>
                <w:p w14:paraId="5D403206">
                  <w:pPr>
                    <w:keepNext w:val="0"/>
                    <w:keepLines w:val="0"/>
                    <w:pageBreakBefore w:val="0"/>
                    <w:widowControl/>
                    <w:kinsoku/>
                    <w:wordWrap w:val="0"/>
                    <w:overflowPunct/>
                    <w:topLinePunct/>
                    <w:autoSpaceDE/>
                    <w:autoSpaceDN/>
                    <w:bidi w:val="0"/>
                    <w:adjustRightInd/>
                    <w:snapToGrid/>
                    <w:spacing w:beforeAutospacing="0" w:afterAutospacing="0" w:line="240" w:lineRule="auto"/>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color w:val="auto"/>
                      <w:sz w:val="21"/>
                      <w:szCs w:val="21"/>
                      <w:highlight w:val="none"/>
                      <w:lang w:val="en-US" w:eastAsia="zh-CN"/>
                    </w:rPr>
                    <w:t>2.4</w:t>
                  </w:r>
                </w:p>
              </w:tc>
              <w:tc>
                <w:tcPr>
                  <w:tcW w:w="373" w:type="pct"/>
                  <w:shd w:val="clear" w:color="auto" w:fill="auto"/>
                  <w:vAlign w:val="center"/>
                </w:tcPr>
                <w:p w14:paraId="6981616C">
                  <w:pPr>
                    <w:spacing w:line="240" w:lineRule="auto"/>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0.019</w:t>
                  </w:r>
                </w:p>
              </w:tc>
            </w:tr>
            <w:tr w14:paraId="3F3BC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349" w:type="pct"/>
                  <w:vMerge w:val="continue"/>
                  <w:shd w:val="clear" w:color="auto" w:fill="auto"/>
                  <w:vAlign w:val="center"/>
                </w:tcPr>
                <w:p w14:paraId="03C5D9C1">
                  <w:pPr>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258" w:type="pct"/>
                  <w:vMerge w:val="continue"/>
                  <w:shd w:val="clear" w:color="auto" w:fill="auto"/>
                  <w:vAlign w:val="center"/>
                </w:tcPr>
                <w:p w14:paraId="2088CAD7">
                  <w:pPr>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241" w:type="pct"/>
                  <w:vMerge w:val="continue"/>
                  <w:shd w:val="clear" w:color="auto" w:fill="auto"/>
                  <w:vAlign w:val="center"/>
                </w:tcPr>
                <w:p w14:paraId="3BBFC21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419" w:type="pct"/>
                  <w:shd w:val="clear" w:color="auto" w:fill="auto"/>
                  <w:vAlign w:val="center"/>
                </w:tcPr>
                <w:p w14:paraId="5825663C">
                  <w:pPr>
                    <w:keepNext w:val="0"/>
                    <w:keepLines w:val="0"/>
                    <w:pageBreakBefore w:val="0"/>
                    <w:widowControl/>
                    <w:kinsoku/>
                    <w:wordWrap w:val="0"/>
                    <w:overflowPunct/>
                    <w:topLinePunct/>
                    <w:autoSpaceDE/>
                    <w:autoSpaceDN/>
                    <w:bidi w:val="0"/>
                    <w:adjustRightInd/>
                    <w:snapToGrid/>
                    <w:spacing w:beforeAutospacing="0" w:afterAutospacing="0"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rPr>
                    <w:t>SO</w:t>
                  </w:r>
                  <w:r>
                    <w:rPr>
                      <w:rFonts w:hint="default" w:ascii="Times New Roman" w:hAnsi="Times New Roman" w:eastAsia="宋体" w:cs="Times New Roman"/>
                      <w:b w:val="0"/>
                      <w:bCs w:val="0"/>
                      <w:color w:val="auto"/>
                      <w:sz w:val="21"/>
                      <w:szCs w:val="21"/>
                      <w:highlight w:val="none"/>
                      <w:vertAlign w:val="subscript"/>
                    </w:rPr>
                    <w:t>2</w:t>
                  </w:r>
                </w:p>
              </w:tc>
              <w:tc>
                <w:tcPr>
                  <w:tcW w:w="443" w:type="pct"/>
                  <w:vMerge w:val="continue"/>
                  <w:shd w:val="clear" w:color="auto" w:fill="auto"/>
                  <w:vAlign w:val="center"/>
                </w:tcPr>
                <w:p w14:paraId="3D90489C">
                  <w:pPr>
                    <w:keepNext w:val="0"/>
                    <w:keepLines w:val="0"/>
                    <w:pageBreakBefore w:val="0"/>
                    <w:widowControl/>
                    <w:kinsoku/>
                    <w:wordWrap w:val="0"/>
                    <w:overflowPunct/>
                    <w:topLinePunct/>
                    <w:autoSpaceDE/>
                    <w:autoSpaceDN/>
                    <w:bidi w:val="0"/>
                    <w:adjustRightInd/>
                    <w:snapToGrid/>
                    <w:spacing w:beforeAutospacing="0" w:afterAutospacing="0"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2120" w:type="pct"/>
                  <w:vMerge w:val="restart"/>
                  <w:shd w:val="clear" w:color="auto" w:fill="auto"/>
                  <w:vAlign w:val="center"/>
                </w:tcPr>
                <w:p w14:paraId="27C9C14B">
                  <w:pPr>
                    <w:keepNext w:val="0"/>
                    <w:keepLines w:val="0"/>
                    <w:pageBreakBefore w:val="0"/>
                    <w:widowControl/>
                    <w:kinsoku/>
                    <w:wordWrap w:val="0"/>
                    <w:overflowPunct/>
                    <w:topLinePunct/>
                    <w:autoSpaceDE/>
                    <w:autoSpaceDN/>
                    <w:bidi w:val="0"/>
                    <w:adjustRightInd/>
                    <w:snapToGrid/>
                    <w:spacing w:beforeAutospacing="0" w:afterAutospacing="0" w:line="240" w:lineRule="auto"/>
                    <w:jc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rPr>
                    <w:t>根据《关于印发&lt;工业炉窑大气污染综合治理方案&gt;的通知》（环大气〔2019〕56号）和《关于贯彻落实&lt;工业炉窑大气污染物综合治理方案&gt;的实施意见》（粤环函〔2019〕1112号），废气按照二氧化硫、氮氧化物排放限值分别不高于200、300毫克/立方米控制</w:t>
                  </w:r>
                </w:p>
              </w:tc>
              <w:tc>
                <w:tcPr>
                  <w:tcW w:w="792" w:type="pct"/>
                  <w:gridSpan w:val="2"/>
                  <w:shd w:val="clear" w:color="auto" w:fill="auto"/>
                  <w:vAlign w:val="center"/>
                </w:tcPr>
                <w:p w14:paraId="71F219F8">
                  <w:pPr>
                    <w:keepNext w:val="0"/>
                    <w:keepLines w:val="0"/>
                    <w:pageBreakBefore w:val="0"/>
                    <w:widowControl/>
                    <w:kinsoku/>
                    <w:wordWrap w:val="0"/>
                    <w:overflowPunct/>
                    <w:topLinePunct/>
                    <w:autoSpaceDE/>
                    <w:autoSpaceDN/>
                    <w:bidi w:val="0"/>
                    <w:adjustRightInd/>
                    <w:snapToGrid/>
                    <w:spacing w:beforeAutospacing="0" w:afterAutospacing="0" w:line="240" w:lineRule="auto"/>
                    <w:jc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rPr>
                    <w:t>/</w:t>
                  </w:r>
                </w:p>
              </w:tc>
              <w:tc>
                <w:tcPr>
                  <w:tcW w:w="373" w:type="pct"/>
                  <w:shd w:val="clear" w:color="auto" w:fill="auto"/>
                  <w:vAlign w:val="center"/>
                </w:tcPr>
                <w:p w14:paraId="7EA7284B">
                  <w:pPr>
                    <w:spacing w:line="240" w:lineRule="auto"/>
                    <w:jc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0</w:t>
                  </w:r>
                </w:p>
              </w:tc>
            </w:tr>
            <w:tr w14:paraId="2E83F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5" w:hRule="atLeast"/>
              </w:trPr>
              <w:tc>
                <w:tcPr>
                  <w:tcW w:w="349" w:type="pct"/>
                  <w:vMerge w:val="continue"/>
                  <w:shd w:val="clear" w:color="auto" w:fill="auto"/>
                  <w:vAlign w:val="center"/>
                </w:tcPr>
                <w:p w14:paraId="1DB1096F">
                  <w:pPr>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258" w:type="pct"/>
                  <w:vMerge w:val="continue"/>
                  <w:shd w:val="clear" w:color="auto" w:fill="auto"/>
                  <w:vAlign w:val="center"/>
                </w:tcPr>
                <w:p w14:paraId="12BBCFF3">
                  <w:pPr>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241" w:type="pct"/>
                  <w:vMerge w:val="continue"/>
                  <w:shd w:val="clear" w:color="auto" w:fill="auto"/>
                  <w:vAlign w:val="center"/>
                </w:tcPr>
                <w:p w14:paraId="075B8E9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p>
              </w:tc>
              <w:tc>
                <w:tcPr>
                  <w:tcW w:w="419" w:type="pct"/>
                  <w:shd w:val="clear" w:color="auto" w:fill="auto"/>
                  <w:vAlign w:val="center"/>
                </w:tcPr>
                <w:p w14:paraId="3BB2EDB3">
                  <w:pPr>
                    <w:keepNext w:val="0"/>
                    <w:keepLines w:val="0"/>
                    <w:pageBreakBefore w:val="0"/>
                    <w:widowControl/>
                    <w:kinsoku/>
                    <w:wordWrap w:val="0"/>
                    <w:overflowPunct/>
                    <w:topLinePunct/>
                    <w:autoSpaceDE/>
                    <w:autoSpaceDN/>
                    <w:bidi w:val="0"/>
                    <w:adjustRightInd/>
                    <w:snapToGrid/>
                    <w:spacing w:beforeAutospacing="0" w:afterAutospacing="0" w:line="240" w:lineRule="auto"/>
                    <w:jc w:val="center"/>
                    <w:textAlignment w:val="center"/>
                    <w:rPr>
                      <w:rFonts w:hint="eastAsia"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cs="Times New Roman"/>
                      <w:b w:val="0"/>
                      <w:bCs w:val="0"/>
                      <w:color w:val="auto"/>
                      <w:sz w:val="21"/>
                      <w:szCs w:val="21"/>
                      <w:highlight w:val="none"/>
                      <w:lang w:val="en-US" w:eastAsia="zh-CN"/>
                    </w:rPr>
                    <w:t>氮氧化物</w:t>
                  </w:r>
                </w:p>
              </w:tc>
              <w:tc>
                <w:tcPr>
                  <w:tcW w:w="443" w:type="pct"/>
                  <w:vMerge w:val="continue"/>
                  <w:shd w:val="clear" w:color="auto" w:fill="auto"/>
                  <w:vAlign w:val="center"/>
                </w:tcPr>
                <w:p w14:paraId="20603EB9">
                  <w:pPr>
                    <w:keepNext w:val="0"/>
                    <w:keepLines w:val="0"/>
                    <w:pageBreakBefore w:val="0"/>
                    <w:widowControl/>
                    <w:kinsoku/>
                    <w:wordWrap w:val="0"/>
                    <w:overflowPunct/>
                    <w:topLinePunct/>
                    <w:autoSpaceDE/>
                    <w:autoSpaceDN/>
                    <w:bidi w:val="0"/>
                    <w:adjustRightInd/>
                    <w:snapToGrid/>
                    <w:spacing w:beforeAutospacing="0" w:afterAutospacing="0"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2120" w:type="pct"/>
                  <w:vMerge w:val="continue"/>
                  <w:shd w:val="clear" w:color="auto" w:fill="auto"/>
                  <w:vAlign w:val="center"/>
                </w:tcPr>
                <w:p w14:paraId="045D187A">
                  <w:pPr>
                    <w:keepNext w:val="0"/>
                    <w:keepLines w:val="0"/>
                    <w:pageBreakBefore w:val="0"/>
                    <w:widowControl/>
                    <w:kinsoku/>
                    <w:wordWrap w:val="0"/>
                    <w:overflowPunct/>
                    <w:topLinePunct/>
                    <w:autoSpaceDE/>
                    <w:autoSpaceDN/>
                    <w:bidi w:val="0"/>
                    <w:adjustRightInd/>
                    <w:snapToGrid/>
                    <w:spacing w:beforeAutospacing="0" w:afterAutospacing="0"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792" w:type="pct"/>
                  <w:gridSpan w:val="2"/>
                  <w:shd w:val="clear" w:color="auto" w:fill="auto"/>
                  <w:vAlign w:val="center"/>
                </w:tcPr>
                <w:p w14:paraId="29B2FD25">
                  <w:pPr>
                    <w:keepNext w:val="0"/>
                    <w:keepLines w:val="0"/>
                    <w:pageBreakBefore w:val="0"/>
                    <w:widowControl/>
                    <w:kinsoku/>
                    <w:wordWrap w:val="0"/>
                    <w:overflowPunct/>
                    <w:topLinePunct/>
                    <w:autoSpaceDE/>
                    <w:autoSpaceDN/>
                    <w:bidi w:val="0"/>
                    <w:adjustRightInd/>
                    <w:snapToGrid/>
                    <w:spacing w:beforeAutospacing="0" w:afterAutospacing="0" w:line="240" w:lineRule="auto"/>
                    <w:jc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rPr>
                    <w:t>/</w:t>
                  </w:r>
                </w:p>
              </w:tc>
              <w:tc>
                <w:tcPr>
                  <w:tcW w:w="373" w:type="pct"/>
                  <w:shd w:val="clear" w:color="auto" w:fill="auto"/>
                  <w:vAlign w:val="center"/>
                </w:tcPr>
                <w:p w14:paraId="1BDA572B">
                  <w:pPr>
                    <w:spacing w:line="240" w:lineRule="auto"/>
                    <w:jc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0</w:t>
                  </w:r>
                </w:p>
              </w:tc>
            </w:tr>
            <w:tr w14:paraId="05665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5" w:hRule="atLeast"/>
              </w:trPr>
              <w:tc>
                <w:tcPr>
                  <w:tcW w:w="349" w:type="pct"/>
                  <w:vMerge w:val="continue"/>
                  <w:shd w:val="clear" w:color="auto" w:fill="auto"/>
                  <w:vAlign w:val="center"/>
                </w:tcPr>
                <w:p w14:paraId="089AF8CC">
                  <w:pPr>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258" w:type="pct"/>
                  <w:vMerge w:val="continue"/>
                  <w:shd w:val="clear" w:color="auto" w:fill="auto"/>
                  <w:vAlign w:val="center"/>
                </w:tcPr>
                <w:p w14:paraId="64F7B17C">
                  <w:pPr>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241" w:type="pct"/>
                  <w:vMerge w:val="continue"/>
                  <w:shd w:val="clear" w:color="auto" w:fill="auto"/>
                  <w:vAlign w:val="center"/>
                </w:tcPr>
                <w:p w14:paraId="6B12EA67">
                  <w:pPr>
                    <w:keepNext w:val="0"/>
                    <w:keepLines w:val="0"/>
                    <w:widowControl/>
                    <w:suppressLineNumbers w:val="0"/>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p>
              </w:tc>
              <w:tc>
                <w:tcPr>
                  <w:tcW w:w="419" w:type="pct"/>
                  <w:shd w:val="clear" w:color="auto" w:fill="auto"/>
                  <w:vAlign w:val="center"/>
                </w:tcPr>
                <w:p w14:paraId="506C769F">
                  <w:pPr>
                    <w:pStyle w:val="61"/>
                    <w:keepNext w:val="0"/>
                    <w:keepLines w:val="0"/>
                    <w:pageBreakBefore w:val="0"/>
                    <w:kinsoku/>
                    <w:wordWrap w:val="0"/>
                    <w:overflowPunct/>
                    <w:topLinePunct/>
                    <w:autoSpaceDE/>
                    <w:autoSpaceDN/>
                    <w:bidi w:val="0"/>
                    <w:adjustRightInd/>
                    <w:snapToGrid/>
                    <w:spacing w:beforeAutospacing="0" w:afterAutospacing="0" w:line="240" w:lineRule="auto"/>
                    <w:jc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sz w:val="21"/>
                      <w:szCs w:val="21"/>
                      <w:highlight w:val="none"/>
                    </w:rPr>
                    <w:t>臭气浓度</w:t>
                  </w:r>
                </w:p>
              </w:tc>
              <w:tc>
                <w:tcPr>
                  <w:tcW w:w="443" w:type="pct"/>
                  <w:vMerge w:val="continue"/>
                  <w:shd w:val="clear" w:color="auto" w:fill="auto"/>
                  <w:vAlign w:val="center"/>
                </w:tcPr>
                <w:p w14:paraId="2522B6AB">
                  <w:pPr>
                    <w:keepNext w:val="0"/>
                    <w:keepLines w:val="0"/>
                    <w:pageBreakBefore w:val="0"/>
                    <w:widowControl/>
                    <w:kinsoku/>
                    <w:wordWrap w:val="0"/>
                    <w:overflowPunct/>
                    <w:topLinePunct/>
                    <w:autoSpaceDE/>
                    <w:autoSpaceDN/>
                    <w:bidi w:val="0"/>
                    <w:adjustRightInd/>
                    <w:snapToGrid/>
                    <w:spacing w:beforeAutospacing="0" w:afterAutospacing="0"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2120" w:type="pct"/>
                  <w:shd w:val="clear" w:color="auto" w:fill="auto"/>
                  <w:vAlign w:val="center"/>
                </w:tcPr>
                <w:p w14:paraId="0B30C8F7">
                  <w:pPr>
                    <w:keepNext w:val="0"/>
                    <w:keepLines w:val="0"/>
                    <w:pageBreakBefore w:val="0"/>
                    <w:widowControl/>
                    <w:kinsoku/>
                    <w:wordWrap w:val="0"/>
                    <w:overflowPunct/>
                    <w:topLinePunct/>
                    <w:autoSpaceDE/>
                    <w:autoSpaceDN/>
                    <w:bidi w:val="0"/>
                    <w:adjustRightInd/>
                    <w:snapToGrid/>
                    <w:spacing w:beforeAutospacing="0" w:afterAutospacing="0" w:line="240" w:lineRule="auto"/>
                    <w:jc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rPr>
                    <w:t>《恶臭污染物排放标准》（</w:t>
                  </w:r>
                  <w:r>
                    <w:rPr>
                      <w:rFonts w:hint="default" w:ascii="Times New Roman" w:hAnsi="Times New Roman" w:eastAsia="宋体" w:cs="Times New Roman"/>
                      <w:b w:val="0"/>
                      <w:bCs w:val="0"/>
                      <w:color w:val="auto"/>
                      <w:sz w:val="21"/>
                      <w:szCs w:val="21"/>
                      <w:highlight w:val="none"/>
                      <w:lang w:eastAsia="zh-CN"/>
                    </w:rPr>
                    <w:t>GB 14554-1993</w:t>
                  </w:r>
                  <w:r>
                    <w:rPr>
                      <w:rFonts w:hint="default" w:ascii="Times New Roman" w:hAnsi="Times New Roman" w:eastAsia="宋体" w:cs="Times New Roman"/>
                      <w:b w:val="0"/>
                      <w:bCs w:val="0"/>
                      <w:color w:val="auto"/>
                      <w:sz w:val="21"/>
                      <w:szCs w:val="21"/>
                      <w:highlight w:val="none"/>
                    </w:rPr>
                    <w:t>）表1新扩改建厂界二级标准限值</w:t>
                  </w:r>
                </w:p>
              </w:tc>
              <w:tc>
                <w:tcPr>
                  <w:tcW w:w="792" w:type="pct"/>
                  <w:gridSpan w:val="2"/>
                  <w:shd w:val="clear" w:color="auto" w:fill="auto"/>
                  <w:vAlign w:val="center"/>
                </w:tcPr>
                <w:p w14:paraId="35CE1C65">
                  <w:pPr>
                    <w:keepNext w:val="0"/>
                    <w:keepLines w:val="0"/>
                    <w:pageBreakBefore w:val="0"/>
                    <w:widowControl/>
                    <w:kinsoku/>
                    <w:wordWrap w:val="0"/>
                    <w:overflowPunct/>
                    <w:topLinePunct/>
                    <w:autoSpaceDE/>
                    <w:autoSpaceDN/>
                    <w:bidi w:val="0"/>
                    <w:adjustRightInd/>
                    <w:snapToGrid/>
                    <w:spacing w:beforeAutospacing="0" w:afterAutospacing="0"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厂界：20</w:t>
                  </w:r>
                </w:p>
                <w:p w14:paraId="2D1129BD">
                  <w:pPr>
                    <w:keepNext w:val="0"/>
                    <w:keepLines w:val="0"/>
                    <w:pageBreakBefore w:val="0"/>
                    <w:widowControl/>
                    <w:kinsoku/>
                    <w:wordWrap w:val="0"/>
                    <w:overflowPunct/>
                    <w:topLinePunct/>
                    <w:autoSpaceDE/>
                    <w:autoSpaceDN/>
                    <w:bidi w:val="0"/>
                    <w:adjustRightInd/>
                    <w:snapToGrid/>
                    <w:spacing w:beforeAutospacing="0" w:afterAutospacing="0" w:line="240" w:lineRule="auto"/>
                    <w:jc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color w:val="auto"/>
                      <w:sz w:val="21"/>
                      <w:szCs w:val="21"/>
                      <w:highlight w:val="none"/>
                    </w:rPr>
                    <w:t>（无量纲）</w:t>
                  </w:r>
                </w:p>
              </w:tc>
              <w:tc>
                <w:tcPr>
                  <w:tcW w:w="373" w:type="pct"/>
                  <w:shd w:val="clear" w:color="auto" w:fill="auto"/>
                  <w:vAlign w:val="center"/>
                </w:tcPr>
                <w:p w14:paraId="730DAE69">
                  <w:pPr>
                    <w:spacing w:line="240" w:lineRule="auto"/>
                    <w:jc w:val="center"/>
                    <w:rPr>
                      <w:rFonts w:hint="eastAsia" w:ascii="Times New Roman" w:hAnsi="Times New Roman" w:eastAsia="宋体" w:cs="Times New Roman"/>
                      <w:b w:val="0"/>
                      <w:bCs w:val="0"/>
                      <w:i w:val="0"/>
                      <w:iCs w:val="0"/>
                      <w:color w:val="auto"/>
                      <w:sz w:val="21"/>
                      <w:szCs w:val="21"/>
                      <w:highlight w:val="none"/>
                      <w:u w:val="none"/>
                      <w:lang w:val="en-US" w:eastAsia="zh-CN"/>
                    </w:rPr>
                  </w:pPr>
                  <w:r>
                    <w:rPr>
                      <w:rFonts w:hint="eastAsia" w:cs="Times New Roman"/>
                      <w:b w:val="0"/>
                      <w:bCs w:val="0"/>
                      <w:i w:val="0"/>
                      <w:iCs w:val="0"/>
                      <w:color w:val="auto"/>
                      <w:sz w:val="21"/>
                      <w:szCs w:val="21"/>
                      <w:highlight w:val="none"/>
                      <w:u w:val="none"/>
                      <w:lang w:val="en-US" w:eastAsia="zh-CN"/>
                    </w:rPr>
                    <w:t>少量</w:t>
                  </w:r>
                </w:p>
              </w:tc>
            </w:tr>
            <w:tr w14:paraId="4F90D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5" w:hRule="atLeast"/>
              </w:trPr>
              <w:tc>
                <w:tcPr>
                  <w:tcW w:w="5000" w:type="pct"/>
                  <w:gridSpan w:val="9"/>
                  <w:shd w:val="clear" w:color="auto" w:fill="auto"/>
                  <w:vAlign w:val="center"/>
                </w:tcPr>
                <w:p w14:paraId="768AC26B">
                  <w:pPr>
                    <w:keepNext w:val="0"/>
                    <w:keepLines w:val="0"/>
                    <w:widowControl/>
                    <w:suppressLineNumbers w:val="0"/>
                    <w:spacing w:line="240" w:lineRule="auto"/>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rPr>
                    <w:t>全厂无组织排放总计</w:t>
                  </w:r>
                </w:p>
              </w:tc>
            </w:tr>
            <w:tr w14:paraId="77D01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49" w:type="pct"/>
                  <w:vMerge w:val="restart"/>
                  <w:shd w:val="clear" w:color="auto" w:fill="auto"/>
                  <w:vAlign w:val="center"/>
                </w:tcPr>
                <w:p w14:paraId="08DD3D6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Style w:val="74"/>
                      <w:rFonts w:hint="default" w:ascii="Times New Roman" w:hAnsi="Times New Roman" w:eastAsia="宋体" w:cs="Times New Roman"/>
                      <w:b w:val="0"/>
                      <w:bCs w:val="0"/>
                      <w:color w:val="auto"/>
                      <w:sz w:val="21"/>
                      <w:szCs w:val="21"/>
                      <w:highlight w:val="none"/>
                      <w:lang w:val="en-US" w:eastAsia="zh-CN"/>
                    </w:rPr>
                    <w:t>全厂无组织排放总计</w:t>
                  </w:r>
                  <w:r>
                    <w:rPr>
                      <w:rFonts w:hint="default" w:ascii="Times New Roman" w:hAnsi="Times New Roman" w:eastAsia="宋体" w:cs="Times New Roman"/>
                      <w:b w:val="0"/>
                      <w:bCs w:val="0"/>
                      <w:i w:val="0"/>
                      <w:iCs w:val="0"/>
                      <w:color w:val="auto"/>
                      <w:kern w:val="0"/>
                      <w:sz w:val="21"/>
                      <w:szCs w:val="21"/>
                      <w:highlight w:val="none"/>
                      <w:u w:val="none"/>
                      <w:lang w:val="en-US" w:eastAsia="zh-CN"/>
                    </w:rPr>
                    <w:t>t/a</w:t>
                  </w:r>
                </w:p>
              </w:tc>
              <w:tc>
                <w:tcPr>
                  <w:tcW w:w="4276" w:type="pct"/>
                  <w:gridSpan w:val="7"/>
                  <w:shd w:val="clear" w:color="auto" w:fill="auto"/>
                  <w:vAlign w:val="center"/>
                </w:tcPr>
                <w:p w14:paraId="614A2B90">
                  <w:pPr>
                    <w:keepNext w:val="0"/>
                    <w:keepLines w:val="0"/>
                    <w:widowControl/>
                    <w:suppressLineNumbers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Style w:val="74"/>
                      <w:rFonts w:hint="default" w:ascii="Times New Roman" w:hAnsi="Times New Roman" w:eastAsia="宋体" w:cs="Times New Roman"/>
                      <w:b w:val="0"/>
                      <w:bCs w:val="0"/>
                      <w:color w:val="auto"/>
                      <w:sz w:val="21"/>
                      <w:szCs w:val="21"/>
                      <w:highlight w:val="none"/>
                      <w:lang w:val="en-US" w:eastAsia="zh-CN"/>
                    </w:rPr>
                    <w:t>颗粒物</w:t>
                  </w:r>
                </w:p>
              </w:tc>
              <w:tc>
                <w:tcPr>
                  <w:tcW w:w="1011" w:type="dxa"/>
                  <w:shd w:val="clear" w:color="auto" w:fill="auto"/>
                  <w:vAlign w:val="center"/>
                </w:tcPr>
                <w:p w14:paraId="587E19E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0.69</w:t>
                  </w:r>
                  <w:r>
                    <w:rPr>
                      <w:rFonts w:hint="eastAsia" w:cs="Times New Roman"/>
                      <w:i w:val="0"/>
                      <w:iCs w:val="0"/>
                      <w:color w:val="auto"/>
                      <w:kern w:val="0"/>
                      <w:sz w:val="21"/>
                      <w:szCs w:val="21"/>
                      <w:highlight w:val="none"/>
                      <w:u w:val="none"/>
                      <w:lang w:val="en-US" w:eastAsia="zh-CN"/>
                    </w:rPr>
                    <w:t>7</w:t>
                  </w:r>
                  <w:r>
                    <w:rPr>
                      <w:rFonts w:hint="default" w:ascii="Times New Roman" w:hAnsi="Times New Roman" w:eastAsia="宋体" w:cs="Times New Roman"/>
                      <w:i w:val="0"/>
                      <w:iCs w:val="0"/>
                      <w:color w:val="auto"/>
                      <w:kern w:val="0"/>
                      <w:sz w:val="21"/>
                      <w:szCs w:val="21"/>
                      <w:highlight w:val="none"/>
                      <w:u w:val="none"/>
                      <w:lang w:val="en-US" w:eastAsia="zh-CN"/>
                    </w:rPr>
                    <w:t xml:space="preserve"> </w:t>
                  </w:r>
                </w:p>
              </w:tc>
            </w:tr>
            <w:tr w14:paraId="51EF7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3" w:hRule="atLeast"/>
              </w:trPr>
              <w:tc>
                <w:tcPr>
                  <w:tcW w:w="349" w:type="pct"/>
                  <w:vMerge w:val="continue"/>
                  <w:shd w:val="clear" w:color="auto" w:fill="auto"/>
                  <w:vAlign w:val="center"/>
                </w:tcPr>
                <w:p w14:paraId="6F7F5CDC">
                  <w:pPr>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4276" w:type="pct"/>
                  <w:gridSpan w:val="7"/>
                  <w:shd w:val="clear" w:color="auto" w:fill="auto"/>
                  <w:vAlign w:val="center"/>
                </w:tcPr>
                <w:p w14:paraId="4BA1449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rPr>
                    <w:t>VOCs</w:t>
                  </w:r>
                </w:p>
              </w:tc>
              <w:tc>
                <w:tcPr>
                  <w:tcW w:w="1011" w:type="dxa"/>
                  <w:shd w:val="clear" w:color="auto" w:fill="auto"/>
                  <w:vAlign w:val="center"/>
                </w:tcPr>
                <w:p w14:paraId="631F736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rPr>
                    <w:t>0.</w:t>
                  </w:r>
                  <w:r>
                    <w:rPr>
                      <w:rFonts w:hint="eastAsia" w:cs="Times New Roman"/>
                      <w:i w:val="0"/>
                      <w:iCs w:val="0"/>
                      <w:color w:val="auto"/>
                      <w:kern w:val="0"/>
                      <w:sz w:val="21"/>
                      <w:szCs w:val="21"/>
                      <w:highlight w:val="none"/>
                      <w:u w:val="none"/>
                      <w:lang w:val="en-US" w:eastAsia="zh-CN"/>
                    </w:rPr>
                    <w:t>098</w:t>
                  </w:r>
                  <w:r>
                    <w:rPr>
                      <w:rFonts w:hint="default" w:ascii="Times New Roman" w:hAnsi="Times New Roman" w:eastAsia="宋体" w:cs="Times New Roman"/>
                      <w:i w:val="0"/>
                      <w:iCs w:val="0"/>
                      <w:color w:val="auto"/>
                      <w:kern w:val="0"/>
                      <w:sz w:val="21"/>
                      <w:szCs w:val="21"/>
                      <w:highlight w:val="none"/>
                      <w:u w:val="none"/>
                      <w:lang w:val="en-US" w:eastAsia="zh-CN"/>
                    </w:rPr>
                    <w:t xml:space="preserve"> </w:t>
                  </w:r>
                </w:p>
              </w:tc>
            </w:tr>
            <w:tr w14:paraId="6518E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3" w:hRule="atLeast"/>
              </w:trPr>
              <w:tc>
                <w:tcPr>
                  <w:tcW w:w="349" w:type="pct"/>
                  <w:vMerge w:val="continue"/>
                  <w:shd w:val="clear" w:color="auto" w:fill="auto"/>
                  <w:vAlign w:val="center"/>
                </w:tcPr>
                <w:p w14:paraId="70E6ABFB">
                  <w:pPr>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4276" w:type="pct"/>
                  <w:gridSpan w:val="7"/>
                  <w:shd w:val="clear" w:color="auto" w:fill="auto"/>
                  <w:vAlign w:val="center"/>
                </w:tcPr>
                <w:p w14:paraId="5F9F945A">
                  <w:pPr>
                    <w:keepNext w:val="0"/>
                    <w:keepLines w:val="0"/>
                    <w:widowControl/>
                    <w:suppressLineNumbers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Style w:val="74"/>
                      <w:rFonts w:hint="default" w:ascii="Times New Roman" w:hAnsi="Times New Roman" w:eastAsia="宋体" w:cs="Times New Roman"/>
                      <w:b w:val="0"/>
                      <w:bCs w:val="0"/>
                      <w:color w:val="auto"/>
                      <w:sz w:val="21"/>
                      <w:szCs w:val="21"/>
                      <w:highlight w:val="none"/>
                      <w:lang w:val="en-US" w:eastAsia="zh-CN"/>
                    </w:rPr>
                    <w:t>苯系物</w:t>
                  </w:r>
                </w:p>
              </w:tc>
              <w:tc>
                <w:tcPr>
                  <w:tcW w:w="1011" w:type="dxa"/>
                  <w:shd w:val="clear" w:color="auto" w:fill="auto"/>
                  <w:vAlign w:val="center"/>
                </w:tcPr>
                <w:p w14:paraId="35E9A14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rPr>
                    <w:t>0.0</w:t>
                  </w:r>
                  <w:r>
                    <w:rPr>
                      <w:rFonts w:hint="eastAsia" w:cs="Times New Roman"/>
                      <w:i w:val="0"/>
                      <w:iCs w:val="0"/>
                      <w:color w:val="auto"/>
                      <w:kern w:val="0"/>
                      <w:sz w:val="21"/>
                      <w:szCs w:val="21"/>
                      <w:highlight w:val="none"/>
                      <w:u w:val="none"/>
                      <w:lang w:val="en-US" w:eastAsia="zh-CN"/>
                    </w:rPr>
                    <w:t>19</w:t>
                  </w:r>
                  <w:r>
                    <w:rPr>
                      <w:rFonts w:hint="default" w:ascii="Times New Roman" w:hAnsi="Times New Roman" w:eastAsia="宋体" w:cs="Times New Roman"/>
                      <w:i w:val="0"/>
                      <w:iCs w:val="0"/>
                      <w:color w:val="auto"/>
                      <w:kern w:val="0"/>
                      <w:sz w:val="21"/>
                      <w:szCs w:val="21"/>
                      <w:highlight w:val="none"/>
                      <w:u w:val="none"/>
                      <w:lang w:val="en-US" w:eastAsia="zh-CN"/>
                    </w:rPr>
                    <w:t xml:space="preserve"> </w:t>
                  </w:r>
                </w:p>
              </w:tc>
            </w:tr>
            <w:tr w14:paraId="3B486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3" w:hRule="atLeast"/>
              </w:trPr>
              <w:tc>
                <w:tcPr>
                  <w:tcW w:w="349" w:type="pct"/>
                  <w:vMerge w:val="continue"/>
                  <w:shd w:val="clear" w:color="auto" w:fill="auto"/>
                  <w:vAlign w:val="center"/>
                </w:tcPr>
                <w:p w14:paraId="6ED48D7B">
                  <w:pPr>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4276" w:type="pct"/>
                  <w:gridSpan w:val="7"/>
                  <w:shd w:val="clear" w:color="auto" w:fill="auto"/>
                  <w:vAlign w:val="center"/>
                </w:tcPr>
                <w:p w14:paraId="6EB791C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rPr>
                    <w:t>SO</w:t>
                  </w:r>
                  <w:r>
                    <w:rPr>
                      <w:rFonts w:hint="default" w:ascii="Times New Roman" w:hAnsi="Times New Roman" w:eastAsia="宋体" w:cs="Times New Roman"/>
                      <w:b w:val="0"/>
                      <w:bCs w:val="0"/>
                      <w:i w:val="0"/>
                      <w:iCs w:val="0"/>
                      <w:color w:val="auto"/>
                      <w:kern w:val="0"/>
                      <w:sz w:val="21"/>
                      <w:szCs w:val="21"/>
                      <w:highlight w:val="none"/>
                      <w:u w:val="none"/>
                      <w:vertAlign w:val="subscript"/>
                      <w:lang w:val="en-US" w:eastAsia="zh-CN"/>
                    </w:rPr>
                    <w:t>2</w:t>
                  </w:r>
                </w:p>
              </w:tc>
              <w:tc>
                <w:tcPr>
                  <w:tcW w:w="373" w:type="pct"/>
                  <w:shd w:val="clear" w:color="auto" w:fill="auto"/>
                  <w:vAlign w:val="center"/>
                </w:tcPr>
                <w:p w14:paraId="17D2FE86">
                  <w:pPr>
                    <w:spacing w:line="240" w:lineRule="auto"/>
                    <w:jc w:val="center"/>
                    <w:rPr>
                      <w:rFonts w:hint="default" w:ascii="Times New Roman" w:hAnsi="Times New Roman" w:eastAsia="宋体" w:cs="Times New Roman"/>
                      <w:b w:val="0"/>
                      <w:bCs w:val="0"/>
                      <w:i w:val="0"/>
                      <w:iCs w:val="0"/>
                      <w:color w:val="auto"/>
                      <w:sz w:val="21"/>
                      <w:szCs w:val="21"/>
                      <w:highlight w:val="none"/>
                      <w:u w:val="none"/>
                    </w:rPr>
                  </w:pPr>
                  <w:r>
                    <w:rPr>
                      <w:rFonts w:hint="eastAsia" w:cs="Times New Roman"/>
                      <w:b w:val="0"/>
                      <w:bCs w:val="0"/>
                      <w:i w:val="0"/>
                      <w:iCs w:val="0"/>
                      <w:color w:val="auto"/>
                      <w:sz w:val="21"/>
                      <w:szCs w:val="21"/>
                      <w:highlight w:val="none"/>
                      <w:u w:val="none"/>
                      <w:lang w:val="en-US" w:eastAsia="zh-CN"/>
                    </w:rPr>
                    <w:t>0</w:t>
                  </w:r>
                </w:p>
              </w:tc>
            </w:tr>
            <w:tr w14:paraId="1BAE7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3" w:hRule="atLeast"/>
              </w:trPr>
              <w:tc>
                <w:tcPr>
                  <w:tcW w:w="349" w:type="pct"/>
                  <w:vMerge w:val="continue"/>
                  <w:shd w:val="clear" w:color="auto" w:fill="auto"/>
                  <w:vAlign w:val="center"/>
                </w:tcPr>
                <w:p w14:paraId="63EE3317">
                  <w:pPr>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4276" w:type="pct"/>
                  <w:gridSpan w:val="7"/>
                  <w:shd w:val="clear" w:color="auto" w:fill="auto"/>
                  <w:vAlign w:val="center"/>
                </w:tcPr>
                <w:p w14:paraId="3FB7588E">
                  <w:pPr>
                    <w:keepNext w:val="0"/>
                    <w:keepLines w:val="0"/>
                    <w:widowControl/>
                    <w:suppressLineNumbers w:val="0"/>
                    <w:spacing w:line="240" w:lineRule="auto"/>
                    <w:jc w:val="center"/>
                    <w:textAlignment w:val="center"/>
                    <w:rPr>
                      <w:rFonts w:hint="default" w:ascii="Times New Roman" w:hAnsi="Times New Roman" w:eastAsia="宋体" w:cs="Times New Roman"/>
                      <w:b w:val="0"/>
                      <w:bCs w:val="0"/>
                      <w:i w:val="0"/>
                      <w:iCs w:val="0"/>
                      <w:color w:val="auto"/>
                      <w:sz w:val="21"/>
                      <w:szCs w:val="21"/>
                      <w:highlight w:val="none"/>
                      <w:u w:val="none"/>
                      <w:lang w:val="en-US"/>
                    </w:rPr>
                  </w:pPr>
                  <w:r>
                    <w:rPr>
                      <w:rFonts w:hint="default" w:ascii="Times New Roman" w:hAnsi="Times New Roman" w:eastAsia="宋体" w:cs="Times New Roman"/>
                      <w:b w:val="0"/>
                      <w:bCs w:val="0"/>
                      <w:i w:val="0"/>
                      <w:iCs w:val="0"/>
                      <w:color w:val="auto"/>
                      <w:kern w:val="0"/>
                      <w:sz w:val="21"/>
                      <w:szCs w:val="21"/>
                      <w:highlight w:val="none"/>
                      <w:u w:val="none"/>
                      <w:lang w:val="en-US" w:eastAsia="zh-CN"/>
                    </w:rPr>
                    <w:t>NO</w:t>
                  </w:r>
                  <w:r>
                    <w:rPr>
                      <w:rFonts w:hint="default" w:ascii="Times New Roman" w:hAnsi="Times New Roman" w:eastAsia="宋体" w:cs="Times New Roman"/>
                      <w:b w:val="0"/>
                      <w:bCs w:val="0"/>
                      <w:i w:val="0"/>
                      <w:iCs w:val="0"/>
                      <w:color w:val="auto"/>
                      <w:kern w:val="0"/>
                      <w:sz w:val="21"/>
                      <w:szCs w:val="21"/>
                      <w:highlight w:val="none"/>
                      <w:u w:val="none"/>
                      <w:vertAlign w:val="subscript"/>
                      <w:lang w:val="en-US" w:eastAsia="zh-CN"/>
                    </w:rPr>
                    <w:t>x</w:t>
                  </w:r>
                </w:p>
              </w:tc>
              <w:tc>
                <w:tcPr>
                  <w:tcW w:w="373" w:type="pct"/>
                  <w:shd w:val="clear" w:color="auto" w:fill="auto"/>
                  <w:vAlign w:val="center"/>
                </w:tcPr>
                <w:p w14:paraId="3CCCF6CF">
                  <w:pPr>
                    <w:spacing w:line="240" w:lineRule="auto"/>
                    <w:jc w:val="center"/>
                    <w:rPr>
                      <w:rFonts w:hint="default" w:ascii="Times New Roman" w:hAnsi="Times New Roman" w:eastAsia="宋体" w:cs="Times New Roman"/>
                      <w:b w:val="0"/>
                      <w:bCs w:val="0"/>
                      <w:i w:val="0"/>
                      <w:iCs w:val="0"/>
                      <w:color w:val="auto"/>
                      <w:sz w:val="21"/>
                      <w:szCs w:val="21"/>
                      <w:highlight w:val="none"/>
                      <w:u w:val="none"/>
                    </w:rPr>
                  </w:pPr>
                  <w:r>
                    <w:rPr>
                      <w:rFonts w:hint="eastAsia" w:cs="Times New Roman"/>
                      <w:b w:val="0"/>
                      <w:bCs w:val="0"/>
                      <w:i w:val="0"/>
                      <w:iCs w:val="0"/>
                      <w:color w:val="auto"/>
                      <w:sz w:val="21"/>
                      <w:szCs w:val="21"/>
                      <w:highlight w:val="none"/>
                      <w:u w:val="none"/>
                      <w:lang w:val="en-US" w:eastAsia="zh-CN"/>
                    </w:rPr>
                    <w:t>0</w:t>
                  </w:r>
                </w:p>
              </w:tc>
            </w:tr>
            <w:tr w14:paraId="56966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3" w:hRule="atLeast"/>
              </w:trPr>
              <w:tc>
                <w:tcPr>
                  <w:tcW w:w="349" w:type="pct"/>
                  <w:vMerge w:val="continue"/>
                  <w:shd w:val="clear" w:color="auto" w:fill="auto"/>
                  <w:vAlign w:val="center"/>
                </w:tcPr>
                <w:p w14:paraId="418794FE">
                  <w:pPr>
                    <w:spacing w:line="240" w:lineRule="auto"/>
                    <w:jc w:val="center"/>
                    <w:rPr>
                      <w:rFonts w:hint="default" w:ascii="Times New Roman" w:hAnsi="Times New Roman" w:eastAsia="宋体" w:cs="Times New Roman"/>
                      <w:b w:val="0"/>
                      <w:bCs w:val="0"/>
                      <w:i w:val="0"/>
                      <w:iCs w:val="0"/>
                      <w:color w:val="auto"/>
                      <w:sz w:val="21"/>
                      <w:szCs w:val="21"/>
                      <w:highlight w:val="none"/>
                      <w:u w:val="none"/>
                    </w:rPr>
                  </w:pPr>
                </w:p>
              </w:tc>
              <w:tc>
                <w:tcPr>
                  <w:tcW w:w="4276" w:type="pct"/>
                  <w:gridSpan w:val="7"/>
                  <w:shd w:val="clear" w:color="auto" w:fill="auto"/>
                  <w:vAlign w:val="center"/>
                </w:tcPr>
                <w:p w14:paraId="2D1C581D">
                  <w:pPr>
                    <w:keepNext w:val="0"/>
                    <w:keepLines w:val="0"/>
                    <w:widowControl/>
                    <w:suppressLineNumbers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rPr>
                  </w:pPr>
                  <w:r>
                    <w:rPr>
                      <w:rStyle w:val="74"/>
                      <w:rFonts w:hint="default" w:ascii="Times New Roman" w:hAnsi="Times New Roman" w:eastAsia="宋体" w:cs="Times New Roman"/>
                      <w:b w:val="0"/>
                      <w:bCs w:val="0"/>
                      <w:color w:val="auto"/>
                      <w:sz w:val="21"/>
                      <w:szCs w:val="21"/>
                      <w:highlight w:val="none"/>
                      <w:lang w:val="en-US" w:eastAsia="zh-CN"/>
                    </w:rPr>
                    <w:t>臭气浓度</w:t>
                  </w:r>
                </w:p>
              </w:tc>
              <w:tc>
                <w:tcPr>
                  <w:tcW w:w="373" w:type="pct"/>
                  <w:shd w:val="clear" w:color="auto" w:fill="auto"/>
                  <w:vAlign w:val="center"/>
                </w:tcPr>
                <w:p w14:paraId="39E78346">
                  <w:pPr>
                    <w:spacing w:line="240" w:lineRule="auto"/>
                    <w:jc w:val="center"/>
                    <w:rPr>
                      <w:rFonts w:hint="default" w:ascii="Times New Roman" w:hAnsi="Times New Roman" w:eastAsia="宋体" w:cs="Times New Roman"/>
                      <w:b w:val="0"/>
                      <w:bCs w:val="0"/>
                      <w:i w:val="0"/>
                      <w:iCs w:val="0"/>
                      <w:color w:val="auto"/>
                      <w:sz w:val="21"/>
                      <w:szCs w:val="21"/>
                      <w:highlight w:val="none"/>
                      <w:u w:val="none"/>
                    </w:rPr>
                  </w:pPr>
                  <w:r>
                    <w:rPr>
                      <w:rFonts w:hint="eastAsia" w:cs="Times New Roman"/>
                      <w:b w:val="0"/>
                      <w:bCs w:val="0"/>
                      <w:i w:val="0"/>
                      <w:iCs w:val="0"/>
                      <w:color w:val="auto"/>
                      <w:sz w:val="21"/>
                      <w:szCs w:val="21"/>
                      <w:highlight w:val="none"/>
                      <w:u w:val="none"/>
                      <w:lang w:val="en-US" w:eastAsia="zh-CN"/>
                    </w:rPr>
                    <w:t>少量</w:t>
                  </w:r>
                </w:p>
              </w:tc>
            </w:tr>
          </w:tbl>
          <w:p w14:paraId="58A1BE74">
            <w:pPr>
              <w:pStyle w:val="2"/>
              <w:keepNext w:val="0"/>
              <w:keepLines w:val="0"/>
              <w:numPr>
                <w:ilvl w:val="0"/>
                <w:numId w:val="10"/>
              </w:numPr>
              <w:suppressLineNumbers w:val="0"/>
              <w:spacing w:before="0" w:beforeAutospacing="0" w:after="0" w:afterAutospacing="0"/>
              <w:ind w:left="0" w:leftChars="0" w:right="0" w:hanging="1" w:firstLineChars="0"/>
              <w:jc w:val="center"/>
              <w:rPr>
                <w:rFonts w:ascii="Times New Roman" w:hAnsi="Times New Roman" w:eastAsia="宋体" w:cs="Times New Roman"/>
                <w:b/>
                <w:bCs/>
                <w:color w:val="auto"/>
                <w:sz w:val="21"/>
                <w:szCs w:val="21"/>
                <w:highlight w:val="none"/>
                <w:lang w:eastAsia="zh-CN"/>
              </w:rPr>
            </w:pPr>
            <w:r>
              <w:rPr>
                <w:b/>
                <w:color w:val="auto"/>
                <w:sz w:val="21"/>
                <w:szCs w:val="21"/>
                <w:highlight w:val="none"/>
              </w:rPr>
              <w:t>大气污染物年排放核算表</w:t>
            </w:r>
          </w:p>
          <w:tbl>
            <w:tblPr>
              <w:tblStyle w:val="43"/>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81"/>
              <w:gridCol w:w="4111"/>
              <w:gridCol w:w="6901"/>
            </w:tblGrid>
            <w:tr w14:paraId="25570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1" w:hRule="atLeast"/>
              </w:trPr>
              <w:tc>
                <w:tcPr>
                  <w:tcW w:w="91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58AA074">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序号</w:t>
                  </w:r>
                </w:p>
              </w:tc>
              <w:tc>
                <w:tcPr>
                  <w:tcW w:w="152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B07286B">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污染物</w:t>
                  </w:r>
                </w:p>
              </w:tc>
              <w:tc>
                <w:tcPr>
                  <w:tcW w:w="255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A91D85C">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年排放量</w:t>
                  </w:r>
                  <w:r>
                    <w:rPr>
                      <w:rFonts w:hint="default" w:ascii="Times New Roman" w:hAnsi="Times New Roman" w:eastAsia="宋体" w:cs="Times New Roman"/>
                      <w:b/>
                      <w:bCs/>
                      <w:i w:val="0"/>
                      <w:iCs w:val="0"/>
                      <w:color w:val="auto"/>
                      <w:kern w:val="0"/>
                      <w:sz w:val="21"/>
                      <w:szCs w:val="21"/>
                      <w:highlight w:val="none"/>
                      <w:u w:val="none"/>
                      <w:lang w:val="en-US" w:eastAsia="zh-CN"/>
                    </w:rPr>
                    <w:t>/</w:t>
                  </w:r>
                  <w:r>
                    <w:rPr>
                      <w:rFonts w:hint="eastAsia" w:ascii="宋体" w:hAnsi="宋体" w:eastAsia="宋体" w:cs="宋体"/>
                      <w:b/>
                      <w:bCs/>
                      <w:i w:val="0"/>
                      <w:iCs w:val="0"/>
                      <w:color w:val="auto"/>
                      <w:kern w:val="0"/>
                      <w:sz w:val="21"/>
                      <w:szCs w:val="21"/>
                      <w:highlight w:val="none"/>
                      <w:u w:val="none"/>
                      <w:lang w:val="en-US" w:eastAsia="zh-CN"/>
                    </w:rPr>
                    <w:t>（</w:t>
                  </w:r>
                  <w:r>
                    <w:rPr>
                      <w:rFonts w:hint="default" w:ascii="Times New Roman" w:hAnsi="Times New Roman" w:eastAsia="宋体" w:cs="Times New Roman"/>
                      <w:b/>
                      <w:bCs/>
                      <w:i w:val="0"/>
                      <w:iCs w:val="0"/>
                      <w:color w:val="auto"/>
                      <w:kern w:val="0"/>
                      <w:sz w:val="21"/>
                      <w:szCs w:val="21"/>
                      <w:highlight w:val="none"/>
                      <w:u w:val="none"/>
                      <w:lang w:val="en-US" w:eastAsia="zh-CN"/>
                    </w:rPr>
                    <w:t>t/a</w:t>
                  </w:r>
                  <w:r>
                    <w:rPr>
                      <w:rFonts w:hint="eastAsia" w:ascii="宋体" w:hAnsi="宋体" w:eastAsia="宋体" w:cs="宋体"/>
                      <w:b/>
                      <w:bCs/>
                      <w:i w:val="0"/>
                      <w:iCs w:val="0"/>
                      <w:color w:val="auto"/>
                      <w:kern w:val="0"/>
                      <w:sz w:val="21"/>
                      <w:szCs w:val="21"/>
                      <w:highlight w:val="none"/>
                      <w:u w:val="none"/>
                      <w:lang w:val="en-US" w:eastAsia="zh-CN"/>
                    </w:rPr>
                    <w:t>）</w:t>
                  </w:r>
                </w:p>
              </w:tc>
            </w:tr>
            <w:tr w14:paraId="3A00A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919" w:type="pct"/>
                  <w:vMerge w:val="restart"/>
                  <w:tcBorders>
                    <w:top w:val="nil"/>
                    <w:left w:val="single" w:color="000000" w:sz="8" w:space="0"/>
                    <w:bottom w:val="single" w:color="000000" w:sz="8" w:space="0"/>
                    <w:right w:val="single" w:color="000000" w:sz="8" w:space="0"/>
                  </w:tcBorders>
                  <w:shd w:val="clear" w:color="auto" w:fill="auto"/>
                  <w:vAlign w:val="center"/>
                </w:tcPr>
                <w:p w14:paraId="509F0F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w:t>
                  </w:r>
                </w:p>
              </w:tc>
              <w:tc>
                <w:tcPr>
                  <w:tcW w:w="4111" w:type="dxa"/>
                  <w:vMerge w:val="restart"/>
                  <w:tcBorders>
                    <w:top w:val="nil"/>
                    <w:left w:val="single" w:color="000000" w:sz="8" w:space="0"/>
                    <w:bottom w:val="single" w:color="000000" w:sz="8" w:space="0"/>
                    <w:right w:val="single" w:color="000000" w:sz="8" w:space="0"/>
                  </w:tcBorders>
                  <w:shd w:val="clear" w:color="auto" w:fill="auto"/>
                  <w:vAlign w:val="center"/>
                </w:tcPr>
                <w:p w14:paraId="72C2EA8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6901" w:type="dxa"/>
                  <w:vMerge w:val="restart"/>
                  <w:tcBorders>
                    <w:top w:val="nil"/>
                    <w:left w:val="single" w:color="000000" w:sz="8" w:space="0"/>
                    <w:bottom w:val="single" w:color="000000" w:sz="8" w:space="0"/>
                    <w:right w:val="single" w:color="000000" w:sz="8" w:space="0"/>
                  </w:tcBorders>
                  <w:shd w:val="clear" w:color="auto" w:fill="auto"/>
                  <w:vAlign w:val="center"/>
                </w:tcPr>
                <w:p w14:paraId="613143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0.840 </w:t>
                  </w:r>
                </w:p>
              </w:tc>
            </w:tr>
            <w:tr w14:paraId="10F47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919" w:type="pct"/>
                  <w:vMerge w:val="continue"/>
                  <w:tcBorders>
                    <w:top w:val="nil"/>
                    <w:left w:val="single" w:color="000000" w:sz="8" w:space="0"/>
                    <w:bottom w:val="single" w:color="000000" w:sz="8" w:space="0"/>
                    <w:right w:val="single" w:color="000000" w:sz="8" w:space="0"/>
                  </w:tcBorders>
                  <w:shd w:val="clear" w:color="auto" w:fill="auto"/>
                  <w:vAlign w:val="center"/>
                </w:tcPr>
                <w:p w14:paraId="5297D926">
                  <w:pPr>
                    <w:jc w:val="center"/>
                    <w:rPr>
                      <w:rFonts w:hint="default" w:ascii="Times New Roman" w:hAnsi="Times New Roman" w:eastAsia="宋体" w:cs="Times New Roman"/>
                      <w:i w:val="0"/>
                      <w:iCs w:val="0"/>
                      <w:color w:val="auto"/>
                      <w:sz w:val="21"/>
                      <w:szCs w:val="21"/>
                      <w:highlight w:val="none"/>
                      <w:u w:val="none"/>
                    </w:rPr>
                  </w:pPr>
                </w:p>
              </w:tc>
              <w:tc>
                <w:tcPr>
                  <w:tcW w:w="1523" w:type="pct"/>
                  <w:vMerge w:val="continue"/>
                  <w:tcBorders>
                    <w:top w:val="nil"/>
                    <w:left w:val="single" w:color="000000" w:sz="8" w:space="0"/>
                    <w:bottom w:val="single" w:color="000000" w:sz="8" w:space="0"/>
                    <w:right w:val="single" w:color="000000" w:sz="8" w:space="0"/>
                  </w:tcBorders>
                  <w:shd w:val="clear" w:color="auto" w:fill="auto"/>
                  <w:vAlign w:val="center"/>
                </w:tcPr>
                <w:p w14:paraId="728A93DA">
                  <w:pPr>
                    <w:jc w:val="center"/>
                    <w:rPr>
                      <w:rFonts w:hint="eastAsia" w:ascii="宋体" w:hAnsi="宋体" w:eastAsia="宋体" w:cs="宋体"/>
                      <w:i w:val="0"/>
                      <w:iCs w:val="0"/>
                      <w:color w:val="auto"/>
                      <w:sz w:val="21"/>
                      <w:szCs w:val="21"/>
                      <w:highlight w:val="none"/>
                      <w:u w:val="none"/>
                    </w:rPr>
                  </w:pPr>
                </w:p>
              </w:tc>
              <w:tc>
                <w:tcPr>
                  <w:tcW w:w="2556" w:type="pct"/>
                  <w:vMerge w:val="continue"/>
                  <w:tcBorders>
                    <w:top w:val="nil"/>
                    <w:left w:val="single" w:color="000000" w:sz="8" w:space="0"/>
                    <w:bottom w:val="single" w:color="000000" w:sz="8" w:space="0"/>
                    <w:right w:val="single" w:color="000000" w:sz="8" w:space="0"/>
                  </w:tcBorders>
                  <w:shd w:val="clear" w:color="auto" w:fill="auto"/>
                  <w:vAlign w:val="center"/>
                </w:tcPr>
                <w:p w14:paraId="222F8003">
                  <w:pPr>
                    <w:jc w:val="center"/>
                    <w:rPr>
                      <w:rFonts w:hint="default" w:ascii="Times New Roman" w:hAnsi="Times New Roman" w:eastAsia="宋体" w:cs="Times New Roman"/>
                      <w:i w:val="0"/>
                      <w:iCs w:val="0"/>
                      <w:color w:val="auto"/>
                      <w:sz w:val="21"/>
                      <w:szCs w:val="21"/>
                      <w:highlight w:val="none"/>
                      <w:u w:val="none"/>
                    </w:rPr>
                  </w:pPr>
                </w:p>
              </w:tc>
            </w:tr>
            <w:tr w14:paraId="2C2B4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919" w:type="pct"/>
                  <w:tcBorders>
                    <w:top w:val="nil"/>
                    <w:left w:val="single" w:color="000000" w:sz="8" w:space="0"/>
                    <w:bottom w:val="single" w:color="000000" w:sz="8" w:space="0"/>
                    <w:right w:val="single" w:color="000000" w:sz="8" w:space="0"/>
                  </w:tcBorders>
                  <w:shd w:val="clear" w:color="auto" w:fill="auto"/>
                  <w:vAlign w:val="center"/>
                </w:tcPr>
                <w:p w14:paraId="69E3A9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2</w:t>
                  </w:r>
                </w:p>
              </w:tc>
              <w:tc>
                <w:tcPr>
                  <w:tcW w:w="4111" w:type="dxa"/>
                  <w:tcBorders>
                    <w:top w:val="nil"/>
                    <w:left w:val="single" w:color="000000" w:sz="8" w:space="0"/>
                    <w:bottom w:val="single" w:color="000000" w:sz="8" w:space="0"/>
                    <w:right w:val="single" w:color="000000" w:sz="8" w:space="0"/>
                  </w:tcBorders>
                  <w:shd w:val="clear" w:color="auto" w:fill="auto"/>
                  <w:vAlign w:val="center"/>
                </w:tcPr>
                <w:p w14:paraId="158C6F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VOCs</w:t>
                  </w:r>
                </w:p>
              </w:tc>
              <w:tc>
                <w:tcPr>
                  <w:tcW w:w="6901" w:type="dxa"/>
                  <w:tcBorders>
                    <w:top w:val="nil"/>
                    <w:left w:val="single" w:color="000000" w:sz="8" w:space="0"/>
                    <w:bottom w:val="single" w:color="000000" w:sz="8" w:space="0"/>
                    <w:right w:val="single" w:color="000000" w:sz="8" w:space="0"/>
                  </w:tcBorders>
                  <w:shd w:val="clear" w:color="auto" w:fill="auto"/>
                  <w:vAlign w:val="center"/>
                </w:tcPr>
                <w:p w14:paraId="20D5B4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0.282 </w:t>
                  </w:r>
                </w:p>
              </w:tc>
            </w:tr>
            <w:tr w14:paraId="0EABB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 w:hRule="atLeast"/>
              </w:trPr>
              <w:tc>
                <w:tcPr>
                  <w:tcW w:w="919" w:type="pct"/>
                  <w:tcBorders>
                    <w:top w:val="nil"/>
                    <w:left w:val="single" w:color="000000" w:sz="8" w:space="0"/>
                    <w:bottom w:val="single" w:color="000000" w:sz="8" w:space="0"/>
                    <w:right w:val="single" w:color="000000" w:sz="8" w:space="0"/>
                  </w:tcBorders>
                  <w:shd w:val="clear" w:color="auto" w:fill="auto"/>
                  <w:vAlign w:val="center"/>
                </w:tcPr>
                <w:p w14:paraId="4B35AE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3</w:t>
                  </w:r>
                </w:p>
              </w:tc>
              <w:tc>
                <w:tcPr>
                  <w:tcW w:w="4111" w:type="dxa"/>
                  <w:tcBorders>
                    <w:top w:val="nil"/>
                    <w:left w:val="single" w:color="000000" w:sz="8" w:space="0"/>
                    <w:bottom w:val="single" w:color="000000" w:sz="8" w:space="0"/>
                    <w:right w:val="single" w:color="000000" w:sz="8" w:space="0"/>
                  </w:tcBorders>
                  <w:shd w:val="clear" w:color="auto" w:fill="auto"/>
                  <w:vAlign w:val="center"/>
                </w:tcPr>
                <w:p w14:paraId="56B64D1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苯系物</w:t>
                  </w:r>
                </w:p>
              </w:tc>
              <w:tc>
                <w:tcPr>
                  <w:tcW w:w="6901" w:type="dxa"/>
                  <w:tcBorders>
                    <w:top w:val="nil"/>
                    <w:left w:val="single" w:color="000000" w:sz="8" w:space="0"/>
                    <w:bottom w:val="single" w:color="000000" w:sz="8" w:space="0"/>
                    <w:right w:val="single" w:color="000000" w:sz="8" w:space="0"/>
                  </w:tcBorders>
                  <w:shd w:val="clear" w:color="auto" w:fill="auto"/>
                  <w:vAlign w:val="center"/>
                </w:tcPr>
                <w:p w14:paraId="4CA7C8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0.055 </w:t>
                  </w:r>
                </w:p>
              </w:tc>
            </w:tr>
            <w:tr w14:paraId="5BF2F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trPr>
              <w:tc>
                <w:tcPr>
                  <w:tcW w:w="919" w:type="pct"/>
                  <w:tcBorders>
                    <w:top w:val="nil"/>
                    <w:left w:val="single" w:color="000000" w:sz="8" w:space="0"/>
                    <w:bottom w:val="single" w:color="000000" w:sz="8" w:space="0"/>
                    <w:right w:val="single" w:color="000000" w:sz="8" w:space="0"/>
                  </w:tcBorders>
                  <w:shd w:val="clear" w:color="auto" w:fill="auto"/>
                  <w:vAlign w:val="center"/>
                </w:tcPr>
                <w:p w14:paraId="45BB32C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7</w:t>
                  </w:r>
                </w:p>
              </w:tc>
              <w:tc>
                <w:tcPr>
                  <w:tcW w:w="4111" w:type="dxa"/>
                  <w:tcBorders>
                    <w:top w:val="nil"/>
                    <w:left w:val="single" w:color="000000" w:sz="8" w:space="0"/>
                    <w:bottom w:val="single" w:color="000000" w:sz="8" w:space="0"/>
                    <w:right w:val="single" w:color="000000" w:sz="8" w:space="0"/>
                  </w:tcBorders>
                  <w:shd w:val="clear" w:color="auto" w:fill="auto"/>
                  <w:vAlign w:val="center"/>
                </w:tcPr>
                <w:p w14:paraId="01390A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6901" w:type="dxa"/>
                  <w:tcBorders>
                    <w:top w:val="nil"/>
                    <w:left w:val="single" w:color="000000" w:sz="8" w:space="0"/>
                    <w:bottom w:val="single" w:color="000000" w:sz="8" w:space="0"/>
                    <w:right w:val="single" w:color="000000" w:sz="8" w:space="0"/>
                  </w:tcBorders>
                  <w:shd w:val="clear" w:color="auto" w:fill="auto"/>
                  <w:vAlign w:val="center"/>
                </w:tcPr>
                <w:p w14:paraId="2B5B28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0.040 </w:t>
                  </w:r>
                </w:p>
              </w:tc>
            </w:tr>
            <w:tr w14:paraId="44F86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trPr>
              <w:tc>
                <w:tcPr>
                  <w:tcW w:w="919" w:type="pct"/>
                  <w:tcBorders>
                    <w:top w:val="nil"/>
                    <w:left w:val="single" w:color="000000" w:sz="8" w:space="0"/>
                    <w:bottom w:val="single" w:color="000000" w:sz="8" w:space="0"/>
                    <w:right w:val="single" w:color="000000" w:sz="8" w:space="0"/>
                  </w:tcBorders>
                  <w:shd w:val="clear" w:color="auto" w:fill="auto"/>
                  <w:vAlign w:val="center"/>
                </w:tcPr>
                <w:p w14:paraId="0B4C6B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8</w:t>
                  </w:r>
                </w:p>
              </w:tc>
              <w:tc>
                <w:tcPr>
                  <w:tcW w:w="4111" w:type="dxa"/>
                  <w:tcBorders>
                    <w:top w:val="nil"/>
                    <w:left w:val="single" w:color="000000" w:sz="8" w:space="0"/>
                    <w:bottom w:val="single" w:color="000000" w:sz="8" w:space="0"/>
                    <w:right w:val="single" w:color="000000" w:sz="8" w:space="0"/>
                  </w:tcBorders>
                  <w:shd w:val="clear" w:color="auto" w:fill="auto"/>
                  <w:vAlign w:val="center"/>
                </w:tcPr>
                <w:p w14:paraId="1A6B96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NOx</w:t>
                  </w:r>
                </w:p>
              </w:tc>
              <w:tc>
                <w:tcPr>
                  <w:tcW w:w="6901" w:type="dxa"/>
                  <w:tcBorders>
                    <w:top w:val="nil"/>
                    <w:left w:val="single" w:color="000000" w:sz="8" w:space="0"/>
                    <w:bottom w:val="single" w:color="000000" w:sz="8" w:space="0"/>
                    <w:right w:val="single" w:color="000000" w:sz="8" w:space="0"/>
                  </w:tcBorders>
                  <w:shd w:val="clear" w:color="auto" w:fill="auto"/>
                  <w:vAlign w:val="center"/>
                </w:tcPr>
                <w:p w14:paraId="045B21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0.374 </w:t>
                  </w:r>
                </w:p>
              </w:tc>
            </w:tr>
            <w:tr w14:paraId="6DAAC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919" w:type="pct"/>
                  <w:tcBorders>
                    <w:top w:val="nil"/>
                    <w:left w:val="single" w:color="000000" w:sz="8" w:space="0"/>
                    <w:bottom w:val="single" w:color="000000" w:sz="8" w:space="0"/>
                    <w:right w:val="single" w:color="000000" w:sz="8" w:space="0"/>
                  </w:tcBorders>
                  <w:shd w:val="clear" w:color="auto" w:fill="auto"/>
                  <w:vAlign w:val="center"/>
                </w:tcPr>
                <w:p w14:paraId="3C3ED8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9</w:t>
                  </w:r>
                </w:p>
              </w:tc>
              <w:tc>
                <w:tcPr>
                  <w:tcW w:w="4111" w:type="dxa"/>
                  <w:tcBorders>
                    <w:top w:val="nil"/>
                    <w:left w:val="single" w:color="000000" w:sz="8" w:space="0"/>
                    <w:bottom w:val="single" w:color="000000" w:sz="8" w:space="0"/>
                    <w:right w:val="single" w:color="000000" w:sz="8" w:space="0"/>
                  </w:tcBorders>
                  <w:shd w:val="clear" w:color="auto" w:fill="auto"/>
                  <w:vAlign w:val="center"/>
                </w:tcPr>
                <w:p w14:paraId="05EA80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臭气浓度</w:t>
                  </w:r>
                </w:p>
              </w:tc>
              <w:tc>
                <w:tcPr>
                  <w:tcW w:w="6901" w:type="dxa"/>
                  <w:tcBorders>
                    <w:top w:val="nil"/>
                    <w:left w:val="single" w:color="000000" w:sz="8" w:space="0"/>
                    <w:bottom w:val="single" w:color="000000" w:sz="8" w:space="0"/>
                    <w:right w:val="single" w:color="000000" w:sz="8" w:space="0"/>
                  </w:tcBorders>
                  <w:shd w:val="clear" w:color="auto" w:fill="auto"/>
                  <w:vAlign w:val="center"/>
                </w:tcPr>
                <w:p w14:paraId="34C6A6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bl>
          <w:p w14:paraId="2D1651EE">
            <w:pPr>
              <w:keepNext w:val="0"/>
              <w:keepLines w:val="0"/>
              <w:pageBreakBefore w:val="0"/>
              <w:widowControl w:val="0"/>
              <w:numPr>
                <w:ilvl w:val="0"/>
                <w:numId w:val="10"/>
              </w:numPr>
              <w:kinsoku/>
              <w:wordWrap w:val="0"/>
              <w:overflowPunct/>
              <w:topLinePunct w:val="0"/>
              <w:autoSpaceDE/>
              <w:autoSpaceDN/>
              <w:bidi w:val="0"/>
              <w:adjustRightInd/>
              <w:snapToGrid/>
              <w:spacing w:line="240" w:lineRule="auto"/>
              <w:ind w:left="0" w:leftChars="0" w:hanging="1" w:firstLineChars="0"/>
              <w:jc w:val="center"/>
              <w:textAlignment w:val="auto"/>
              <w:rPr>
                <w:rFonts w:hint="eastAsia" w:ascii="Times New Roman" w:cs="Times New Roman"/>
                <w:b/>
                <w:bCs/>
                <w:color w:val="auto"/>
                <w:sz w:val="21"/>
                <w:szCs w:val="21"/>
                <w:highlight w:val="none"/>
              </w:rPr>
            </w:pPr>
            <w:r>
              <w:rPr>
                <w:rFonts w:hint="eastAsia" w:ascii="Times New Roman" w:cs="Times New Roman"/>
                <w:b/>
                <w:bCs/>
                <w:color w:val="auto"/>
                <w:sz w:val="21"/>
                <w:szCs w:val="21"/>
                <w:highlight w:val="none"/>
              </w:rPr>
              <w:t>项目废气产排污节点、污染物及污染治理设施情况一览表</w:t>
            </w:r>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68"/>
              <w:gridCol w:w="2362"/>
              <w:gridCol w:w="1198"/>
              <w:gridCol w:w="1813"/>
              <w:gridCol w:w="966"/>
              <w:gridCol w:w="1230"/>
              <w:gridCol w:w="2355"/>
              <w:gridCol w:w="1171"/>
              <w:gridCol w:w="1025"/>
              <w:gridCol w:w="893"/>
            </w:tblGrid>
            <w:tr w14:paraId="739F9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74" w:type="pct"/>
                  <w:vMerge w:val="restart"/>
                  <w:vAlign w:val="center"/>
                </w:tcPr>
                <w:p w14:paraId="4FB40209">
                  <w:pPr>
                    <w:widowControl w:val="0"/>
                    <w:kinsoku/>
                    <w:autoSpaceDE/>
                    <w:autoSpaceDN/>
                    <w:adjustRightInd w:val="0"/>
                    <w:snapToGrid w:val="0"/>
                    <w:spacing w:line="240" w:lineRule="auto"/>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序号</w:t>
                  </w:r>
                </w:p>
              </w:tc>
              <w:tc>
                <w:tcPr>
                  <w:tcW w:w="876" w:type="pct"/>
                  <w:vMerge w:val="restart"/>
                  <w:vAlign w:val="center"/>
                </w:tcPr>
                <w:p w14:paraId="374433FC">
                  <w:pPr>
                    <w:widowControl w:val="0"/>
                    <w:kinsoku/>
                    <w:autoSpaceDE/>
                    <w:autoSpaceDN/>
                    <w:adjustRightInd w:val="0"/>
                    <w:snapToGrid w:val="0"/>
                    <w:spacing w:line="240" w:lineRule="auto"/>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位置</w:t>
                  </w:r>
                </w:p>
              </w:tc>
              <w:tc>
                <w:tcPr>
                  <w:tcW w:w="444" w:type="pct"/>
                  <w:vMerge w:val="restart"/>
                  <w:vAlign w:val="center"/>
                </w:tcPr>
                <w:p w14:paraId="32BB7CC2">
                  <w:pPr>
                    <w:widowControl w:val="0"/>
                    <w:kinsoku/>
                    <w:autoSpaceDE/>
                    <w:autoSpaceDN/>
                    <w:adjustRightInd w:val="0"/>
                    <w:snapToGrid w:val="0"/>
                    <w:spacing w:line="240" w:lineRule="auto"/>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产污环节</w:t>
                  </w:r>
                </w:p>
              </w:tc>
              <w:tc>
                <w:tcPr>
                  <w:tcW w:w="672" w:type="pct"/>
                  <w:vMerge w:val="restart"/>
                  <w:vAlign w:val="center"/>
                </w:tcPr>
                <w:p w14:paraId="20057019">
                  <w:pPr>
                    <w:widowControl w:val="0"/>
                    <w:kinsoku/>
                    <w:autoSpaceDE/>
                    <w:autoSpaceDN/>
                    <w:adjustRightInd w:val="0"/>
                    <w:snapToGrid w:val="0"/>
                    <w:spacing w:line="240" w:lineRule="auto"/>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污染物种类</w:t>
                  </w:r>
                </w:p>
              </w:tc>
              <w:tc>
                <w:tcPr>
                  <w:tcW w:w="358" w:type="pct"/>
                  <w:vMerge w:val="restart"/>
                  <w:vAlign w:val="center"/>
                </w:tcPr>
                <w:p w14:paraId="73976312">
                  <w:pPr>
                    <w:widowControl w:val="0"/>
                    <w:kinsoku/>
                    <w:autoSpaceDE/>
                    <w:autoSpaceDN/>
                    <w:adjustRightInd w:val="0"/>
                    <w:snapToGrid w:val="0"/>
                    <w:spacing w:line="240" w:lineRule="auto"/>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排放形式</w:t>
                  </w:r>
                </w:p>
              </w:tc>
              <w:tc>
                <w:tcPr>
                  <w:tcW w:w="2143" w:type="pct"/>
                  <w:gridSpan w:val="4"/>
                  <w:tcBorders>
                    <w:right w:val="single" w:color="000000" w:sz="4" w:space="0"/>
                  </w:tcBorders>
                  <w:vAlign w:val="center"/>
                </w:tcPr>
                <w:p w14:paraId="060B0784">
                  <w:pPr>
                    <w:widowControl w:val="0"/>
                    <w:kinsoku/>
                    <w:autoSpaceDE/>
                    <w:autoSpaceDN/>
                    <w:adjustRightInd w:val="0"/>
                    <w:snapToGrid w:val="0"/>
                    <w:spacing w:line="240" w:lineRule="auto"/>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污染防治设施</w:t>
                  </w:r>
                </w:p>
              </w:tc>
              <w:tc>
                <w:tcPr>
                  <w:tcW w:w="331" w:type="pct"/>
                  <w:vMerge w:val="restart"/>
                  <w:vAlign w:val="center"/>
                </w:tcPr>
                <w:p w14:paraId="23811ECA">
                  <w:pPr>
                    <w:widowControl w:val="0"/>
                    <w:kinsoku/>
                    <w:autoSpaceDE/>
                    <w:autoSpaceDN/>
                    <w:adjustRightInd w:val="0"/>
                    <w:snapToGrid w:val="0"/>
                    <w:spacing w:line="240" w:lineRule="auto"/>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有组织排放编号</w:t>
                  </w:r>
                </w:p>
              </w:tc>
            </w:tr>
            <w:tr w14:paraId="44ACF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74" w:type="pct"/>
                  <w:vMerge w:val="continue"/>
                  <w:vAlign w:val="center"/>
                </w:tcPr>
                <w:p w14:paraId="2C1A0C6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rPr>
                  </w:pPr>
                </w:p>
              </w:tc>
              <w:tc>
                <w:tcPr>
                  <w:tcW w:w="876" w:type="pct"/>
                  <w:vMerge w:val="continue"/>
                  <w:vAlign w:val="center"/>
                </w:tcPr>
                <w:p w14:paraId="1712A6B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rPr>
                  </w:pPr>
                </w:p>
              </w:tc>
              <w:tc>
                <w:tcPr>
                  <w:tcW w:w="444" w:type="pct"/>
                  <w:vMerge w:val="continue"/>
                  <w:vAlign w:val="center"/>
                </w:tcPr>
                <w:p w14:paraId="034B324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rPr>
                  </w:pPr>
                </w:p>
              </w:tc>
              <w:tc>
                <w:tcPr>
                  <w:tcW w:w="672" w:type="pct"/>
                  <w:vMerge w:val="continue"/>
                  <w:vAlign w:val="center"/>
                </w:tcPr>
                <w:p w14:paraId="64CE746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rPr>
                  </w:pPr>
                </w:p>
              </w:tc>
              <w:tc>
                <w:tcPr>
                  <w:tcW w:w="358" w:type="pct"/>
                  <w:vMerge w:val="continue"/>
                  <w:vAlign w:val="center"/>
                </w:tcPr>
                <w:p w14:paraId="5FD5DDF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rPr>
                  </w:pPr>
                </w:p>
              </w:tc>
              <w:tc>
                <w:tcPr>
                  <w:tcW w:w="456" w:type="pct"/>
                  <w:vAlign w:val="center"/>
                </w:tcPr>
                <w:p w14:paraId="19785A85">
                  <w:pPr>
                    <w:widowControl w:val="0"/>
                    <w:kinsoku/>
                    <w:autoSpaceDE/>
                    <w:autoSpaceDN/>
                    <w:adjustRightInd w:val="0"/>
                    <w:snapToGrid w:val="0"/>
                    <w:spacing w:line="240" w:lineRule="auto"/>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污染防治设施编号</w:t>
                  </w:r>
                </w:p>
              </w:tc>
              <w:tc>
                <w:tcPr>
                  <w:tcW w:w="873" w:type="pct"/>
                  <w:vAlign w:val="center"/>
                </w:tcPr>
                <w:p w14:paraId="7722BC35">
                  <w:pPr>
                    <w:widowControl w:val="0"/>
                    <w:kinsoku/>
                    <w:autoSpaceDE/>
                    <w:autoSpaceDN/>
                    <w:adjustRightInd w:val="0"/>
                    <w:snapToGrid w:val="0"/>
                    <w:spacing w:line="240" w:lineRule="auto"/>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污染防治设施名称</w:t>
                  </w:r>
                </w:p>
              </w:tc>
              <w:tc>
                <w:tcPr>
                  <w:tcW w:w="434" w:type="pct"/>
                  <w:vAlign w:val="center"/>
                </w:tcPr>
                <w:p w14:paraId="15CDF620">
                  <w:pPr>
                    <w:widowControl w:val="0"/>
                    <w:kinsoku/>
                    <w:autoSpaceDE/>
                    <w:autoSpaceDN/>
                    <w:adjustRightInd w:val="0"/>
                    <w:snapToGrid w:val="0"/>
                    <w:spacing w:line="240" w:lineRule="auto"/>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污染防治设施工艺</w:t>
                  </w:r>
                </w:p>
              </w:tc>
              <w:tc>
                <w:tcPr>
                  <w:tcW w:w="379" w:type="pct"/>
                  <w:tcBorders>
                    <w:right w:val="single" w:color="000000" w:sz="4" w:space="0"/>
                  </w:tcBorders>
                  <w:vAlign w:val="center"/>
                </w:tcPr>
                <w:p w14:paraId="28263C00">
                  <w:pPr>
                    <w:widowControl w:val="0"/>
                    <w:kinsoku/>
                    <w:autoSpaceDE/>
                    <w:autoSpaceDN/>
                    <w:adjustRightInd w:val="0"/>
                    <w:snapToGrid w:val="0"/>
                    <w:spacing w:line="240" w:lineRule="auto"/>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是否为可行性技术</w:t>
                  </w:r>
                </w:p>
              </w:tc>
              <w:tc>
                <w:tcPr>
                  <w:tcW w:w="331" w:type="pct"/>
                  <w:vMerge w:val="continue"/>
                  <w:vAlign w:val="center"/>
                </w:tcPr>
                <w:p w14:paraId="2693BE7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rPr>
                  </w:pPr>
                </w:p>
              </w:tc>
            </w:tr>
            <w:tr w14:paraId="53732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74" w:type="pct"/>
                  <w:vAlign w:val="center"/>
                </w:tcPr>
                <w:p w14:paraId="6974518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1</w:t>
                  </w:r>
                </w:p>
              </w:tc>
              <w:tc>
                <w:tcPr>
                  <w:tcW w:w="876" w:type="pct"/>
                  <w:vAlign w:val="center"/>
                </w:tcPr>
                <w:p w14:paraId="56FD71F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i w:val="0"/>
                      <w:color w:val="auto"/>
                      <w:kern w:val="0"/>
                      <w:sz w:val="21"/>
                      <w:szCs w:val="21"/>
                      <w:highlight w:val="none"/>
                      <w:u w:val="none"/>
                      <w:lang w:val="en-US" w:eastAsia="zh-CN"/>
                    </w:rPr>
                    <w:t>切割机</w:t>
                  </w:r>
                </w:p>
              </w:tc>
              <w:tc>
                <w:tcPr>
                  <w:tcW w:w="444" w:type="pct"/>
                  <w:vAlign w:val="center"/>
                </w:tcPr>
                <w:p w14:paraId="64BBFAA9">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钣金成型（切割）</w:t>
                  </w:r>
                </w:p>
              </w:tc>
              <w:tc>
                <w:tcPr>
                  <w:tcW w:w="672" w:type="pct"/>
                  <w:vAlign w:val="center"/>
                </w:tcPr>
                <w:p w14:paraId="2FD93DA8">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358" w:type="pct"/>
                  <w:vAlign w:val="center"/>
                </w:tcPr>
                <w:p w14:paraId="1C92E317">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无组织</w:t>
                  </w:r>
                </w:p>
              </w:tc>
              <w:tc>
                <w:tcPr>
                  <w:tcW w:w="456" w:type="pct"/>
                  <w:vAlign w:val="center"/>
                </w:tcPr>
                <w:p w14:paraId="211CF38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873" w:type="pct"/>
                  <w:vAlign w:val="center"/>
                </w:tcPr>
                <w:p w14:paraId="757963C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434" w:type="pct"/>
                  <w:vAlign w:val="center"/>
                </w:tcPr>
                <w:p w14:paraId="1A5199B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379" w:type="pct"/>
                  <w:vAlign w:val="center"/>
                </w:tcPr>
                <w:p w14:paraId="2729C11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331" w:type="pct"/>
                  <w:vAlign w:val="center"/>
                </w:tcPr>
                <w:p w14:paraId="70E325E1">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5A0D8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74" w:type="pct"/>
                  <w:vAlign w:val="center"/>
                </w:tcPr>
                <w:p w14:paraId="41F8ADD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w:t>
                  </w:r>
                </w:p>
              </w:tc>
              <w:tc>
                <w:tcPr>
                  <w:tcW w:w="876" w:type="pct"/>
                  <w:vAlign w:val="center"/>
                </w:tcPr>
                <w:p w14:paraId="1BF37F4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电</w:t>
                  </w:r>
                  <w:r>
                    <w:rPr>
                      <w:rFonts w:hint="default" w:ascii="Times New Roman" w:hAnsi="Times New Roman" w:eastAsia="宋体" w:cs="Times New Roman"/>
                      <w:color w:val="auto"/>
                      <w:sz w:val="21"/>
                      <w:szCs w:val="21"/>
                      <w:highlight w:val="none"/>
                      <w:lang w:val="en-US" w:eastAsia="zh-CN"/>
                    </w:rPr>
                    <w:t>焊机</w:t>
                  </w:r>
                </w:p>
              </w:tc>
              <w:tc>
                <w:tcPr>
                  <w:tcW w:w="444" w:type="pct"/>
                  <w:vAlign w:val="center"/>
                </w:tcPr>
                <w:p w14:paraId="38AA741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钣金成型（焊接）</w:t>
                  </w:r>
                </w:p>
              </w:tc>
              <w:tc>
                <w:tcPr>
                  <w:tcW w:w="672" w:type="pct"/>
                  <w:vAlign w:val="center"/>
                </w:tcPr>
                <w:p w14:paraId="65F3EFF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358" w:type="pct"/>
                  <w:vAlign w:val="center"/>
                </w:tcPr>
                <w:p w14:paraId="49E9D2A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无组织</w:t>
                  </w:r>
                </w:p>
              </w:tc>
              <w:tc>
                <w:tcPr>
                  <w:tcW w:w="456" w:type="pct"/>
                  <w:vAlign w:val="center"/>
                </w:tcPr>
                <w:p w14:paraId="4D1DE3B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873" w:type="pct"/>
                  <w:vAlign w:val="center"/>
                </w:tcPr>
                <w:p w14:paraId="0C6F9C2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434" w:type="pct"/>
                  <w:vAlign w:val="center"/>
                </w:tcPr>
                <w:p w14:paraId="7F280C52">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379" w:type="pct"/>
                  <w:vAlign w:val="center"/>
                </w:tcPr>
                <w:p w14:paraId="4672606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331" w:type="pct"/>
                  <w:vAlign w:val="center"/>
                </w:tcPr>
                <w:p w14:paraId="7648E19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73B2D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74" w:type="pct"/>
                  <w:vAlign w:val="center"/>
                </w:tcPr>
                <w:p w14:paraId="697637BD">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3</w:t>
                  </w:r>
                </w:p>
              </w:tc>
              <w:tc>
                <w:tcPr>
                  <w:tcW w:w="876" w:type="pct"/>
                  <w:vAlign w:val="center"/>
                </w:tcPr>
                <w:p w14:paraId="486B096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打磨抛光机</w:t>
                  </w:r>
                </w:p>
              </w:tc>
              <w:tc>
                <w:tcPr>
                  <w:tcW w:w="444" w:type="pct"/>
                  <w:vAlign w:val="center"/>
                </w:tcPr>
                <w:p w14:paraId="6E5925A8">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抛光打磨</w:t>
                  </w:r>
                </w:p>
              </w:tc>
              <w:tc>
                <w:tcPr>
                  <w:tcW w:w="672" w:type="pct"/>
                  <w:vAlign w:val="center"/>
                </w:tcPr>
                <w:p w14:paraId="128C22F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颗粒物</w:t>
                  </w:r>
                </w:p>
              </w:tc>
              <w:tc>
                <w:tcPr>
                  <w:tcW w:w="358" w:type="pct"/>
                  <w:vAlign w:val="center"/>
                </w:tcPr>
                <w:p w14:paraId="757F20C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有组织</w:t>
                  </w:r>
                </w:p>
              </w:tc>
              <w:tc>
                <w:tcPr>
                  <w:tcW w:w="456" w:type="pct"/>
                  <w:vAlign w:val="center"/>
                </w:tcPr>
                <w:p w14:paraId="758E4CC2">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TA00</w:t>
                  </w:r>
                  <w:r>
                    <w:rPr>
                      <w:rFonts w:hint="eastAsia" w:ascii="Times New Roman" w:hAnsi="Times New Roman" w:cs="Times New Roman"/>
                      <w:color w:val="auto"/>
                      <w:sz w:val="21"/>
                      <w:szCs w:val="21"/>
                      <w:highlight w:val="none"/>
                      <w:lang w:val="en-US" w:eastAsia="zh-CN"/>
                    </w:rPr>
                    <w:t>1</w:t>
                  </w:r>
                </w:p>
              </w:tc>
              <w:tc>
                <w:tcPr>
                  <w:tcW w:w="873" w:type="pct"/>
                  <w:vAlign w:val="center"/>
                </w:tcPr>
                <w:p w14:paraId="25545B4A">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密闭</w:t>
                  </w:r>
                  <w:r>
                    <w:rPr>
                      <w:rFonts w:hint="eastAsia" w:cs="Times New Roman"/>
                      <w:color w:val="auto"/>
                      <w:sz w:val="21"/>
                      <w:szCs w:val="21"/>
                      <w:highlight w:val="none"/>
                      <w:lang w:val="en-US" w:eastAsia="zh-CN"/>
                    </w:rPr>
                    <w:t>车间</w:t>
                  </w:r>
                  <w:r>
                    <w:rPr>
                      <w:rFonts w:hint="default" w:ascii="Times New Roman" w:hAnsi="Times New Roman" w:cs="Times New Roman"/>
                      <w:color w:val="auto"/>
                      <w:sz w:val="21"/>
                      <w:szCs w:val="21"/>
                      <w:highlight w:val="none"/>
                    </w:rPr>
                    <w:t>+布袋除尘</w:t>
                  </w:r>
                  <w:r>
                    <w:rPr>
                      <w:rFonts w:hint="eastAsia" w:cs="Times New Roman"/>
                      <w:color w:val="auto"/>
                      <w:sz w:val="21"/>
                      <w:szCs w:val="21"/>
                      <w:highlight w:val="none"/>
                      <w:lang w:val="en-US" w:eastAsia="zh-CN"/>
                    </w:rPr>
                    <w:t>器</w:t>
                  </w:r>
                </w:p>
              </w:tc>
              <w:tc>
                <w:tcPr>
                  <w:tcW w:w="434" w:type="pct"/>
                  <w:vAlign w:val="center"/>
                </w:tcPr>
                <w:p w14:paraId="06221D6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袋式</w:t>
                  </w:r>
                  <w:r>
                    <w:rPr>
                      <w:rFonts w:hint="default" w:ascii="Times New Roman" w:hAnsi="Times New Roman" w:cs="Times New Roman"/>
                      <w:color w:val="auto"/>
                      <w:sz w:val="21"/>
                      <w:szCs w:val="21"/>
                      <w:highlight w:val="none"/>
                    </w:rPr>
                    <w:t>除尘</w:t>
                  </w:r>
                </w:p>
              </w:tc>
              <w:tc>
                <w:tcPr>
                  <w:tcW w:w="379" w:type="pct"/>
                  <w:vAlign w:val="center"/>
                </w:tcPr>
                <w:p w14:paraId="0E2A1FE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是</w:t>
                  </w:r>
                </w:p>
              </w:tc>
              <w:tc>
                <w:tcPr>
                  <w:tcW w:w="331" w:type="pct"/>
                  <w:vAlign w:val="center"/>
                </w:tcPr>
                <w:p w14:paraId="6FDE063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DA001</w:t>
                  </w:r>
                </w:p>
              </w:tc>
            </w:tr>
            <w:tr w14:paraId="46443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74" w:type="pct"/>
                  <w:vAlign w:val="center"/>
                </w:tcPr>
                <w:p w14:paraId="77B76DE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876" w:type="pct"/>
                  <w:shd w:val="clear" w:color="auto" w:fill="auto"/>
                  <w:vAlign w:val="center"/>
                </w:tcPr>
                <w:p w14:paraId="14357954">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烘水炉燃烧机</w:t>
                  </w:r>
                </w:p>
              </w:tc>
              <w:tc>
                <w:tcPr>
                  <w:tcW w:w="444" w:type="pct"/>
                  <w:shd w:val="clear" w:color="auto" w:fill="auto"/>
                  <w:vAlign w:val="center"/>
                </w:tcPr>
                <w:p w14:paraId="1DE94563">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烘</w:t>
                  </w:r>
                  <w:r>
                    <w:rPr>
                      <w:rFonts w:hint="eastAsia" w:ascii="Times New Roman" w:hAnsi="Times New Roman" w:cs="Times New Roman"/>
                      <w:color w:val="auto"/>
                      <w:sz w:val="21"/>
                      <w:szCs w:val="21"/>
                      <w:highlight w:val="none"/>
                      <w:lang w:val="en-US" w:eastAsia="zh-CN"/>
                    </w:rPr>
                    <w:t>干</w:t>
                  </w:r>
                </w:p>
              </w:tc>
              <w:tc>
                <w:tcPr>
                  <w:tcW w:w="672" w:type="pct"/>
                  <w:shd w:val="clear" w:color="auto" w:fill="auto"/>
                  <w:vAlign w:val="center"/>
                </w:tcPr>
                <w:p w14:paraId="0055A112">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颗粒物、</w:t>
                  </w:r>
                  <w:r>
                    <w:rPr>
                      <w:rFonts w:hint="default" w:ascii="Times New Roman" w:hAnsi="Times New Roman" w:eastAsia="宋体" w:cs="Times New Roman"/>
                      <w:b w:val="0"/>
                      <w:bCs w:val="0"/>
                      <w:color w:val="auto"/>
                      <w:sz w:val="21"/>
                      <w:szCs w:val="21"/>
                      <w:highlight w:val="none"/>
                    </w:rPr>
                    <w:t>SO</w:t>
                  </w:r>
                  <w:r>
                    <w:rPr>
                      <w:rFonts w:hint="default" w:ascii="Times New Roman" w:hAnsi="Times New Roman" w:eastAsia="宋体" w:cs="Times New Roman"/>
                      <w:b w:val="0"/>
                      <w:bCs w:val="0"/>
                      <w:color w:val="auto"/>
                      <w:sz w:val="21"/>
                      <w:szCs w:val="21"/>
                      <w:highlight w:val="none"/>
                      <w:vertAlign w:val="subscript"/>
                    </w:rPr>
                    <w:t>2</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NO</w:t>
                  </w:r>
                  <w:r>
                    <w:rPr>
                      <w:rFonts w:hint="default" w:ascii="Times New Roman" w:hAnsi="Times New Roman" w:eastAsia="宋体" w:cs="Times New Roman"/>
                      <w:b w:val="0"/>
                      <w:bCs w:val="0"/>
                      <w:color w:val="auto"/>
                      <w:sz w:val="21"/>
                      <w:szCs w:val="21"/>
                      <w:highlight w:val="none"/>
                      <w:vertAlign w:val="subscript"/>
                    </w:rPr>
                    <w:t>X</w:t>
                  </w:r>
                </w:p>
              </w:tc>
              <w:tc>
                <w:tcPr>
                  <w:tcW w:w="358" w:type="pct"/>
                  <w:shd w:val="clear" w:color="auto" w:fill="auto"/>
                  <w:vAlign w:val="center"/>
                </w:tcPr>
                <w:p w14:paraId="4012F493">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有组织</w:t>
                  </w:r>
                </w:p>
              </w:tc>
              <w:tc>
                <w:tcPr>
                  <w:tcW w:w="456" w:type="pct"/>
                  <w:shd w:val="clear" w:color="auto" w:fill="auto"/>
                  <w:vAlign w:val="center"/>
                </w:tcPr>
                <w:p w14:paraId="4AD9F408">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873" w:type="pct"/>
                  <w:shd w:val="clear" w:color="auto" w:fill="auto"/>
                  <w:vAlign w:val="center"/>
                </w:tcPr>
                <w:p w14:paraId="0D59721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434" w:type="pct"/>
                  <w:shd w:val="clear" w:color="auto" w:fill="auto"/>
                  <w:vAlign w:val="center"/>
                </w:tcPr>
                <w:p w14:paraId="253FE061">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379" w:type="pct"/>
                  <w:shd w:val="clear" w:color="auto" w:fill="auto"/>
                  <w:vAlign w:val="center"/>
                </w:tcPr>
                <w:p w14:paraId="3F6966D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是</w:t>
                  </w:r>
                </w:p>
              </w:tc>
              <w:tc>
                <w:tcPr>
                  <w:tcW w:w="331" w:type="pct"/>
                  <w:shd w:val="clear" w:color="auto" w:fill="auto"/>
                  <w:vAlign w:val="center"/>
                </w:tcPr>
                <w:p w14:paraId="3D2A7D4F">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DA00</w:t>
                  </w:r>
                  <w:r>
                    <w:rPr>
                      <w:rFonts w:hint="eastAsia" w:ascii="Times New Roman" w:hAnsi="Times New Roman" w:cs="Times New Roman"/>
                      <w:color w:val="auto"/>
                      <w:sz w:val="21"/>
                      <w:szCs w:val="21"/>
                      <w:highlight w:val="none"/>
                      <w:lang w:val="en-US" w:eastAsia="zh-CN"/>
                    </w:rPr>
                    <w:t>2</w:t>
                  </w:r>
                </w:p>
              </w:tc>
            </w:tr>
            <w:tr w14:paraId="2D108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74" w:type="pct"/>
                  <w:vAlign w:val="center"/>
                </w:tcPr>
                <w:p w14:paraId="47E0FF97">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876" w:type="pct"/>
                  <w:vAlign w:val="center"/>
                </w:tcPr>
                <w:p w14:paraId="688BA220">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喷粉粉尘</w:t>
                  </w:r>
                </w:p>
              </w:tc>
              <w:tc>
                <w:tcPr>
                  <w:tcW w:w="444" w:type="pct"/>
                  <w:vAlign w:val="center"/>
                </w:tcPr>
                <w:p w14:paraId="027BADA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喷粉</w:t>
                  </w:r>
                </w:p>
              </w:tc>
              <w:tc>
                <w:tcPr>
                  <w:tcW w:w="672" w:type="pct"/>
                  <w:vAlign w:val="center"/>
                </w:tcPr>
                <w:p w14:paraId="5DC5F654">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颗粒物</w:t>
                  </w:r>
                </w:p>
              </w:tc>
              <w:tc>
                <w:tcPr>
                  <w:tcW w:w="971" w:type="dxa"/>
                  <w:vAlign w:val="center"/>
                </w:tcPr>
                <w:p w14:paraId="07B7D068">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无组织</w:t>
                  </w:r>
                </w:p>
              </w:tc>
              <w:tc>
                <w:tcPr>
                  <w:tcW w:w="1237" w:type="dxa"/>
                  <w:vAlign w:val="center"/>
                </w:tcPr>
                <w:p w14:paraId="708513F2">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TA002</w:t>
                  </w:r>
                </w:p>
              </w:tc>
              <w:tc>
                <w:tcPr>
                  <w:tcW w:w="2369" w:type="dxa"/>
                  <w:vAlign w:val="center"/>
                </w:tcPr>
                <w:p w14:paraId="4C26903E">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密闭车间负压收集+大旋风+滤芯式二级回收系统</w:t>
                  </w:r>
                </w:p>
              </w:tc>
              <w:tc>
                <w:tcPr>
                  <w:tcW w:w="1178" w:type="dxa"/>
                  <w:vAlign w:val="center"/>
                </w:tcPr>
                <w:p w14:paraId="2942BD9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大旋风+滤芯式二级回收</w:t>
                  </w:r>
                </w:p>
              </w:tc>
              <w:tc>
                <w:tcPr>
                  <w:tcW w:w="1028" w:type="dxa"/>
                  <w:vAlign w:val="center"/>
                </w:tcPr>
                <w:p w14:paraId="725ECF9A">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899" w:type="dxa"/>
                  <w:vAlign w:val="center"/>
                </w:tcPr>
                <w:p w14:paraId="1AD2E10E">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w:t>
                  </w:r>
                </w:p>
              </w:tc>
            </w:tr>
            <w:tr w14:paraId="5E6D2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74" w:type="pct"/>
                  <w:vAlign w:val="center"/>
                </w:tcPr>
                <w:p w14:paraId="167B89A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876" w:type="pct"/>
                  <w:vAlign w:val="center"/>
                </w:tcPr>
                <w:p w14:paraId="0D0C5623">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喷涂、丝印（含表面清洁）、固化工序</w:t>
                  </w:r>
                </w:p>
              </w:tc>
              <w:tc>
                <w:tcPr>
                  <w:tcW w:w="444" w:type="pct"/>
                  <w:vAlign w:val="center"/>
                </w:tcPr>
                <w:p w14:paraId="3D32E05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喷</w:t>
                  </w:r>
                  <w:r>
                    <w:rPr>
                      <w:rFonts w:hint="eastAsia" w:ascii="Times New Roman" w:hAnsi="Times New Roman" w:cs="Times New Roman"/>
                      <w:color w:val="auto"/>
                      <w:sz w:val="21"/>
                      <w:szCs w:val="21"/>
                      <w:highlight w:val="none"/>
                      <w:lang w:val="en-US" w:eastAsia="zh-CN"/>
                    </w:rPr>
                    <w:t>漆</w:t>
                  </w:r>
                  <w:r>
                    <w:rPr>
                      <w:rFonts w:hint="eastAsia" w:cs="Times New Roman"/>
                      <w:color w:val="auto"/>
                      <w:sz w:val="21"/>
                      <w:szCs w:val="21"/>
                      <w:highlight w:val="none"/>
                      <w:lang w:val="en-US" w:eastAsia="zh-CN"/>
                    </w:rPr>
                    <w:t>、丝印、</w:t>
                  </w:r>
                  <w:r>
                    <w:rPr>
                      <w:rFonts w:hint="eastAsia" w:cs="Times New Roman"/>
                      <w:b w:val="0"/>
                      <w:bCs w:val="0"/>
                      <w:color w:val="auto"/>
                      <w:kern w:val="2"/>
                      <w:sz w:val="21"/>
                      <w:szCs w:val="21"/>
                      <w:highlight w:val="none"/>
                      <w:lang w:val="en-US" w:eastAsia="zh-CN" w:bidi="ar-SA"/>
                    </w:rPr>
                    <w:t>表面清洁</w:t>
                  </w:r>
                  <w:r>
                    <w:rPr>
                      <w:rFonts w:hint="eastAsia" w:cs="Times New Roman"/>
                      <w:color w:val="auto"/>
                      <w:sz w:val="21"/>
                      <w:szCs w:val="21"/>
                      <w:highlight w:val="none"/>
                      <w:lang w:val="en-US" w:eastAsia="zh-CN"/>
                    </w:rPr>
                    <w:t>、固化</w:t>
                  </w:r>
                </w:p>
              </w:tc>
              <w:tc>
                <w:tcPr>
                  <w:tcW w:w="672" w:type="pct"/>
                  <w:vAlign w:val="center"/>
                </w:tcPr>
                <w:p w14:paraId="4F5347A5">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val="0"/>
                      <w:color w:val="auto"/>
                      <w:sz w:val="21"/>
                      <w:szCs w:val="21"/>
                      <w:highlight w:val="none"/>
                      <w:vertAlign w:val="superscript"/>
                      <w:lang w:val="en-US" w:eastAsia="zh-CN"/>
                    </w:rPr>
                  </w:pPr>
                  <w:r>
                    <w:rPr>
                      <w:rFonts w:hint="eastAsia" w:ascii="Times New Roman" w:hAnsi="Times New Roman" w:eastAsia="宋体" w:cs="Times New Roman"/>
                      <w:b w:val="0"/>
                      <w:bCs w:val="0"/>
                      <w:color w:val="auto"/>
                      <w:sz w:val="21"/>
                      <w:szCs w:val="21"/>
                      <w:highlight w:val="none"/>
                      <w:lang w:val="en-US" w:eastAsia="zh-CN"/>
                    </w:rPr>
                    <w:t>颗粒物、非甲烷总烃、苯系物、臭气浓度</w:t>
                  </w:r>
                  <w:r>
                    <w:rPr>
                      <w:rFonts w:hint="default" w:ascii="Times New Roman" w:hAnsi="Times New Roman" w:eastAsia="宋体"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烟气黑度、</w:t>
                  </w:r>
                  <w:r>
                    <w:rPr>
                      <w:rFonts w:hint="default" w:ascii="Times New Roman" w:hAnsi="Times New Roman" w:eastAsia="宋体" w:cs="Times New Roman"/>
                      <w:b w:val="0"/>
                      <w:bCs w:val="0"/>
                      <w:color w:val="auto"/>
                      <w:sz w:val="21"/>
                      <w:szCs w:val="21"/>
                      <w:highlight w:val="none"/>
                    </w:rPr>
                    <w:t>SO</w:t>
                  </w:r>
                  <w:r>
                    <w:rPr>
                      <w:rFonts w:hint="default" w:ascii="Times New Roman" w:hAnsi="Times New Roman" w:eastAsia="宋体" w:cs="Times New Roman"/>
                      <w:b w:val="0"/>
                      <w:bCs w:val="0"/>
                      <w:color w:val="auto"/>
                      <w:sz w:val="21"/>
                      <w:szCs w:val="21"/>
                      <w:highlight w:val="none"/>
                      <w:vertAlign w:val="subscript"/>
                    </w:rPr>
                    <w:t>2</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NO</w:t>
                  </w:r>
                  <w:r>
                    <w:rPr>
                      <w:rFonts w:hint="default" w:ascii="Times New Roman" w:hAnsi="Times New Roman" w:eastAsia="宋体" w:cs="Times New Roman"/>
                      <w:b w:val="0"/>
                      <w:bCs w:val="0"/>
                      <w:color w:val="auto"/>
                      <w:sz w:val="21"/>
                      <w:szCs w:val="21"/>
                      <w:highlight w:val="none"/>
                      <w:vertAlign w:val="subscript"/>
                    </w:rPr>
                    <w:t>X</w:t>
                  </w:r>
                </w:p>
              </w:tc>
              <w:tc>
                <w:tcPr>
                  <w:tcW w:w="358" w:type="pct"/>
                  <w:vAlign w:val="center"/>
                </w:tcPr>
                <w:p w14:paraId="62C9A42D">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有组织</w:t>
                  </w:r>
                </w:p>
              </w:tc>
              <w:tc>
                <w:tcPr>
                  <w:tcW w:w="456" w:type="pct"/>
                  <w:vAlign w:val="center"/>
                </w:tcPr>
                <w:p w14:paraId="645674CA">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TA00</w:t>
                  </w:r>
                  <w:r>
                    <w:rPr>
                      <w:rFonts w:hint="eastAsia" w:cs="Times New Roman"/>
                      <w:color w:val="auto"/>
                      <w:sz w:val="21"/>
                      <w:szCs w:val="21"/>
                      <w:highlight w:val="none"/>
                      <w:lang w:val="en-US" w:eastAsia="zh-CN"/>
                    </w:rPr>
                    <w:t>3</w:t>
                  </w:r>
                </w:p>
              </w:tc>
              <w:tc>
                <w:tcPr>
                  <w:tcW w:w="873" w:type="pct"/>
                  <w:vAlign w:val="center"/>
                </w:tcPr>
                <w:p w14:paraId="242C6ED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喷淋</w:t>
                  </w:r>
                  <w:r>
                    <w:rPr>
                      <w:rFonts w:hint="default" w:ascii="Times New Roman" w:hAnsi="Times New Roman" w:eastAsia="宋体" w:cs="Times New Roman"/>
                      <w:color w:val="auto"/>
                      <w:sz w:val="21"/>
                      <w:szCs w:val="21"/>
                      <w:highlight w:val="none"/>
                    </w:rPr>
                    <w:t>+干式过滤器+</w:t>
                  </w:r>
                  <w:r>
                    <w:rPr>
                      <w:rFonts w:hint="eastAsia" w:cs="Times New Roman"/>
                      <w:color w:val="auto"/>
                      <w:sz w:val="21"/>
                      <w:szCs w:val="21"/>
                      <w:highlight w:val="none"/>
                      <w:lang w:val="en-US" w:eastAsia="zh-CN"/>
                    </w:rPr>
                    <w:t>二级活性炭吸附装置</w:t>
                  </w:r>
                </w:p>
              </w:tc>
              <w:tc>
                <w:tcPr>
                  <w:tcW w:w="434" w:type="pct"/>
                  <w:vAlign w:val="center"/>
                </w:tcPr>
                <w:p w14:paraId="5EE28560">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color w:val="auto"/>
                      <w:sz w:val="21"/>
                      <w:szCs w:val="21"/>
                      <w:highlight w:val="none"/>
                      <w:lang w:val="en-US" w:eastAsia="zh-CN"/>
                    </w:rPr>
                  </w:pPr>
                  <w:r>
                    <w:rPr>
                      <w:rFonts w:hint="eastAsia" w:cs="Times New Roman"/>
                      <w:color w:val="auto"/>
                      <w:sz w:val="21"/>
                      <w:szCs w:val="21"/>
                      <w:highlight w:val="none"/>
                      <w:lang w:eastAsia="zh-CN"/>
                    </w:rPr>
                    <w:t>喷淋+干式过滤器+二级活性炭吸附装置</w:t>
                  </w:r>
                </w:p>
              </w:tc>
              <w:tc>
                <w:tcPr>
                  <w:tcW w:w="379" w:type="pct"/>
                  <w:vAlign w:val="center"/>
                </w:tcPr>
                <w:p w14:paraId="52225BA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是</w:t>
                  </w:r>
                </w:p>
              </w:tc>
              <w:tc>
                <w:tcPr>
                  <w:tcW w:w="331" w:type="pct"/>
                  <w:vAlign w:val="center"/>
                </w:tcPr>
                <w:p w14:paraId="77DE21D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DA003</w:t>
                  </w:r>
                </w:p>
              </w:tc>
            </w:tr>
          </w:tbl>
          <w:p w14:paraId="75D12423">
            <w:pPr>
              <w:keepNext w:val="0"/>
              <w:keepLines w:val="0"/>
              <w:pageBreakBefore w:val="0"/>
              <w:widowControl w:val="0"/>
              <w:numPr>
                <w:ilvl w:val="0"/>
                <w:numId w:val="10"/>
              </w:numPr>
              <w:kinsoku/>
              <w:wordWrap w:val="0"/>
              <w:overflowPunct/>
              <w:topLinePunct w:val="0"/>
              <w:autoSpaceDE/>
              <w:autoSpaceDN/>
              <w:bidi w:val="0"/>
              <w:adjustRightInd/>
              <w:snapToGrid/>
              <w:spacing w:line="240" w:lineRule="auto"/>
              <w:ind w:left="0" w:leftChars="0" w:hanging="1"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 xml:space="preserve"> 废气排放口基本情况一览表</w:t>
            </w:r>
          </w:p>
          <w:tbl>
            <w:tblPr>
              <w:tblStyle w:val="125"/>
              <w:tblW w:w="499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37"/>
              <w:gridCol w:w="2177"/>
              <w:gridCol w:w="1876"/>
              <w:gridCol w:w="1878"/>
              <w:gridCol w:w="1248"/>
              <w:gridCol w:w="755"/>
              <w:gridCol w:w="1046"/>
              <w:gridCol w:w="924"/>
              <w:gridCol w:w="976"/>
              <w:gridCol w:w="747"/>
              <w:gridCol w:w="911"/>
            </w:tblGrid>
            <w:tr w14:paraId="5FFF7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348" w:type="pct"/>
                  <w:vMerge w:val="restart"/>
                  <w:tcBorders>
                    <w:tl2br w:val="nil"/>
                    <w:tr2bl w:val="nil"/>
                  </w:tcBorders>
                  <w:vAlign w:val="center"/>
                </w:tcPr>
                <w:p w14:paraId="0DF8C413">
                  <w:pPr>
                    <w:widowControl w:val="0"/>
                    <w:kinsoku/>
                    <w:autoSpaceDE/>
                    <w:autoSpaceDN/>
                    <w:adjustRightInd w:val="0"/>
                    <w:snapToGrid w:val="0"/>
                    <w:spacing w:line="240" w:lineRule="auto"/>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排污口编号</w:t>
                  </w:r>
                </w:p>
              </w:tc>
              <w:tc>
                <w:tcPr>
                  <w:tcW w:w="808" w:type="pct"/>
                  <w:vMerge w:val="restart"/>
                  <w:tcBorders>
                    <w:tl2br w:val="nil"/>
                    <w:tr2bl w:val="nil"/>
                  </w:tcBorders>
                  <w:vAlign w:val="center"/>
                </w:tcPr>
                <w:p w14:paraId="7CC22B97">
                  <w:pPr>
                    <w:widowControl w:val="0"/>
                    <w:kinsoku/>
                    <w:autoSpaceDE/>
                    <w:autoSpaceDN/>
                    <w:adjustRightInd w:val="0"/>
                    <w:snapToGrid w:val="0"/>
                    <w:spacing w:line="240" w:lineRule="auto"/>
                    <w:jc w:val="center"/>
                    <w:textAlignment w:val="auto"/>
                    <w:rPr>
                      <w:rFonts w:hint="default" w:ascii="Times New Roman" w:hAnsi="Times New Roman" w:eastAsia="宋体" w:cs="Times New Roman"/>
                      <w:b/>
                      <w:bCs/>
                      <w:snapToGrid/>
                      <w:color w:val="auto"/>
                      <w:kern w:val="2"/>
                      <w:sz w:val="21"/>
                      <w:szCs w:val="21"/>
                      <w:highlight w:val="none"/>
                      <w:lang w:eastAsia="zh-CN"/>
                    </w:rPr>
                  </w:pPr>
                  <w:r>
                    <w:rPr>
                      <w:rFonts w:hint="default" w:ascii="Times New Roman" w:hAnsi="Times New Roman" w:eastAsia="宋体" w:cs="Times New Roman"/>
                      <w:b/>
                      <w:bCs/>
                      <w:snapToGrid/>
                      <w:color w:val="auto"/>
                      <w:kern w:val="2"/>
                      <w:sz w:val="21"/>
                      <w:szCs w:val="21"/>
                      <w:highlight w:val="none"/>
                      <w:lang w:eastAsia="zh-CN"/>
                    </w:rPr>
                    <w:t>排污口名称</w:t>
                  </w:r>
                </w:p>
              </w:tc>
              <w:tc>
                <w:tcPr>
                  <w:tcW w:w="1393" w:type="pct"/>
                  <w:gridSpan w:val="2"/>
                  <w:tcBorders>
                    <w:tl2br w:val="nil"/>
                    <w:tr2bl w:val="nil"/>
                  </w:tcBorders>
                  <w:vAlign w:val="center"/>
                </w:tcPr>
                <w:p w14:paraId="170217A5">
                  <w:pPr>
                    <w:widowControl w:val="0"/>
                    <w:kinsoku/>
                    <w:autoSpaceDE w:val="0"/>
                    <w:autoSpaceDN w:val="0"/>
                    <w:adjustRightInd w:val="0"/>
                    <w:snapToGrid/>
                    <w:spacing w:line="240" w:lineRule="auto"/>
                    <w:jc w:val="center"/>
                    <w:textAlignment w:val="auto"/>
                    <w:rPr>
                      <w:rFonts w:hint="default" w:ascii="Times New Roman" w:hAnsi="Times New Roman" w:eastAsia="宋体" w:cs="Times New Roman"/>
                      <w:b/>
                      <w:bCs/>
                      <w:snapToGrid/>
                      <w:color w:val="auto"/>
                      <w:kern w:val="2"/>
                      <w:sz w:val="21"/>
                      <w:szCs w:val="21"/>
                      <w:highlight w:val="none"/>
                      <w:lang w:val="en-US" w:eastAsia="zh-CN" w:bidi="ar-SA"/>
                    </w:rPr>
                  </w:pPr>
                  <w:r>
                    <w:rPr>
                      <w:rFonts w:hint="default" w:ascii="Times New Roman" w:hAnsi="Times New Roman" w:eastAsia="宋体" w:cs="Times New Roman"/>
                      <w:b/>
                      <w:bCs/>
                      <w:snapToGrid/>
                      <w:color w:val="auto"/>
                      <w:kern w:val="0"/>
                      <w:sz w:val="21"/>
                      <w:szCs w:val="21"/>
                      <w:highlight w:val="none"/>
                      <w:lang w:eastAsia="zh-CN"/>
                    </w:rPr>
                    <w:t>排放口地理坐标（</w:t>
                  </w:r>
                  <w:r>
                    <w:rPr>
                      <w:rFonts w:hint="default" w:ascii="Times New Roman" w:hAnsi="Times New Roman" w:eastAsia="宋体" w:cs="Times New Roman"/>
                      <w:b/>
                      <w:bCs/>
                      <w:snapToGrid/>
                      <w:color w:val="auto"/>
                      <w:kern w:val="0"/>
                      <w:sz w:val="21"/>
                      <w:szCs w:val="21"/>
                      <w:highlight w:val="none"/>
                      <w:lang w:val="en-US" w:eastAsia="zh-CN"/>
                    </w:rPr>
                    <w:t>°</w:t>
                  </w:r>
                  <w:r>
                    <w:rPr>
                      <w:rFonts w:hint="default" w:ascii="Times New Roman" w:hAnsi="Times New Roman" w:eastAsia="宋体" w:cs="Times New Roman"/>
                      <w:b/>
                      <w:bCs/>
                      <w:snapToGrid/>
                      <w:color w:val="auto"/>
                      <w:kern w:val="0"/>
                      <w:sz w:val="21"/>
                      <w:szCs w:val="21"/>
                      <w:highlight w:val="none"/>
                      <w:lang w:eastAsia="zh-CN"/>
                    </w:rPr>
                    <w:t>）</w:t>
                  </w:r>
                </w:p>
              </w:tc>
              <w:tc>
                <w:tcPr>
                  <w:tcW w:w="463" w:type="pct"/>
                  <w:vMerge w:val="restart"/>
                  <w:tcBorders>
                    <w:right w:val="single" w:color="auto" w:sz="4" w:space="0"/>
                    <w:tl2br w:val="nil"/>
                    <w:tr2bl w:val="nil"/>
                  </w:tcBorders>
                  <w:vAlign w:val="center"/>
                </w:tcPr>
                <w:p w14:paraId="0CA66840">
                  <w:pPr>
                    <w:jc w:val="center"/>
                    <w:rPr>
                      <w:rFonts w:hint="default" w:ascii="Times New Roman" w:hAnsi="Times New Roman" w:eastAsia="宋体" w:cs="Times New Roman"/>
                      <w:b/>
                      <w:bCs/>
                      <w:snapToGrid/>
                      <w:color w:val="auto"/>
                      <w:kern w:val="2"/>
                      <w:sz w:val="21"/>
                      <w:szCs w:val="21"/>
                      <w:highlight w:val="none"/>
                      <w:lang w:val="en-US" w:eastAsia="zh-CN"/>
                    </w:rPr>
                  </w:pPr>
                  <w:r>
                    <w:rPr>
                      <w:rFonts w:hint="default" w:ascii="Times New Roman" w:hAnsi="Times New Roman" w:cs="Times New Roman"/>
                      <w:b/>
                      <w:bCs/>
                      <w:snapToGrid/>
                      <w:color w:val="auto"/>
                      <w:kern w:val="2"/>
                      <w:sz w:val="21"/>
                      <w:szCs w:val="21"/>
                      <w:highlight w:val="none"/>
                      <w:lang w:val="en-US" w:eastAsia="zh-CN"/>
                    </w:rPr>
                    <w:t>类型</w:t>
                  </w:r>
                </w:p>
              </w:tc>
              <w:tc>
                <w:tcPr>
                  <w:tcW w:w="280" w:type="pct"/>
                  <w:vMerge w:val="restart"/>
                  <w:tcBorders>
                    <w:left w:val="single" w:color="auto" w:sz="4" w:space="0"/>
                    <w:right w:val="single" w:color="auto" w:sz="4" w:space="0"/>
                    <w:tl2br w:val="nil"/>
                    <w:tr2bl w:val="nil"/>
                  </w:tcBorders>
                  <w:vAlign w:val="center"/>
                </w:tcPr>
                <w:p w14:paraId="50DF280B">
                  <w:pPr>
                    <w:jc w:val="center"/>
                    <w:rPr>
                      <w:rFonts w:hint="default" w:ascii="Times New Roman" w:hAnsi="Times New Roman" w:eastAsia="宋体" w:cs="Times New Roman"/>
                      <w:b/>
                      <w:bCs/>
                      <w:snapToGrid/>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排气筒高度/m</w:t>
                  </w:r>
                </w:p>
              </w:tc>
              <w:tc>
                <w:tcPr>
                  <w:tcW w:w="388" w:type="pct"/>
                  <w:vMerge w:val="restart"/>
                  <w:tcBorders>
                    <w:left w:val="single" w:color="auto" w:sz="4" w:space="0"/>
                    <w:right w:val="single" w:color="auto" w:sz="4" w:space="0"/>
                    <w:tl2br w:val="nil"/>
                    <w:tr2bl w:val="nil"/>
                  </w:tcBorders>
                  <w:vAlign w:val="center"/>
                </w:tcPr>
                <w:p w14:paraId="3F3F5AF6">
                  <w:pPr>
                    <w:jc w:val="center"/>
                    <w:rPr>
                      <w:rFonts w:hint="default" w:ascii="Times New Roman" w:hAnsi="Times New Roman" w:eastAsia="宋体" w:cs="Times New Roman"/>
                      <w:b/>
                      <w:bCs/>
                      <w:snapToGrid/>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排气筒出口内径/m</w:t>
                  </w:r>
                </w:p>
              </w:tc>
              <w:tc>
                <w:tcPr>
                  <w:tcW w:w="343" w:type="pct"/>
                  <w:vMerge w:val="restart"/>
                  <w:tcBorders>
                    <w:left w:val="single" w:color="auto" w:sz="4" w:space="0"/>
                    <w:right w:val="single" w:color="auto" w:sz="4" w:space="0"/>
                    <w:tl2br w:val="nil"/>
                    <w:tr2bl w:val="nil"/>
                  </w:tcBorders>
                  <w:vAlign w:val="center"/>
                </w:tcPr>
                <w:p w14:paraId="44A5F199">
                  <w:pPr>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rPr>
                    <w:t>烟气流速（m/s）</w:t>
                  </w:r>
                </w:p>
              </w:tc>
              <w:tc>
                <w:tcPr>
                  <w:tcW w:w="362" w:type="pct"/>
                  <w:vMerge w:val="restart"/>
                  <w:tcBorders>
                    <w:left w:val="single" w:color="auto" w:sz="4" w:space="0"/>
                    <w:right w:val="single" w:color="auto" w:sz="4" w:space="0"/>
                    <w:tl2br w:val="nil"/>
                    <w:tr2bl w:val="nil"/>
                  </w:tcBorders>
                  <w:vAlign w:val="center"/>
                </w:tcPr>
                <w:p w14:paraId="44588754">
                  <w:pPr>
                    <w:jc w:val="center"/>
                    <w:rPr>
                      <w:rFonts w:hint="default" w:ascii="Times New Roman" w:hAnsi="Times New Roman" w:eastAsia="宋体" w:cs="Times New Roman"/>
                      <w:b/>
                      <w:bCs/>
                      <w:snapToGrid/>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烟气量（m³/h）</w:t>
                  </w:r>
                </w:p>
              </w:tc>
              <w:tc>
                <w:tcPr>
                  <w:tcW w:w="277" w:type="pct"/>
                  <w:vMerge w:val="restart"/>
                  <w:tcBorders>
                    <w:left w:val="single" w:color="auto" w:sz="4" w:space="0"/>
                    <w:right w:val="single" w:color="auto" w:sz="4" w:space="0"/>
                    <w:tl2br w:val="nil"/>
                    <w:tr2bl w:val="nil"/>
                  </w:tcBorders>
                  <w:vAlign w:val="center"/>
                </w:tcPr>
                <w:p w14:paraId="1FAFB297">
                  <w:pPr>
                    <w:jc w:val="center"/>
                    <w:rPr>
                      <w:rFonts w:hint="default" w:ascii="Times New Roman" w:hAnsi="Times New Roman" w:eastAsia="宋体" w:cs="Times New Roman"/>
                      <w:b/>
                      <w:bCs/>
                      <w:snapToGrid/>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烟气温度</w:t>
                  </w:r>
                </w:p>
              </w:tc>
              <w:tc>
                <w:tcPr>
                  <w:tcW w:w="332" w:type="pct"/>
                  <w:vMerge w:val="restart"/>
                  <w:tcBorders>
                    <w:left w:val="single" w:color="auto" w:sz="4" w:space="0"/>
                    <w:tl2br w:val="nil"/>
                    <w:tr2bl w:val="nil"/>
                  </w:tcBorders>
                  <w:vAlign w:val="center"/>
                </w:tcPr>
                <w:p w14:paraId="51C5D179">
                  <w:pPr>
                    <w:jc w:val="center"/>
                    <w:rPr>
                      <w:rFonts w:hint="default" w:ascii="Times New Roman" w:hAnsi="Times New Roman" w:eastAsia="宋体" w:cs="Times New Roman"/>
                      <w:b/>
                      <w:bCs/>
                      <w:snapToGrid/>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年排放小时数/h</w:t>
                  </w:r>
                </w:p>
              </w:tc>
            </w:tr>
            <w:tr w14:paraId="44DC1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348" w:type="pct"/>
                  <w:vMerge w:val="continue"/>
                  <w:tcBorders>
                    <w:tl2br w:val="nil"/>
                    <w:tr2bl w:val="nil"/>
                  </w:tcBorders>
                  <w:vAlign w:val="center"/>
                </w:tcPr>
                <w:p w14:paraId="0F236FF8">
                  <w:pPr>
                    <w:widowControl w:val="0"/>
                    <w:kinsoku/>
                    <w:autoSpaceDE/>
                    <w:autoSpaceDN/>
                    <w:adjustRightInd w:val="0"/>
                    <w:snapToGrid w:val="0"/>
                    <w:spacing w:line="240" w:lineRule="auto"/>
                    <w:jc w:val="center"/>
                    <w:textAlignment w:val="auto"/>
                    <w:rPr>
                      <w:rFonts w:hint="default" w:ascii="Times New Roman" w:hAnsi="Times New Roman" w:eastAsia="宋体" w:cs="Times New Roman"/>
                      <w:b/>
                      <w:bCs/>
                      <w:snapToGrid/>
                      <w:color w:val="auto"/>
                      <w:kern w:val="2"/>
                      <w:sz w:val="21"/>
                      <w:szCs w:val="21"/>
                      <w:highlight w:val="none"/>
                      <w:lang w:eastAsia="zh-CN"/>
                    </w:rPr>
                  </w:pPr>
                </w:p>
              </w:tc>
              <w:tc>
                <w:tcPr>
                  <w:tcW w:w="808" w:type="pct"/>
                  <w:vMerge w:val="continue"/>
                  <w:tcBorders>
                    <w:tl2br w:val="nil"/>
                    <w:tr2bl w:val="nil"/>
                  </w:tcBorders>
                  <w:vAlign w:val="center"/>
                </w:tcPr>
                <w:p w14:paraId="50DAABA2">
                  <w:pPr>
                    <w:widowControl w:val="0"/>
                    <w:kinsoku/>
                    <w:autoSpaceDE/>
                    <w:autoSpaceDN/>
                    <w:adjustRightInd w:val="0"/>
                    <w:snapToGrid w:val="0"/>
                    <w:spacing w:line="240" w:lineRule="auto"/>
                    <w:jc w:val="center"/>
                    <w:textAlignment w:val="auto"/>
                    <w:rPr>
                      <w:rFonts w:hint="default" w:ascii="Times New Roman" w:hAnsi="Times New Roman" w:eastAsia="宋体" w:cs="Times New Roman"/>
                      <w:b/>
                      <w:bCs/>
                      <w:snapToGrid/>
                      <w:color w:val="auto"/>
                      <w:kern w:val="2"/>
                      <w:sz w:val="21"/>
                      <w:szCs w:val="21"/>
                      <w:highlight w:val="none"/>
                      <w:lang w:eastAsia="zh-CN"/>
                    </w:rPr>
                  </w:pPr>
                </w:p>
              </w:tc>
              <w:tc>
                <w:tcPr>
                  <w:tcW w:w="696" w:type="pct"/>
                  <w:tcBorders>
                    <w:tl2br w:val="nil"/>
                    <w:tr2bl w:val="nil"/>
                  </w:tcBorders>
                  <w:vAlign w:val="center"/>
                </w:tcPr>
                <w:p w14:paraId="525B125D">
                  <w:pPr>
                    <w:widowControl w:val="0"/>
                    <w:kinsoku/>
                    <w:autoSpaceDE w:val="0"/>
                    <w:autoSpaceDN w:val="0"/>
                    <w:adjustRightInd w:val="0"/>
                    <w:snapToGrid/>
                    <w:spacing w:line="240" w:lineRule="auto"/>
                    <w:jc w:val="center"/>
                    <w:textAlignment w:val="auto"/>
                    <w:rPr>
                      <w:rFonts w:hint="default" w:ascii="Times New Roman" w:hAnsi="Times New Roman" w:eastAsia="宋体" w:cs="Times New Roman"/>
                      <w:b/>
                      <w:bCs/>
                      <w:snapToGrid/>
                      <w:color w:val="auto"/>
                      <w:kern w:val="2"/>
                      <w:sz w:val="21"/>
                      <w:szCs w:val="21"/>
                      <w:highlight w:val="none"/>
                      <w:lang w:val="en-US" w:eastAsia="zh-CN" w:bidi="ar-SA"/>
                    </w:rPr>
                  </w:pPr>
                  <w:r>
                    <w:rPr>
                      <w:rFonts w:hint="default" w:ascii="Times New Roman" w:hAnsi="Times New Roman" w:eastAsia="宋体" w:cs="Times New Roman"/>
                      <w:b/>
                      <w:bCs/>
                      <w:snapToGrid/>
                      <w:color w:val="auto"/>
                      <w:kern w:val="0"/>
                      <w:sz w:val="21"/>
                      <w:szCs w:val="21"/>
                      <w:highlight w:val="none"/>
                      <w:lang w:eastAsia="zh-CN"/>
                    </w:rPr>
                    <w:t>经度</w:t>
                  </w:r>
                </w:p>
              </w:tc>
              <w:tc>
                <w:tcPr>
                  <w:tcW w:w="696" w:type="pct"/>
                  <w:tcBorders>
                    <w:tl2br w:val="nil"/>
                    <w:tr2bl w:val="nil"/>
                  </w:tcBorders>
                  <w:vAlign w:val="center"/>
                </w:tcPr>
                <w:p w14:paraId="67B38FA4">
                  <w:pPr>
                    <w:widowControl w:val="0"/>
                    <w:kinsoku/>
                    <w:autoSpaceDE/>
                    <w:autoSpaceDN/>
                    <w:adjustRightInd w:val="0"/>
                    <w:snapToGrid w:val="0"/>
                    <w:spacing w:line="240" w:lineRule="auto"/>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b/>
                      <w:bCs/>
                      <w:snapToGrid/>
                      <w:color w:val="auto"/>
                      <w:kern w:val="0"/>
                      <w:sz w:val="21"/>
                      <w:szCs w:val="21"/>
                      <w:highlight w:val="none"/>
                      <w:lang w:eastAsia="zh-CN"/>
                    </w:rPr>
                    <w:t>纬度</w:t>
                  </w:r>
                </w:p>
              </w:tc>
              <w:tc>
                <w:tcPr>
                  <w:tcW w:w="463" w:type="pct"/>
                  <w:vMerge w:val="continue"/>
                  <w:tcBorders>
                    <w:right w:val="single" w:color="auto" w:sz="4" w:space="0"/>
                    <w:tl2br w:val="nil"/>
                    <w:tr2bl w:val="nil"/>
                  </w:tcBorders>
                  <w:vAlign w:val="center"/>
                </w:tcPr>
                <w:p w14:paraId="4A8797E3">
                  <w:pPr>
                    <w:jc w:val="center"/>
                    <w:rPr>
                      <w:rFonts w:hint="default" w:ascii="Times New Roman" w:hAnsi="Times New Roman" w:eastAsia="宋体" w:cs="Times New Roman"/>
                      <w:b/>
                      <w:bCs/>
                      <w:snapToGrid/>
                      <w:color w:val="auto"/>
                      <w:kern w:val="2"/>
                      <w:sz w:val="21"/>
                      <w:szCs w:val="21"/>
                      <w:highlight w:val="none"/>
                      <w:lang w:val="en-US" w:eastAsia="zh-CN"/>
                    </w:rPr>
                  </w:pPr>
                </w:p>
              </w:tc>
              <w:tc>
                <w:tcPr>
                  <w:tcW w:w="280" w:type="pct"/>
                  <w:vMerge w:val="continue"/>
                  <w:tcBorders>
                    <w:left w:val="single" w:color="auto" w:sz="4" w:space="0"/>
                    <w:right w:val="single" w:color="auto" w:sz="4" w:space="0"/>
                    <w:tl2br w:val="nil"/>
                    <w:tr2bl w:val="nil"/>
                  </w:tcBorders>
                  <w:vAlign w:val="center"/>
                </w:tcPr>
                <w:p w14:paraId="483E314E">
                  <w:pPr>
                    <w:jc w:val="center"/>
                    <w:rPr>
                      <w:rFonts w:hint="default" w:ascii="Times New Roman" w:hAnsi="Times New Roman" w:eastAsia="宋体" w:cs="Times New Roman"/>
                      <w:b/>
                      <w:bCs/>
                      <w:snapToGrid/>
                      <w:color w:val="auto"/>
                      <w:kern w:val="2"/>
                      <w:sz w:val="21"/>
                      <w:szCs w:val="21"/>
                      <w:highlight w:val="none"/>
                      <w:lang w:val="en-US" w:eastAsia="zh-CN" w:bidi="ar-SA"/>
                    </w:rPr>
                  </w:pPr>
                </w:p>
              </w:tc>
              <w:tc>
                <w:tcPr>
                  <w:tcW w:w="388" w:type="pct"/>
                  <w:vMerge w:val="continue"/>
                  <w:tcBorders>
                    <w:left w:val="single" w:color="auto" w:sz="4" w:space="0"/>
                    <w:right w:val="single" w:color="auto" w:sz="4" w:space="0"/>
                    <w:tl2br w:val="nil"/>
                    <w:tr2bl w:val="nil"/>
                  </w:tcBorders>
                  <w:vAlign w:val="center"/>
                </w:tcPr>
                <w:p w14:paraId="229C339A">
                  <w:pPr>
                    <w:jc w:val="center"/>
                    <w:rPr>
                      <w:rFonts w:hint="default" w:ascii="Times New Roman" w:hAnsi="Times New Roman" w:eastAsia="宋体" w:cs="Times New Roman"/>
                      <w:b/>
                      <w:bCs/>
                      <w:snapToGrid/>
                      <w:color w:val="auto"/>
                      <w:kern w:val="2"/>
                      <w:sz w:val="21"/>
                      <w:szCs w:val="21"/>
                      <w:highlight w:val="none"/>
                      <w:lang w:val="en-US" w:eastAsia="zh-CN" w:bidi="ar-SA"/>
                    </w:rPr>
                  </w:pPr>
                </w:p>
              </w:tc>
              <w:tc>
                <w:tcPr>
                  <w:tcW w:w="343" w:type="pct"/>
                  <w:vMerge w:val="continue"/>
                  <w:tcBorders>
                    <w:left w:val="single" w:color="auto" w:sz="4" w:space="0"/>
                    <w:right w:val="single" w:color="auto" w:sz="4" w:space="0"/>
                    <w:tl2br w:val="nil"/>
                    <w:tr2bl w:val="nil"/>
                  </w:tcBorders>
                  <w:vAlign w:val="center"/>
                </w:tcPr>
                <w:p w14:paraId="6E6EBFC9">
                  <w:pPr>
                    <w:jc w:val="center"/>
                    <w:rPr>
                      <w:rFonts w:hint="default" w:ascii="Times New Roman" w:hAnsi="Times New Roman" w:eastAsia="宋体" w:cs="Times New Roman"/>
                      <w:b/>
                      <w:bCs/>
                      <w:snapToGrid/>
                      <w:color w:val="auto"/>
                      <w:kern w:val="2"/>
                      <w:sz w:val="21"/>
                      <w:szCs w:val="21"/>
                      <w:highlight w:val="none"/>
                      <w:lang w:val="en-US" w:eastAsia="zh-CN" w:bidi="ar-SA"/>
                    </w:rPr>
                  </w:pPr>
                </w:p>
              </w:tc>
              <w:tc>
                <w:tcPr>
                  <w:tcW w:w="362" w:type="pct"/>
                  <w:vMerge w:val="continue"/>
                  <w:tcBorders>
                    <w:left w:val="single" w:color="auto" w:sz="4" w:space="0"/>
                    <w:right w:val="single" w:color="auto" w:sz="4" w:space="0"/>
                    <w:tl2br w:val="nil"/>
                    <w:tr2bl w:val="nil"/>
                  </w:tcBorders>
                  <w:vAlign w:val="center"/>
                </w:tcPr>
                <w:p w14:paraId="3196EC16">
                  <w:pPr>
                    <w:jc w:val="center"/>
                    <w:rPr>
                      <w:rFonts w:hint="default" w:ascii="Times New Roman" w:hAnsi="Times New Roman" w:eastAsia="宋体" w:cs="Times New Roman"/>
                      <w:b/>
                      <w:bCs/>
                      <w:snapToGrid/>
                      <w:color w:val="auto"/>
                      <w:kern w:val="2"/>
                      <w:sz w:val="21"/>
                      <w:szCs w:val="21"/>
                      <w:highlight w:val="none"/>
                      <w:lang w:val="en-US" w:eastAsia="zh-CN" w:bidi="ar-SA"/>
                    </w:rPr>
                  </w:pPr>
                </w:p>
              </w:tc>
              <w:tc>
                <w:tcPr>
                  <w:tcW w:w="277" w:type="pct"/>
                  <w:vMerge w:val="continue"/>
                  <w:tcBorders>
                    <w:left w:val="single" w:color="auto" w:sz="4" w:space="0"/>
                    <w:right w:val="single" w:color="auto" w:sz="4" w:space="0"/>
                    <w:tl2br w:val="nil"/>
                    <w:tr2bl w:val="nil"/>
                  </w:tcBorders>
                  <w:vAlign w:val="center"/>
                </w:tcPr>
                <w:p w14:paraId="1203889E">
                  <w:pPr>
                    <w:jc w:val="center"/>
                    <w:rPr>
                      <w:rFonts w:hint="default" w:ascii="Times New Roman" w:hAnsi="Times New Roman" w:eastAsia="宋体" w:cs="Times New Roman"/>
                      <w:b/>
                      <w:bCs/>
                      <w:snapToGrid/>
                      <w:color w:val="auto"/>
                      <w:kern w:val="2"/>
                      <w:sz w:val="21"/>
                      <w:szCs w:val="21"/>
                      <w:highlight w:val="none"/>
                      <w:lang w:val="en-US" w:eastAsia="zh-CN" w:bidi="ar-SA"/>
                    </w:rPr>
                  </w:pPr>
                </w:p>
              </w:tc>
              <w:tc>
                <w:tcPr>
                  <w:tcW w:w="332" w:type="pct"/>
                  <w:vMerge w:val="continue"/>
                  <w:tcBorders>
                    <w:left w:val="single" w:color="auto" w:sz="4" w:space="0"/>
                    <w:tl2br w:val="nil"/>
                    <w:tr2bl w:val="nil"/>
                  </w:tcBorders>
                  <w:vAlign w:val="center"/>
                </w:tcPr>
                <w:p w14:paraId="13380CC6">
                  <w:pPr>
                    <w:jc w:val="center"/>
                    <w:rPr>
                      <w:rFonts w:hint="default" w:ascii="Times New Roman" w:hAnsi="Times New Roman" w:eastAsia="宋体" w:cs="Times New Roman"/>
                      <w:b/>
                      <w:bCs/>
                      <w:snapToGrid/>
                      <w:color w:val="auto"/>
                      <w:kern w:val="2"/>
                      <w:sz w:val="21"/>
                      <w:szCs w:val="21"/>
                      <w:highlight w:val="none"/>
                      <w:lang w:val="en-US" w:eastAsia="zh-CN" w:bidi="ar-SA"/>
                    </w:rPr>
                  </w:pPr>
                </w:p>
              </w:tc>
            </w:tr>
            <w:tr w14:paraId="2FE55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348" w:type="pct"/>
                  <w:tcBorders>
                    <w:tl2br w:val="nil"/>
                    <w:tr2bl w:val="nil"/>
                  </w:tcBorders>
                  <w:vAlign w:val="center"/>
                </w:tcPr>
                <w:p w14:paraId="20B3DCD7">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DA001</w:t>
                  </w:r>
                </w:p>
              </w:tc>
              <w:tc>
                <w:tcPr>
                  <w:tcW w:w="808" w:type="pct"/>
                  <w:tcBorders>
                    <w:tl2br w:val="nil"/>
                    <w:tr2bl w:val="nil"/>
                  </w:tcBorders>
                  <w:vAlign w:val="center"/>
                </w:tcPr>
                <w:p w14:paraId="5D0B8AE4">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cs="Times New Roman"/>
                      <w:color w:val="auto"/>
                      <w:sz w:val="21"/>
                      <w:szCs w:val="21"/>
                      <w:highlight w:val="none"/>
                    </w:rPr>
                    <w:t>抛光打磨</w:t>
                  </w:r>
                  <w:r>
                    <w:rPr>
                      <w:rFonts w:hint="default" w:ascii="Times New Roman" w:hAnsi="Times New Roman" w:eastAsia="宋体" w:cs="Times New Roman"/>
                      <w:snapToGrid/>
                      <w:color w:val="auto"/>
                      <w:kern w:val="2"/>
                      <w:sz w:val="21"/>
                      <w:szCs w:val="21"/>
                      <w:highlight w:val="none"/>
                      <w:lang w:val="en-US" w:eastAsia="zh-CN"/>
                    </w:rPr>
                    <w:t>粉尘排放口</w:t>
                  </w:r>
                </w:p>
              </w:tc>
              <w:tc>
                <w:tcPr>
                  <w:tcW w:w="696" w:type="pct"/>
                  <w:tcBorders>
                    <w:tl2br w:val="nil"/>
                    <w:tr2bl w:val="nil"/>
                  </w:tcBorders>
                  <w:vAlign w:val="center"/>
                </w:tcPr>
                <w:p w14:paraId="57085372">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rPr>
                    <w:t>113.241549</w:t>
                  </w:r>
                </w:p>
              </w:tc>
              <w:tc>
                <w:tcPr>
                  <w:tcW w:w="696" w:type="pct"/>
                  <w:tcBorders>
                    <w:tl2br w:val="nil"/>
                    <w:tr2bl w:val="nil"/>
                  </w:tcBorders>
                  <w:vAlign w:val="center"/>
                </w:tcPr>
                <w:p w14:paraId="6DC11278">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rPr>
                    <w:t>25.090839</w:t>
                  </w:r>
                </w:p>
              </w:tc>
              <w:tc>
                <w:tcPr>
                  <w:tcW w:w="463" w:type="pct"/>
                  <w:tcBorders>
                    <w:tl2br w:val="nil"/>
                    <w:tr2bl w:val="nil"/>
                  </w:tcBorders>
                  <w:vAlign w:val="center"/>
                </w:tcPr>
                <w:p w14:paraId="096F3FAC">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color w:val="auto"/>
                      <w:kern w:val="2"/>
                      <w:sz w:val="21"/>
                      <w:szCs w:val="21"/>
                      <w:highlight w:val="none"/>
                      <w:lang w:eastAsia="zh-CN"/>
                    </w:rPr>
                  </w:pPr>
                  <w:r>
                    <w:rPr>
                      <w:rFonts w:hint="default" w:ascii="Times New Roman" w:hAnsi="Times New Roman" w:eastAsia="宋体" w:cs="Times New Roman"/>
                      <w:snapToGrid/>
                      <w:color w:val="auto"/>
                      <w:kern w:val="2"/>
                      <w:sz w:val="21"/>
                      <w:szCs w:val="21"/>
                      <w:highlight w:val="none"/>
                      <w:lang w:eastAsia="zh-CN"/>
                    </w:rPr>
                    <w:t>一般排放口</w:t>
                  </w:r>
                </w:p>
              </w:tc>
              <w:tc>
                <w:tcPr>
                  <w:tcW w:w="280" w:type="pct"/>
                  <w:tcBorders>
                    <w:tl2br w:val="nil"/>
                    <w:tr2bl w:val="nil"/>
                  </w:tcBorders>
                  <w:vAlign w:val="center"/>
                </w:tcPr>
                <w:p w14:paraId="01CFAA58">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eastAsia="zh-CN"/>
                    </w:rPr>
                    <w:t>15</w:t>
                  </w:r>
                </w:p>
              </w:tc>
              <w:tc>
                <w:tcPr>
                  <w:tcW w:w="388" w:type="pct"/>
                  <w:tcBorders>
                    <w:right w:val="single" w:color="auto" w:sz="4" w:space="0"/>
                    <w:tl2br w:val="nil"/>
                    <w:tr2bl w:val="nil"/>
                  </w:tcBorders>
                  <w:vAlign w:val="center"/>
                </w:tcPr>
                <w:p w14:paraId="01D79C9F">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eastAsia="zh-CN"/>
                    </w:rPr>
                    <w:t>0.</w:t>
                  </w:r>
                  <w:r>
                    <w:rPr>
                      <w:rFonts w:hint="eastAsia" w:ascii="Times New Roman" w:hAnsi="Times New Roman" w:eastAsia="宋体" w:cs="Times New Roman"/>
                      <w:snapToGrid/>
                      <w:color w:val="auto"/>
                      <w:kern w:val="2"/>
                      <w:sz w:val="21"/>
                      <w:szCs w:val="21"/>
                      <w:highlight w:val="none"/>
                      <w:lang w:val="en-US" w:eastAsia="zh-CN"/>
                    </w:rPr>
                    <w:t>8</w:t>
                  </w:r>
                </w:p>
              </w:tc>
              <w:tc>
                <w:tcPr>
                  <w:tcW w:w="343" w:type="pct"/>
                  <w:tcBorders>
                    <w:left w:val="single" w:color="auto" w:sz="4" w:space="0"/>
                    <w:tl2br w:val="nil"/>
                    <w:tr2bl w:val="nil"/>
                  </w:tcBorders>
                  <w:vAlign w:val="center"/>
                </w:tcPr>
                <w:p w14:paraId="2600BE7C">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15.48</w:t>
                  </w:r>
                </w:p>
              </w:tc>
              <w:tc>
                <w:tcPr>
                  <w:tcW w:w="362" w:type="pct"/>
                  <w:tcBorders>
                    <w:right w:val="single" w:color="auto" w:sz="4" w:space="0"/>
                    <w:tl2br w:val="nil"/>
                    <w:tr2bl w:val="nil"/>
                  </w:tcBorders>
                  <w:vAlign w:val="center"/>
                </w:tcPr>
                <w:p w14:paraId="07F04EDF">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rPr>
                    <w:t>2</w:t>
                  </w:r>
                  <w:r>
                    <w:rPr>
                      <w:rFonts w:hint="eastAsia" w:cs="Times New Roman"/>
                      <w:snapToGrid/>
                      <w:color w:val="auto"/>
                      <w:kern w:val="2"/>
                      <w:sz w:val="21"/>
                      <w:szCs w:val="21"/>
                      <w:highlight w:val="none"/>
                      <w:lang w:val="en-US" w:eastAsia="zh-CN"/>
                    </w:rPr>
                    <w:t>33</w:t>
                  </w:r>
                  <w:r>
                    <w:rPr>
                      <w:rFonts w:hint="default" w:ascii="Times New Roman" w:hAnsi="Times New Roman" w:eastAsia="宋体" w:cs="Times New Roman"/>
                      <w:snapToGrid/>
                      <w:color w:val="auto"/>
                      <w:kern w:val="2"/>
                      <w:sz w:val="21"/>
                      <w:szCs w:val="21"/>
                      <w:highlight w:val="none"/>
                      <w:lang w:val="en-US" w:eastAsia="zh-CN"/>
                    </w:rPr>
                    <w:t>00</w:t>
                  </w:r>
                </w:p>
              </w:tc>
              <w:tc>
                <w:tcPr>
                  <w:tcW w:w="277" w:type="pct"/>
                  <w:tcBorders>
                    <w:left w:val="single" w:color="auto" w:sz="4" w:space="0"/>
                    <w:tl2br w:val="nil"/>
                    <w:tr2bl w:val="nil"/>
                  </w:tcBorders>
                  <w:vAlign w:val="center"/>
                </w:tcPr>
                <w:p w14:paraId="0AAB698E">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rPr>
                    <w:t>25</w:t>
                  </w:r>
                  <w:r>
                    <w:rPr>
                      <w:rFonts w:hint="default" w:ascii="Times New Roman" w:hAnsi="Times New Roman" w:cs="Times New Roman"/>
                      <w:b w:val="0"/>
                      <w:bCs w:val="0"/>
                      <w:color w:val="auto"/>
                      <w:sz w:val="21"/>
                      <w:szCs w:val="21"/>
                      <w:highlight w:val="none"/>
                    </w:rPr>
                    <w:t>℃</w:t>
                  </w:r>
                </w:p>
              </w:tc>
              <w:tc>
                <w:tcPr>
                  <w:tcW w:w="332" w:type="pct"/>
                  <w:tcBorders>
                    <w:tl2br w:val="nil"/>
                    <w:tr2bl w:val="nil"/>
                  </w:tcBorders>
                  <w:vAlign w:val="center"/>
                </w:tcPr>
                <w:p w14:paraId="19754952">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eastAsia" w:cs="Times New Roman"/>
                      <w:snapToGrid/>
                      <w:color w:val="auto"/>
                      <w:kern w:val="2"/>
                      <w:sz w:val="21"/>
                      <w:szCs w:val="21"/>
                      <w:highlight w:val="none"/>
                      <w:lang w:val="en-US" w:eastAsia="zh-CN" w:bidi="ar-SA"/>
                    </w:rPr>
                    <w:t>3000</w:t>
                  </w:r>
                </w:p>
              </w:tc>
            </w:tr>
            <w:tr w14:paraId="59594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348" w:type="pct"/>
                  <w:tcBorders>
                    <w:tl2br w:val="nil"/>
                    <w:tr2bl w:val="nil"/>
                  </w:tcBorders>
                  <w:vAlign w:val="center"/>
                </w:tcPr>
                <w:p w14:paraId="29B14DDE">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rPr>
                    <w:t>DA002</w:t>
                  </w:r>
                </w:p>
              </w:tc>
              <w:tc>
                <w:tcPr>
                  <w:tcW w:w="808" w:type="pct"/>
                  <w:tcBorders>
                    <w:tl2br w:val="nil"/>
                    <w:tr2bl w:val="nil"/>
                  </w:tcBorders>
                  <w:vAlign w:val="center"/>
                </w:tcPr>
                <w:p w14:paraId="366C0822">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rPr>
                    <w:t>燃气废气排放口</w:t>
                  </w:r>
                </w:p>
              </w:tc>
              <w:tc>
                <w:tcPr>
                  <w:tcW w:w="696" w:type="pct"/>
                  <w:tcBorders>
                    <w:tl2br w:val="nil"/>
                    <w:tr2bl w:val="nil"/>
                  </w:tcBorders>
                  <w:vAlign w:val="center"/>
                </w:tcPr>
                <w:p w14:paraId="74AC2EF2">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113.241239</w:t>
                  </w:r>
                </w:p>
              </w:tc>
              <w:tc>
                <w:tcPr>
                  <w:tcW w:w="696" w:type="pct"/>
                  <w:tcBorders>
                    <w:tl2br w:val="nil"/>
                    <w:tr2bl w:val="nil"/>
                  </w:tcBorders>
                  <w:vAlign w:val="center"/>
                </w:tcPr>
                <w:p w14:paraId="53B61338">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25.090741</w:t>
                  </w:r>
                </w:p>
              </w:tc>
              <w:tc>
                <w:tcPr>
                  <w:tcW w:w="463" w:type="pct"/>
                  <w:tcBorders>
                    <w:tl2br w:val="nil"/>
                    <w:tr2bl w:val="nil"/>
                  </w:tcBorders>
                  <w:vAlign w:val="center"/>
                </w:tcPr>
                <w:p w14:paraId="214CBF52">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eastAsia="zh-CN"/>
                    </w:rPr>
                    <w:t>一般排放口</w:t>
                  </w:r>
                </w:p>
              </w:tc>
              <w:tc>
                <w:tcPr>
                  <w:tcW w:w="280" w:type="pct"/>
                  <w:tcBorders>
                    <w:tl2br w:val="nil"/>
                    <w:tr2bl w:val="nil"/>
                  </w:tcBorders>
                  <w:vAlign w:val="center"/>
                </w:tcPr>
                <w:p w14:paraId="506426E0">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cs="Times New Roman"/>
                      <w:snapToGrid/>
                      <w:color w:val="auto"/>
                      <w:kern w:val="2"/>
                      <w:sz w:val="21"/>
                      <w:szCs w:val="21"/>
                      <w:highlight w:val="none"/>
                      <w:lang w:val="en-US" w:eastAsia="zh-CN"/>
                    </w:rPr>
                    <w:t>15</w:t>
                  </w:r>
                </w:p>
              </w:tc>
              <w:tc>
                <w:tcPr>
                  <w:tcW w:w="388" w:type="pct"/>
                  <w:tcBorders>
                    <w:right w:val="single" w:color="auto" w:sz="4" w:space="0"/>
                    <w:tl2br w:val="nil"/>
                    <w:tr2bl w:val="nil"/>
                  </w:tcBorders>
                  <w:vAlign w:val="center"/>
                </w:tcPr>
                <w:p w14:paraId="309DF653">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rPr>
                    <w:t>0.</w:t>
                  </w:r>
                  <w:r>
                    <w:rPr>
                      <w:rFonts w:hint="eastAsia" w:cs="Times New Roman"/>
                      <w:snapToGrid/>
                      <w:color w:val="auto"/>
                      <w:kern w:val="2"/>
                      <w:sz w:val="21"/>
                      <w:szCs w:val="21"/>
                      <w:highlight w:val="none"/>
                      <w:lang w:val="en-US" w:eastAsia="zh-CN"/>
                    </w:rPr>
                    <w:t>3</w:t>
                  </w:r>
                  <w:r>
                    <w:rPr>
                      <w:rFonts w:hint="eastAsia" w:ascii="Times New Roman" w:hAnsi="Times New Roman" w:eastAsia="宋体" w:cs="Times New Roman"/>
                      <w:snapToGrid/>
                      <w:color w:val="auto"/>
                      <w:kern w:val="2"/>
                      <w:sz w:val="21"/>
                      <w:szCs w:val="21"/>
                      <w:highlight w:val="none"/>
                      <w:lang w:val="en-US" w:eastAsia="zh-CN"/>
                    </w:rPr>
                    <w:t>5</w:t>
                  </w:r>
                </w:p>
              </w:tc>
              <w:tc>
                <w:tcPr>
                  <w:tcW w:w="343" w:type="pct"/>
                  <w:tcBorders>
                    <w:left w:val="single" w:color="auto" w:sz="4" w:space="0"/>
                    <w:tl2br w:val="nil"/>
                    <w:tr2bl w:val="nil"/>
                  </w:tcBorders>
                  <w:vAlign w:val="center"/>
                </w:tcPr>
                <w:p w14:paraId="38EFE292">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eastAsia" w:cs="Times New Roman"/>
                      <w:snapToGrid/>
                      <w:color w:val="auto"/>
                      <w:kern w:val="2"/>
                      <w:sz w:val="21"/>
                      <w:szCs w:val="21"/>
                      <w:highlight w:val="none"/>
                      <w:lang w:val="en-US" w:eastAsia="zh-CN"/>
                    </w:rPr>
                    <w:t>14.4</w:t>
                  </w:r>
                </w:p>
              </w:tc>
              <w:tc>
                <w:tcPr>
                  <w:tcW w:w="362" w:type="pct"/>
                  <w:tcBorders>
                    <w:right w:val="single" w:color="auto" w:sz="4" w:space="0"/>
                    <w:tl2br w:val="nil"/>
                    <w:tr2bl w:val="nil"/>
                  </w:tcBorders>
                  <w:vAlign w:val="center"/>
                </w:tcPr>
                <w:p w14:paraId="73E6F16A">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eastAsia" w:cs="Times New Roman"/>
                      <w:snapToGrid/>
                      <w:color w:val="auto"/>
                      <w:kern w:val="2"/>
                      <w:sz w:val="21"/>
                      <w:szCs w:val="21"/>
                      <w:highlight w:val="none"/>
                      <w:lang w:val="en-US" w:eastAsia="zh-CN"/>
                    </w:rPr>
                    <w:t>5</w:t>
                  </w:r>
                  <w:r>
                    <w:rPr>
                      <w:rFonts w:hint="default" w:ascii="Times New Roman" w:hAnsi="Times New Roman" w:eastAsia="宋体" w:cs="Times New Roman"/>
                      <w:snapToGrid/>
                      <w:color w:val="auto"/>
                      <w:kern w:val="2"/>
                      <w:sz w:val="21"/>
                      <w:szCs w:val="21"/>
                      <w:highlight w:val="none"/>
                      <w:lang w:val="en-US" w:eastAsia="zh-CN"/>
                    </w:rPr>
                    <w:t>000</w:t>
                  </w:r>
                </w:p>
              </w:tc>
              <w:tc>
                <w:tcPr>
                  <w:tcW w:w="277" w:type="pct"/>
                  <w:tcBorders>
                    <w:left w:val="single" w:color="auto" w:sz="4" w:space="0"/>
                    <w:tl2br w:val="nil"/>
                    <w:tr2bl w:val="nil"/>
                  </w:tcBorders>
                  <w:vAlign w:val="center"/>
                </w:tcPr>
                <w:p w14:paraId="2A5720E4">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rPr>
                    <w:t>55</w:t>
                  </w:r>
                  <w:r>
                    <w:rPr>
                      <w:rFonts w:hint="default" w:ascii="Times New Roman" w:hAnsi="Times New Roman" w:cs="Times New Roman"/>
                      <w:b w:val="0"/>
                      <w:bCs w:val="0"/>
                      <w:color w:val="auto"/>
                      <w:sz w:val="21"/>
                      <w:szCs w:val="21"/>
                      <w:highlight w:val="none"/>
                    </w:rPr>
                    <w:t>℃</w:t>
                  </w:r>
                </w:p>
              </w:tc>
              <w:tc>
                <w:tcPr>
                  <w:tcW w:w="332" w:type="pct"/>
                  <w:tcBorders>
                    <w:tl2br w:val="nil"/>
                    <w:tr2bl w:val="nil"/>
                  </w:tcBorders>
                  <w:vAlign w:val="center"/>
                </w:tcPr>
                <w:p w14:paraId="7460667F">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eastAsia" w:cs="Times New Roman"/>
                      <w:snapToGrid/>
                      <w:color w:val="auto"/>
                      <w:kern w:val="2"/>
                      <w:sz w:val="21"/>
                      <w:szCs w:val="21"/>
                      <w:highlight w:val="none"/>
                      <w:lang w:val="en-US" w:eastAsia="zh-CN" w:bidi="ar-SA"/>
                    </w:rPr>
                    <w:t>3000</w:t>
                  </w:r>
                </w:p>
              </w:tc>
            </w:tr>
            <w:tr w14:paraId="006A8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348" w:type="pct"/>
                  <w:tcBorders>
                    <w:tl2br w:val="nil"/>
                    <w:tr2bl w:val="nil"/>
                  </w:tcBorders>
                  <w:vAlign w:val="center"/>
                </w:tcPr>
                <w:p w14:paraId="2A9CBBA8">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DA003</w:t>
                  </w:r>
                </w:p>
              </w:tc>
              <w:tc>
                <w:tcPr>
                  <w:tcW w:w="808" w:type="pct"/>
                  <w:tcBorders>
                    <w:tl2br w:val="nil"/>
                    <w:tr2bl w:val="nil"/>
                  </w:tcBorders>
                  <w:vAlign w:val="center"/>
                </w:tcPr>
                <w:p w14:paraId="21712C02">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eastAsia" w:cs="Times New Roman"/>
                      <w:color w:val="auto"/>
                      <w:sz w:val="21"/>
                      <w:szCs w:val="21"/>
                      <w:highlight w:val="none"/>
                      <w:lang w:val="en-US" w:eastAsia="zh-CN"/>
                    </w:rPr>
                    <w:t>喷</w:t>
                  </w:r>
                  <w:r>
                    <w:rPr>
                      <w:rFonts w:hint="eastAsia" w:cs="Times New Roman"/>
                      <w:snapToGrid/>
                      <w:color w:val="auto"/>
                      <w:kern w:val="2"/>
                      <w:sz w:val="21"/>
                      <w:szCs w:val="21"/>
                      <w:highlight w:val="none"/>
                      <w:lang w:val="en-US" w:eastAsia="zh-CN"/>
                    </w:rPr>
                    <w:t>印、固化</w:t>
                  </w:r>
                  <w:r>
                    <w:rPr>
                      <w:rFonts w:hint="eastAsia" w:ascii="Times New Roman" w:hAnsi="Times New Roman" w:eastAsia="宋体" w:cs="Times New Roman"/>
                      <w:snapToGrid/>
                      <w:color w:val="auto"/>
                      <w:kern w:val="2"/>
                      <w:sz w:val="21"/>
                      <w:szCs w:val="21"/>
                      <w:highlight w:val="none"/>
                      <w:lang w:val="en-US" w:eastAsia="zh-CN"/>
                    </w:rPr>
                    <w:t>废气</w:t>
                  </w:r>
                </w:p>
              </w:tc>
              <w:tc>
                <w:tcPr>
                  <w:tcW w:w="696" w:type="pct"/>
                  <w:tcBorders>
                    <w:tl2br w:val="nil"/>
                    <w:tr2bl w:val="nil"/>
                  </w:tcBorders>
                  <w:vAlign w:val="center"/>
                </w:tcPr>
                <w:p w14:paraId="3744BC9F">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113.24136</w:t>
                  </w:r>
                  <w:r>
                    <w:rPr>
                      <w:rFonts w:hint="eastAsia" w:cs="Times New Roman"/>
                      <w:snapToGrid/>
                      <w:color w:val="auto"/>
                      <w:kern w:val="2"/>
                      <w:sz w:val="21"/>
                      <w:szCs w:val="21"/>
                      <w:highlight w:val="none"/>
                      <w:lang w:val="en-US" w:eastAsia="zh-CN" w:bidi="ar-SA"/>
                    </w:rPr>
                    <w:t>5</w:t>
                  </w:r>
                </w:p>
              </w:tc>
              <w:tc>
                <w:tcPr>
                  <w:tcW w:w="696" w:type="pct"/>
                  <w:tcBorders>
                    <w:tl2br w:val="nil"/>
                    <w:tr2bl w:val="nil"/>
                  </w:tcBorders>
                  <w:vAlign w:val="center"/>
                </w:tcPr>
                <w:p w14:paraId="465E999F">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25.090777</w:t>
                  </w:r>
                </w:p>
              </w:tc>
              <w:tc>
                <w:tcPr>
                  <w:tcW w:w="463" w:type="pct"/>
                  <w:tcBorders>
                    <w:tl2br w:val="nil"/>
                    <w:tr2bl w:val="nil"/>
                  </w:tcBorders>
                  <w:vAlign w:val="center"/>
                </w:tcPr>
                <w:p w14:paraId="350E2EA0">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一般排放口</w:t>
                  </w:r>
                </w:p>
              </w:tc>
              <w:tc>
                <w:tcPr>
                  <w:tcW w:w="280" w:type="pct"/>
                  <w:tcBorders>
                    <w:tl2br w:val="nil"/>
                    <w:tr2bl w:val="nil"/>
                  </w:tcBorders>
                  <w:vAlign w:val="center"/>
                </w:tcPr>
                <w:p w14:paraId="67FB6AFA">
                  <w:pPr>
                    <w:widowControl w:val="0"/>
                    <w:kinsoku/>
                    <w:autoSpaceDE/>
                    <w:autoSpaceDN/>
                    <w:adjustRightInd w:val="0"/>
                    <w:snapToGrid w:val="0"/>
                    <w:spacing w:line="240" w:lineRule="auto"/>
                    <w:jc w:val="center"/>
                    <w:textAlignment w:val="auto"/>
                    <w:rPr>
                      <w:rFonts w:hint="default" w:ascii="Times New Roman" w:hAnsi="Times New Roman" w:cs="Times New Roman"/>
                      <w:snapToGrid/>
                      <w:color w:val="auto"/>
                      <w:kern w:val="2"/>
                      <w:sz w:val="21"/>
                      <w:szCs w:val="21"/>
                      <w:highlight w:val="none"/>
                      <w:lang w:val="en-US" w:eastAsia="zh-CN"/>
                    </w:rPr>
                  </w:pPr>
                  <w:r>
                    <w:rPr>
                      <w:rFonts w:hint="eastAsia" w:ascii="Times New Roman" w:hAnsi="Times New Roman" w:cs="Times New Roman"/>
                      <w:snapToGrid/>
                      <w:color w:val="auto"/>
                      <w:kern w:val="2"/>
                      <w:sz w:val="21"/>
                      <w:szCs w:val="21"/>
                      <w:highlight w:val="none"/>
                      <w:lang w:val="en-US" w:eastAsia="zh-CN"/>
                    </w:rPr>
                    <w:t>15</w:t>
                  </w:r>
                </w:p>
              </w:tc>
              <w:tc>
                <w:tcPr>
                  <w:tcW w:w="388" w:type="pct"/>
                  <w:tcBorders>
                    <w:right w:val="single" w:color="auto" w:sz="4" w:space="0"/>
                    <w:tl2br w:val="nil"/>
                    <w:tr2bl w:val="nil"/>
                  </w:tcBorders>
                  <w:vAlign w:val="center"/>
                </w:tcPr>
                <w:p w14:paraId="1BE7141B">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eastAsia" w:cs="Times New Roman"/>
                      <w:snapToGrid/>
                      <w:color w:val="auto"/>
                      <w:kern w:val="2"/>
                      <w:sz w:val="21"/>
                      <w:szCs w:val="21"/>
                      <w:highlight w:val="none"/>
                      <w:lang w:val="en-US" w:eastAsia="zh-CN"/>
                    </w:rPr>
                    <w:t>0.5</w:t>
                  </w:r>
                </w:p>
              </w:tc>
              <w:tc>
                <w:tcPr>
                  <w:tcW w:w="343" w:type="pct"/>
                  <w:tcBorders>
                    <w:left w:val="single" w:color="auto" w:sz="4" w:space="0"/>
                    <w:tl2br w:val="nil"/>
                    <w:tr2bl w:val="nil"/>
                  </w:tcBorders>
                  <w:vAlign w:val="center"/>
                </w:tcPr>
                <w:p w14:paraId="02C57DCF">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14.</w:t>
                  </w:r>
                  <w:r>
                    <w:rPr>
                      <w:rFonts w:hint="eastAsia" w:cs="Times New Roman"/>
                      <w:snapToGrid/>
                      <w:color w:val="auto"/>
                      <w:kern w:val="2"/>
                      <w:sz w:val="21"/>
                      <w:szCs w:val="21"/>
                      <w:highlight w:val="none"/>
                      <w:lang w:val="en-US" w:eastAsia="zh-CN"/>
                    </w:rPr>
                    <w:t>2</w:t>
                  </w:r>
                </w:p>
              </w:tc>
              <w:tc>
                <w:tcPr>
                  <w:tcW w:w="362" w:type="pct"/>
                  <w:tcBorders>
                    <w:right w:val="single" w:color="auto" w:sz="4" w:space="0"/>
                    <w:tl2br w:val="nil"/>
                    <w:tr2bl w:val="nil"/>
                  </w:tcBorders>
                  <w:vAlign w:val="center"/>
                </w:tcPr>
                <w:p w14:paraId="11C8D79E">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eastAsia" w:cs="Times New Roman"/>
                      <w:snapToGrid/>
                      <w:color w:val="auto"/>
                      <w:kern w:val="2"/>
                      <w:sz w:val="21"/>
                      <w:szCs w:val="21"/>
                      <w:highlight w:val="none"/>
                      <w:lang w:val="en-US" w:eastAsia="zh-CN"/>
                    </w:rPr>
                    <w:t>100</w:t>
                  </w:r>
                  <w:r>
                    <w:rPr>
                      <w:rFonts w:hint="eastAsia" w:ascii="Times New Roman" w:hAnsi="Times New Roman" w:eastAsia="宋体" w:cs="Times New Roman"/>
                      <w:snapToGrid/>
                      <w:color w:val="auto"/>
                      <w:kern w:val="2"/>
                      <w:sz w:val="21"/>
                      <w:szCs w:val="21"/>
                      <w:highlight w:val="none"/>
                      <w:lang w:val="en-US" w:eastAsia="zh-CN"/>
                    </w:rPr>
                    <w:t>00</w:t>
                  </w:r>
                </w:p>
              </w:tc>
              <w:tc>
                <w:tcPr>
                  <w:tcW w:w="277" w:type="pct"/>
                  <w:tcBorders>
                    <w:left w:val="single" w:color="auto" w:sz="4" w:space="0"/>
                    <w:tl2br w:val="nil"/>
                    <w:tr2bl w:val="nil"/>
                  </w:tcBorders>
                  <w:vAlign w:val="center"/>
                </w:tcPr>
                <w:p w14:paraId="4B4D0573">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25</w:t>
                  </w:r>
                  <w:r>
                    <w:rPr>
                      <w:rFonts w:hint="default" w:ascii="Times New Roman" w:hAnsi="Times New Roman" w:cs="Times New Roman"/>
                      <w:b w:val="0"/>
                      <w:bCs w:val="0"/>
                      <w:color w:val="auto"/>
                      <w:sz w:val="21"/>
                      <w:szCs w:val="21"/>
                      <w:highlight w:val="none"/>
                    </w:rPr>
                    <w:t>℃</w:t>
                  </w:r>
                </w:p>
              </w:tc>
              <w:tc>
                <w:tcPr>
                  <w:tcW w:w="332" w:type="pct"/>
                  <w:tcBorders>
                    <w:tl2br w:val="nil"/>
                    <w:tr2bl w:val="nil"/>
                  </w:tcBorders>
                  <w:vAlign w:val="center"/>
                </w:tcPr>
                <w:p w14:paraId="1FBA18DE">
                  <w:pPr>
                    <w:widowControl w:val="0"/>
                    <w:kinsoku/>
                    <w:autoSpaceDE/>
                    <w:autoSpaceDN/>
                    <w:adjustRightInd w:val="0"/>
                    <w:snapToGrid w:val="0"/>
                    <w:spacing w:line="24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eastAsia" w:cs="Times New Roman"/>
                      <w:snapToGrid/>
                      <w:color w:val="auto"/>
                      <w:kern w:val="2"/>
                      <w:sz w:val="21"/>
                      <w:szCs w:val="21"/>
                      <w:highlight w:val="none"/>
                      <w:lang w:val="en-US" w:eastAsia="zh-CN" w:bidi="ar-SA"/>
                    </w:rPr>
                    <w:t>3000</w:t>
                  </w:r>
                </w:p>
              </w:tc>
            </w:tr>
            <w:tr w14:paraId="20970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5000" w:type="pct"/>
                  <w:gridSpan w:val="11"/>
                  <w:tcBorders>
                    <w:tl2br w:val="nil"/>
                    <w:tr2bl w:val="nil"/>
                  </w:tcBorders>
                  <w:vAlign w:val="center"/>
                </w:tcPr>
                <w:p w14:paraId="1EBEF5B1">
                  <w:pPr>
                    <w:widowControl w:val="0"/>
                    <w:kinsoku/>
                    <w:autoSpaceDE/>
                    <w:autoSpaceDN/>
                    <w:adjustRightInd w:val="0"/>
                    <w:snapToGrid w:val="0"/>
                    <w:spacing w:line="240" w:lineRule="auto"/>
                    <w:jc w:val="left"/>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注：根据《大气污染物治理工程技术导则》（HJ2000-2010），排气筒的出口直径应根据出口流速确定，流速宜取15m/s左右。因此，本项目排气筒规格的设置均符合要求。</w:t>
                  </w:r>
                </w:p>
              </w:tc>
            </w:tr>
          </w:tbl>
          <w:p w14:paraId="1E92FB0B">
            <w:pPr>
              <w:pStyle w:val="29"/>
              <w:pageBreakBefore w:val="0"/>
              <w:numPr>
                <w:ilvl w:val="0"/>
                <w:numId w:val="0"/>
              </w:numPr>
              <w:tabs>
                <w:tab w:val="left" w:pos="0"/>
              </w:tabs>
              <w:wordWrap w:val="0"/>
              <w:overflowPunct/>
              <w:bidi w:val="0"/>
              <w:spacing w:after="0" w:line="360" w:lineRule="auto"/>
              <w:ind w:left="0" w:leftChars="0" w:firstLine="420" w:firstLineChars="0"/>
              <w:rPr>
                <w:rFonts w:hint="default" w:ascii="Times New Roman" w:hAnsi="Times New Roman" w:eastAsia="宋体"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参考</w:t>
            </w:r>
            <w:r>
              <w:rPr>
                <w:rFonts w:hint="default" w:ascii="Times New Roman" w:hAnsi="Times New Roman" w:eastAsia="宋体" w:cs="Times New Roman"/>
                <w:b w:val="0"/>
                <w:bCs w:val="0"/>
                <w:color w:val="auto"/>
                <w:kern w:val="2"/>
                <w:sz w:val="24"/>
                <w:szCs w:val="24"/>
                <w:highlight w:val="none"/>
                <w:lang w:val="en-US" w:eastAsia="zh-CN" w:bidi="ar-SA"/>
              </w:rPr>
              <w:t>《排污单位自行监测技术指南 总则》（HJ819-2017）、</w:t>
            </w:r>
            <w:r>
              <w:rPr>
                <w:rFonts w:hint="default" w:ascii="Times New Roman" w:hAnsi="Times New Roman" w:eastAsia="宋体" w:cs="Times New Roman"/>
                <w:snapToGrid/>
                <w:color w:val="auto"/>
                <w:kern w:val="0"/>
                <w:sz w:val="24"/>
                <w:szCs w:val="24"/>
                <w:highlight w:val="none"/>
                <w:lang w:eastAsia="zh-CN"/>
              </w:rPr>
              <w:t>《排污许可证申请与核发技术规范 工业炉窑》（HJ 1121-2020）</w:t>
            </w:r>
            <w:r>
              <w:rPr>
                <w:rFonts w:hint="eastAsia" w:ascii="Times New Roman" w:hAnsi="Times New Roman" w:eastAsia="宋体" w:cs="Times New Roman"/>
                <w:snapToGrid/>
                <w:color w:val="auto"/>
                <w:kern w:val="0"/>
                <w:sz w:val="24"/>
                <w:szCs w:val="24"/>
                <w:highlight w:val="none"/>
                <w:lang w:eastAsia="zh-CN"/>
              </w:rPr>
              <w:t>、《排污单位自行监测技术指南 涂装》（HJ1086-2020）</w:t>
            </w:r>
            <w:r>
              <w:rPr>
                <w:rFonts w:hint="default" w:ascii="Times New Roman" w:hAnsi="Times New Roman" w:eastAsia="宋体" w:cs="Times New Roman"/>
                <w:b w:val="0"/>
                <w:bCs w:val="0"/>
                <w:color w:val="auto"/>
                <w:kern w:val="2"/>
                <w:sz w:val="24"/>
                <w:szCs w:val="24"/>
                <w:highlight w:val="none"/>
                <w:lang w:val="en-US" w:eastAsia="zh-CN" w:bidi="ar-SA"/>
              </w:rPr>
              <w:t>，并结合项目运营期间污染排放特点，项目运营期废气监测计划如下表所示：</w:t>
            </w:r>
          </w:p>
          <w:p w14:paraId="23002903">
            <w:pPr>
              <w:keepNext w:val="0"/>
              <w:keepLines w:val="0"/>
              <w:pageBreakBefore w:val="0"/>
              <w:widowControl w:val="0"/>
              <w:numPr>
                <w:ilvl w:val="0"/>
                <w:numId w:val="10"/>
              </w:numPr>
              <w:kinsoku/>
              <w:wordWrap w:val="0"/>
              <w:overflowPunct/>
              <w:topLinePunct w:val="0"/>
              <w:autoSpaceDE/>
              <w:autoSpaceDN/>
              <w:bidi w:val="0"/>
              <w:adjustRightInd/>
              <w:snapToGrid/>
              <w:spacing w:line="240" w:lineRule="auto"/>
              <w:ind w:left="0" w:leftChars="0" w:hanging="1"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废气监测计划表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1345"/>
              <w:gridCol w:w="3176"/>
              <w:gridCol w:w="1741"/>
              <w:gridCol w:w="4997"/>
            </w:tblGrid>
            <w:tr w14:paraId="38F6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6C9841B7">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pacing w:val="-2"/>
                      <w:sz w:val="21"/>
                      <w:szCs w:val="21"/>
                      <w:highlight w:val="none"/>
                    </w:rPr>
                  </w:pPr>
                  <w:r>
                    <w:rPr>
                      <w:rFonts w:hint="default" w:ascii="Times New Roman" w:hAnsi="Times New Roman" w:eastAsia="宋体" w:cs="Times New Roman"/>
                      <w:b/>
                      <w:color w:val="auto"/>
                      <w:spacing w:val="-2"/>
                      <w:sz w:val="21"/>
                      <w:szCs w:val="21"/>
                      <w:highlight w:val="none"/>
                    </w:rPr>
                    <w:t>监测位置</w:t>
                  </w:r>
                </w:p>
              </w:tc>
              <w:tc>
                <w:tcPr>
                  <w:tcW w:w="1345" w:type="dxa"/>
                  <w:vAlign w:val="center"/>
                </w:tcPr>
                <w:p w14:paraId="0FED53E8">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pacing w:val="-2"/>
                      <w:sz w:val="21"/>
                      <w:szCs w:val="21"/>
                      <w:highlight w:val="none"/>
                    </w:rPr>
                  </w:pPr>
                  <w:r>
                    <w:rPr>
                      <w:rFonts w:hint="default" w:ascii="Times New Roman" w:hAnsi="Times New Roman" w:eastAsia="宋体" w:cs="Times New Roman"/>
                      <w:b/>
                      <w:color w:val="auto"/>
                      <w:spacing w:val="-2"/>
                      <w:sz w:val="21"/>
                      <w:szCs w:val="21"/>
                      <w:highlight w:val="none"/>
                    </w:rPr>
                    <w:t>排放口类型</w:t>
                  </w:r>
                </w:p>
              </w:tc>
              <w:tc>
                <w:tcPr>
                  <w:tcW w:w="3176" w:type="dxa"/>
                  <w:vAlign w:val="center"/>
                </w:tcPr>
                <w:p w14:paraId="28F88AD5">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pacing w:val="-2"/>
                      <w:sz w:val="21"/>
                      <w:szCs w:val="21"/>
                      <w:highlight w:val="none"/>
                    </w:rPr>
                  </w:pPr>
                  <w:r>
                    <w:rPr>
                      <w:rFonts w:hint="default" w:ascii="Times New Roman" w:hAnsi="Times New Roman" w:eastAsia="宋体" w:cs="Times New Roman"/>
                      <w:b/>
                      <w:color w:val="auto"/>
                      <w:spacing w:val="-2"/>
                      <w:sz w:val="21"/>
                      <w:szCs w:val="21"/>
                      <w:highlight w:val="none"/>
                    </w:rPr>
                    <w:t>监测项目</w:t>
                  </w:r>
                </w:p>
              </w:tc>
              <w:tc>
                <w:tcPr>
                  <w:tcW w:w="1741" w:type="dxa"/>
                  <w:vAlign w:val="center"/>
                </w:tcPr>
                <w:p w14:paraId="1C4E07E6">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pacing w:val="-2"/>
                      <w:sz w:val="21"/>
                      <w:szCs w:val="21"/>
                      <w:highlight w:val="none"/>
                    </w:rPr>
                  </w:pPr>
                  <w:r>
                    <w:rPr>
                      <w:rFonts w:hint="default" w:ascii="Times New Roman" w:hAnsi="Times New Roman" w:eastAsia="宋体" w:cs="Times New Roman"/>
                      <w:b/>
                      <w:color w:val="auto"/>
                      <w:spacing w:val="-2"/>
                      <w:sz w:val="21"/>
                      <w:szCs w:val="21"/>
                      <w:highlight w:val="none"/>
                    </w:rPr>
                    <w:t>监测</w:t>
                  </w:r>
                </w:p>
                <w:p w14:paraId="532D7AE6">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pacing w:val="-2"/>
                      <w:sz w:val="21"/>
                      <w:szCs w:val="21"/>
                      <w:highlight w:val="none"/>
                    </w:rPr>
                  </w:pPr>
                  <w:r>
                    <w:rPr>
                      <w:rFonts w:hint="default" w:ascii="Times New Roman" w:hAnsi="Times New Roman" w:eastAsia="宋体" w:cs="Times New Roman"/>
                      <w:b/>
                      <w:color w:val="auto"/>
                      <w:spacing w:val="-2"/>
                      <w:sz w:val="21"/>
                      <w:szCs w:val="21"/>
                      <w:highlight w:val="none"/>
                    </w:rPr>
                    <w:t>频率</w:t>
                  </w:r>
                </w:p>
              </w:tc>
              <w:tc>
                <w:tcPr>
                  <w:tcW w:w="4997" w:type="dxa"/>
                  <w:vAlign w:val="center"/>
                </w:tcPr>
                <w:p w14:paraId="212DAB4A">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pacing w:val="-2"/>
                      <w:sz w:val="21"/>
                      <w:szCs w:val="21"/>
                      <w:highlight w:val="none"/>
                    </w:rPr>
                  </w:pPr>
                  <w:r>
                    <w:rPr>
                      <w:rFonts w:hint="default" w:ascii="Times New Roman" w:hAnsi="Times New Roman" w:eastAsia="宋体" w:cs="Times New Roman"/>
                      <w:b/>
                      <w:color w:val="auto"/>
                      <w:spacing w:val="-2"/>
                      <w:sz w:val="21"/>
                      <w:szCs w:val="21"/>
                      <w:highlight w:val="none"/>
                    </w:rPr>
                    <w:t>依据</w:t>
                  </w:r>
                </w:p>
              </w:tc>
            </w:tr>
            <w:tr w14:paraId="22C68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3AAE2BBA">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kern w:val="0"/>
                      <w:sz w:val="21"/>
                      <w:szCs w:val="21"/>
                      <w:highlight w:val="none"/>
                    </w:rPr>
                    <w:t>DA001</w:t>
                  </w:r>
                </w:p>
              </w:tc>
              <w:tc>
                <w:tcPr>
                  <w:tcW w:w="1345" w:type="dxa"/>
                  <w:vAlign w:val="center"/>
                </w:tcPr>
                <w:p w14:paraId="2B324D90">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一般排放口</w:t>
                  </w:r>
                </w:p>
              </w:tc>
              <w:tc>
                <w:tcPr>
                  <w:tcW w:w="3176" w:type="dxa"/>
                  <w:vAlign w:val="center"/>
                </w:tcPr>
                <w:p w14:paraId="41393279">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颗粒物</w:t>
                  </w:r>
                </w:p>
              </w:tc>
              <w:tc>
                <w:tcPr>
                  <w:tcW w:w="1741" w:type="dxa"/>
                  <w:vAlign w:val="center"/>
                </w:tcPr>
                <w:p w14:paraId="05F71071">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1次/年</w:t>
                  </w:r>
                </w:p>
              </w:tc>
              <w:tc>
                <w:tcPr>
                  <w:tcW w:w="4997" w:type="dxa"/>
                  <w:vMerge w:val="restart"/>
                  <w:vAlign w:val="center"/>
                </w:tcPr>
                <w:p w14:paraId="207AB474">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z w:val="21"/>
                      <w:szCs w:val="21"/>
                      <w:highlight w:val="none"/>
                    </w:rPr>
                    <w:t>《排污单位自行监测技术指南总则》（HJ819-2017）表1与</w:t>
                  </w:r>
                  <w:r>
                    <w:rPr>
                      <w:rFonts w:hint="default" w:ascii="Times New Roman" w:hAnsi="Times New Roman" w:eastAsia="宋体" w:cs="Times New Roman"/>
                      <w:color w:val="auto"/>
                      <w:spacing w:val="-2"/>
                      <w:sz w:val="21"/>
                      <w:szCs w:val="21"/>
                      <w:highlight w:val="none"/>
                    </w:rPr>
                    <w:t>《排污单位自行监测技术指南 涂装》（HJ1086-2020）表2较严值</w:t>
                  </w:r>
                </w:p>
              </w:tc>
            </w:tr>
            <w:tr w14:paraId="03349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39260423">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kern w:val="0"/>
                      <w:sz w:val="21"/>
                      <w:szCs w:val="21"/>
                      <w:highlight w:val="none"/>
                    </w:rPr>
                    <w:t>DA002</w:t>
                  </w:r>
                </w:p>
              </w:tc>
              <w:tc>
                <w:tcPr>
                  <w:tcW w:w="1345" w:type="dxa"/>
                  <w:vAlign w:val="center"/>
                </w:tcPr>
                <w:p w14:paraId="637A3FB0">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一般排放口</w:t>
                  </w:r>
                </w:p>
              </w:tc>
              <w:tc>
                <w:tcPr>
                  <w:tcW w:w="3176" w:type="dxa"/>
                  <w:vAlign w:val="center"/>
                </w:tcPr>
                <w:p w14:paraId="1BFD7336">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default" w:ascii="Times New Roman" w:hAnsi="Times New Roman" w:eastAsia="宋体" w:cs="Times New Roman"/>
                      <w:color w:val="auto"/>
                      <w:spacing w:val="-2"/>
                      <w:sz w:val="21"/>
                      <w:szCs w:val="21"/>
                      <w:highlight w:val="none"/>
                    </w:rPr>
                    <w:t>颗粒物、SO</w:t>
                  </w:r>
                  <w:r>
                    <w:rPr>
                      <w:rFonts w:hint="default" w:ascii="Times New Roman" w:hAnsi="Times New Roman" w:eastAsia="宋体" w:cs="Times New Roman"/>
                      <w:color w:val="auto"/>
                      <w:spacing w:val="-2"/>
                      <w:sz w:val="21"/>
                      <w:szCs w:val="21"/>
                      <w:highlight w:val="none"/>
                      <w:vertAlign w:val="subscript"/>
                    </w:rPr>
                    <w:t>2</w:t>
                  </w:r>
                  <w:r>
                    <w:rPr>
                      <w:rFonts w:hint="default" w:ascii="Times New Roman" w:hAnsi="Times New Roman" w:eastAsia="宋体" w:cs="Times New Roman"/>
                      <w:color w:val="auto"/>
                      <w:spacing w:val="-2"/>
                      <w:sz w:val="21"/>
                      <w:szCs w:val="21"/>
                      <w:highlight w:val="none"/>
                    </w:rPr>
                    <w:t>、NOx</w:t>
                  </w:r>
                </w:p>
              </w:tc>
              <w:tc>
                <w:tcPr>
                  <w:tcW w:w="1741" w:type="dxa"/>
                  <w:vAlign w:val="center"/>
                </w:tcPr>
                <w:p w14:paraId="7127A62F">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1次/半年</w:t>
                  </w:r>
                </w:p>
              </w:tc>
              <w:tc>
                <w:tcPr>
                  <w:tcW w:w="4997" w:type="dxa"/>
                  <w:vMerge w:val="continue"/>
                  <w:vAlign w:val="center"/>
                </w:tcPr>
                <w:p w14:paraId="3E347F74">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2"/>
                      <w:sz w:val="21"/>
                      <w:szCs w:val="21"/>
                      <w:highlight w:val="none"/>
                    </w:rPr>
                  </w:pPr>
                </w:p>
              </w:tc>
            </w:tr>
            <w:tr w14:paraId="1D3D9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restart"/>
                  <w:vAlign w:val="center"/>
                </w:tcPr>
                <w:p w14:paraId="16DC2ACD">
                  <w:pPr>
                    <w:keepNext w:val="0"/>
                    <w:keepLines w:val="0"/>
                    <w:pageBreakBefore w:val="0"/>
                    <w:widowControl/>
                    <w:suppressLineNumbers w:val="0"/>
                    <w:kinsoku/>
                    <w:wordWrap w:val="0"/>
                    <w:overflowPunct/>
                    <w:topLinePunct/>
                    <w:autoSpaceDE/>
                    <w:autoSpaceDN/>
                    <w:bidi w:val="0"/>
                    <w:spacing w:beforeAutospacing="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DA003</w:t>
                  </w:r>
                </w:p>
              </w:tc>
              <w:tc>
                <w:tcPr>
                  <w:tcW w:w="1345" w:type="dxa"/>
                  <w:vMerge w:val="restart"/>
                  <w:vAlign w:val="center"/>
                </w:tcPr>
                <w:p w14:paraId="38C14773">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主要排放口</w:t>
                  </w:r>
                </w:p>
              </w:tc>
              <w:tc>
                <w:tcPr>
                  <w:tcW w:w="3176" w:type="dxa"/>
                  <w:vAlign w:val="center"/>
                </w:tcPr>
                <w:p w14:paraId="4B157D06">
                  <w:pPr>
                    <w:keepNext w:val="0"/>
                    <w:keepLines w:val="0"/>
                    <w:pageBreakBefore w:val="0"/>
                    <w:suppressLineNumbers w:val="0"/>
                    <w:kinsoku/>
                    <w:wordWrap w:val="0"/>
                    <w:overflowPunct/>
                    <w:topLinePunct/>
                    <w:autoSpaceDE/>
                    <w:autoSpaceDN/>
                    <w:bidi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rPr>
                    <w:t>颗粒物、SO</w:t>
                  </w:r>
                  <w:r>
                    <w:rPr>
                      <w:rFonts w:hint="default" w:ascii="Times New Roman" w:hAnsi="Times New Roman" w:cs="Times New Roman"/>
                      <w:color w:val="auto"/>
                      <w:kern w:val="2"/>
                      <w:sz w:val="21"/>
                      <w:szCs w:val="21"/>
                      <w:highlight w:val="none"/>
                      <w:vertAlign w:val="subscript"/>
                    </w:rPr>
                    <w:t>2</w:t>
                  </w:r>
                  <w:r>
                    <w:rPr>
                      <w:rFonts w:hint="default" w:ascii="Times New Roman" w:hAnsi="Times New Roman" w:cs="Times New Roman"/>
                      <w:color w:val="auto"/>
                      <w:kern w:val="2"/>
                      <w:sz w:val="21"/>
                      <w:szCs w:val="21"/>
                      <w:highlight w:val="none"/>
                    </w:rPr>
                    <w:t>、NOx、非甲烷总烃、</w:t>
                  </w:r>
                  <w:r>
                    <w:rPr>
                      <w:rFonts w:hint="default" w:ascii="Times New Roman" w:hAnsi="Times New Roman" w:cs="Times New Roman"/>
                      <w:color w:val="auto"/>
                      <w:kern w:val="2"/>
                      <w:sz w:val="21"/>
                      <w:szCs w:val="21"/>
                      <w:highlight w:val="none"/>
                      <w:lang w:val="en-US" w:eastAsia="zh-CN"/>
                    </w:rPr>
                    <w:t>苯系物</w:t>
                  </w:r>
                </w:p>
              </w:tc>
              <w:tc>
                <w:tcPr>
                  <w:tcW w:w="1741" w:type="dxa"/>
                  <w:vAlign w:val="center"/>
                </w:tcPr>
                <w:p w14:paraId="078B19D9">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1次/半年</w:t>
                  </w:r>
                </w:p>
              </w:tc>
              <w:tc>
                <w:tcPr>
                  <w:tcW w:w="4997" w:type="dxa"/>
                  <w:vMerge w:val="continue"/>
                  <w:vAlign w:val="center"/>
                </w:tcPr>
                <w:p w14:paraId="4EEF1442">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2"/>
                      <w:sz w:val="21"/>
                      <w:szCs w:val="21"/>
                      <w:highlight w:val="none"/>
                    </w:rPr>
                  </w:pPr>
                </w:p>
              </w:tc>
            </w:tr>
            <w:tr w14:paraId="16B9F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Merge w:val="continue"/>
                  <w:vAlign w:val="center"/>
                </w:tcPr>
                <w:p w14:paraId="59E08681">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1345" w:type="dxa"/>
                  <w:vMerge w:val="continue"/>
                  <w:vAlign w:val="center"/>
                </w:tcPr>
                <w:p w14:paraId="0F5EFD2E">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3176" w:type="dxa"/>
                  <w:vAlign w:val="center"/>
                </w:tcPr>
                <w:p w14:paraId="0CDB5D40">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臭气浓度</w:t>
                  </w:r>
                </w:p>
              </w:tc>
              <w:tc>
                <w:tcPr>
                  <w:tcW w:w="1741" w:type="dxa"/>
                  <w:vAlign w:val="center"/>
                </w:tcPr>
                <w:p w14:paraId="1C239E3B">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1次/年</w:t>
                  </w:r>
                </w:p>
              </w:tc>
              <w:tc>
                <w:tcPr>
                  <w:tcW w:w="4997" w:type="dxa"/>
                  <w:vMerge w:val="continue"/>
                  <w:vAlign w:val="center"/>
                </w:tcPr>
                <w:p w14:paraId="4A2D7276">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2"/>
                      <w:sz w:val="21"/>
                      <w:szCs w:val="21"/>
                      <w:highlight w:val="none"/>
                    </w:rPr>
                  </w:pPr>
                </w:p>
              </w:tc>
            </w:tr>
            <w:tr w14:paraId="4ABF3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11FE61C6">
                  <w:pPr>
                    <w:keepNext w:val="0"/>
                    <w:keepLines w:val="0"/>
                    <w:pageBreakBefore w:val="0"/>
                    <w:widowControl/>
                    <w:suppressLineNumbers w:val="0"/>
                    <w:kinsoku/>
                    <w:wordWrap w:val="0"/>
                    <w:overflowPunct/>
                    <w:topLinePunct/>
                    <w:autoSpaceDE/>
                    <w:autoSpaceDN/>
                    <w:bidi w:val="0"/>
                    <w:spacing w:beforeAutospacing="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厂界</w:t>
                  </w:r>
                </w:p>
              </w:tc>
              <w:tc>
                <w:tcPr>
                  <w:tcW w:w="1345" w:type="dxa"/>
                  <w:vAlign w:val="center"/>
                </w:tcPr>
                <w:p w14:paraId="61274A26">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3176" w:type="dxa"/>
                  <w:vAlign w:val="center"/>
                </w:tcPr>
                <w:p w14:paraId="75D1FBC7">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非甲烷总烃、颗粒物、苯系物、臭气浓度</w:t>
                  </w:r>
                </w:p>
              </w:tc>
              <w:tc>
                <w:tcPr>
                  <w:tcW w:w="1741" w:type="dxa"/>
                  <w:vAlign w:val="center"/>
                </w:tcPr>
                <w:p w14:paraId="0BCDD8F4">
                  <w:pPr>
                    <w:keepNext w:val="0"/>
                    <w:keepLines w:val="0"/>
                    <w:pageBreakBefore w:val="0"/>
                    <w:suppressLineNumbers w:val="0"/>
                    <w:kinsoku/>
                    <w:wordWrap w:val="0"/>
                    <w:overflowPunct/>
                    <w:topLinePunct/>
                    <w:autoSpaceDE/>
                    <w:autoSpaceDN/>
                    <w:bidi w:val="0"/>
                    <w:spacing w:beforeAutospacing="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1次/半年</w:t>
                  </w:r>
                </w:p>
              </w:tc>
              <w:tc>
                <w:tcPr>
                  <w:tcW w:w="4997" w:type="dxa"/>
                  <w:vAlign w:val="center"/>
                </w:tcPr>
                <w:p w14:paraId="005BE551">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《排污单位自行监测技术指南 涂装》（HJ1086-2020）表3</w:t>
                  </w:r>
                </w:p>
              </w:tc>
            </w:tr>
            <w:tr w14:paraId="073FF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2FE24EE1">
                  <w:pPr>
                    <w:keepNext w:val="0"/>
                    <w:keepLines w:val="0"/>
                    <w:pageBreakBefore w:val="0"/>
                    <w:widowControl/>
                    <w:suppressLineNumbers w:val="0"/>
                    <w:kinsoku/>
                    <w:wordWrap w:val="0"/>
                    <w:overflowPunct/>
                    <w:topLinePunct/>
                    <w:autoSpaceDE/>
                    <w:autoSpaceDN/>
                    <w:bidi w:val="0"/>
                    <w:spacing w:beforeAutospacing="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厂区内</w:t>
                  </w:r>
                </w:p>
              </w:tc>
              <w:tc>
                <w:tcPr>
                  <w:tcW w:w="1345" w:type="dxa"/>
                  <w:vAlign w:val="center"/>
                </w:tcPr>
                <w:p w14:paraId="65527059">
                  <w:pPr>
                    <w:pStyle w:val="129"/>
                    <w:keepNext w:val="0"/>
                    <w:keepLines w:val="0"/>
                    <w:pageBreakBefore w:val="0"/>
                    <w:suppressLineNumbers w:val="0"/>
                    <w:kinsoku/>
                    <w:wordWrap w:val="0"/>
                    <w:overflowPunct/>
                    <w:topLinePunct/>
                    <w:autoSpaceDE/>
                    <w:autoSpaceDN/>
                    <w:bidi w:val="0"/>
                    <w:spacing w:beforeAutospacing="0" w:afterAutospacing="0" w:line="240" w:lineRule="auto"/>
                    <w:ind w:left="0" w:right="0" w:firstLine="0" w:firstLineChars="0"/>
                    <w:jc w:val="center"/>
                    <w:textAlignment w:val="auto"/>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w:t>
                  </w:r>
                </w:p>
              </w:tc>
              <w:tc>
                <w:tcPr>
                  <w:tcW w:w="3176" w:type="dxa"/>
                  <w:vAlign w:val="center"/>
                </w:tcPr>
                <w:p w14:paraId="0022278B">
                  <w:pPr>
                    <w:pStyle w:val="129"/>
                    <w:keepNext w:val="0"/>
                    <w:keepLines w:val="0"/>
                    <w:pageBreakBefore w:val="0"/>
                    <w:suppressLineNumbers w:val="0"/>
                    <w:kinsoku/>
                    <w:wordWrap w:val="0"/>
                    <w:overflowPunct/>
                    <w:topLinePunct/>
                    <w:autoSpaceDE/>
                    <w:autoSpaceDN/>
                    <w:bidi w:val="0"/>
                    <w:spacing w:beforeAutospacing="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非甲烷总烃</w:t>
                  </w:r>
                </w:p>
              </w:tc>
              <w:tc>
                <w:tcPr>
                  <w:tcW w:w="1741" w:type="dxa"/>
                  <w:vAlign w:val="center"/>
                </w:tcPr>
                <w:p w14:paraId="2BC6EC6E">
                  <w:pPr>
                    <w:keepNext w:val="0"/>
                    <w:keepLines w:val="0"/>
                    <w:pageBreakBefore w:val="0"/>
                    <w:suppressLineNumbers w:val="0"/>
                    <w:kinsoku/>
                    <w:wordWrap w:val="0"/>
                    <w:overflowPunct/>
                    <w:topLinePunct/>
                    <w:autoSpaceDE/>
                    <w:autoSpaceDN/>
                    <w:bidi w:val="0"/>
                    <w:spacing w:beforeAutospacing="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1次/季度</w:t>
                  </w:r>
                </w:p>
              </w:tc>
              <w:tc>
                <w:tcPr>
                  <w:tcW w:w="4997" w:type="dxa"/>
                  <w:vAlign w:val="center"/>
                </w:tcPr>
                <w:p w14:paraId="63D7D4FD">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《排污单位自行监测技术指南 涂装》（HJ1086-2020）表3</w:t>
                  </w:r>
                </w:p>
              </w:tc>
            </w:tr>
            <w:tr w14:paraId="228AC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0" w:type="auto"/>
                  <w:vAlign w:val="center"/>
                </w:tcPr>
                <w:p w14:paraId="2E44086D">
                  <w:pPr>
                    <w:keepNext w:val="0"/>
                    <w:keepLines w:val="0"/>
                    <w:pageBreakBefore w:val="0"/>
                    <w:widowControl/>
                    <w:suppressLineNumbers w:val="0"/>
                    <w:kinsoku/>
                    <w:wordWrap w:val="0"/>
                    <w:overflowPunct/>
                    <w:topLinePunct/>
                    <w:autoSpaceDE/>
                    <w:autoSpaceDN/>
                    <w:bidi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涂装工段旁</w:t>
                  </w:r>
                </w:p>
              </w:tc>
              <w:tc>
                <w:tcPr>
                  <w:tcW w:w="1345" w:type="dxa"/>
                  <w:vAlign w:val="center"/>
                </w:tcPr>
                <w:p w14:paraId="7FC7152E">
                  <w:pPr>
                    <w:pStyle w:val="129"/>
                    <w:keepNext w:val="0"/>
                    <w:keepLines w:val="0"/>
                    <w:pageBreakBefore w:val="0"/>
                    <w:suppressLineNumbers w:val="0"/>
                    <w:kinsoku/>
                    <w:wordWrap w:val="0"/>
                    <w:overflowPunct/>
                    <w:topLinePunct/>
                    <w:autoSpaceDE/>
                    <w:autoSpaceDN/>
                    <w:bidi w:val="0"/>
                    <w:spacing w:beforeAutospacing="0" w:afterAutospacing="0" w:line="240" w:lineRule="auto"/>
                    <w:ind w:left="0" w:right="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w:t>
                  </w:r>
                </w:p>
              </w:tc>
              <w:tc>
                <w:tcPr>
                  <w:tcW w:w="3176" w:type="dxa"/>
                  <w:vAlign w:val="center"/>
                </w:tcPr>
                <w:p w14:paraId="7C5A72C7">
                  <w:pPr>
                    <w:pStyle w:val="129"/>
                    <w:keepNext w:val="0"/>
                    <w:keepLines w:val="0"/>
                    <w:pageBreakBefore w:val="0"/>
                    <w:suppressLineNumbers w:val="0"/>
                    <w:kinsoku/>
                    <w:wordWrap w:val="0"/>
                    <w:overflowPunct/>
                    <w:topLinePunct/>
                    <w:autoSpaceDE/>
                    <w:autoSpaceDN/>
                    <w:bidi w:val="0"/>
                    <w:spacing w:beforeAutospacing="0" w:afterAutospacing="0" w:line="240" w:lineRule="auto"/>
                    <w:ind w:left="0" w:right="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颗粒物、苯系物、臭气浓度</w:t>
                  </w:r>
                </w:p>
              </w:tc>
              <w:tc>
                <w:tcPr>
                  <w:tcW w:w="1741" w:type="dxa"/>
                  <w:vAlign w:val="center"/>
                </w:tcPr>
                <w:p w14:paraId="5E12C823">
                  <w:pPr>
                    <w:keepNext w:val="0"/>
                    <w:keepLines w:val="0"/>
                    <w:pageBreakBefore w:val="0"/>
                    <w:suppressLineNumbers w:val="0"/>
                    <w:kinsoku/>
                    <w:wordWrap w:val="0"/>
                    <w:overflowPunct/>
                    <w:topLinePunct/>
                    <w:autoSpaceDE/>
                    <w:autoSpaceDN/>
                    <w:bidi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1次/季度</w:t>
                  </w:r>
                </w:p>
              </w:tc>
              <w:tc>
                <w:tcPr>
                  <w:tcW w:w="4997" w:type="dxa"/>
                  <w:vAlign w:val="center"/>
                </w:tcPr>
                <w:p w14:paraId="444180BC">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《排污单位自行监测技术指南 涂装》（HJ1086-2020）表3</w:t>
                  </w:r>
                </w:p>
              </w:tc>
            </w:tr>
          </w:tbl>
          <w:p w14:paraId="7F70853C">
            <w:pPr>
              <w:pStyle w:val="21"/>
              <w:pageBreakBefore w:val="0"/>
              <w:wordWrap w:val="0"/>
              <w:overflowPunct/>
              <w:bidi w:val="0"/>
              <w:ind w:firstLine="480"/>
              <w:rPr>
                <w:rFonts w:hint="default" w:ascii="Times New Roman" w:hAnsi="Times New Roman" w:cs="Times New Roman"/>
                <w:color w:val="auto"/>
                <w:kern w:val="0"/>
                <w:highlight w:val="none"/>
              </w:rPr>
            </w:pPr>
          </w:p>
        </w:tc>
      </w:tr>
    </w:tbl>
    <w:p w14:paraId="02A52E47">
      <w:pPr>
        <w:pageBreakBefore w:val="0"/>
        <w:wordWrap w:val="0"/>
        <w:overflowPunct/>
        <w:bidi w:val="0"/>
        <w:rPr>
          <w:rFonts w:hint="default" w:ascii="Times New Roman" w:hAnsi="Times New Roman" w:eastAsia="宋体" w:cs="Times New Roman"/>
          <w:color w:val="auto"/>
          <w:highlight w:val="none"/>
        </w:rPr>
        <w:sectPr>
          <w:pgSz w:w="16838" w:h="11906" w:orient="landscape"/>
          <w:pgMar w:top="1797" w:right="1440" w:bottom="1797" w:left="1440" w:header="851" w:footer="680" w:gutter="0"/>
          <w:pgBorders>
            <w:top w:val="none" w:sz="0" w:space="0"/>
            <w:left w:val="none" w:sz="0" w:space="0"/>
            <w:bottom w:val="none" w:sz="0" w:space="0"/>
            <w:right w:val="none" w:sz="0" w:space="0"/>
          </w:pgBorders>
          <w:pgNumType w:fmt="decimal"/>
          <w:cols w:space="720" w:num="1"/>
          <w:docGrid w:type="linesAndChars" w:linePitch="312" w:charSpace="0"/>
        </w:sectPr>
      </w:pPr>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
        <w:gridCol w:w="8087"/>
      </w:tblGrid>
      <w:tr w14:paraId="25F81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2" w:hRule="atLeast"/>
        </w:trPr>
        <w:tc>
          <w:tcPr>
            <w:tcW w:w="188" w:type="pct"/>
            <w:vAlign w:val="center"/>
          </w:tcPr>
          <w:p w14:paraId="57C7DFAC">
            <w:pPr>
              <w:pageBreakBefore w:val="0"/>
              <w:numPr>
                <w:ilvl w:val="1"/>
                <w:numId w:val="0"/>
              </w:numPr>
              <w:tabs>
                <w:tab w:val="left" w:pos="420"/>
              </w:tabs>
              <w:kinsoku/>
              <w:wordWrap w:val="0"/>
              <w:overflowPunct/>
              <w:topLinePunct w:val="0"/>
              <w:bidi w:val="0"/>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运营期环境影响和保护措施</w:t>
            </w:r>
          </w:p>
        </w:tc>
        <w:tc>
          <w:tcPr>
            <w:tcW w:w="4811" w:type="pct"/>
            <w:vAlign w:val="center"/>
          </w:tcPr>
          <w:p w14:paraId="502D52E9">
            <w:pPr>
              <w:widowControl w:val="0"/>
              <w:kinsoku/>
              <w:autoSpaceDE/>
              <w:autoSpaceDN/>
              <w:adjustRightInd/>
              <w:snapToGrid/>
              <w:spacing w:line="360" w:lineRule="auto"/>
              <w:ind w:firstLine="464" w:firstLineChars="200"/>
              <w:jc w:val="both"/>
              <w:textAlignment w:val="auto"/>
              <w:rPr>
                <w:rFonts w:hint="default" w:ascii="Times New Roman" w:hAnsi="Times New Roman" w:eastAsia="宋体" w:cs="Times New Roman"/>
                <w:b/>
                <w:bCs/>
                <w:snapToGrid/>
                <w:color w:val="auto"/>
                <w:spacing w:val="-4"/>
                <w:kern w:val="2"/>
                <w:sz w:val="24"/>
                <w:szCs w:val="24"/>
                <w:highlight w:val="none"/>
                <w:lang w:eastAsia="zh-CN"/>
              </w:rPr>
            </w:pPr>
            <w:r>
              <w:rPr>
                <w:rFonts w:hint="default" w:ascii="Times New Roman" w:hAnsi="Times New Roman" w:eastAsia="宋体" w:cs="Times New Roman"/>
                <w:b/>
                <w:bCs/>
                <w:snapToGrid/>
                <w:color w:val="auto"/>
                <w:spacing w:val="-4"/>
                <w:kern w:val="2"/>
                <w:sz w:val="24"/>
                <w:szCs w:val="24"/>
                <w:highlight w:val="none"/>
                <w:lang w:val="en-US" w:eastAsia="zh-CN"/>
              </w:rPr>
              <w:t>2</w:t>
            </w:r>
            <w:r>
              <w:rPr>
                <w:rFonts w:hint="default" w:ascii="Times New Roman" w:hAnsi="Times New Roman" w:eastAsia="宋体" w:cs="Times New Roman"/>
                <w:b/>
                <w:bCs/>
                <w:snapToGrid/>
                <w:color w:val="auto"/>
                <w:spacing w:val="-4"/>
                <w:kern w:val="2"/>
                <w:sz w:val="24"/>
                <w:szCs w:val="24"/>
                <w:highlight w:val="none"/>
                <w:lang w:eastAsia="zh-CN"/>
              </w:rPr>
              <w:t>.1废气源强核算过程</w:t>
            </w:r>
          </w:p>
          <w:p w14:paraId="4884F660">
            <w:pPr>
              <w:widowControl w:val="0"/>
              <w:kinsoku/>
              <w:autoSpaceDE/>
              <w:autoSpaceDN/>
              <w:adjustRightInd/>
              <w:snapToGrid/>
              <w:spacing w:line="360" w:lineRule="auto"/>
              <w:ind w:firstLine="464" w:firstLineChars="200"/>
              <w:jc w:val="both"/>
              <w:textAlignment w:val="auto"/>
              <w:rPr>
                <w:rFonts w:hint="default" w:ascii="Times New Roman" w:hAnsi="Times New Roman" w:eastAsia="宋体" w:cs="Times New Roman"/>
                <w:snapToGrid/>
                <w:color w:val="auto"/>
                <w:spacing w:val="-4"/>
                <w:kern w:val="2"/>
                <w:sz w:val="24"/>
                <w:szCs w:val="24"/>
                <w:highlight w:val="none"/>
                <w:lang w:val="en-US" w:eastAsia="zh-CN"/>
              </w:rPr>
            </w:pPr>
            <w:r>
              <w:rPr>
                <w:rFonts w:hint="default" w:ascii="Times New Roman" w:hAnsi="Times New Roman" w:eastAsia="宋体" w:cs="Times New Roman"/>
                <w:b/>
                <w:bCs/>
                <w:snapToGrid/>
                <w:color w:val="auto"/>
                <w:spacing w:val="-4"/>
                <w:kern w:val="2"/>
                <w:sz w:val="24"/>
                <w:szCs w:val="24"/>
                <w:highlight w:val="none"/>
                <w:lang w:val="en-US" w:eastAsia="zh-CN"/>
              </w:rPr>
              <w:t>2</w:t>
            </w:r>
            <w:r>
              <w:rPr>
                <w:rFonts w:hint="default" w:ascii="Times New Roman" w:hAnsi="Times New Roman" w:eastAsia="宋体" w:cs="Times New Roman"/>
                <w:b/>
                <w:bCs/>
                <w:snapToGrid/>
                <w:color w:val="auto"/>
                <w:spacing w:val="-4"/>
                <w:kern w:val="2"/>
                <w:sz w:val="24"/>
                <w:szCs w:val="24"/>
                <w:highlight w:val="none"/>
                <w:lang w:eastAsia="zh-CN"/>
              </w:rPr>
              <w:t>.1.1</w:t>
            </w:r>
            <w:r>
              <w:rPr>
                <w:rFonts w:hint="default" w:ascii="Times New Roman" w:hAnsi="Times New Roman" w:eastAsia="宋体" w:cs="Times New Roman"/>
                <w:b/>
                <w:bCs/>
                <w:snapToGrid/>
                <w:color w:val="auto"/>
                <w:spacing w:val="-4"/>
                <w:kern w:val="2"/>
                <w:sz w:val="24"/>
                <w:szCs w:val="24"/>
                <w:highlight w:val="none"/>
                <w:lang w:val="en-US" w:eastAsia="zh-CN"/>
              </w:rPr>
              <w:t>机加工粉尘</w:t>
            </w:r>
          </w:p>
          <w:p w14:paraId="56F1241A">
            <w:pPr>
              <w:widowControl w:val="0"/>
              <w:kinsoku/>
              <w:autoSpaceDE/>
              <w:autoSpaceDN/>
              <w:adjustRightInd/>
              <w:snapToGrid/>
              <w:spacing w:line="360" w:lineRule="auto"/>
              <w:ind w:firstLine="464" w:firstLineChars="200"/>
              <w:jc w:val="both"/>
              <w:textAlignment w:val="auto"/>
              <w:rPr>
                <w:rFonts w:hint="default" w:ascii="Times New Roman" w:hAnsi="Times New Roman" w:eastAsia="宋体" w:cs="Times New Roman"/>
                <w:b/>
                <w:bCs/>
                <w:snapToGrid/>
                <w:color w:val="auto"/>
                <w:spacing w:val="-4"/>
                <w:kern w:val="2"/>
                <w:sz w:val="24"/>
                <w:szCs w:val="24"/>
                <w:highlight w:val="none"/>
                <w:lang w:val="en-US" w:eastAsia="zh-CN"/>
              </w:rPr>
            </w:pPr>
            <w:r>
              <w:rPr>
                <w:rFonts w:hint="default" w:ascii="Times New Roman" w:hAnsi="Times New Roman" w:eastAsia="宋体" w:cs="Times New Roman"/>
                <w:b/>
                <w:bCs/>
                <w:snapToGrid/>
                <w:color w:val="auto"/>
                <w:spacing w:val="-4"/>
                <w:kern w:val="2"/>
                <w:sz w:val="24"/>
                <w:szCs w:val="24"/>
                <w:highlight w:val="none"/>
                <w:lang w:eastAsia="zh-CN"/>
              </w:rPr>
              <w:t>（</w:t>
            </w:r>
            <w:r>
              <w:rPr>
                <w:rFonts w:hint="default" w:ascii="Times New Roman" w:hAnsi="Times New Roman" w:eastAsia="宋体" w:cs="Times New Roman"/>
                <w:b/>
                <w:bCs/>
                <w:snapToGrid/>
                <w:color w:val="auto"/>
                <w:spacing w:val="-4"/>
                <w:kern w:val="2"/>
                <w:sz w:val="24"/>
                <w:szCs w:val="24"/>
                <w:highlight w:val="none"/>
                <w:lang w:val="en-US" w:eastAsia="zh-CN"/>
              </w:rPr>
              <w:t>1</w:t>
            </w:r>
            <w:r>
              <w:rPr>
                <w:rFonts w:hint="default" w:ascii="Times New Roman" w:hAnsi="Times New Roman" w:eastAsia="宋体" w:cs="Times New Roman"/>
                <w:b/>
                <w:bCs/>
                <w:snapToGrid/>
                <w:color w:val="auto"/>
                <w:spacing w:val="-4"/>
                <w:kern w:val="2"/>
                <w:sz w:val="24"/>
                <w:szCs w:val="24"/>
                <w:highlight w:val="none"/>
                <w:lang w:eastAsia="zh-CN"/>
              </w:rPr>
              <w:t>）</w:t>
            </w:r>
            <w:r>
              <w:rPr>
                <w:rFonts w:hint="default" w:ascii="Times New Roman" w:hAnsi="Times New Roman" w:eastAsia="宋体" w:cs="Times New Roman"/>
                <w:b/>
                <w:bCs/>
                <w:snapToGrid/>
                <w:color w:val="auto"/>
                <w:spacing w:val="-4"/>
                <w:kern w:val="2"/>
                <w:sz w:val="24"/>
                <w:szCs w:val="24"/>
                <w:highlight w:val="none"/>
                <w:lang w:val="en-US" w:eastAsia="zh-CN"/>
              </w:rPr>
              <w:t>切割粉尘</w:t>
            </w:r>
          </w:p>
          <w:p w14:paraId="5C1BD6CB">
            <w:pPr>
              <w:widowControl w:val="0"/>
              <w:kinsoku/>
              <w:autoSpaceDE/>
              <w:autoSpaceDN/>
              <w:adjustRightInd/>
              <w:snapToGrid/>
              <w:spacing w:line="360" w:lineRule="auto"/>
              <w:ind w:firstLine="464" w:firstLineChars="200"/>
              <w:jc w:val="both"/>
              <w:textAlignment w:val="auto"/>
              <w:rPr>
                <w:rFonts w:hint="default" w:ascii="Times New Roman" w:hAnsi="Times New Roman" w:eastAsia="宋体" w:cs="Times New Roman"/>
                <w:b w:val="0"/>
                <w:bCs w:val="0"/>
                <w:snapToGrid/>
                <w:color w:val="auto"/>
                <w:spacing w:val="-4"/>
                <w:kern w:val="2"/>
                <w:sz w:val="24"/>
                <w:szCs w:val="24"/>
                <w:highlight w:val="none"/>
                <w:lang w:eastAsia="zh-CN"/>
              </w:rPr>
            </w:pPr>
            <w:r>
              <w:rPr>
                <w:rFonts w:hint="default" w:ascii="Times New Roman" w:hAnsi="Times New Roman" w:eastAsia="宋体" w:cs="Times New Roman"/>
                <w:snapToGrid/>
                <w:color w:val="auto"/>
                <w:spacing w:val="-4"/>
                <w:kern w:val="2"/>
                <w:sz w:val="24"/>
                <w:szCs w:val="24"/>
                <w:highlight w:val="none"/>
                <w:lang w:val="en-US" w:eastAsia="zh-CN"/>
              </w:rPr>
              <w:t>项目</w:t>
            </w:r>
            <w:r>
              <w:rPr>
                <w:rFonts w:hint="default" w:ascii="Times New Roman" w:hAnsi="Times New Roman" w:eastAsia="宋体" w:cs="Times New Roman"/>
                <w:snapToGrid/>
                <w:color w:val="auto"/>
                <w:spacing w:val="-4"/>
                <w:kern w:val="2"/>
                <w:sz w:val="24"/>
                <w:szCs w:val="24"/>
                <w:highlight w:val="none"/>
                <w:lang w:eastAsia="zh-CN"/>
              </w:rPr>
              <w:t>使用</w:t>
            </w:r>
            <w:r>
              <w:rPr>
                <w:rFonts w:hint="default" w:ascii="Times New Roman" w:hAnsi="Times New Roman" w:eastAsia="宋体" w:cs="Times New Roman"/>
                <w:snapToGrid/>
                <w:color w:val="auto"/>
                <w:spacing w:val="-4"/>
                <w:kern w:val="2"/>
                <w:sz w:val="24"/>
                <w:szCs w:val="24"/>
                <w:highlight w:val="none"/>
                <w:lang w:val="en-US" w:eastAsia="zh-CN"/>
              </w:rPr>
              <w:t>激光切割生产线、数控切割机</w:t>
            </w:r>
            <w:r>
              <w:rPr>
                <w:rFonts w:hint="default" w:ascii="Times New Roman" w:hAnsi="Times New Roman" w:eastAsia="宋体" w:cs="Times New Roman"/>
                <w:snapToGrid/>
                <w:color w:val="auto"/>
                <w:spacing w:val="-4"/>
                <w:kern w:val="2"/>
                <w:sz w:val="24"/>
                <w:szCs w:val="24"/>
                <w:highlight w:val="none"/>
                <w:lang w:eastAsia="zh-CN"/>
              </w:rPr>
              <w:t>对</w:t>
            </w:r>
            <w:r>
              <w:rPr>
                <w:rFonts w:hint="eastAsia" w:cs="Times New Roman"/>
                <w:snapToGrid/>
                <w:color w:val="auto"/>
                <w:spacing w:val="-4"/>
                <w:kern w:val="2"/>
                <w:sz w:val="24"/>
                <w:szCs w:val="24"/>
                <w:highlight w:val="none"/>
                <w:lang w:val="en-US" w:eastAsia="zh-CN"/>
              </w:rPr>
              <w:t>钢</w:t>
            </w:r>
            <w:r>
              <w:rPr>
                <w:rFonts w:hint="default" w:ascii="Times New Roman" w:hAnsi="Times New Roman" w:eastAsia="宋体" w:cs="Times New Roman"/>
                <w:snapToGrid/>
                <w:color w:val="auto"/>
                <w:spacing w:val="-4"/>
                <w:kern w:val="2"/>
                <w:sz w:val="24"/>
                <w:szCs w:val="24"/>
                <w:highlight w:val="none"/>
                <w:lang w:eastAsia="zh-CN"/>
              </w:rPr>
              <w:t>板进行</w:t>
            </w:r>
            <w:r>
              <w:rPr>
                <w:rFonts w:hint="default" w:ascii="Times New Roman" w:hAnsi="Times New Roman" w:eastAsia="宋体" w:cs="Times New Roman"/>
                <w:snapToGrid/>
                <w:color w:val="auto"/>
                <w:spacing w:val="-4"/>
                <w:kern w:val="2"/>
                <w:sz w:val="24"/>
                <w:szCs w:val="24"/>
                <w:highlight w:val="none"/>
                <w:lang w:val="en-US" w:eastAsia="zh-CN"/>
              </w:rPr>
              <w:t>开料</w:t>
            </w:r>
            <w:r>
              <w:rPr>
                <w:rFonts w:hint="default" w:ascii="Times New Roman" w:hAnsi="Times New Roman" w:eastAsia="宋体" w:cs="Times New Roman"/>
                <w:snapToGrid/>
                <w:color w:val="auto"/>
                <w:spacing w:val="-4"/>
                <w:kern w:val="2"/>
                <w:sz w:val="24"/>
                <w:szCs w:val="24"/>
                <w:highlight w:val="none"/>
                <w:lang w:eastAsia="zh-CN"/>
              </w:rPr>
              <w:t>，切割过程会产生粉尘，本项目切割</w:t>
            </w:r>
            <w:r>
              <w:rPr>
                <w:rFonts w:hint="eastAsia" w:cs="Times New Roman"/>
                <w:snapToGrid/>
                <w:color w:val="auto"/>
                <w:spacing w:val="-4"/>
                <w:kern w:val="2"/>
                <w:sz w:val="24"/>
                <w:szCs w:val="24"/>
                <w:highlight w:val="none"/>
                <w:lang w:val="en-US" w:eastAsia="zh-CN"/>
              </w:rPr>
              <w:t>钢材3029.37</w:t>
            </w:r>
            <w:r>
              <w:rPr>
                <w:rFonts w:hint="default" w:ascii="Times New Roman" w:hAnsi="Times New Roman" w:eastAsia="宋体" w:cs="Times New Roman"/>
                <w:snapToGrid/>
                <w:color w:val="auto"/>
                <w:spacing w:val="-4"/>
                <w:kern w:val="2"/>
                <w:sz w:val="24"/>
                <w:szCs w:val="24"/>
                <w:highlight w:val="none"/>
                <w:lang w:eastAsia="zh-CN"/>
              </w:rPr>
              <w:t>t/a，参考《排放源统计调查产排污核算方法和系数手册》—《33-37，431-434机械行业系数手册》中“04下料一钢板、铝板、铝合金板、其他金属材料-等离子切割工艺-颗粒物”的产污系数1.10kg/t原料计，则激光切割粉尘的产生量约为</w:t>
            </w:r>
            <w:r>
              <w:rPr>
                <w:rFonts w:hint="eastAsia" w:cs="Times New Roman"/>
                <w:snapToGrid/>
                <w:color w:val="auto"/>
                <w:spacing w:val="-4"/>
                <w:kern w:val="2"/>
                <w:sz w:val="24"/>
                <w:szCs w:val="24"/>
                <w:highlight w:val="none"/>
                <w:lang w:val="en-US" w:eastAsia="zh-CN"/>
              </w:rPr>
              <w:t>3.332</w:t>
            </w:r>
            <w:r>
              <w:rPr>
                <w:rFonts w:hint="default" w:ascii="Times New Roman" w:hAnsi="Times New Roman" w:eastAsia="宋体" w:cs="Times New Roman"/>
                <w:snapToGrid/>
                <w:color w:val="auto"/>
                <w:spacing w:val="-4"/>
                <w:kern w:val="2"/>
                <w:sz w:val="24"/>
                <w:szCs w:val="24"/>
                <w:highlight w:val="none"/>
                <w:lang w:eastAsia="zh-CN"/>
              </w:rPr>
              <w:t>t/a。由于金属粉尘比重较大，绝大部分迅速沉降地面，参照《未纳入排污许可管理行业适用的排污系数、物料衡算方法（试行）》（原环境保护部公告2017年第81号）中“47锯材加工业”的系数，车间不装除尘设备的情况下，重力沉降法的效率为85%。金属比重大于木材，金属粉尘较木质粉尘更易沉降，沉降率按9</w:t>
            </w:r>
            <w:r>
              <w:rPr>
                <w:rFonts w:hint="default" w:ascii="Times New Roman" w:hAnsi="Times New Roman" w:eastAsia="宋体" w:cs="Times New Roman"/>
                <w:snapToGrid/>
                <w:color w:val="auto"/>
                <w:spacing w:val="-4"/>
                <w:kern w:val="2"/>
                <w:sz w:val="24"/>
                <w:szCs w:val="24"/>
                <w:highlight w:val="none"/>
                <w:lang w:val="en-US" w:eastAsia="zh-CN"/>
              </w:rPr>
              <w:t>5</w:t>
            </w:r>
            <w:r>
              <w:rPr>
                <w:rFonts w:hint="default" w:ascii="Times New Roman" w:hAnsi="Times New Roman" w:eastAsia="宋体" w:cs="Times New Roman"/>
                <w:snapToGrid/>
                <w:color w:val="auto"/>
                <w:spacing w:val="-4"/>
                <w:kern w:val="2"/>
                <w:sz w:val="24"/>
                <w:szCs w:val="24"/>
                <w:highlight w:val="none"/>
                <w:lang w:eastAsia="zh-CN"/>
              </w:rPr>
              <w:t>%计，仅</w:t>
            </w:r>
            <w:r>
              <w:rPr>
                <w:rFonts w:hint="default" w:ascii="Times New Roman" w:hAnsi="Times New Roman" w:eastAsia="宋体" w:cs="Times New Roman"/>
                <w:snapToGrid/>
                <w:color w:val="auto"/>
                <w:spacing w:val="-4"/>
                <w:kern w:val="2"/>
                <w:sz w:val="24"/>
                <w:szCs w:val="24"/>
                <w:highlight w:val="none"/>
                <w:lang w:val="en-US" w:eastAsia="zh-CN"/>
              </w:rPr>
              <w:t>5</w:t>
            </w:r>
            <w:r>
              <w:rPr>
                <w:rFonts w:hint="default" w:ascii="Times New Roman" w:hAnsi="Times New Roman" w:eastAsia="宋体" w:cs="Times New Roman"/>
                <w:snapToGrid/>
                <w:color w:val="auto"/>
                <w:spacing w:val="-4"/>
                <w:kern w:val="2"/>
                <w:sz w:val="24"/>
                <w:szCs w:val="24"/>
                <w:highlight w:val="none"/>
                <w:lang w:eastAsia="zh-CN"/>
              </w:rPr>
              <w:t>%以无组织形式在车间内排放，则切割粉尘</w:t>
            </w:r>
            <w:r>
              <w:rPr>
                <w:rFonts w:hint="default" w:ascii="Times New Roman" w:hAnsi="Times New Roman" w:eastAsia="宋体" w:cs="Times New Roman"/>
                <w:snapToGrid/>
                <w:color w:val="auto"/>
                <w:spacing w:val="-4"/>
                <w:kern w:val="2"/>
                <w:sz w:val="24"/>
                <w:szCs w:val="24"/>
                <w:highlight w:val="none"/>
                <w:lang w:val="en-US" w:eastAsia="zh-CN"/>
              </w:rPr>
              <w:t>沉降量</w:t>
            </w:r>
            <w:r>
              <w:rPr>
                <w:rFonts w:hint="eastAsia" w:ascii="Times New Roman" w:hAnsi="Times New Roman" w:eastAsia="宋体" w:cs="Times New Roman"/>
                <w:snapToGrid/>
                <w:color w:val="auto"/>
                <w:spacing w:val="-4"/>
                <w:kern w:val="2"/>
                <w:sz w:val="24"/>
                <w:szCs w:val="24"/>
                <w:highlight w:val="none"/>
                <w:lang w:val="en-US" w:eastAsia="zh-CN"/>
              </w:rPr>
              <w:t>=</w:t>
            </w:r>
            <w:r>
              <w:rPr>
                <w:rFonts w:hint="eastAsia" w:cs="Times New Roman"/>
                <w:snapToGrid/>
                <w:color w:val="auto"/>
                <w:spacing w:val="-4"/>
                <w:kern w:val="2"/>
                <w:sz w:val="24"/>
                <w:szCs w:val="24"/>
                <w:highlight w:val="none"/>
                <w:lang w:val="en-US" w:eastAsia="zh-CN"/>
              </w:rPr>
              <w:t>3.332</w:t>
            </w:r>
            <w:r>
              <w:rPr>
                <w:rFonts w:hint="eastAsia" w:ascii="Times New Roman" w:hAnsi="Times New Roman" w:eastAsia="宋体" w:cs="Times New Roman"/>
                <w:snapToGrid/>
                <w:color w:val="auto"/>
                <w:spacing w:val="-4"/>
                <w:kern w:val="2"/>
                <w:sz w:val="24"/>
                <w:szCs w:val="24"/>
                <w:highlight w:val="none"/>
                <w:lang w:val="en-US" w:eastAsia="zh-CN"/>
              </w:rPr>
              <w:t>t/a×95%≈</w:t>
            </w:r>
            <w:r>
              <w:rPr>
                <w:rFonts w:hint="eastAsia" w:cs="Times New Roman"/>
                <w:snapToGrid/>
                <w:color w:val="auto"/>
                <w:spacing w:val="-4"/>
                <w:kern w:val="2"/>
                <w:sz w:val="24"/>
                <w:szCs w:val="24"/>
                <w:highlight w:val="none"/>
                <w:lang w:val="en-US" w:eastAsia="zh-CN"/>
              </w:rPr>
              <w:t>3.166</w:t>
            </w:r>
            <w:r>
              <w:rPr>
                <w:rFonts w:hint="default" w:ascii="Times New Roman" w:hAnsi="Times New Roman" w:eastAsia="宋体" w:cs="Times New Roman"/>
                <w:snapToGrid/>
                <w:color w:val="auto"/>
                <w:spacing w:val="-4"/>
                <w:kern w:val="2"/>
                <w:sz w:val="24"/>
                <w:szCs w:val="24"/>
                <w:highlight w:val="none"/>
                <w:lang w:eastAsia="zh-CN"/>
              </w:rPr>
              <w:t>t/a，无组织排放量</w:t>
            </w:r>
            <w:r>
              <w:rPr>
                <w:rFonts w:hint="eastAsia" w:ascii="Times New Roman" w:hAnsi="Times New Roman" w:eastAsia="宋体" w:cs="Times New Roman"/>
                <w:snapToGrid/>
                <w:color w:val="auto"/>
                <w:spacing w:val="-4"/>
                <w:kern w:val="2"/>
                <w:sz w:val="24"/>
                <w:szCs w:val="24"/>
                <w:highlight w:val="none"/>
                <w:lang w:val="en-US" w:eastAsia="zh-CN"/>
              </w:rPr>
              <w:t>=</w:t>
            </w:r>
            <w:r>
              <w:rPr>
                <w:rFonts w:hint="eastAsia" w:cs="Times New Roman"/>
                <w:snapToGrid/>
                <w:color w:val="auto"/>
                <w:spacing w:val="-4"/>
                <w:kern w:val="2"/>
                <w:sz w:val="24"/>
                <w:szCs w:val="24"/>
                <w:highlight w:val="none"/>
                <w:lang w:val="en-US" w:eastAsia="zh-CN"/>
              </w:rPr>
              <w:t>3.332</w:t>
            </w:r>
            <w:r>
              <w:rPr>
                <w:rFonts w:hint="eastAsia" w:ascii="Times New Roman" w:hAnsi="Times New Roman" w:eastAsia="宋体" w:cs="Times New Roman"/>
                <w:snapToGrid/>
                <w:color w:val="auto"/>
                <w:spacing w:val="-4"/>
                <w:kern w:val="2"/>
                <w:sz w:val="24"/>
                <w:szCs w:val="24"/>
                <w:highlight w:val="none"/>
                <w:lang w:val="en-US" w:eastAsia="zh-CN"/>
              </w:rPr>
              <w:t>t/a×5%≈</w:t>
            </w:r>
            <w:r>
              <w:rPr>
                <w:rFonts w:hint="eastAsia" w:cs="Times New Roman"/>
                <w:snapToGrid/>
                <w:color w:val="auto"/>
                <w:spacing w:val="-4"/>
                <w:kern w:val="2"/>
                <w:sz w:val="24"/>
                <w:szCs w:val="24"/>
                <w:highlight w:val="none"/>
                <w:lang w:val="en-US" w:eastAsia="zh-CN"/>
              </w:rPr>
              <w:t>0.167</w:t>
            </w:r>
            <w:r>
              <w:rPr>
                <w:rFonts w:hint="default" w:ascii="Times New Roman" w:hAnsi="Times New Roman" w:eastAsia="宋体" w:cs="Times New Roman"/>
                <w:snapToGrid/>
                <w:color w:val="auto"/>
                <w:spacing w:val="-4"/>
                <w:kern w:val="2"/>
                <w:sz w:val="24"/>
                <w:szCs w:val="24"/>
                <w:highlight w:val="none"/>
                <w:lang w:eastAsia="zh-CN"/>
              </w:rPr>
              <w:t>t/a，每天工作</w:t>
            </w:r>
            <w:r>
              <w:rPr>
                <w:rFonts w:hint="eastAsia" w:cs="Times New Roman"/>
                <w:snapToGrid/>
                <w:color w:val="auto"/>
                <w:spacing w:val="-4"/>
                <w:kern w:val="2"/>
                <w:sz w:val="24"/>
                <w:szCs w:val="24"/>
                <w:highlight w:val="none"/>
                <w:lang w:val="en-US" w:eastAsia="zh-CN"/>
              </w:rPr>
              <w:t>10</w:t>
            </w:r>
            <w:r>
              <w:rPr>
                <w:rFonts w:hint="default" w:ascii="Times New Roman" w:hAnsi="Times New Roman" w:eastAsia="宋体" w:cs="Times New Roman"/>
                <w:snapToGrid/>
                <w:color w:val="auto"/>
                <w:spacing w:val="-4"/>
                <w:kern w:val="2"/>
                <w:sz w:val="24"/>
                <w:szCs w:val="24"/>
                <w:highlight w:val="none"/>
                <w:lang w:eastAsia="zh-CN"/>
              </w:rPr>
              <w:t>小时，年工作</w:t>
            </w:r>
            <w:r>
              <w:rPr>
                <w:rFonts w:hint="eastAsia" w:cs="Times New Roman"/>
                <w:snapToGrid/>
                <w:color w:val="auto"/>
                <w:spacing w:val="-4"/>
                <w:kern w:val="2"/>
                <w:sz w:val="24"/>
                <w:szCs w:val="24"/>
                <w:highlight w:val="none"/>
                <w:lang w:val="en-US" w:eastAsia="zh-CN"/>
              </w:rPr>
              <w:t>300</w:t>
            </w:r>
            <w:r>
              <w:rPr>
                <w:rFonts w:hint="default" w:ascii="Times New Roman" w:hAnsi="Times New Roman" w:eastAsia="宋体" w:cs="Times New Roman"/>
                <w:snapToGrid/>
                <w:color w:val="auto"/>
                <w:spacing w:val="-4"/>
                <w:kern w:val="2"/>
                <w:sz w:val="24"/>
                <w:szCs w:val="24"/>
                <w:highlight w:val="none"/>
                <w:lang w:eastAsia="zh-CN"/>
              </w:rPr>
              <w:t>天，全年工作时间为</w:t>
            </w:r>
            <w:r>
              <w:rPr>
                <w:rFonts w:hint="eastAsia" w:cs="Times New Roman"/>
                <w:snapToGrid/>
                <w:color w:val="auto"/>
                <w:spacing w:val="-4"/>
                <w:kern w:val="2"/>
                <w:sz w:val="24"/>
                <w:szCs w:val="24"/>
                <w:highlight w:val="none"/>
                <w:lang w:val="en-US" w:eastAsia="zh-CN"/>
              </w:rPr>
              <w:t>3000</w:t>
            </w:r>
            <w:r>
              <w:rPr>
                <w:rFonts w:hint="default" w:ascii="Times New Roman" w:hAnsi="Times New Roman" w:eastAsia="宋体" w:cs="Times New Roman"/>
                <w:snapToGrid/>
                <w:color w:val="auto"/>
                <w:spacing w:val="-4"/>
                <w:kern w:val="2"/>
                <w:sz w:val="24"/>
                <w:szCs w:val="24"/>
                <w:highlight w:val="none"/>
                <w:lang w:eastAsia="zh-CN"/>
              </w:rPr>
              <w:t>h，切割粉尘无组织排放速率约为</w:t>
            </w:r>
            <w:r>
              <w:rPr>
                <w:rFonts w:hint="eastAsia" w:cs="Times New Roman"/>
                <w:snapToGrid/>
                <w:color w:val="auto"/>
                <w:spacing w:val="-4"/>
                <w:kern w:val="2"/>
                <w:sz w:val="24"/>
                <w:szCs w:val="24"/>
                <w:highlight w:val="none"/>
                <w:lang w:val="en-US" w:eastAsia="zh-CN"/>
              </w:rPr>
              <w:t>0.056</w:t>
            </w:r>
            <w:r>
              <w:rPr>
                <w:rFonts w:hint="default" w:ascii="Times New Roman" w:hAnsi="Times New Roman" w:eastAsia="宋体" w:cs="Times New Roman"/>
                <w:snapToGrid/>
                <w:color w:val="auto"/>
                <w:spacing w:val="-4"/>
                <w:kern w:val="2"/>
                <w:sz w:val="24"/>
                <w:szCs w:val="24"/>
                <w:highlight w:val="none"/>
                <w:lang w:eastAsia="zh-CN"/>
              </w:rPr>
              <w:t>kg/h。</w:t>
            </w:r>
          </w:p>
          <w:p w14:paraId="12650D53">
            <w:pPr>
              <w:pStyle w:val="120"/>
              <w:keepNext w:val="0"/>
              <w:keepLines w:val="0"/>
              <w:suppressLineNumbers w:val="0"/>
              <w:snapToGrid/>
              <w:spacing w:before="0" w:beforeAutospacing="0" w:after="0" w:afterAutospacing="0"/>
              <w:ind w:left="0" w:right="0" w:firstLine="48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（2）抛光打磨粉尘</w:t>
            </w:r>
          </w:p>
          <w:p w14:paraId="305EA7A7">
            <w:pPr>
              <w:pStyle w:val="120"/>
              <w:keepNext w:val="0"/>
              <w:keepLines w:val="0"/>
              <w:suppressLineNumbers w:val="0"/>
              <w:snapToGrid/>
              <w:spacing w:before="0" w:beforeAutospacing="0" w:after="0" w:afterAutospacing="0"/>
              <w:ind w:left="0" w:right="0" w:firstLine="48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本项目金属粉尘主要来自金属原料抛光打磨过程，该工序主要使用</w:t>
            </w:r>
            <w:r>
              <w:rPr>
                <w:rStyle w:val="80"/>
                <w:rFonts w:hint="default" w:ascii="Times New Roman" w:hAnsi="Times New Roman" w:eastAsia="宋体" w:cs="Times New Roman"/>
                <w:color w:val="auto"/>
                <w:sz w:val="24"/>
                <w:szCs w:val="24"/>
                <w:highlight w:val="none"/>
                <w:lang w:val="en-US" w:eastAsia="zh-CN"/>
              </w:rPr>
              <w:t>高速立式平磨机、打磨抛光机</w:t>
            </w:r>
            <w:r>
              <w:rPr>
                <w:rFonts w:hint="default" w:ascii="Times New Roman" w:hAnsi="Times New Roman" w:eastAsia="宋体" w:cs="Times New Roman"/>
                <w:b w:val="0"/>
                <w:bCs w:val="0"/>
                <w:color w:val="auto"/>
                <w:sz w:val="24"/>
                <w:szCs w:val="24"/>
                <w:highlight w:val="none"/>
                <w:lang w:val="en-US" w:eastAsia="zh-CN"/>
              </w:rPr>
              <w:t>在独立密闭打磨房（可视作集尘室）中进行。</w:t>
            </w:r>
          </w:p>
          <w:p w14:paraId="69D3AFC2">
            <w:pPr>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参考“《排放源统计调查产排污核算方法和系数手册》33-37机械行业系数手册”中“预处理核算环节-预处理-干式预处理件：抛丸、喷砂、打磨”的产污系数作为</w:t>
            </w:r>
            <w:r>
              <w:rPr>
                <w:rFonts w:hint="default" w:ascii="Times New Roman" w:hAnsi="Times New Roman" w:eastAsia="宋体" w:cs="Times New Roman"/>
                <w:color w:val="auto"/>
                <w:sz w:val="24"/>
                <w:szCs w:val="24"/>
                <w:highlight w:val="none"/>
                <w:lang w:eastAsia="zh-CN"/>
              </w:rPr>
              <w:t>抛光打磨</w:t>
            </w:r>
            <w:r>
              <w:rPr>
                <w:rFonts w:hint="default" w:ascii="Times New Roman" w:hAnsi="Times New Roman" w:eastAsia="宋体" w:cs="Times New Roman"/>
                <w:color w:val="auto"/>
                <w:sz w:val="24"/>
                <w:szCs w:val="24"/>
                <w:highlight w:val="none"/>
              </w:rPr>
              <w:t>粉尘产污源强计算依据</w:t>
            </w:r>
            <w:r>
              <w:rPr>
                <w:rFonts w:hint="default" w:ascii="Times New Roman" w:hAnsi="Times New Roman" w:eastAsia="宋体" w:cs="Times New Roman"/>
                <w:color w:val="auto"/>
                <w:sz w:val="24"/>
                <w:szCs w:val="24"/>
                <w:highlight w:val="none"/>
                <w:lang w:eastAsia="zh-CN"/>
              </w:rPr>
              <w:t>。本项目</w:t>
            </w:r>
            <w:r>
              <w:rPr>
                <w:rFonts w:hint="eastAsia" w:cs="Times New Roman"/>
                <w:color w:val="auto"/>
                <w:sz w:val="24"/>
                <w:szCs w:val="24"/>
                <w:highlight w:val="none"/>
                <w:lang w:val="en-US" w:eastAsia="zh-CN"/>
              </w:rPr>
              <w:t>经切割后的钢材</w:t>
            </w:r>
            <w:r>
              <w:rPr>
                <w:rFonts w:hint="default" w:ascii="Times New Roman" w:hAnsi="Times New Roman" w:eastAsia="宋体" w:cs="Times New Roman"/>
                <w:b w:val="0"/>
                <w:bCs w:val="0"/>
                <w:color w:val="auto"/>
                <w:sz w:val="24"/>
                <w:szCs w:val="24"/>
                <w:highlight w:val="none"/>
                <w:lang w:val="en-US" w:eastAsia="zh-CN"/>
              </w:rPr>
              <w:t>原料量为</w:t>
            </w:r>
            <w:r>
              <w:rPr>
                <w:rFonts w:hint="eastAsia" w:cs="Times New Roman"/>
                <w:b w:val="0"/>
                <w:bCs w:val="0"/>
                <w:color w:val="auto"/>
                <w:sz w:val="24"/>
                <w:szCs w:val="24"/>
                <w:highlight w:val="none"/>
                <w:lang w:val="en-US" w:eastAsia="zh-CN"/>
              </w:rPr>
              <w:t>2996.08</w:t>
            </w:r>
            <w:r>
              <w:rPr>
                <w:rFonts w:hint="default" w:ascii="Times New Roman" w:hAnsi="Times New Roman" w:eastAsia="宋体" w:cs="Times New Roman"/>
                <w:b w:val="0"/>
                <w:bCs w:val="0"/>
                <w:color w:val="auto"/>
                <w:sz w:val="24"/>
                <w:szCs w:val="24"/>
                <w:highlight w:val="none"/>
                <w:lang w:val="en-US" w:eastAsia="zh-CN"/>
              </w:rPr>
              <w:t>t/a，</w:t>
            </w:r>
            <w:r>
              <w:rPr>
                <w:rFonts w:hint="default" w:ascii="Times New Roman" w:hAnsi="Times New Roman" w:eastAsia="宋体" w:cs="Times New Roman"/>
                <w:color w:val="auto"/>
                <w:sz w:val="24"/>
                <w:szCs w:val="24"/>
                <w:highlight w:val="none"/>
                <w:lang w:eastAsia="zh-CN"/>
              </w:rPr>
              <w:t>抛光打磨粉尘产污系数</w:t>
            </w:r>
            <w:r>
              <w:rPr>
                <w:rFonts w:hint="default" w:ascii="Times New Roman" w:hAnsi="Times New Roman" w:eastAsia="宋体" w:cs="Times New Roman"/>
                <w:color w:val="auto"/>
                <w:sz w:val="24"/>
                <w:szCs w:val="24"/>
                <w:highlight w:val="none"/>
                <w:lang w:val="en-US" w:eastAsia="zh-CN"/>
              </w:rPr>
              <w:t>均取</w:t>
            </w:r>
            <w:r>
              <w:rPr>
                <w:rFonts w:hint="default" w:ascii="Times New Roman" w:hAnsi="Times New Roman" w:eastAsia="宋体" w:cs="Times New Roman"/>
                <w:color w:val="auto"/>
                <w:sz w:val="24"/>
                <w:szCs w:val="24"/>
                <w:highlight w:val="none"/>
                <w:lang w:eastAsia="zh-CN"/>
              </w:rPr>
              <w:t>2.19kg/t-原料</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先进行打磨，然后进行抛光</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本项目抛光打磨粉尘属于金属粉末，</w:t>
            </w:r>
            <w:r>
              <w:rPr>
                <w:rFonts w:hint="default" w:ascii="Times New Roman" w:hAnsi="Times New Roman" w:eastAsia="宋体" w:cs="Times New Roman"/>
                <w:color w:val="auto"/>
                <w:sz w:val="24"/>
                <w:szCs w:val="24"/>
                <w:highlight w:val="none"/>
              </w:rPr>
              <w:t>尘粒大于100微米，该类粉尘比重和粒径较大，一般80%沉降到工作台附近5m范围内</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20%逸散到</w:t>
            </w:r>
            <w:r>
              <w:rPr>
                <w:rFonts w:hint="default" w:ascii="Times New Roman" w:hAnsi="Times New Roman" w:eastAsia="宋体" w:cs="Times New Roman"/>
                <w:color w:val="auto"/>
                <w:sz w:val="24"/>
                <w:szCs w:val="24"/>
                <w:highlight w:val="none"/>
                <w:lang w:val="en-US" w:eastAsia="zh-CN"/>
              </w:rPr>
              <w:t>车间</w:t>
            </w:r>
            <w:r>
              <w:rPr>
                <w:rFonts w:hint="default" w:ascii="Times New Roman" w:hAnsi="Times New Roman" w:eastAsia="宋体" w:cs="Times New Roman"/>
                <w:color w:val="auto"/>
                <w:sz w:val="24"/>
                <w:szCs w:val="24"/>
                <w:highlight w:val="none"/>
              </w:rPr>
              <w:t>空气中。</w:t>
            </w:r>
            <w:r>
              <w:rPr>
                <w:rFonts w:hint="default" w:ascii="Times New Roman" w:hAnsi="Times New Roman" w:eastAsia="宋体" w:cs="Times New Roman"/>
                <w:color w:val="auto"/>
                <w:sz w:val="24"/>
                <w:szCs w:val="24"/>
                <w:highlight w:val="none"/>
                <w:lang w:val="en-US" w:eastAsia="zh-CN"/>
              </w:rPr>
              <w:t>计算得出抛光打磨粉尘逸散量如下表所示。</w:t>
            </w:r>
          </w:p>
          <w:p w14:paraId="36B3C9DC">
            <w:pPr>
              <w:keepNext w:val="0"/>
              <w:keepLines w:val="0"/>
              <w:numPr>
                <w:ilvl w:val="0"/>
                <w:numId w:val="10"/>
              </w:numPr>
              <w:suppressLineNumbers w:val="0"/>
              <w:spacing w:before="0" w:beforeAutospacing="0" w:after="0" w:afterAutospacing="0"/>
              <w:ind w:left="0" w:leftChars="0" w:right="0" w:hanging="1"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b/>
                <w:bCs/>
                <w:color w:val="auto"/>
                <w:sz w:val="21"/>
                <w:szCs w:val="21"/>
                <w:highlight w:val="none"/>
                <w:lang w:val="en-US" w:eastAsia="zh-CN"/>
              </w:rPr>
              <w:t>本项目抛光打磨粉尘逸散到空气产生量</w:t>
            </w:r>
          </w:p>
          <w:tbl>
            <w:tblPr>
              <w:tblStyle w:val="4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5"/>
              <w:gridCol w:w="1431"/>
              <w:gridCol w:w="1413"/>
              <w:gridCol w:w="1002"/>
              <w:gridCol w:w="914"/>
              <w:gridCol w:w="1943"/>
            </w:tblGrid>
            <w:tr w14:paraId="3DD06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36" w:type="pct"/>
                  <w:tcBorders>
                    <w:tl2br w:val="nil"/>
                    <w:tr2bl w:val="nil"/>
                  </w:tcBorders>
                  <w:vAlign w:val="center"/>
                </w:tcPr>
                <w:p w14:paraId="4ACDCA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lang w:val="en-US" w:eastAsia="zh-CN"/>
                    </w:rPr>
                  </w:pPr>
                  <w:r>
                    <w:rPr>
                      <w:rFonts w:hint="default" w:ascii="Times New Roman" w:hAnsi="Times New Roman" w:cs="Times New Roman"/>
                      <w:b/>
                      <w:bCs/>
                      <w:i w:val="0"/>
                      <w:iCs w:val="0"/>
                      <w:color w:val="auto"/>
                      <w:sz w:val="21"/>
                      <w:szCs w:val="21"/>
                      <w:highlight w:val="none"/>
                      <w:u w:val="none"/>
                      <w:lang w:val="en-US" w:eastAsia="zh-CN"/>
                    </w:rPr>
                    <w:t>废气类别</w:t>
                  </w:r>
                </w:p>
              </w:tc>
              <w:tc>
                <w:tcPr>
                  <w:tcW w:w="912" w:type="pct"/>
                  <w:tcBorders>
                    <w:tl2br w:val="nil"/>
                    <w:tr2bl w:val="nil"/>
                  </w:tcBorders>
                  <w:vAlign w:val="center"/>
                </w:tcPr>
                <w:p w14:paraId="072379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总产生量（t/a）</w:t>
                  </w:r>
                </w:p>
              </w:tc>
              <w:tc>
                <w:tcPr>
                  <w:tcW w:w="900" w:type="pct"/>
                  <w:tcBorders>
                    <w:tl2br w:val="nil"/>
                    <w:tr2bl w:val="nil"/>
                  </w:tcBorders>
                  <w:vAlign w:val="center"/>
                </w:tcPr>
                <w:p w14:paraId="0A29A6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产生速率（kg/h）</w:t>
                  </w:r>
                </w:p>
              </w:tc>
              <w:tc>
                <w:tcPr>
                  <w:tcW w:w="639" w:type="pct"/>
                  <w:tcBorders>
                    <w:tl2br w:val="nil"/>
                    <w:tr2bl w:val="nil"/>
                  </w:tcBorders>
                  <w:vAlign w:val="center"/>
                </w:tcPr>
                <w:p w14:paraId="4FED43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沉降率</w:t>
                  </w:r>
                </w:p>
              </w:tc>
              <w:tc>
                <w:tcPr>
                  <w:tcW w:w="583" w:type="pct"/>
                  <w:tcBorders>
                    <w:tl2br w:val="nil"/>
                    <w:tr2bl w:val="nil"/>
                  </w:tcBorders>
                  <w:vAlign w:val="center"/>
                </w:tcPr>
                <w:p w14:paraId="0BDA2F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沉降量（t/a）</w:t>
                  </w:r>
                </w:p>
              </w:tc>
              <w:tc>
                <w:tcPr>
                  <w:tcW w:w="1226" w:type="pct"/>
                  <w:tcBorders>
                    <w:tl2br w:val="nil"/>
                    <w:tr2bl w:val="nil"/>
                  </w:tcBorders>
                  <w:vAlign w:val="center"/>
                </w:tcPr>
                <w:p w14:paraId="624156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粉尘逸散到</w:t>
                  </w:r>
                  <w:r>
                    <w:rPr>
                      <w:rFonts w:hint="default" w:ascii="Times New Roman" w:hAnsi="Times New Roman" w:cs="Times New Roman"/>
                      <w:b/>
                      <w:bCs/>
                      <w:i w:val="0"/>
                      <w:iCs w:val="0"/>
                      <w:color w:val="auto"/>
                      <w:kern w:val="0"/>
                      <w:sz w:val="21"/>
                      <w:szCs w:val="21"/>
                      <w:highlight w:val="none"/>
                      <w:u w:val="none"/>
                      <w:lang w:val="en-US" w:eastAsia="zh-CN"/>
                    </w:rPr>
                    <w:t>车间</w:t>
                  </w:r>
                  <w:r>
                    <w:rPr>
                      <w:rFonts w:hint="default" w:ascii="Times New Roman" w:hAnsi="Times New Roman" w:eastAsia="宋体" w:cs="Times New Roman"/>
                      <w:b/>
                      <w:bCs/>
                      <w:i w:val="0"/>
                      <w:iCs w:val="0"/>
                      <w:color w:val="auto"/>
                      <w:kern w:val="0"/>
                      <w:sz w:val="21"/>
                      <w:szCs w:val="21"/>
                      <w:highlight w:val="none"/>
                      <w:u w:val="none"/>
                      <w:lang w:val="en-US" w:eastAsia="zh-CN"/>
                    </w:rPr>
                    <w:t>空气产生量（t/a）</w:t>
                  </w:r>
                </w:p>
              </w:tc>
            </w:tr>
            <w:tr w14:paraId="0BD91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36" w:type="pct"/>
                  <w:tcBorders>
                    <w:tl2br w:val="nil"/>
                    <w:tr2bl w:val="nil"/>
                  </w:tcBorders>
                  <w:vAlign w:val="center"/>
                </w:tcPr>
                <w:p w14:paraId="5A236C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rPr>
                    <w:t>打磨粉尘</w:t>
                  </w:r>
                </w:p>
              </w:tc>
              <w:tc>
                <w:tcPr>
                  <w:tcW w:w="1446" w:type="dxa"/>
                  <w:tcBorders>
                    <w:tl2br w:val="nil"/>
                    <w:tr2bl w:val="nil"/>
                  </w:tcBorders>
                  <w:vAlign w:val="center"/>
                </w:tcPr>
                <w:p w14:paraId="095214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bookmarkStart w:id="112" w:name="OLE_LINK29" w:colFirst="1" w:colLast="5"/>
                  <w:r>
                    <w:rPr>
                      <w:rFonts w:hint="default" w:ascii="Times New Roman" w:hAnsi="Times New Roman" w:eastAsia="宋体" w:cs="Times New Roman"/>
                      <w:i w:val="0"/>
                      <w:iCs w:val="0"/>
                      <w:color w:val="auto"/>
                      <w:kern w:val="0"/>
                      <w:sz w:val="21"/>
                      <w:szCs w:val="21"/>
                      <w:highlight w:val="none"/>
                      <w:u w:val="none"/>
                      <w:lang w:val="en-US" w:eastAsia="zh-CN" w:bidi="ar"/>
                    </w:rPr>
                    <w:t xml:space="preserve">6.561 </w:t>
                  </w:r>
                </w:p>
              </w:tc>
              <w:tc>
                <w:tcPr>
                  <w:tcW w:w="1427" w:type="dxa"/>
                  <w:tcBorders>
                    <w:tl2br w:val="nil"/>
                    <w:tr2bl w:val="nil"/>
                  </w:tcBorders>
                  <w:vAlign w:val="center"/>
                </w:tcPr>
                <w:p w14:paraId="7FDB59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2.187 </w:t>
                  </w:r>
                </w:p>
              </w:tc>
              <w:tc>
                <w:tcPr>
                  <w:tcW w:w="1013" w:type="dxa"/>
                  <w:tcBorders>
                    <w:tl2br w:val="nil"/>
                    <w:tr2bl w:val="nil"/>
                  </w:tcBorders>
                  <w:vAlign w:val="center"/>
                </w:tcPr>
                <w:p w14:paraId="592E99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924" w:type="dxa"/>
                  <w:tcBorders>
                    <w:tl2br w:val="nil"/>
                    <w:tr2bl w:val="nil"/>
                  </w:tcBorders>
                  <w:vAlign w:val="center"/>
                </w:tcPr>
                <w:p w14:paraId="304597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5.249 </w:t>
                  </w:r>
                </w:p>
              </w:tc>
              <w:tc>
                <w:tcPr>
                  <w:tcW w:w="1943" w:type="dxa"/>
                  <w:tcBorders>
                    <w:tl2br w:val="nil"/>
                    <w:tr2bl w:val="nil"/>
                  </w:tcBorders>
                  <w:noWrap/>
                  <w:vAlign w:val="center"/>
                </w:tcPr>
                <w:p w14:paraId="52844C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1.312 </w:t>
                  </w:r>
                </w:p>
                <w:bookmarkEnd w:id="112"/>
              </w:tc>
            </w:tr>
            <w:tr w14:paraId="1DCF4F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jc w:val="center"/>
              </w:trPr>
              <w:tc>
                <w:tcPr>
                  <w:tcW w:w="736" w:type="pct"/>
                  <w:tcBorders>
                    <w:tl2br w:val="nil"/>
                    <w:tr2bl w:val="nil"/>
                  </w:tcBorders>
                  <w:vAlign w:val="center"/>
                </w:tcPr>
                <w:p w14:paraId="476EC2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rPr>
                    <w:t>抛光粉尘</w:t>
                  </w:r>
                </w:p>
              </w:tc>
              <w:tc>
                <w:tcPr>
                  <w:tcW w:w="1446" w:type="dxa"/>
                  <w:tcBorders>
                    <w:tl2br w:val="nil"/>
                    <w:tr2bl w:val="nil"/>
                  </w:tcBorders>
                  <w:vAlign w:val="center"/>
                </w:tcPr>
                <w:p w14:paraId="5EE0013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6.546 </w:t>
                  </w:r>
                </w:p>
              </w:tc>
              <w:tc>
                <w:tcPr>
                  <w:tcW w:w="1427" w:type="dxa"/>
                  <w:tcBorders>
                    <w:tl2br w:val="nil"/>
                    <w:tr2bl w:val="nil"/>
                  </w:tcBorders>
                  <w:vAlign w:val="center"/>
                </w:tcPr>
                <w:p w14:paraId="651942D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2.182 </w:t>
                  </w:r>
                </w:p>
              </w:tc>
              <w:tc>
                <w:tcPr>
                  <w:tcW w:w="1013" w:type="dxa"/>
                  <w:tcBorders>
                    <w:tl2br w:val="nil"/>
                    <w:tr2bl w:val="nil"/>
                  </w:tcBorders>
                  <w:vAlign w:val="center"/>
                </w:tcPr>
                <w:p w14:paraId="65F340A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924" w:type="dxa"/>
                  <w:tcBorders>
                    <w:tl2br w:val="nil"/>
                    <w:tr2bl w:val="nil"/>
                  </w:tcBorders>
                  <w:vAlign w:val="center"/>
                </w:tcPr>
                <w:p w14:paraId="4C61BAA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5.237 </w:t>
                  </w:r>
                </w:p>
              </w:tc>
              <w:tc>
                <w:tcPr>
                  <w:tcW w:w="1943" w:type="dxa"/>
                  <w:tcBorders>
                    <w:tl2br w:val="nil"/>
                    <w:tr2bl w:val="nil"/>
                  </w:tcBorders>
                  <w:noWrap/>
                  <w:vAlign w:val="center"/>
                </w:tcPr>
                <w:p w14:paraId="5223DC9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1.309 </w:t>
                  </w:r>
                </w:p>
              </w:tc>
            </w:tr>
            <w:tr w14:paraId="4E0CD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36" w:type="pct"/>
                  <w:tcBorders>
                    <w:tl2br w:val="nil"/>
                    <w:tr2bl w:val="nil"/>
                  </w:tcBorders>
                  <w:vAlign w:val="center"/>
                </w:tcPr>
                <w:p w14:paraId="5189E8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cs="Times New Roman"/>
                      <w:b w:val="0"/>
                      <w:bCs w:val="0"/>
                      <w:i w:val="0"/>
                      <w:iCs w:val="0"/>
                      <w:color w:val="auto"/>
                      <w:sz w:val="21"/>
                      <w:szCs w:val="21"/>
                      <w:highlight w:val="none"/>
                      <w:u w:val="none"/>
                      <w:lang w:val="en-US" w:eastAsia="zh-CN"/>
                    </w:rPr>
                    <w:t>合计</w:t>
                  </w:r>
                </w:p>
              </w:tc>
              <w:tc>
                <w:tcPr>
                  <w:tcW w:w="1446" w:type="dxa"/>
                  <w:tcBorders>
                    <w:tl2br w:val="nil"/>
                    <w:tr2bl w:val="nil"/>
                  </w:tcBorders>
                  <w:vAlign w:val="center"/>
                </w:tcPr>
                <w:p w14:paraId="022F6D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13.107 </w:t>
                  </w:r>
                </w:p>
              </w:tc>
              <w:tc>
                <w:tcPr>
                  <w:tcW w:w="1427" w:type="dxa"/>
                  <w:tcBorders>
                    <w:tl2br w:val="nil"/>
                    <w:tr2bl w:val="nil"/>
                  </w:tcBorders>
                  <w:vAlign w:val="center"/>
                </w:tcPr>
                <w:p w14:paraId="3DB1E8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4.369 </w:t>
                  </w:r>
                </w:p>
              </w:tc>
              <w:tc>
                <w:tcPr>
                  <w:tcW w:w="1013" w:type="dxa"/>
                  <w:tcBorders>
                    <w:tl2br w:val="nil"/>
                    <w:tr2bl w:val="nil"/>
                  </w:tcBorders>
                  <w:vAlign w:val="center"/>
                </w:tcPr>
                <w:p w14:paraId="44DEF2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24" w:type="dxa"/>
                  <w:tcBorders>
                    <w:tl2br w:val="nil"/>
                    <w:tr2bl w:val="nil"/>
                  </w:tcBorders>
                  <w:vAlign w:val="center"/>
                </w:tcPr>
                <w:p w14:paraId="1D5553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10.486 </w:t>
                  </w:r>
                </w:p>
              </w:tc>
              <w:tc>
                <w:tcPr>
                  <w:tcW w:w="1943" w:type="dxa"/>
                  <w:tcBorders>
                    <w:tl2br w:val="nil"/>
                    <w:tr2bl w:val="nil"/>
                  </w:tcBorders>
                  <w:noWrap/>
                  <w:vAlign w:val="center"/>
                </w:tcPr>
                <w:p w14:paraId="778F22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2.621 </w:t>
                  </w:r>
                </w:p>
              </w:tc>
            </w:tr>
          </w:tbl>
          <w:p w14:paraId="41059B0C">
            <w:pPr>
              <w:pStyle w:val="12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100" w:lineRule="exact"/>
              <w:ind w:left="0" w:right="0" w:firstLine="480"/>
              <w:textAlignment w:val="auto"/>
              <w:rPr>
                <w:rFonts w:hint="default" w:ascii="Times New Roman" w:hAnsi="Times New Roman" w:eastAsia="宋体" w:cs="Times New Roman"/>
                <w:color w:val="auto"/>
                <w:highlight w:val="none"/>
              </w:rPr>
            </w:pPr>
          </w:p>
          <w:p w14:paraId="4E146F83">
            <w:pPr>
              <w:pStyle w:val="120"/>
              <w:keepNext w:val="0"/>
              <w:keepLines w:val="0"/>
              <w:suppressLineNumbers w:val="0"/>
              <w:snapToGrid/>
              <w:spacing w:before="0" w:beforeAutospacing="0" w:after="0" w:afterAutospacing="0"/>
              <w:ind w:left="0" w:right="0" w:firstLine="480"/>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highlight w:val="none"/>
              </w:rPr>
              <w:t>建设</w:t>
            </w:r>
            <w:r>
              <w:rPr>
                <w:rFonts w:hint="default" w:ascii="Times New Roman" w:hAnsi="Times New Roman" w:cs="Times New Roman"/>
                <w:color w:val="auto"/>
                <w:sz w:val="24"/>
                <w:szCs w:val="24"/>
                <w:highlight w:val="none"/>
              </w:rPr>
              <w:t>单位拟通过设置独立密闭</w:t>
            </w:r>
            <w:r>
              <w:rPr>
                <w:rFonts w:hint="default" w:ascii="Times New Roman" w:hAnsi="Times New Roman" w:cs="Times New Roman"/>
                <w:b w:val="0"/>
                <w:bCs w:val="0"/>
                <w:color w:val="auto"/>
                <w:sz w:val="24"/>
                <w:szCs w:val="24"/>
                <w:highlight w:val="none"/>
                <w:lang w:val="en-US" w:eastAsia="zh-CN"/>
              </w:rPr>
              <w:t>打磨房</w:t>
            </w:r>
            <w:r>
              <w:rPr>
                <w:rFonts w:hint="default" w:ascii="Times New Roman" w:hAnsi="Times New Roman" w:cs="Times New Roman"/>
                <w:color w:val="auto"/>
                <w:sz w:val="24"/>
                <w:szCs w:val="24"/>
                <w:highlight w:val="none"/>
              </w:rPr>
              <w:t>作为集尘室，</w:t>
            </w:r>
            <w:r>
              <w:rPr>
                <w:rFonts w:hint="default" w:ascii="Times New Roman" w:hAnsi="Times New Roman" w:cs="Times New Roman"/>
                <w:color w:val="auto"/>
                <w:sz w:val="24"/>
                <w:szCs w:val="24"/>
                <w:highlight w:val="none"/>
                <w:lang w:val="en-US" w:eastAsia="zh-CN"/>
              </w:rPr>
              <w:t>采用负压收集并</w:t>
            </w:r>
            <w:r>
              <w:rPr>
                <w:rFonts w:hint="default" w:ascii="Times New Roman" w:hAnsi="Times New Roman" w:cs="Times New Roman"/>
                <w:color w:val="auto"/>
                <w:sz w:val="24"/>
                <w:szCs w:val="24"/>
                <w:highlight w:val="none"/>
              </w:rPr>
              <w:t>配备</w:t>
            </w:r>
            <w:r>
              <w:rPr>
                <w:rFonts w:hint="default" w:ascii="Times New Roman" w:hAnsi="Times New Roman" w:cs="Times New Roman"/>
                <w:color w:val="auto"/>
                <w:kern w:val="0"/>
                <w:sz w:val="24"/>
                <w:szCs w:val="24"/>
                <w:highlight w:val="none"/>
              </w:rPr>
              <w:t>配套密闭罩，将粉尘尽可能截留在操作工位处，</w:t>
            </w:r>
            <w:r>
              <w:rPr>
                <w:rFonts w:hint="default" w:ascii="Times New Roman" w:hAnsi="Times New Roman" w:cs="Times New Roman"/>
                <w:color w:val="auto"/>
                <w:kern w:val="0"/>
                <w:sz w:val="24"/>
                <w:szCs w:val="24"/>
                <w:highlight w:val="none"/>
                <w:lang w:val="en-US" w:eastAsia="zh-CN"/>
              </w:rPr>
              <w:t>粉尘收集后进入布袋除尘器</w:t>
            </w:r>
            <w:r>
              <w:rPr>
                <w:rFonts w:hint="default" w:ascii="Times New Roman" w:hAnsi="Times New Roman" w:cs="Times New Roman"/>
                <w:color w:val="auto"/>
                <w:sz w:val="24"/>
                <w:szCs w:val="24"/>
                <w:highlight w:val="none"/>
              </w:rPr>
              <w:t>处理后</w:t>
            </w:r>
            <w:r>
              <w:rPr>
                <w:rFonts w:hint="default" w:ascii="Times New Roman" w:hAnsi="Times New Roman" w:cs="Times New Roman"/>
                <w:color w:val="auto"/>
                <w:sz w:val="24"/>
                <w:szCs w:val="24"/>
                <w:highlight w:val="none"/>
                <w:lang w:val="en-US" w:eastAsia="zh-CN"/>
              </w:rPr>
              <w:t>引至</w:t>
            </w:r>
            <w:bookmarkStart w:id="113" w:name="OLE_LINK25"/>
            <w:r>
              <w:rPr>
                <w:rFonts w:hint="default" w:ascii="Times New Roman" w:hAnsi="Times New Roman" w:cs="Times New Roman"/>
                <w:color w:val="auto"/>
                <w:sz w:val="24"/>
                <w:szCs w:val="24"/>
                <w:highlight w:val="none"/>
                <w:lang w:val="en-US" w:eastAsia="zh-CN"/>
              </w:rPr>
              <w:t>15m高排气筒DA001高空排放</w:t>
            </w:r>
            <w:bookmarkEnd w:id="113"/>
            <w:r>
              <w:rPr>
                <w:rFonts w:hint="default" w:ascii="Times New Roman" w:hAnsi="Times New Roman" w:cs="Times New Roman"/>
                <w:color w:val="auto"/>
                <w:sz w:val="24"/>
                <w:szCs w:val="24"/>
                <w:highlight w:val="none"/>
              </w:rPr>
              <w:t>。</w:t>
            </w:r>
          </w:p>
          <w:p w14:paraId="19A617D9">
            <w:pPr>
              <w:pStyle w:val="120"/>
              <w:keepNext w:val="0"/>
              <w:keepLines w:val="0"/>
              <w:suppressLineNumbers w:val="0"/>
              <w:snapToGrid/>
              <w:spacing w:before="0" w:beforeAutospacing="0" w:after="0" w:afterAutospacing="0"/>
              <w:ind w:left="0" w:right="0" w:firstLine="48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根据《广东省工业源挥发性有机物减排量核算方法（2023年修订版）》（粤环函〔2023〕538号）中，表3.3-2废气收集集气效率参考值对全密封设备/空间的情况：“产生源设置在密闭车间、密闭设备（含反应釜）、密闭管道内，所有开口处，包括人员或物料进出口处呈负压”，此时收集效率取值为</w:t>
            </w:r>
            <w:r>
              <w:rPr>
                <w:rFonts w:hint="default" w:ascii="Times New Roman" w:hAnsi="Times New Roman" w:cs="Times New Roman"/>
                <w:color w:val="auto"/>
                <w:sz w:val="24"/>
                <w:szCs w:val="24"/>
                <w:highlight w:val="none"/>
                <w:lang w:val="en-US" w:eastAsia="zh-CN"/>
              </w:rPr>
              <w:t>90</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本项目取集气效率为90%。</w:t>
            </w:r>
          </w:p>
          <w:p w14:paraId="7D7096BF">
            <w:pPr>
              <w:pStyle w:val="120"/>
              <w:keepNext w:val="0"/>
              <w:keepLines w:val="0"/>
              <w:suppressLineNumbers w:val="0"/>
              <w:snapToGrid/>
              <w:spacing w:before="0" w:beforeAutospacing="0" w:after="0" w:afterAutospacing="0"/>
              <w:ind w:left="0" w:right="0" w:firstLine="480"/>
              <w:rPr>
                <w:rFonts w:hint="default" w:ascii="Times New Roman" w:hAnsi="Times New Roman" w:cs="Times New Roman"/>
                <w:color w:val="auto"/>
                <w:sz w:val="24"/>
                <w:szCs w:val="24"/>
                <w:highlight w:val="none"/>
                <w:lang w:eastAsia="zh-CN"/>
              </w:rPr>
            </w:pPr>
            <w:r>
              <w:rPr>
                <w:rFonts w:hint="default" w:ascii="Times New Roman" w:hAnsi="Times New Roman" w:eastAsia="宋体" w:cs="Times New Roman"/>
                <w:snapToGrid/>
                <w:color w:val="auto"/>
                <w:kern w:val="0"/>
                <w:sz w:val="24"/>
                <w:szCs w:val="24"/>
                <w:highlight w:val="none"/>
                <w:lang w:eastAsia="zh-CN"/>
              </w:rPr>
              <w:t>根据</w:t>
            </w:r>
            <w:r>
              <w:rPr>
                <w:rFonts w:hint="default" w:ascii="Times New Roman" w:hAnsi="Times New Roman" w:cs="Times New Roman"/>
                <w:color w:val="auto"/>
                <w:sz w:val="24"/>
                <w:szCs w:val="24"/>
                <w:highlight w:val="none"/>
              </w:rPr>
              <w:t>环境工程技术手册《废气处理工程技术手册》（化学工业出版社2013年1月），</w:t>
            </w:r>
            <w:r>
              <w:rPr>
                <w:rFonts w:hint="default" w:ascii="Times New Roman" w:hAnsi="Times New Roman" w:cs="Times New Roman"/>
                <w:color w:val="auto"/>
                <w:sz w:val="24"/>
                <w:szCs w:val="24"/>
                <w:highlight w:val="none"/>
                <w:lang w:eastAsia="zh-CN"/>
              </w:rPr>
              <w:t>布袋除尘器</w:t>
            </w:r>
            <w:r>
              <w:rPr>
                <w:rFonts w:hint="default" w:ascii="Times New Roman" w:hAnsi="Times New Roman" w:cs="Times New Roman"/>
                <w:color w:val="auto"/>
                <w:sz w:val="24"/>
                <w:szCs w:val="24"/>
                <w:highlight w:val="none"/>
              </w:rPr>
              <w:t>对粉尘颗粒物的去除效率可高达99.0%~99.5%。环评在核算时</w:t>
            </w:r>
            <w:r>
              <w:rPr>
                <w:rFonts w:hint="default" w:ascii="Times New Roman" w:hAnsi="Times New Roman" w:cs="Times New Roman"/>
                <w:color w:val="auto"/>
                <w:sz w:val="24"/>
                <w:szCs w:val="24"/>
                <w:highlight w:val="none"/>
                <w:lang w:val="en-US" w:eastAsia="zh-CN"/>
              </w:rPr>
              <w:t>保守</w:t>
            </w:r>
            <w:r>
              <w:rPr>
                <w:rFonts w:hint="default" w:ascii="Times New Roman" w:hAnsi="Times New Roman" w:cs="Times New Roman"/>
                <w:color w:val="auto"/>
                <w:sz w:val="24"/>
                <w:szCs w:val="24"/>
                <w:highlight w:val="none"/>
              </w:rPr>
              <w:t>按照9</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%去除效率来核算粉尘排放量</w:t>
            </w:r>
            <w:r>
              <w:rPr>
                <w:rFonts w:hint="default" w:ascii="Times New Roman" w:hAnsi="Times New Roman" w:cs="Times New Roman"/>
                <w:color w:val="auto"/>
                <w:sz w:val="24"/>
                <w:szCs w:val="24"/>
                <w:highlight w:val="none"/>
                <w:lang w:eastAsia="zh-CN"/>
              </w:rPr>
              <w:t>。</w:t>
            </w:r>
          </w:p>
          <w:p w14:paraId="06C8A44A">
            <w:pPr>
              <w:pStyle w:val="120"/>
              <w:keepNext w:val="0"/>
              <w:keepLines w:val="0"/>
              <w:suppressLineNumbers w:val="0"/>
              <w:snapToGrid/>
              <w:spacing w:before="0" w:beforeAutospacing="0" w:after="0" w:afterAutospacing="0"/>
              <w:ind w:left="0" w:right="0" w:firstLine="480"/>
              <w:rPr>
                <w:rFonts w:hint="default" w:ascii="Times New Roman" w:hAnsi="Times New Roman" w:cs="Times New Roman"/>
                <w:color w:val="auto"/>
                <w:sz w:val="24"/>
                <w:szCs w:val="24"/>
                <w:highlight w:val="none"/>
              </w:rPr>
            </w:pPr>
            <w:bookmarkStart w:id="114" w:name="_Toc12988"/>
            <w:bookmarkStart w:id="115" w:name="_Toc18691"/>
            <w:r>
              <w:rPr>
                <w:rFonts w:hint="default" w:ascii="Times New Roman" w:hAnsi="Times New Roman" w:cs="Times New Roman"/>
                <w:color w:val="auto"/>
                <w:sz w:val="24"/>
                <w:szCs w:val="24"/>
                <w:highlight w:val="none"/>
                <w:lang w:val="en-US" w:eastAsia="zh-CN"/>
              </w:rPr>
              <w:t>打磨房</w:t>
            </w:r>
            <w:r>
              <w:rPr>
                <w:rFonts w:hint="default" w:ascii="Times New Roman" w:hAnsi="Times New Roman" w:cs="Times New Roman"/>
                <w:color w:val="auto"/>
                <w:sz w:val="24"/>
                <w:szCs w:val="24"/>
                <w:highlight w:val="none"/>
              </w:rPr>
              <w:t>统一密闭负压抽风</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设置尺寸见下表</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按照</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工业企业设计卫生标准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GBZ1-2002</w:t>
            </w:r>
            <w:r>
              <w:rPr>
                <w:rFonts w:hint="default" w:ascii="Times New Roman" w:hAnsi="Times New Roman" w:cs="Times New Roman"/>
                <w:color w:val="auto"/>
                <w:sz w:val="24"/>
                <w:szCs w:val="24"/>
                <w:highlight w:val="none"/>
                <w:lang w:eastAsia="zh-CN"/>
              </w:rPr>
              <w:t>），通风换气次数不小于12次/h</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szCs w:val="24"/>
                <w:highlight w:val="none"/>
              </w:rPr>
              <w:t>则</w:t>
            </w:r>
            <w:r>
              <w:rPr>
                <w:rFonts w:hint="default" w:ascii="Times New Roman" w:hAnsi="Times New Roman" w:cs="Times New Roman"/>
                <w:b w:val="0"/>
                <w:bCs w:val="0"/>
                <w:color w:val="auto"/>
                <w:sz w:val="24"/>
                <w:szCs w:val="24"/>
                <w:highlight w:val="none"/>
                <w:lang w:val="en-US" w:eastAsia="zh-CN"/>
              </w:rPr>
              <w:t>打磨房</w:t>
            </w:r>
            <w:r>
              <w:rPr>
                <w:rFonts w:hint="default" w:ascii="Times New Roman" w:hAnsi="Times New Roman" w:cs="Times New Roman"/>
                <w:color w:val="auto"/>
                <w:sz w:val="24"/>
                <w:szCs w:val="24"/>
                <w:highlight w:val="none"/>
                <w:lang w:val="en-US" w:eastAsia="zh-CN"/>
              </w:rPr>
              <w:t>收集</w:t>
            </w:r>
            <w:r>
              <w:rPr>
                <w:rFonts w:hint="default" w:ascii="Times New Roman" w:hAnsi="Times New Roman" w:cs="Times New Roman"/>
                <w:color w:val="auto"/>
                <w:sz w:val="24"/>
                <w:szCs w:val="24"/>
                <w:highlight w:val="none"/>
              </w:rPr>
              <w:t>风量计算结果见下表。</w:t>
            </w:r>
            <w:bookmarkEnd w:id="114"/>
            <w:bookmarkEnd w:id="115"/>
          </w:p>
          <w:p w14:paraId="1623B06A">
            <w:pPr>
              <w:keepNext w:val="0"/>
              <w:keepLines w:val="0"/>
              <w:widowControl/>
              <w:numPr>
                <w:ilvl w:val="0"/>
                <w:numId w:val="10"/>
              </w:numPr>
              <w:suppressLineNumbers w:val="0"/>
              <w:tabs>
                <w:tab w:val="clear" w:pos="0"/>
              </w:tabs>
              <w:spacing w:before="0" w:beforeAutospacing="0" w:after="0" w:afterAutospacing="0" w:line="240" w:lineRule="auto"/>
              <w:ind w:left="0" w:leftChars="0" w:right="0" w:hanging="1"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打磨房收集风量一览表</w:t>
            </w:r>
          </w:p>
          <w:tbl>
            <w:tblPr>
              <w:tblStyle w:val="4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63"/>
              <w:gridCol w:w="986"/>
              <w:gridCol w:w="986"/>
              <w:gridCol w:w="987"/>
              <w:gridCol w:w="1141"/>
              <w:gridCol w:w="1212"/>
              <w:gridCol w:w="1383"/>
            </w:tblGrid>
            <w:tr w14:paraId="41270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40" w:type="pct"/>
                  <w:tcBorders>
                    <w:tl2br w:val="nil"/>
                    <w:tr2bl w:val="nil"/>
                  </w:tcBorders>
                  <w:vAlign w:val="center"/>
                </w:tcPr>
                <w:p w14:paraId="783261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生产区域</w:t>
                  </w:r>
                </w:p>
              </w:tc>
              <w:tc>
                <w:tcPr>
                  <w:tcW w:w="627" w:type="pct"/>
                  <w:tcBorders>
                    <w:tl2br w:val="nil"/>
                    <w:tr2bl w:val="nil"/>
                  </w:tcBorders>
                  <w:vAlign w:val="center"/>
                </w:tcPr>
                <w:p w14:paraId="2E137B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长（m）</w:t>
                  </w:r>
                </w:p>
              </w:tc>
              <w:tc>
                <w:tcPr>
                  <w:tcW w:w="627" w:type="pct"/>
                  <w:tcBorders>
                    <w:tl2br w:val="nil"/>
                    <w:tr2bl w:val="nil"/>
                  </w:tcBorders>
                  <w:vAlign w:val="center"/>
                </w:tcPr>
                <w:p w14:paraId="75EE8C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宽（m）</w:t>
                  </w:r>
                </w:p>
              </w:tc>
              <w:tc>
                <w:tcPr>
                  <w:tcW w:w="628" w:type="pct"/>
                  <w:tcBorders>
                    <w:tl2br w:val="nil"/>
                    <w:tr2bl w:val="nil"/>
                  </w:tcBorders>
                  <w:vAlign w:val="center"/>
                </w:tcPr>
                <w:p w14:paraId="7FD2F7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高（m）</w:t>
                  </w:r>
                </w:p>
              </w:tc>
              <w:tc>
                <w:tcPr>
                  <w:tcW w:w="726" w:type="pct"/>
                  <w:tcBorders>
                    <w:tl2br w:val="nil"/>
                    <w:tr2bl w:val="nil"/>
                  </w:tcBorders>
                  <w:vAlign w:val="center"/>
                </w:tcPr>
                <w:p w14:paraId="5EA20A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计算体积（m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rPr>
                    <w:t>3</w:t>
                  </w:r>
                  <w:r>
                    <w:rPr>
                      <w:rFonts w:hint="default" w:ascii="Times New Roman" w:hAnsi="Times New Roman" w:eastAsia="宋体" w:cs="Times New Roman"/>
                      <w:b/>
                      <w:bCs/>
                      <w:i w:val="0"/>
                      <w:iCs w:val="0"/>
                      <w:color w:val="auto"/>
                      <w:kern w:val="0"/>
                      <w:sz w:val="21"/>
                      <w:szCs w:val="21"/>
                      <w:highlight w:val="none"/>
                      <w:u w:val="none"/>
                      <w:lang w:val="en-US" w:eastAsia="zh-CN"/>
                    </w:rPr>
                    <w:t>）</w:t>
                  </w:r>
                </w:p>
              </w:tc>
              <w:tc>
                <w:tcPr>
                  <w:tcW w:w="768" w:type="pct"/>
                  <w:tcBorders>
                    <w:tl2br w:val="nil"/>
                    <w:tr2bl w:val="nil"/>
                  </w:tcBorders>
                  <w:vAlign w:val="center"/>
                </w:tcPr>
                <w:p w14:paraId="75124A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换气次数（次/h）</w:t>
                  </w:r>
                </w:p>
              </w:tc>
              <w:tc>
                <w:tcPr>
                  <w:tcW w:w="880" w:type="pct"/>
                  <w:tcBorders>
                    <w:tl2br w:val="nil"/>
                    <w:tr2bl w:val="nil"/>
                  </w:tcBorders>
                  <w:vAlign w:val="center"/>
                </w:tcPr>
                <w:p w14:paraId="25421E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废气收集风量（Nm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rPr>
                    <w:t>3</w:t>
                  </w:r>
                  <w:r>
                    <w:rPr>
                      <w:rFonts w:hint="default" w:ascii="Times New Roman" w:hAnsi="Times New Roman" w:eastAsia="宋体" w:cs="Times New Roman"/>
                      <w:b/>
                      <w:bCs/>
                      <w:i w:val="0"/>
                      <w:iCs w:val="0"/>
                      <w:color w:val="auto"/>
                      <w:kern w:val="0"/>
                      <w:sz w:val="21"/>
                      <w:szCs w:val="21"/>
                      <w:highlight w:val="none"/>
                      <w:u w:val="none"/>
                      <w:lang w:val="en-US" w:eastAsia="zh-CN"/>
                    </w:rPr>
                    <w:t>/h）</w:t>
                  </w:r>
                </w:p>
              </w:tc>
            </w:tr>
            <w:tr w14:paraId="60E84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40" w:type="pct"/>
                  <w:tcBorders>
                    <w:tl2br w:val="nil"/>
                    <w:tr2bl w:val="nil"/>
                  </w:tcBorders>
                  <w:vAlign w:val="center"/>
                </w:tcPr>
                <w:p w14:paraId="62BC56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sz w:val="21"/>
                      <w:szCs w:val="21"/>
                      <w:highlight w:val="none"/>
                      <w:u w:val="none"/>
                      <w:lang w:val="en-US" w:eastAsia="zh-CN"/>
                    </w:rPr>
                    <w:t>打磨房</w:t>
                  </w:r>
                  <w:r>
                    <w:rPr>
                      <w:rFonts w:hint="eastAsia" w:cs="Times New Roman"/>
                      <w:i w:val="0"/>
                      <w:iCs w:val="0"/>
                      <w:color w:val="auto"/>
                      <w:sz w:val="21"/>
                      <w:szCs w:val="21"/>
                      <w:highlight w:val="none"/>
                      <w:u w:val="none"/>
                      <w:lang w:val="en-US" w:eastAsia="zh-CN"/>
                    </w:rPr>
                    <w:t>1</w:t>
                  </w:r>
                </w:p>
              </w:tc>
              <w:tc>
                <w:tcPr>
                  <w:tcW w:w="627" w:type="pct"/>
                  <w:tcBorders>
                    <w:tl2br w:val="nil"/>
                    <w:tr2bl w:val="nil"/>
                  </w:tcBorders>
                  <w:vAlign w:val="center"/>
                </w:tcPr>
                <w:p w14:paraId="7E941A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rPr>
                    <w:t>25</w:t>
                  </w:r>
                </w:p>
              </w:tc>
              <w:tc>
                <w:tcPr>
                  <w:tcW w:w="627" w:type="pct"/>
                  <w:tcBorders>
                    <w:tl2br w:val="nil"/>
                    <w:tr2bl w:val="nil"/>
                  </w:tcBorders>
                  <w:vAlign w:val="center"/>
                </w:tcPr>
                <w:p w14:paraId="42FC4A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rPr>
                    <w:t>22</w:t>
                  </w:r>
                </w:p>
              </w:tc>
              <w:tc>
                <w:tcPr>
                  <w:tcW w:w="628" w:type="pct"/>
                  <w:tcBorders>
                    <w:tl2br w:val="nil"/>
                    <w:tr2bl w:val="nil"/>
                  </w:tcBorders>
                  <w:vAlign w:val="center"/>
                </w:tcPr>
                <w:p w14:paraId="6EA6D3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3</w:t>
                  </w:r>
                </w:p>
              </w:tc>
              <w:tc>
                <w:tcPr>
                  <w:tcW w:w="726" w:type="pct"/>
                  <w:tcBorders>
                    <w:tl2br w:val="nil"/>
                    <w:tr2bl w:val="nil"/>
                  </w:tcBorders>
                  <w:vAlign w:val="center"/>
                </w:tcPr>
                <w:p w14:paraId="0F4819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1650</w:t>
                  </w:r>
                </w:p>
              </w:tc>
              <w:tc>
                <w:tcPr>
                  <w:tcW w:w="768" w:type="pct"/>
                  <w:tcBorders>
                    <w:tl2br w:val="nil"/>
                    <w:tr2bl w:val="nil"/>
                  </w:tcBorders>
                  <w:vAlign w:val="center"/>
                </w:tcPr>
                <w:p w14:paraId="7E14EB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rPr>
                    <w:t>12</w:t>
                  </w:r>
                </w:p>
              </w:tc>
              <w:tc>
                <w:tcPr>
                  <w:tcW w:w="880" w:type="pct"/>
                  <w:tcBorders>
                    <w:tl2br w:val="nil"/>
                    <w:tr2bl w:val="nil"/>
                  </w:tcBorders>
                  <w:vAlign w:val="center"/>
                </w:tcPr>
                <w:p w14:paraId="50D18D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rPr>
                    <w:t>19800</w:t>
                  </w:r>
                </w:p>
              </w:tc>
            </w:tr>
            <w:tr w14:paraId="5A6139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40" w:type="pct"/>
                  <w:tcBorders>
                    <w:tl2br w:val="nil"/>
                    <w:tr2bl w:val="nil"/>
                  </w:tcBorders>
                  <w:vAlign w:val="center"/>
                </w:tcPr>
                <w:p w14:paraId="74ABA5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打磨房</w:t>
                  </w:r>
                  <w:r>
                    <w:rPr>
                      <w:rFonts w:hint="eastAsia" w:ascii="Times New Roman" w:hAnsi="Times New Roman" w:eastAsia="宋体" w:cs="Times New Roman"/>
                      <w:i w:val="0"/>
                      <w:iCs w:val="0"/>
                      <w:color w:val="auto"/>
                      <w:sz w:val="21"/>
                      <w:szCs w:val="21"/>
                      <w:highlight w:val="none"/>
                      <w:u w:val="none"/>
                      <w:lang w:val="en-US" w:eastAsia="zh-CN"/>
                    </w:rPr>
                    <w:t>2</w:t>
                  </w:r>
                </w:p>
              </w:tc>
              <w:tc>
                <w:tcPr>
                  <w:tcW w:w="627" w:type="pct"/>
                  <w:tcBorders>
                    <w:tl2br w:val="nil"/>
                    <w:tr2bl w:val="nil"/>
                  </w:tcBorders>
                  <w:vAlign w:val="center"/>
                </w:tcPr>
                <w:p w14:paraId="2B5081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12</w:t>
                  </w:r>
                </w:p>
              </w:tc>
              <w:tc>
                <w:tcPr>
                  <w:tcW w:w="627" w:type="pct"/>
                  <w:tcBorders>
                    <w:tl2br w:val="nil"/>
                    <w:tr2bl w:val="nil"/>
                  </w:tcBorders>
                  <w:vAlign w:val="center"/>
                </w:tcPr>
                <w:p w14:paraId="3E2C7B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3</w:t>
                  </w:r>
                </w:p>
              </w:tc>
              <w:tc>
                <w:tcPr>
                  <w:tcW w:w="628" w:type="pct"/>
                  <w:tcBorders>
                    <w:tl2br w:val="nil"/>
                    <w:tr2bl w:val="nil"/>
                  </w:tcBorders>
                  <w:vAlign w:val="center"/>
                </w:tcPr>
                <w:p w14:paraId="273430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3</w:t>
                  </w:r>
                </w:p>
              </w:tc>
              <w:tc>
                <w:tcPr>
                  <w:tcW w:w="726" w:type="pct"/>
                  <w:tcBorders>
                    <w:tl2br w:val="nil"/>
                    <w:tr2bl w:val="nil"/>
                  </w:tcBorders>
                  <w:vAlign w:val="center"/>
                </w:tcPr>
                <w:p w14:paraId="2705EE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108</w:t>
                  </w:r>
                </w:p>
              </w:tc>
              <w:tc>
                <w:tcPr>
                  <w:tcW w:w="768" w:type="pct"/>
                  <w:tcBorders>
                    <w:tl2br w:val="nil"/>
                    <w:tr2bl w:val="nil"/>
                  </w:tcBorders>
                  <w:vAlign w:val="center"/>
                </w:tcPr>
                <w:p w14:paraId="700D28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12</w:t>
                  </w:r>
                </w:p>
              </w:tc>
              <w:tc>
                <w:tcPr>
                  <w:tcW w:w="880" w:type="pct"/>
                  <w:tcBorders>
                    <w:tl2br w:val="nil"/>
                    <w:tr2bl w:val="nil"/>
                  </w:tcBorders>
                  <w:vAlign w:val="center"/>
                </w:tcPr>
                <w:p w14:paraId="6DC127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1296</w:t>
                  </w:r>
                </w:p>
              </w:tc>
            </w:tr>
            <w:tr w14:paraId="1A757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4119" w:type="pct"/>
                  <w:gridSpan w:val="6"/>
                  <w:tcBorders>
                    <w:tl2br w:val="nil"/>
                    <w:tr2bl w:val="nil"/>
                  </w:tcBorders>
                  <w:vAlign w:val="center"/>
                </w:tcPr>
                <w:p w14:paraId="2BBB25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合计</w:t>
                  </w:r>
                </w:p>
              </w:tc>
              <w:tc>
                <w:tcPr>
                  <w:tcW w:w="880" w:type="pct"/>
                  <w:tcBorders>
                    <w:tl2br w:val="nil"/>
                    <w:tr2bl w:val="nil"/>
                  </w:tcBorders>
                  <w:vAlign w:val="center"/>
                </w:tcPr>
                <w:p w14:paraId="4FB516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21096</w:t>
                  </w:r>
                </w:p>
              </w:tc>
            </w:tr>
          </w:tbl>
          <w:p w14:paraId="064A4F2E">
            <w:pPr>
              <w:pStyle w:val="12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100" w:lineRule="exact"/>
              <w:ind w:left="0" w:right="0" w:firstLine="480"/>
              <w:textAlignment w:val="auto"/>
              <w:rPr>
                <w:rFonts w:hint="default" w:ascii="Times New Roman" w:hAnsi="Times New Roman" w:eastAsia="宋体" w:cs="Times New Roman"/>
                <w:color w:val="auto"/>
                <w:highlight w:val="none"/>
              </w:rPr>
            </w:pPr>
          </w:p>
          <w:p w14:paraId="708D4BE2">
            <w:pPr>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b/>
                <w:bCs/>
                <w:color w:val="auto"/>
                <w:spacing w:val="-3"/>
                <w:sz w:val="24"/>
                <w:szCs w:val="24"/>
                <w:highlight w:val="none"/>
                <w:lang w:val="en-US" w:eastAsia="zh-CN"/>
              </w:rPr>
            </w:pPr>
            <w:r>
              <w:rPr>
                <w:rFonts w:hint="default" w:ascii="Times New Roman" w:hAnsi="Times New Roman" w:eastAsia="宋体" w:cs="Times New Roman"/>
                <w:color w:val="auto"/>
                <w:sz w:val="24"/>
                <w:szCs w:val="24"/>
                <w:highlight w:val="none"/>
                <w:lang w:eastAsia="zh-CN"/>
              </w:rPr>
              <w:t>参考《环境工程设计手册（修订版）》，选用风机的风量需大于系统计算的风量，L'=kL*L（L'为选择风机的风量，L为系统计算时的风量，kL为风量附加安全系数，一般送、排风系统kL=1.1，本项目取值为1.1），因此，项目</w:t>
            </w:r>
            <w:r>
              <w:rPr>
                <w:rFonts w:hint="default" w:ascii="Times New Roman" w:hAnsi="Times New Roman" w:eastAsia="宋体" w:cs="Times New Roman"/>
                <w:color w:val="auto"/>
                <w:sz w:val="24"/>
                <w:szCs w:val="24"/>
                <w:highlight w:val="none"/>
                <w:lang w:val="en-US" w:eastAsia="zh-CN"/>
              </w:rPr>
              <w:t>打磨房收集风量取整</w:t>
            </w:r>
            <w:r>
              <w:rPr>
                <w:rFonts w:hint="eastAsia" w:cs="Times New Roman"/>
                <w:color w:val="auto"/>
                <w:sz w:val="24"/>
                <w:szCs w:val="24"/>
                <w:highlight w:val="none"/>
                <w:lang w:val="en-US" w:eastAsia="zh-CN"/>
              </w:rPr>
              <w:t>233</w:t>
            </w:r>
            <w:r>
              <w:rPr>
                <w:rFonts w:hint="default" w:ascii="Times New Roman" w:hAnsi="Times New Roman" w:eastAsia="宋体" w:cs="Times New Roman"/>
                <w:color w:val="auto"/>
                <w:sz w:val="24"/>
                <w:szCs w:val="24"/>
                <w:highlight w:val="none"/>
                <w:lang w:val="en-US" w:eastAsia="zh-CN"/>
              </w:rPr>
              <w:t>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p>
          <w:p w14:paraId="7CE364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项目打磨、抛光粉尘排放情况如下表所示。</w:t>
            </w:r>
          </w:p>
          <w:p w14:paraId="40D49247">
            <w:pPr>
              <w:pStyle w:val="120"/>
              <w:keepNext w:val="0"/>
              <w:keepLines w:val="0"/>
              <w:numPr>
                <w:ilvl w:val="0"/>
                <w:numId w:val="10"/>
              </w:numPr>
              <w:suppressLineNumbers w:val="0"/>
              <w:snapToGrid/>
              <w:spacing w:before="0" w:beforeAutospacing="0" w:after="0" w:afterAutospacing="0" w:line="240" w:lineRule="auto"/>
              <w:ind w:left="0" w:leftChars="0" w:right="0" w:hanging="1"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本项目打磨、抛光粉尘排放情况</w:t>
            </w:r>
          </w:p>
          <w:tbl>
            <w:tblPr>
              <w:tblStyle w:val="43"/>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35"/>
              <w:gridCol w:w="5234"/>
            </w:tblGrid>
            <w:tr w14:paraId="3A092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1885" w:type="pct"/>
                  <w:tcBorders>
                    <w:top w:val="single" w:color="000000" w:sz="4" w:space="0"/>
                    <w:left w:val="single" w:color="000000" w:sz="4" w:space="0"/>
                    <w:bottom w:val="single" w:color="000000" w:sz="4" w:space="0"/>
                    <w:right w:val="single" w:color="000000" w:sz="4" w:space="0"/>
                  </w:tcBorders>
                  <w:vAlign w:val="center"/>
                </w:tcPr>
                <w:p w14:paraId="713D46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bookmarkStart w:id="116" w:name="OLE_LINK30"/>
                  <w:r>
                    <w:rPr>
                      <w:rFonts w:hint="default" w:ascii="Times New Roman" w:hAnsi="Times New Roman" w:eastAsia="宋体" w:cs="Times New Roman"/>
                      <w:b/>
                      <w:bCs/>
                      <w:i w:val="0"/>
                      <w:iCs w:val="0"/>
                      <w:color w:val="auto"/>
                      <w:kern w:val="0"/>
                      <w:sz w:val="21"/>
                      <w:szCs w:val="21"/>
                      <w:highlight w:val="none"/>
                      <w:u w:val="none"/>
                      <w:lang w:val="en-US" w:eastAsia="zh-CN"/>
                    </w:rPr>
                    <w:t>污染物</w:t>
                  </w:r>
                </w:p>
              </w:tc>
              <w:tc>
                <w:tcPr>
                  <w:tcW w:w="3114" w:type="pct"/>
                  <w:tcBorders>
                    <w:top w:val="single" w:color="000000" w:sz="4" w:space="0"/>
                    <w:left w:val="single" w:color="000000" w:sz="4" w:space="0"/>
                    <w:bottom w:val="single" w:color="000000" w:sz="4" w:space="0"/>
                    <w:right w:val="single" w:color="000000" w:sz="4" w:space="0"/>
                  </w:tcBorders>
                  <w:vAlign w:val="center"/>
                </w:tcPr>
                <w:p w14:paraId="644078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颗粒物</w:t>
                  </w:r>
                </w:p>
              </w:tc>
            </w:tr>
            <w:tr w14:paraId="46581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635" w:type="dxa"/>
                  <w:tcBorders>
                    <w:top w:val="single" w:color="000000" w:sz="4" w:space="0"/>
                    <w:left w:val="single" w:color="000000" w:sz="4" w:space="0"/>
                    <w:bottom w:val="single" w:color="000000" w:sz="4" w:space="0"/>
                    <w:right w:val="single" w:color="000000" w:sz="4" w:space="0"/>
                  </w:tcBorders>
                  <w:vAlign w:val="center"/>
                </w:tcPr>
                <w:p w14:paraId="3DA44F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产生总量（</w:t>
                  </w:r>
                  <w:r>
                    <w:rPr>
                      <w:rFonts w:hint="default" w:ascii="Times New Roman" w:hAnsi="Times New Roman" w:eastAsia="宋体" w:cs="Times New Roman"/>
                      <w:i w:val="0"/>
                      <w:iCs w:val="0"/>
                      <w:color w:val="auto"/>
                      <w:kern w:val="0"/>
                      <w:sz w:val="21"/>
                      <w:szCs w:val="21"/>
                      <w:highlight w:val="none"/>
                      <w:u w:val="none"/>
                      <w:lang w:val="en-US" w:eastAsia="zh-CN" w:bidi="ar"/>
                    </w:rPr>
                    <w:t>t/a</w:t>
                  </w:r>
                  <w:r>
                    <w:rPr>
                      <w:rFonts w:hint="eastAsia" w:ascii="宋体" w:hAnsi="宋体" w:eastAsia="宋体" w:cs="宋体"/>
                      <w:i w:val="0"/>
                      <w:iCs w:val="0"/>
                      <w:color w:val="auto"/>
                      <w:kern w:val="0"/>
                      <w:sz w:val="21"/>
                      <w:szCs w:val="21"/>
                      <w:highlight w:val="none"/>
                      <w:u w:val="none"/>
                      <w:lang w:val="en-US" w:eastAsia="zh-CN" w:bidi="ar"/>
                    </w:rPr>
                    <w:t>）</w:t>
                  </w:r>
                </w:p>
              </w:tc>
              <w:tc>
                <w:tcPr>
                  <w:tcW w:w="5234" w:type="dxa"/>
                  <w:tcBorders>
                    <w:top w:val="single" w:color="000000" w:sz="4" w:space="0"/>
                    <w:left w:val="single" w:color="000000" w:sz="4" w:space="0"/>
                    <w:bottom w:val="single" w:color="000000" w:sz="4" w:space="0"/>
                    <w:right w:val="single" w:color="000000" w:sz="4" w:space="0"/>
                  </w:tcBorders>
                  <w:vAlign w:val="center"/>
                </w:tcPr>
                <w:p w14:paraId="5BCF51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2.621 </w:t>
                  </w:r>
                </w:p>
              </w:tc>
            </w:tr>
            <w:tr w14:paraId="01FD7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635" w:type="dxa"/>
                  <w:tcBorders>
                    <w:top w:val="single" w:color="000000" w:sz="4" w:space="0"/>
                    <w:left w:val="single" w:color="000000" w:sz="4" w:space="0"/>
                    <w:bottom w:val="single" w:color="000000" w:sz="4" w:space="0"/>
                    <w:right w:val="single" w:color="000000" w:sz="4" w:space="0"/>
                  </w:tcBorders>
                  <w:vAlign w:val="center"/>
                </w:tcPr>
                <w:p w14:paraId="4AE217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产生速率（</w:t>
                  </w:r>
                  <w:r>
                    <w:rPr>
                      <w:rFonts w:hint="default" w:ascii="Times New Roman" w:hAnsi="Times New Roman" w:eastAsia="宋体" w:cs="Times New Roman"/>
                      <w:i w:val="0"/>
                      <w:iCs w:val="0"/>
                      <w:color w:val="auto"/>
                      <w:kern w:val="0"/>
                      <w:sz w:val="21"/>
                      <w:szCs w:val="21"/>
                      <w:highlight w:val="none"/>
                      <w:u w:val="none"/>
                      <w:lang w:val="en-US" w:eastAsia="zh-CN" w:bidi="ar"/>
                    </w:rPr>
                    <w:t>kg/h</w:t>
                  </w:r>
                  <w:r>
                    <w:rPr>
                      <w:rFonts w:hint="eastAsia" w:ascii="宋体" w:hAnsi="宋体" w:eastAsia="宋体" w:cs="宋体"/>
                      <w:i w:val="0"/>
                      <w:iCs w:val="0"/>
                      <w:color w:val="auto"/>
                      <w:kern w:val="0"/>
                      <w:sz w:val="21"/>
                      <w:szCs w:val="21"/>
                      <w:highlight w:val="none"/>
                      <w:u w:val="none"/>
                      <w:lang w:val="en-US" w:eastAsia="zh-CN" w:bidi="ar"/>
                    </w:rPr>
                    <w:t>）</w:t>
                  </w:r>
                </w:p>
              </w:tc>
              <w:tc>
                <w:tcPr>
                  <w:tcW w:w="5234" w:type="dxa"/>
                  <w:tcBorders>
                    <w:top w:val="single" w:color="000000" w:sz="4" w:space="0"/>
                    <w:left w:val="single" w:color="000000" w:sz="4" w:space="0"/>
                    <w:bottom w:val="single" w:color="000000" w:sz="4" w:space="0"/>
                    <w:right w:val="single" w:color="000000" w:sz="4" w:space="0"/>
                  </w:tcBorders>
                  <w:vAlign w:val="center"/>
                </w:tcPr>
                <w:p w14:paraId="236E5B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0.874 </w:t>
                  </w:r>
                </w:p>
              </w:tc>
            </w:tr>
            <w:tr w14:paraId="338CA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635" w:type="dxa"/>
                  <w:tcBorders>
                    <w:top w:val="single" w:color="000000" w:sz="4" w:space="0"/>
                    <w:left w:val="single" w:color="000000" w:sz="4" w:space="0"/>
                    <w:bottom w:val="single" w:color="000000" w:sz="4" w:space="0"/>
                    <w:right w:val="single" w:color="000000" w:sz="4" w:space="0"/>
                  </w:tcBorders>
                  <w:vAlign w:val="center"/>
                </w:tcPr>
                <w:p w14:paraId="6D607A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废气量</w:t>
                  </w:r>
                </w:p>
              </w:tc>
              <w:tc>
                <w:tcPr>
                  <w:tcW w:w="5234" w:type="dxa"/>
                  <w:tcBorders>
                    <w:top w:val="single" w:color="000000" w:sz="4" w:space="0"/>
                    <w:left w:val="single" w:color="000000" w:sz="4" w:space="0"/>
                    <w:bottom w:val="single" w:color="000000" w:sz="4" w:space="0"/>
                    <w:right w:val="single" w:color="000000" w:sz="4" w:space="0"/>
                  </w:tcBorders>
                  <w:vAlign w:val="center"/>
                </w:tcPr>
                <w:p w14:paraId="002E65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23300m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/h</w:t>
                  </w:r>
                </w:p>
              </w:tc>
            </w:tr>
            <w:tr w14:paraId="351A7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7869" w:type="dxa"/>
                  <w:gridSpan w:val="2"/>
                  <w:tcBorders>
                    <w:top w:val="single" w:color="000000" w:sz="4" w:space="0"/>
                    <w:left w:val="single" w:color="000000" w:sz="4" w:space="0"/>
                    <w:bottom w:val="single" w:color="000000" w:sz="4" w:space="0"/>
                    <w:right w:val="single" w:color="000000" w:sz="4" w:space="0"/>
                  </w:tcBorders>
                  <w:vAlign w:val="center"/>
                </w:tcPr>
                <w:p w14:paraId="51432252">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有组织排放</w:t>
                  </w:r>
                  <w:r>
                    <w:rPr>
                      <w:rFonts w:hint="eastAsia" w:ascii="宋体" w:hAnsi="宋体" w:eastAsia="宋体" w:cs="宋体"/>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DA001</w:t>
                  </w:r>
                  <w:r>
                    <w:rPr>
                      <w:rFonts w:hint="eastAsia" w:ascii="宋体" w:hAnsi="宋体" w:eastAsia="宋体" w:cs="宋体"/>
                      <w:i w:val="0"/>
                      <w:iCs w:val="0"/>
                      <w:color w:val="auto"/>
                      <w:kern w:val="0"/>
                      <w:sz w:val="21"/>
                      <w:szCs w:val="21"/>
                      <w:highlight w:val="none"/>
                      <w:u w:val="none"/>
                      <w:lang w:val="en-US" w:eastAsia="zh-CN" w:bidi="ar"/>
                    </w:rPr>
                    <w:t>）</w:t>
                  </w:r>
                </w:p>
              </w:tc>
            </w:tr>
            <w:tr w14:paraId="65D02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635" w:type="dxa"/>
                  <w:tcBorders>
                    <w:top w:val="single" w:color="000000" w:sz="4" w:space="0"/>
                    <w:left w:val="single" w:color="000000" w:sz="4" w:space="0"/>
                    <w:bottom w:val="single" w:color="000000" w:sz="4" w:space="0"/>
                    <w:right w:val="single" w:color="000000" w:sz="4" w:space="0"/>
                  </w:tcBorders>
                  <w:vAlign w:val="center"/>
                </w:tcPr>
                <w:p w14:paraId="03735F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收集量（</w:t>
                  </w:r>
                  <w:r>
                    <w:rPr>
                      <w:rFonts w:hint="default" w:ascii="Times New Roman" w:hAnsi="Times New Roman" w:eastAsia="宋体" w:cs="Times New Roman"/>
                      <w:i w:val="0"/>
                      <w:iCs w:val="0"/>
                      <w:color w:val="auto"/>
                      <w:kern w:val="0"/>
                      <w:sz w:val="21"/>
                      <w:szCs w:val="21"/>
                      <w:highlight w:val="none"/>
                      <w:u w:val="none"/>
                      <w:lang w:val="en-US" w:eastAsia="zh-CN" w:bidi="ar"/>
                    </w:rPr>
                    <w:t>t/a</w:t>
                  </w:r>
                  <w:r>
                    <w:rPr>
                      <w:rFonts w:hint="eastAsia" w:ascii="宋体" w:hAnsi="宋体" w:eastAsia="宋体" w:cs="宋体"/>
                      <w:i w:val="0"/>
                      <w:iCs w:val="0"/>
                      <w:color w:val="auto"/>
                      <w:kern w:val="0"/>
                      <w:sz w:val="21"/>
                      <w:szCs w:val="21"/>
                      <w:highlight w:val="none"/>
                      <w:u w:val="none"/>
                      <w:lang w:val="en-US" w:eastAsia="zh-CN" w:bidi="ar"/>
                    </w:rPr>
                    <w:t>）</w:t>
                  </w:r>
                </w:p>
              </w:tc>
              <w:tc>
                <w:tcPr>
                  <w:tcW w:w="5234" w:type="dxa"/>
                  <w:tcBorders>
                    <w:top w:val="single" w:color="000000" w:sz="4" w:space="0"/>
                    <w:left w:val="single" w:color="000000" w:sz="4" w:space="0"/>
                    <w:bottom w:val="single" w:color="000000" w:sz="4" w:space="0"/>
                    <w:right w:val="single" w:color="000000" w:sz="4" w:space="0"/>
                  </w:tcBorders>
                  <w:vAlign w:val="center"/>
                </w:tcPr>
                <w:p w14:paraId="3E602C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2.359 </w:t>
                  </w:r>
                </w:p>
              </w:tc>
            </w:tr>
            <w:tr w14:paraId="11474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635" w:type="dxa"/>
                  <w:tcBorders>
                    <w:top w:val="single" w:color="000000" w:sz="4" w:space="0"/>
                    <w:left w:val="single" w:color="000000" w:sz="4" w:space="0"/>
                    <w:bottom w:val="single" w:color="000000" w:sz="4" w:space="0"/>
                    <w:right w:val="single" w:color="000000" w:sz="4" w:space="0"/>
                  </w:tcBorders>
                  <w:vAlign w:val="center"/>
                </w:tcPr>
                <w:p w14:paraId="4B0A45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收集速率（</w:t>
                  </w:r>
                  <w:r>
                    <w:rPr>
                      <w:rFonts w:hint="default" w:ascii="Times New Roman" w:hAnsi="Times New Roman" w:eastAsia="宋体" w:cs="Times New Roman"/>
                      <w:i w:val="0"/>
                      <w:iCs w:val="0"/>
                      <w:color w:val="auto"/>
                      <w:kern w:val="0"/>
                      <w:sz w:val="21"/>
                      <w:szCs w:val="21"/>
                      <w:highlight w:val="none"/>
                      <w:u w:val="none"/>
                      <w:lang w:val="en-US" w:eastAsia="zh-CN" w:bidi="ar"/>
                    </w:rPr>
                    <w:t>kg/h</w:t>
                  </w:r>
                  <w:r>
                    <w:rPr>
                      <w:rFonts w:hint="eastAsia" w:ascii="宋体" w:hAnsi="宋体" w:eastAsia="宋体" w:cs="宋体"/>
                      <w:i w:val="0"/>
                      <w:iCs w:val="0"/>
                      <w:color w:val="auto"/>
                      <w:kern w:val="0"/>
                      <w:sz w:val="21"/>
                      <w:szCs w:val="21"/>
                      <w:highlight w:val="none"/>
                      <w:u w:val="none"/>
                      <w:lang w:val="en-US" w:eastAsia="zh-CN" w:bidi="ar"/>
                    </w:rPr>
                    <w:t>）</w:t>
                  </w:r>
                </w:p>
              </w:tc>
              <w:tc>
                <w:tcPr>
                  <w:tcW w:w="5234" w:type="dxa"/>
                  <w:tcBorders>
                    <w:top w:val="single" w:color="000000" w:sz="4" w:space="0"/>
                    <w:left w:val="single" w:color="000000" w:sz="4" w:space="0"/>
                    <w:bottom w:val="single" w:color="000000" w:sz="4" w:space="0"/>
                    <w:right w:val="single" w:color="000000" w:sz="4" w:space="0"/>
                  </w:tcBorders>
                  <w:vAlign w:val="center"/>
                </w:tcPr>
                <w:p w14:paraId="358E8C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0.786 </w:t>
                  </w:r>
                </w:p>
              </w:tc>
            </w:tr>
            <w:tr w14:paraId="0FB9D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635" w:type="dxa"/>
                  <w:tcBorders>
                    <w:top w:val="single" w:color="000000" w:sz="4" w:space="0"/>
                    <w:left w:val="single" w:color="000000" w:sz="4" w:space="0"/>
                    <w:bottom w:val="single" w:color="000000" w:sz="4" w:space="0"/>
                    <w:right w:val="single" w:color="000000" w:sz="4" w:space="0"/>
                  </w:tcBorders>
                  <w:vAlign w:val="center"/>
                </w:tcPr>
                <w:p w14:paraId="1E889D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收集浓度（</w:t>
                  </w:r>
                  <w:r>
                    <w:rPr>
                      <w:rFonts w:hint="default" w:ascii="Times New Roman" w:hAnsi="Times New Roman" w:eastAsia="宋体" w:cs="Times New Roman"/>
                      <w:i w:val="0"/>
                      <w:iCs w:val="0"/>
                      <w:color w:val="auto"/>
                      <w:kern w:val="0"/>
                      <w:sz w:val="21"/>
                      <w:szCs w:val="21"/>
                      <w:highlight w:val="none"/>
                      <w:u w:val="none"/>
                      <w:lang w:val="en-US" w:eastAsia="zh-CN" w:bidi="ar"/>
                    </w:rPr>
                    <w:t>mg/m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w:t>
                  </w:r>
                </w:p>
              </w:tc>
              <w:tc>
                <w:tcPr>
                  <w:tcW w:w="5234" w:type="dxa"/>
                  <w:tcBorders>
                    <w:top w:val="single" w:color="000000" w:sz="4" w:space="0"/>
                    <w:left w:val="single" w:color="000000" w:sz="4" w:space="0"/>
                    <w:bottom w:val="single" w:color="000000" w:sz="4" w:space="0"/>
                    <w:right w:val="single" w:color="000000" w:sz="4" w:space="0"/>
                  </w:tcBorders>
                  <w:vAlign w:val="center"/>
                </w:tcPr>
                <w:p w14:paraId="41C3A8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33.8 </w:t>
                  </w:r>
                </w:p>
              </w:tc>
            </w:tr>
            <w:tr w14:paraId="1B980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7869" w:type="dxa"/>
                  <w:gridSpan w:val="2"/>
                  <w:tcBorders>
                    <w:top w:val="single" w:color="000000" w:sz="4" w:space="0"/>
                    <w:left w:val="single" w:color="000000" w:sz="4" w:space="0"/>
                    <w:bottom w:val="single" w:color="000000" w:sz="4" w:space="0"/>
                    <w:right w:val="single" w:color="000000" w:sz="4" w:space="0"/>
                  </w:tcBorders>
                  <w:vAlign w:val="center"/>
                </w:tcPr>
                <w:p w14:paraId="681ACB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集气效率取</w:t>
                  </w:r>
                  <w:r>
                    <w:rPr>
                      <w:rFonts w:hint="default" w:ascii="Times New Roman" w:hAnsi="Times New Roman" w:eastAsia="宋体" w:cs="Times New Roman"/>
                      <w:i w:val="0"/>
                      <w:iCs w:val="0"/>
                      <w:color w:val="auto"/>
                      <w:kern w:val="0"/>
                      <w:sz w:val="21"/>
                      <w:szCs w:val="21"/>
                      <w:highlight w:val="none"/>
                      <w:u w:val="none"/>
                      <w:lang w:val="en-US" w:eastAsia="zh-CN" w:bidi="ar"/>
                    </w:rPr>
                    <w:t>90%</w:t>
                  </w:r>
                  <w:r>
                    <w:rPr>
                      <w:rFonts w:hint="eastAsia" w:ascii="宋体" w:hAnsi="宋体" w:eastAsia="宋体" w:cs="宋体"/>
                      <w:i w:val="0"/>
                      <w:iCs w:val="0"/>
                      <w:color w:val="auto"/>
                      <w:kern w:val="0"/>
                      <w:sz w:val="21"/>
                      <w:szCs w:val="21"/>
                      <w:highlight w:val="none"/>
                      <w:u w:val="none"/>
                      <w:lang w:val="en-US" w:eastAsia="zh-CN" w:bidi="ar"/>
                    </w:rPr>
                    <w:t>，布袋除尘器处理效率取</w:t>
                  </w:r>
                  <w:r>
                    <w:rPr>
                      <w:rFonts w:hint="default" w:ascii="Times New Roman" w:hAnsi="Times New Roman" w:eastAsia="宋体" w:cs="Times New Roman"/>
                      <w:i w:val="0"/>
                      <w:iCs w:val="0"/>
                      <w:color w:val="auto"/>
                      <w:kern w:val="0"/>
                      <w:sz w:val="21"/>
                      <w:szCs w:val="21"/>
                      <w:highlight w:val="none"/>
                      <w:u w:val="none"/>
                      <w:lang w:val="en-US" w:eastAsia="zh-CN" w:bidi="ar"/>
                    </w:rPr>
                    <w:t>95%</w:t>
                  </w:r>
                </w:p>
              </w:tc>
            </w:tr>
            <w:tr w14:paraId="38326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635" w:type="dxa"/>
                  <w:tcBorders>
                    <w:top w:val="single" w:color="000000" w:sz="4" w:space="0"/>
                    <w:left w:val="single" w:color="000000" w:sz="4" w:space="0"/>
                    <w:bottom w:val="single" w:color="000000" w:sz="4" w:space="0"/>
                    <w:right w:val="single" w:color="000000" w:sz="4" w:space="0"/>
                  </w:tcBorders>
                  <w:vAlign w:val="center"/>
                </w:tcPr>
                <w:p w14:paraId="6BC66C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排放量（</w:t>
                  </w:r>
                  <w:r>
                    <w:rPr>
                      <w:rFonts w:hint="default" w:ascii="Times New Roman" w:hAnsi="Times New Roman" w:eastAsia="宋体" w:cs="Times New Roman"/>
                      <w:i w:val="0"/>
                      <w:iCs w:val="0"/>
                      <w:color w:val="auto"/>
                      <w:kern w:val="0"/>
                      <w:sz w:val="21"/>
                      <w:szCs w:val="21"/>
                      <w:highlight w:val="none"/>
                      <w:u w:val="none"/>
                      <w:lang w:val="en-US" w:eastAsia="zh-CN" w:bidi="ar"/>
                    </w:rPr>
                    <w:t>t/a</w:t>
                  </w:r>
                  <w:r>
                    <w:rPr>
                      <w:rFonts w:hint="eastAsia" w:ascii="宋体" w:hAnsi="宋体" w:eastAsia="宋体" w:cs="宋体"/>
                      <w:i w:val="0"/>
                      <w:iCs w:val="0"/>
                      <w:color w:val="auto"/>
                      <w:kern w:val="0"/>
                      <w:sz w:val="21"/>
                      <w:szCs w:val="21"/>
                      <w:highlight w:val="none"/>
                      <w:u w:val="none"/>
                      <w:lang w:val="en-US" w:eastAsia="zh-CN" w:bidi="ar"/>
                    </w:rPr>
                    <w:t>）</w:t>
                  </w:r>
                </w:p>
              </w:tc>
              <w:tc>
                <w:tcPr>
                  <w:tcW w:w="5234" w:type="dxa"/>
                  <w:tcBorders>
                    <w:top w:val="single" w:color="000000" w:sz="4" w:space="0"/>
                    <w:left w:val="single" w:color="000000" w:sz="4" w:space="0"/>
                    <w:bottom w:val="single" w:color="000000" w:sz="4" w:space="0"/>
                    <w:right w:val="single" w:color="000000" w:sz="4" w:space="0"/>
                  </w:tcBorders>
                  <w:noWrap/>
                  <w:vAlign w:val="center"/>
                </w:tcPr>
                <w:p w14:paraId="1CACED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0.118 </w:t>
                  </w:r>
                </w:p>
              </w:tc>
            </w:tr>
            <w:tr w14:paraId="3E4A6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635" w:type="dxa"/>
                  <w:tcBorders>
                    <w:top w:val="single" w:color="000000" w:sz="4" w:space="0"/>
                    <w:left w:val="single" w:color="000000" w:sz="4" w:space="0"/>
                    <w:bottom w:val="single" w:color="000000" w:sz="4" w:space="0"/>
                    <w:right w:val="single" w:color="000000" w:sz="4" w:space="0"/>
                  </w:tcBorders>
                  <w:vAlign w:val="center"/>
                </w:tcPr>
                <w:p w14:paraId="24A73A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排放速率（</w:t>
                  </w:r>
                  <w:r>
                    <w:rPr>
                      <w:rFonts w:hint="default" w:ascii="Times New Roman" w:hAnsi="Times New Roman" w:eastAsia="宋体" w:cs="Times New Roman"/>
                      <w:i w:val="0"/>
                      <w:iCs w:val="0"/>
                      <w:color w:val="auto"/>
                      <w:kern w:val="0"/>
                      <w:sz w:val="21"/>
                      <w:szCs w:val="21"/>
                      <w:highlight w:val="none"/>
                      <w:u w:val="none"/>
                      <w:lang w:val="en-US" w:eastAsia="zh-CN" w:bidi="ar"/>
                    </w:rPr>
                    <w:t>kg/h</w:t>
                  </w:r>
                  <w:r>
                    <w:rPr>
                      <w:rFonts w:hint="eastAsia" w:ascii="宋体" w:hAnsi="宋体" w:eastAsia="宋体" w:cs="宋体"/>
                      <w:i w:val="0"/>
                      <w:iCs w:val="0"/>
                      <w:color w:val="auto"/>
                      <w:kern w:val="0"/>
                      <w:sz w:val="21"/>
                      <w:szCs w:val="21"/>
                      <w:highlight w:val="none"/>
                      <w:u w:val="none"/>
                      <w:lang w:val="en-US" w:eastAsia="zh-CN" w:bidi="ar"/>
                    </w:rPr>
                    <w:t>）</w:t>
                  </w:r>
                </w:p>
              </w:tc>
              <w:tc>
                <w:tcPr>
                  <w:tcW w:w="5234" w:type="dxa"/>
                  <w:tcBorders>
                    <w:top w:val="single" w:color="000000" w:sz="4" w:space="0"/>
                    <w:left w:val="single" w:color="000000" w:sz="4" w:space="0"/>
                    <w:bottom w:val="single" w:color="000000" w:sz="4" w:space="0"/>
                    <w:right w:val="single" w:color="000000" w:sz="4" w:space="0"/>
                  </w:tcBorders>
                  <w:noWrap/>
                  <w:vAlign w:val="center"/>
                </w:tcPr>
                <w:p w14:paraId="5BDF7F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0.039 </w:t>
                  </w:r>
                </w:p>
              </w:tc>
            </w:tr>
            <w:tr w14:paraId="00EA8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635" w:type="dxa"/>
                  <w:tcBorders>
                    <w:top w:val="single" w:color="000000" w:sz="4" w:space="0"/>
                    <w:left w:val="single" w:color="000000" w:sz="4" w:space="0"/>
                    <w:bottom w:val="single" w:color="000000" w:sz="4" w:space="0"/>
                    <w:right w:val="single" w:color="000000" w:sz="4" w:space="0"/>
                  </w:tcBorders>
                  <w:vAlign w:val="center"/>
                </w:tcPr>
                <w:p w14:paraId="275AC0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排放浓度（</w:t>
                  </w:r>
                  <w:r>
                    <w:rPr>
                      <w:rFonts w:hint="default" w:ascii="Times New Roman" w:hAnsi="Times New Roman" w:eastAsia="宋体" w:cs="Times New Roman"/>
                      <w:i w:val="0"/>
                      <w:iCs w:val="0"/>
                      <w:color w:val="auto"/>
                      <w:kern w:val="0"/>
                      <w:sz w:val="21"/>
                      <w:szCs w:val="21"/>
                      <w:highlight w:val="none"/>
                      <w:u w:val="none"/>
                      <w:lang w:val="en-US" w:eastAsia="zh-CN" w:bidi="ar"/>
                    </w:rPr>
                    <w:t>mg/m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w:t>
                  </w:r>
                </w:p>
              </w:tc>
              <w:tc>
                <w:tcPr>
                  <w:tcW w:w="5234" w:type="dxa"/>
                  <w:tcBorders>
                    <w:top w:val="single" w:color="000000" w:sz="4" w:space="0"/>
                    <w:left w:val="single" w:color="000000" w:sz="4" w:space="0"/>
                    <w:bottom w:val="single" w:color="000000" w:sz="4" w:space="0"/>
                    <w:right w:val="single" w:color="000000" w:sz="4" w:space="0"/>
                  </w:tcBorders>
                  <w:noWrap/>
                  <w:vAlign w:val="center"/>
                </w:tcPr>
                <w:p w14:paraId="3FD078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ascii="Times New Roman" w:hAnsi="Times New Roman" w:eastAsia="宋体" w:cs="Times New Roman"/>
                      <w:i w:val="0"/>
                      <w:iCs w:val="0"/>
                      <w:color w:val="auto"/>
                      <w:kern w:val="0"/>
                      <w:sz w:val="21"/>
                      <w:szCs w:val="21"/>
                      <w:highlight w:val="none"/>
                      <w:u w:val="none"/>
                      <w:lang w:val="en-US" w:eastAsia="zh-CN" w:bidi="ar"/>
                    </w:rPr>
                    <w:t>7</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r>
            <w:tr w14:paraId="7C7DF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7869" w:type="dxa"/>
                  <w:gridSpan w:val="2"/>
                  <w:tcBorders>
                    <w:top w:val="single" w:color="000000" w:sz="4" w:space="0"/>
                    <w:left w:val="single" w:color="000000" w:sz="4" w:space="0"/>
                    <w:bottom w:val="single" w:color="000000" w:sz="4" w:space="0"/>
                    <w:right w:val="single" w:color="000000" w:sz="4" w:space="0"/>
                  </w:tcBorders>
                  <w:vAlign w:val="center"/>
                </w:tcPr>
                <w:p w14:paraId="53E46582">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无组织排放</w:t>
                  </w:r>
                </w:p>
              </w:tc>
            </w:tr>
            <w:tr w14:paraId="432CB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635" w:type="dxa"/>
                  <w:tcBorders>
                    <w:top w:val="single" w:color="000000" w:sz="4" w:space="0"/>
                    <w:left w:val="single" w:color="000000" w:sz="4" w:space="0"/>
                    <w:bottom w:val="single" w:color="000000" w:sz="4" w:space="0"/>
                    <w:right w:val="single" w:color="000000" w:sz="4" w:space="0"/>
                  </w:tcBorders>
                  <w:vAlign w:val="center"/>
                </w:tcPr>
                <w:p w14:paraId="643CA0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排放量（</w:t>
                  </w:r>
                  <w:r>
                    <w:rPr>
                      <w:rFonts w:hint="default" w:ascii="Times New Roman" w:hAnsi="Times New Roman" w:eastAsia="宋体" w:cs="Times New Roman"/>
                      <w:i w:val="0"/>
                      <w:iCs w:val="0"/>
                      <w:color w:val="auto"/>
                      <w:kern w:val="0"/>
                      <w:sz w:val="21"/>
                      <w:szCs w:val="21"/>
                      <w:highlight w:val="none"/>
                      <w:u w:val="none"/>
                      <w:lang w:val="en-US" w:eastAsia="zh-CN" w:bidi="ar"/>
                    </w:rPr>
                    <w:t>t/a</w:t>
                  </w:r>
                  <w:r>
                    <w:rPr>
                      <w:rFonts w:hint="eastAsia" w:ascii="宋体" w:hAnsi="宋体" w:eastAsia="宋体" w:cs="宋体"/>
                      <w:i w:val="0"/>
                      <w:iCs w:val="0"/>
                      <w:color w:val="auto"/>
                      <w:kern w:val="0"/>
                      <w:sz w:val="21"/>
                      <w:szCs w:val="21"/>
                      <w:highlight w:val="none"/>
                      <w:u w:val="none"/>
                      <w:lang w:val="en-US" w:eastAsia="zh-CN" w:bidi="ar"/>
                    </w:rPr>
                    <w:t>）</w:t>
                  </w:r>
                </w:p>
              </w:tc>
              <w:tc>
                <w:tcPr>
                  <w:tcW w:w="5234" w:type="dxa"/>
                  <w:tcBorders>
                    <w:top w:val="single" w:color="000000" w:sz="4" w:space="0"/>
                    <w:left w:val="single" w:color="000000" w:sz="4" w:space="0"/>
                    <w:bottom w:val="single" w:color="000000" w:sz="4" w:space="0"/>
                    <w:right w:val="single" w:color="000000" w:sz="4" w:space="0"/>
                  </w:tcBorders>
                  <w:vAlign w:val="center"/>
                </w:tcPr>
                <w:p w14:paraId="051542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0.262 </w:t>
                  </w:r>
                </w:p>
              </w:tc>
            </w:tr>
            <w:tr w14:paraId="21F0B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635" w:type="dxa"/>
                  <w:tcBorders>
                    <w:top w:val="single" w:color="000000" w:sz="4" w:space="0"/>
                    <w:left w:val="single" w:color="000000" w:sz="4" w:space="0"/>
                    <w:bottom w:val="single" w:color="000000" w:sz="4" w:space="0"/>
                    <w:right w:val="single" w:color="000000" w:sz="4" w:space="0"/>
                  </w:tcBorders>
                  <w:vAlign w:val="center"/>
                </w:tcPr>
                <w:p w14:paraId="7858E4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排放速率（</w:t>
                  </w:r>
                  <w:r>
                    <w:rPr>
                      <w:rFonts w:hint="default" w:ascii="Times New Roman" w:hAnsi="Times New Roman" w:eastAsia="宋体" w:cs="Times New Roman"/>
                      <w:i w:val="0"/>
                      <w:iCs w:val="0"/>
                      <w:color w:val="auto"/>
                      <w:kern w:val="0"/>
                      <w:sz w:val="21"/>
                      <w:szCs w:val="21"/>
                      <w:highlight w:val="none"/>
                      <w:u w:val="none"/>
                      <w:lang w:val="en-US" w:eastAsia="zh-CN" w:bidi="ar"/>
                    </w:rPr>
                    <w:t>kg/h</w:t>
                  </w:r>
                  <w:r>
                    <w:rPr>
                      <w:rFonts w:hint="eastAsia" w:ascii="宋体" w:hAnsi="宋体" w:eastAsia="宋体" w:cs="宋体"/>
                      <w:i w:val="0"/>
                      <w:iCs w:val="0"/>
                      <w:color w:val="auto"/>
                      <w:kern w:val="0"/>
                      <w:sz w:val="21"/>
                      <w:szCs w:val="21"/>
                      <w:highlight w:val="none"/>
                      <w:u w:val="none"/>
                      <w:lang w:val="en-US" w:eastAsia="zh-CN" w:bidi="ar"/>
                    </w:rPr>
                    <w:t>）</w:t>
                  </w:r>
                </w:p>
              </w:tc>
              <w:tc>
                <w:tcPr>
                  <w:tcW w:w="5234" w:type="dxa"/>
                  <w:tcBorders>
                    <w:top w:val="single" w:color="000000" w:sz="4" w:space="0"/>
                    <w:left w:val="single" w:color="000000" w:sz="4" w:space="0"/>
                    <w:bottom w:val="single" w:color="000000" w:sz="4" w:space="0"/>
                    <w:right w:val="single" w:color="000000" w:sz="4" w:space="0"/>
                  </w:tcBorders>
                  <w:vAlign w:val="center"/>
                </w:tcPr>
                <w:p w14:paraId="02A1B6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0.087 </w:t>
                  </w:r>
                </w:p>
              </w:tc>
            </w:tr>
            <w:tr w14:paraId="76451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7869" w:type="dxa"/>
                  <w:gridSpan w:val="2"/>
                  <w:tcBorders>
                    <w:top w:val="single" w:color="000000" w:sz="4" w:space="0"/>
                    <w:left w:val="single" w:color="000000" w:sz="4" w:space="0"/>
                    <w:bottom w:val="single" w:color="000000" w:sz="4" w:space="0"/>
                    <w:right w:val="single" w:color="000000" w:sz="4" w:space="0"/>
                  </w:tcBorders>
                  <w:vAlign w:val="center"/>
                </w:tcPr>
                <w:p w14:paraId="51EF6AD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排放量合计</w:t>
                  </w:r>
                </w:p>
              </w:tc>
            </w:tr>
            <w:tr w14:paraId="1B42C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635" w:type="dxa"/>
                  <w:tcBorders>
                    <w:top w:val="single" w:color="000000" w:sz="4" w:space="0"/>
                    <w:left w:val="single" w:color="000000" w:sz="4" w:space="0"/>
                    <w:bottom w:val="single" w:color="000000" w:sz="4" w:space="0"/>
                    <w:right w:val="single" w:color="000000" w:sz="4" w:space="0"/>
                  </w:tcBorders>
                  <w:vAlign w:val="center"/>
                </w:tcPr>
                <w:p w14:paraId="56F654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排放总量（</w:t>
                  </w:r>
                  <w:r>
                    <w:rPr>
                      <w:rFonts w:hint="default" w:ascii="Times New Roman" w:hAnsi="Times New Roman" w:eastAsia="宋体" w:cs="Times New Roman"/>
                      <w:i w:val="0"/>
                      <w:iCs w:val="0"/>
                      <w:color w:val="auto"/>
                      <w:kern w:val="0"/>
                      <w:sz w:val="21"/>
                      <w:szCs w:val="21"/>
                      <w:highlight w:val="none"/>
                      <w:u w:val="none"/>
                      <w:lang w:val="en-US" w:eastAsia="zh-CN" w:bidi="ar"/>
                    </w:rPr>
                    <w:t>t/a</w:t>
                  </w:r>
                  <w:r>
                    <w:rPr>
                      <w:rFonts w:hint="eastAsia" w:ascii="宋体" w:hAnsi="宋体" w:eastAsia="宋体" w:cs="宋体"/>
                      <w:i w:val="0"/>
                      <w:iCs w:val="0"/>
                      <w:color w:val="auto"/>
                      <w:kern w:val="0"/>
                      <w:sz w:val="21"/>
                      <w:szCs w:val="21"/>
                      <w:highlight w:val="none"/>
                      <w:u w:val="none"/>
                      <w:lang w:val="en-US" w:eastAsia="zh-CN" w:bidi="ar"/>
                    </w:rPr>
                    <w:t>）</w:t>
                  </w:r>
                </w:p>
              </w:tc>
              <w:tc>
                <w:tcPr>
                  <w:tcW w:w="5234" w:type="dxa"/>
                  <w:tcBorders>
                    <w:top w:val="single" w:color="000000" w:sz="4" w:space="0"/>
                    <w:left w:val="single" w:color="000000" w:sz="4" w:space="0"/>
                    <w:bottom w:val="single" w:color="000000" w:sz="4" w:space="0"/>
                    <w:right w:val="single" w:color="000000" w:sz="4" w:space="0"/>
                  </w:tcBorders>
                  <w:vAlign w:val="center"/>
                </w:tcPr>
                <w:p w14:paraId="09FE63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0.380 </w:t>
                  </w:r>
                </w:p>
              </w:tc>
            </w:tr>
            <w:bookmarkEnd w:id="116"/>
          </w:tbl>
          <w:p w14:paraId="54211C10">
            <w:pPr>
              <w:pStyle w:val="12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100" w:lineRule="exact"/>
              <w:ind w:left="0" w:right="0" w:firstLine="480"/>
              <w:textAlignment w:val="auto"/>
              <w:rPr>
                <w:rFonts w:hint="default" w:ascii="Times New Roman" w:hAnsi="Times New Roman" w:eastAsia="宋体" w:cs="Times New Roman"/>
                <w:color w:val="auto"/>
                <w:highlight w:val="none"/>
              </w:rPr>
            </w:pPr>
          </w:p>
          <w:p w14:paraId="42F06430">
            <w:pPr>
              <w:pStyle w:val="120"/>
              <w:keepNext w:val="0"/>
              <w:keepLines w:val="0"/>
              <w:suppressLineNumbers w:val="0"/>
              <w:snapToGrid/>
              <w:spacing w:before="0" w:beforeAutospacing="0" w:after="0" w:afterAutospacing="0" w:line="360" w:lineRule="auto"/>
              <w:ind w:left="0" w:right="0" w:firstLine="48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pacing w:val="-3"/>
                <w:sz w:val="24"/>
                <w:szCs w:val="24"/>
                <w:highlight w:val="none"/>
                <w:lang w:val="en-US" w:eastAsia="zh-CN"/>
              </w:rPr>
              <w:t>2</w:t>
            </w:r>
            <w:r>
              <w:rPr>
                <w:rFonts w:hint="default" w:ascii="Times New Roman" w:hAnsi="Times New Roman" w:eastAsia="宋体" w:cs="Times New Roman"/>
                <w:b/>
                <w:bCs/>
                <w:color w:val="auto"/>
                <w:spacing w:val="-3"/>
                <w:sz w:val="24"/>
                <w:szCs w:val="24"/>
                <w:highlight w:val="none"/>
              </w:rPr>
              <w:t>.1.2</w:t>
            </w:r>
            <w:r>
              <w:rPr>
                <w:rFonts w:hint="default" w:ascii="Times New Roman" w:hAnsi="Times New Roman" w:eastAsia="宋体" w:cs="Times New Roman"/>
                <w:b/>
                <w:bCs/>
                <w:color w:val="auto"/>
                <w:sz w:val="24"/>
                <w:szCs w:val="24"/>
                <w:highlight w:val="none"/>
                <w:lang w:val="en-US" w:eastAsia="zh-CN"/>
              </w:rPr>
              <w:t>焊接烟尘</w:t>
            </w:r>
          </w:p>
          <w:p w14:paraId="15DB49F5">
            <w:pPr>
              <w:pStyle w:val="120"/>
              <w:keepNext w:val="0"/>
              <w:keepLines w:val="0"/>
              <w:suppressLineNumbers w:val="0"/>
              <w:snapToGrid/>
              <w:spacing w:before="0" w:beforeAutospacing="0" w:after="0" w:afterAutospacing="0" w:line="360" w:lineRule="auto"/>
              <w:ind w:left="0" w:right="0" w:firstLine="48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项目需要对钣金制品工件进行焊接，焊接工序会产生焊接烟尘，焊接烟尘是</w:t>
            </w:r>
            <w:r>
              <w:rPr>
                <w:rFonts w:hint="default" w:ascii="Times New Roman" w:hAnsi="Times New Roman" w:eastAsia="宋体" w:cs="Times New Roman"/>
                <w:color w:val="auto"/>
                <w:sz w:val="24"/>
                <w:szCs w:val="24"/>
                <w:highlight w:val="none"/>
                <w:lang w:val="en-US" w:eastAsia="zh-CN"/>
              </w:rPr>
              <w:t>焊丝</w:t>
            </w:r>
            <w:r>
              <w:rPr>
                <w:rFonts w:hint="default" w:ascii="Times New Roman" w:hAnsi="Times New Roman" w:eastAsia="宋体" w:cs="Times New Roman"/>
                <w:color w:val="auto"/>
                <w:sz w:val="24"/>
                <w:szCs w:val="24"/>
                <w:highlight w:val="none"/>
              </w:rPr>
              <w:t>在加热条件下产生的蒸汽经氧化和冷凝而形成的，主要</w:t>
            </w:r>
            <w:r>
              <w:rPr>
                <w:rFonts w:hint="default" w:ascii="Times New Roman" w:hAnsi="Times New Roman" w:eastAsia="宋体" w:cs="Times New Roman"/>
                <w:color w:val="auto"/>
                <w:sz w:val="24"/>
                <w:szCs w:val="24"/>
                <w:highlight w:val="none"/>
                <w:lang w:val="en-US" w:eastAsia="zh-CN"/>
              </w:rPr>
              <w:t>污染物指标为颗粒物</w:t>
            </w:r>
            <w:r>
              <w:rPr>
                <w:rFonts w:hint="default" w:ascii="Times New Roman" w:hAnsi="Times New Roman" w:eastAsia="宋体" w:cs="Times New Roman"/>
                <w:color w:val="auto"/>
                <w:sz w:val="24"/>
                <w:szCs w:val="24"/>
                <w:highlight w:val="none"/>
                <w:lang w:eastAsia="zh-CN"/>
              </w:rPr>
              <w:t>。</w:t>
            </w:r>
          </w:p>
          <w:p w14:paraId="768D6ED7">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lang w:val="en-US" w:eastAsia="zh-CN"/>
              </w:rPr>
              <w:t>本项目利用焊丝作为焊接材料，按单件产品焊接长度</w:t>
            </w:r>
            <w:r>
              <w:rPr>
                <w:rFonts w:hint="eastAsia" w:cs="Times New Roman"/>
                <w:color w:val="auto"/>
                <w:sz w:val="24"/>
                <w:szCs w:val="24"/>
                <w:highlight w:val="none"/>
                <w:lang w:val="en-US" w:eastAsia="zh-CN"/>
              </w:rPr>
              <w:t>约</w:t>
            </w:r>
            <w:r>
              <w:rPr>
                <w:rFonts w:hint="default" w:ascii="Times New Roman" w:hAnsi="Times New Roman" w:cs="Times New Roman"/>
                <w:color w:val="auto"/>
                <w:sz w:val="24"/>
                <w:szCs w:val="24"/>
                <w:highlight w:val="none"/>
                <w:lang w:val="en-US" w:eastAsia="zh-CN"/>
              </w:rPr>
              <w:t>为0.5m（取钣金件长宽的平均值）、宽度为0.01m，厚度为0.001m计算，计算得单件产品所需焊丝为0.000005m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，项目设计年加工工件约</w:t>
            </w:r>
            <w:r>
              <w:rPr>
                <w:rFonts w:hint="eastAsia" w:cs="Times New Roman"/>
                <w:color w:val="auto"/>
                <w:sz w:val="24"/>
                <w:szCs w:val="24"/>
                <w:highlight w:val="none"/>
                <w:vertAlign w:val="baseline"/>
                <w:lang w:val="en-US" w:eastAsia="zh-CN"/>
              </w:rPr>
              <w:t>10</w:t>
            </w:r>
            <w:r>
              <w:rPr>
                <w:rFonts w:hint="default" w:ascii="Times New Roman" w:hAnsi="Times New Roman" w:cs="Times New Roman"/>
                <w:color w:val="auto"/>
                <w:sz w:val="24"/>
                <w:szCs w:val="24"/>
                <w:highlight w:val="none"/>
                <w:vertAlign w:val="baseline"/>
                <w:lang w:val="en-US" w:eastAsia="zh-CN"/>
              </w:rPr>
              <w:t>万</w:t>
            </w:r>
            <w:r>
              <w:rPr>
                <w:rFonts w:hint="eastAsia" w:cs="Times New Roman"/>
                <w:color w:val="auto"/>
                <w:sz w:val="24"/>
                <w:szCs w:val="24"/>
                <w:highlight w:val="none"/>
                <w:vertAlign w:val="baseline"/>
                <w:lang w:val="en-US" w:eastAsia="zh-CN"/>
              </w:rPr>
              <w:t>套</w:t>
            </w:r>
            <w:r>
              <w:rPr>
                <w:rFonts w:hint="default" w:ascii="Times New Roman" w:hAnsi="Times New Roman" w:cs="Times New Roman"/>
                <w:color w:val="auto"/>
                <w:sz w:val="24"/>
                <w:szCs w:val="24"/>
                <w:highlight w:val="none"/>
                <w:vertAlign w:val="baseline"/>
                <w:lang w:val="en-US" w:eastAsia="zh-CN"/>
              </w:rPr>
              <w:t>，计算得出所需焊丝年用量</w:t>
            </w:r>
            <w:r>
              <w:rPr>
                <w:rFonts w:hint="eastAsia" w:ascii="Times New Roman" w:hAnsi="Times New Roman" w:cs="Times New Roman"/>
                <w:color w:val="auto"/>
                <w:sz w:val="24"/>
                <w:szCs w:val="24"/>
                <w:highlight w:val="none"/>
                <w:vertAlign w:val="baseline"/>
                <w:lang w:val="en-US" w:eastAsia="zh-CN"/>
              </w:rPr>
              <w:t>=</w:t>
            </w:r>
            <w:r>
              <w:rPr>
                <w:rFonts w:hint="eastAsia" w:cs="Times New Roman"/>
                <w:color w:val="auto"/>
                <w:sz w:val="24"/>
                <w:szCs w:val="24"/>
                <w:highlight w:val="none"/>
                <w:vertAlign w:val="baseline"/>
                <w:lang w:val="en-US" w:eastAsia="zh-CN"/>
              </w:rPr>
              <w:t>10</w:t>
            </w:r>
            <w:r>
              <w:rPr>
                <w:rFonts w:hint="eastAsia" w:ascii="Times New Roman" w:hAnsi="Times New Roman" w:cs="Times New Roman"/>
                <w:color w:val="auto"/>
                <w:sz w:val="24"/>
                <w:szCs w:val="24"/>
                <w:highlight w:val="none"/>
                <w:vertAlign w:val="baseline"/>
                <w:lang w:val="en-US" w:eastAsia="zh-CN"/>
              </w:rPr>
              <w:t>万件×</w:t>
            </w:r>
            <w:r>
              <w:rPr>
                <w:rFonts w:hint="default" w:ascii="Times New Roman" w:hAnsi="Times New Roman" w:cs="Times New Roman"/>
                <w:color w:val="auto"/>
                <w:sz w:val="24"/>
                <w:szCs w:val="24"/>
                <w:highlight w:val="none"/>
                <w:lang w:val="en-US" w:eastAsia="zh-CN"/>
              </w:rPr>
              <w:t>0.000005m</w:t>
            </w:r>
            <w:r>
              <w:rPr>
                <w:rFonts w:hint="default"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w:t>
            </w:r>
            <w:r>
              <w:rPr>
                <w:rFonts w:hint="eastAsia" w:cs="Times New Roman"/>
                <w:color w:val="auto"/>
                <w:sz w:val="24"/>
                <w:szCs w:val="24"/>
                <w:highlight w:val="none"/>
                <w:vertAlign w:val="baseline"/>
                <w:lang w:val="en-US" w:eastAsia="zh-CN"/>
              </w:rPr>
              <w:t>0.5</w:t>
            </w:r>
            <w:r>
              <w:rPr>
                <w:rFonts w:hint="default"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，焊丝密度按2.7t/m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计算，折合焊丝年用量为</w:t>
            </w:r>
            <w:r>
              <w:rPr>
                <w:rFonts w:hint="eastAsia" w:cs="Times New Roman"/>
                <w:color w:val="auto"/>
                <w:sz w:val="24"/>
                <w:szCs w:val="24"/>
                <w:highlight w:val="none"/>
                <w:vertAlign w:val="baseline"/>
                <w:lang w:val="en-US" w:eastAsia="zh-CN"/>
              </w:rPr>
              <w:t>1.350</w:t>
            </w:r>
            <w:r>
              <w:rPr>
                <w:rFonts w:hint="default" w:ascii="Times New Roman" w:hAnsi="Times New Roman" w:cs="Times New Roman"/>
                <w:color w:val="auto"/>
                <w:sz w:val="24"/>
                <w:szCs w:val="24"/>
                <w:highlight w:val="none"/>
                <w:vertAlign w:val="baseline"/>
                <w:lang w:val="en-US" w:eastAsia="zh-CN"/>
              </w:rPr>
              <w:t>t。</w:t>
            </w:r>
          </w:p>
          <w:p w14:paraId="08E62447">
            <w:pPr>
              <w:pStyle w:val="120"/>
              <w:keepNext w:val="0"/>
              <w:keepLines w:val="0"/>
              <w:suppressLineNumbers w:val="0"/>
              <w:snapToGrid/>
              <w:spacing w:before="0" w:beforeAutospacing="0" w:after="0" w:afterAutospacing="0" w:line="360" w:lineRule="auto"/>
              <w:ind w:left="0" w:right="0"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highlight w:val="none"/>
              </w:rPr>
              <w:t>参考“《排放源统计调查产排污核算方法和系数手册》33-37机械行业系数手册”中“焊接核算环节-焊接-焊接原料：实芯焊丝”的产污系数作为焊接烟尘产污源强计算依据。本项目焊接烟尘（颗粒物）产污系数为</w:t>
            </w:r>
            <w:r>
              <w:rPr>
                <w:rFonts w:hint="default" w:ascii="Times New Roman" w:hAnsi="Times New Roman" w:eastAsia="宋体" w:cs="Times New Roman"/>
                <w:color w:val="auto"/>
                <w:highlight w:val="none"/>
                <w:lang w:val="en-US" w:eastAsia="zh-CN"/>
              </w:rPr>
              <w:t>9.19</w:t>
            </w:r>
            <w:r>
              <w:rPr>
                <w:rFonts w:hint="default" w:ascii="Times New Roman" w:hAnsi="Times New Roman" w:eastAsia="宋体" w:cs="Times New Roman"/>
                <w:color w:val="auto"/>
                <w:highlight w:val="none"/>
              </w:rPr>
              <w:t>kg/t-原料</w:t>
            </w:r>
            <w:r>
              <w:rPr>
                <w:rFonts w:hint="default" w:ascii="Times New Roman" w:hAnsi="Times New Roman" w:cs="Times New Roman"/>
                <w:color w:val="auto"/>
                <w:sz w:val="24"/>
                <w:szCs w:val="24"/>
                <w:highlight w:val="none"/>
              </w:rPr>
              <w:t>，</w:t>
            </w:r>
            <w:r>
              <w:rPr>
                <w:rFonts w:hint="default" w:ascii="Times New Roman" w:hAnsi="Times New Roman" w:eastAsia="宋体" w:cs="Times New Roman"/>
                <w:color w:val="auto"/>
                <w:sz w:val="24"/>
                <w:szCs w:val="24"/>
                <w:highlight w:val="none"/>
              </w:rPr>
              <w:t>于车间内无组织排放</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项目年工作</w:t>
            </w:r>
            <w:r>
              <w:rPr>
                <w:rFonts w:hint="eastAsia" w:cs="Times New Roman"/>
                <w:color w:val="auto"/>
                <w:sz w:val="24"/>
                <w:szCs w:val="24"/>
                <w:highlight w:val="none"/>
                <w:lang w:val="en-US" w:eastAsia="zh-CN"/>
              </w:rPr>
              <w:t>3000</w:t>
            </w:r>
            <w:r>
              <w:rPr>
                <w:rFonts w:hint="default" w:ascii="Times New Roman" w:hAnsi="Times New Roman" w:eastAsia="宋体" w:cs="Times New Roman"/>
                <w:color w:val="auto"/>
                <w:sz w:val="24"/>
                <w:szCs w:val="24"/>
                <w:highlight w:val="none"/>
                <w:lang w:val="en-US" w:eastAsia="zh-CN"/>
              </w:rPr>
              <w:t>小时。</w:t>
            </w:r>
          </w:p>
          <w:p w14:paraId="2CBC38DD">
            <w:pPr>
              <w:keepNext w:val="0"/>
              <w:keepLines w:val="0"/>
              <w:numPr>
                <w:ilvl w:val="0"/>
                <w:numId w:val="10"/>
              </w:numPr>
              <w:suppressLineNumbers w:val="0"/>
              <w:spacing w:before="0" w:beforeAutospacing="0" w:after="0" w:afterAutospacing="0"/>
              <w:ind w:left="0" w:leftChars="0" w:right="0" w:hanging="1"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本项目焊接烟尘产生情况</w:t>
            </w:r>
          </w:p>
          <w:tbl>
            <w:tblPr>
              <w:tblStyle w:val="4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79"/>
              <w:gridCol w:w="1921"/>
              <w:gridCol w:w="1208"/>
              <w:gridCol w:w="1694"/>
              <w:gridCol w:w="1656"/>
            </w:tblGrid>
            <w:tr w14:paraId="45234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922" w:type="pct"/>
                  <w:tcBorders>
                    <w:tl2br w:val="nil"/>
                    <w:tr2bl w:val="nil"/>
                  </w:tcBorders>
                  <w:vAlign w:val="center"/>
                </w:tcPr>
                <w:p w14:paraId="2C45DE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焊丝用量（t/a）</w:t>
                  </w:r>
                </w:p>
              </w:tc>
              <w:tc>
                <w:tcPr>
                  <w:tcW w:w="1267" w:type="pct"/>
                  <w:tcBorders>
                    <w:tl2br w:val="nil"/>
                    <w:tr2bl w:val="nil"/>
                  </w:tcBorders>
                  <w:vAlign w:val="center"/>
                </w:tcPr>
                <w:p w14:paraId="1EE56C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产污系数（kg/t-原料）</w:t>
                  </w:r>
                </w:p>
              </w:tc>
              <w:tc>
                <w:tcPr>
                  <w:tcW w:w="813" w:type="pct"/>
                  <w:tcBorders>
                    <w:tl2br w:val="nil"/>
                    <w:tr2bl w:val="nil"/>
                  </w:tcBorders>
                  <w:vAlign w:val="center"/>
                </w:tcPr>
                <w:p w14:paraId="524A8A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产生量（t/a）</w:t>
                  </w:r>
                </w:p>
              </w:tc>
              <w:tc>
                <w:tcPr>
                  <w:tcW w:w="1009" w:type="pct"/>
                  <w:tcBorders>
                    <w:tl2br w:val="nil"/>
                    <w:tr2bl w:val="nil"/>
                  </w:tcBorders>
                  <w:vAlign w:val="center"/>
                </w:tcPr>
                <w:p w14:paraId="7EBA8E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产生速率（kg/h）</w:t>
                  </w:r>
                </w:p>
              </w:tc>
              <w:tc>
                <w:tcPr>
                  <w:tcW w:w="986" w:type="pct"/>
                  <w:tcBorders>
                    <w:tl2br w:val="nil"/>
                    <w:tr2bl w:val="nil"/>
                  </w:tcBorders>
                  <w:noWrap/>
                  <w:vAlign w:val="center"/>
                </w:tcPr>
                <w:p w14:paraId="43E3B1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年工作小时h</w:t>
                  </w:r>
                </w:p>
              </w:tc>
            </w:tr>
            <w:tr w14:paraId="12DC0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548" w:type="dxa"/>
                  <w:tcBorders>
                    <w:tl2br w:val="nil"/>
                    <w:tr2bl w:val="nil"/>
                  </w:tcBorders>
                  <w:vAlign w:val="center"/>
                </w:tcPr>
                <w:p w14:paraId="7A8A15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rPr>
                    <w:t>1.350</w:t>
                  </w:r>
                </w:p>
              </w:tc>
              <w:tc>
                <w:tcPr>
                  <w:tcW w:w="2127" w:type="dxa"/>
                  <w:tcBorders>
                    <w:tl2br w:val="nil"/>
                    <w:tr2bl w:val="nil"/>
                  </w:tcBorders>
                  <w:vAlign w:val="center"/>
                </w:tcPr>
                <w:p w14:paraId="0AC0DC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rPr>
                    <w:t>9.19</w:t>
                  </w:r>
                </w:p>
              </w:tc>
              <w:tc>
                <w:tcPr>
                  <w:tcW w:w="1366" w:type="dxa"/>
                  <w:tcBorders>
                    <w:tl2br w:val="nil"/>
                    <w:tr2bl w:val="nil"/>
                  </w:tcBorders>
                  <w:vAlign w:val="center"/>
                </w:tcPr>
                <w:p w14:paraId="5A59DF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rPr>
                    <w:t>0.</w:t>
                  </w:r>
                  <w:r>
                    <w:rPr>
                      <w:rFonts w:hint="eastAsia" w:cs="Times New Roman"/>
                      <w:i w:val="0"/>
                      <w:iCs w:val="0"/>
                      <w:color w:val="auto"/>
                      <w:kern w:val="0"/>
                      <w:sz w:val="21"/>
                      <w:szCs w:val="21"/>
                      <w:highlight w:val="none"/>
                      <w:u w:val="none"/>
                      <w:lang w:val="en-US" w:eastAsia="zh-CN"/>
                    </w:rPr>
                    <w:t>012</w:t>
                  </w:r>
                </w:p>
              </w:tc>
              <w:tc>
                <w:tcPr>
                  <w:tcW w:w="1694" w:type="dxa"/>
                  <w:tcBorders>
                    <w:tl2br w:val="nil"/>
                    <w:tr2bl w:val="nil"/>
                  </w:tcBorders>
                  <w:noWrap/>
                  <w:vAlign w:val="center"/>
                </w:tcPr>
                <w:p w14:paraId="335A30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rPr>
                    <w:t>0.0</w:t>
                  </w:r>
                  <w:r>
                    <w:rPr>
                      <w:rFonts w:hint="eastAsia" w:cs="Times New Roman"/>
                      <w:i w:val="0"/>
                      <w:iCs w:val="0"/>
                      <w:color w:val="auto"/>
                      <w:kern w:val="0"/>
                      <w:sz w:val="21"/>
                      <w:szCs w:val="21"/>
                      <w:highlight w:val="none"/>
                      <w:u w:val="none"/>
                      <w:lang w:val="en-US" w:eastAsia="zh-CN"/>
                    </w:rPr>
                    <w:t>04</w:t>
                  </w:r>
                </w:p>
              </w:tc>
              <w:tc>
                <w:tcPr>
                  <w:tcW w:w="1656" w:type="dxa"/>
                  <w:tcBorders>
                    <w:tl2br w:val="nil"/>
                    <w:tr2bl w:val="nil"/>
                  </w:tcBorders>
                  <w:noWrap/>
                  <w:vAlign w:val="center"/>
                </w:tcPr>
                <w:p w14:paraId="5833EC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rPr>
                    <w:t>3000</w:t>
                  </w:r>
                </w:p>
              </w:tc>
            </w:tr>
          </w:tbl>
          <w:p w14:paraId="0E747713">
            <w:pPr>
              <w:keepNext w:val="0"/>
              <w:keepLines w:val="0"/>
              <w:pageBreakBefore w:val="0"/>
              <w:widowControl w:val="0"/>
              <w:kinsoku/>
              <w:wordWrap/>
              <w:overflowPunct/>
              <w:topLinePunct w:val="0"/>
              <w:autoSpaceDE/>
              <w:autoSpaceDN/>
              <w:bidi w:val="0"/>
              <w:adjustRightInd/>
              <w:snapToGrid/>
              <w:spacing w:line="100" w:lineRule="exact"/>
              <w:ind w:firstLine="480" w:firstLineChars="200"/>
              <w:jc w:val="both"/>
              <w:textAlignment w:val="auto"/>
              <w:rPr>
                <w:rFonts w:hint="default" w:ascii="Times New Roman" w:hAnsi="Times New Roman" w:eastAsia="宋体" w:cs="Times New Roman"/>
                <w:b/>
                <w:bCs/>
                <w:color w:val="auto"/>
                <w:sz w:val="24"/>
                <w:szCs w:val="24"/>
                <w:highlight w:val="none"/>
                <w:lang w:val="en-US" w:eastAsia="zh-CN"/>
              </w:rPr>
            </w:pPr>
          </w:p>
          <w:p w14:paraId="66156AD7">
            <w:pPr>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2.1.3</w:t>
            </w:r>
            <w:r>
              <w:rPr>
                <w:rFonts w:hint="default" w:ascii="Times New Roman" w:hAnsi="Times New Roman" w:cs="Times New Roman"/>
                <w:b/>
                <w:bCs/>
                <w:color w:val="auto"/>
                <w:sz w:val="24"/>
                <w:szCs w:val="24"/>
                <w:highlight w:val="none"/>
                <w:lang w:val="en-US" w:eastAsia="zh-CN"/>
              </w:rPr>
              <w:t>天然气燃烧废气</w:t>
            </w:r>
          </w:p>
          <w:p w14:paraId="5DD9DD75">
            <w:pPr>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GB"/>
              </w:rPr>
              <w:t>本项目烘</w:t>
            </w:r>
            <w:r>
              <w:rPr>
                <w:rFonts w:hint="default" w:ascii="Times New Roman" w:hAnsi="Times New Roman" w:cs="Times New Roman"/>
                <w:color w:val="auto"/>
                <w:sz w:val="24"/>
                <w:szCs w:val="24"/>
                <w:highlight w:val="none"/>
                <w:lang w:val="en-US" w:eastAsia="zh-CN"/>
              </w:rPr>
              <w:t>干工序</w:t>
            </w:r>
            <w:r>
              <w:rPr>
                <w:rFonts w:hint="default" w:ascii="Times New Roman" w:hAnsi="Times New Roman" w:cs="Times New Roman"/>
                <w:color w:val="auto"/>
                <w:sz w:val="24"/>
                <w:szCs w:val="24"/>
                <w:highlight w:val="none"/>
                <w:lang w:val="en-GB"/>
              </w:rPr>
              <w:t>以天然气为燃料，</w:t>
            </w:r>
            <w:r>
              <w:rPr>
                <w:rFonts w:hint="default" w:ascii="Times New Roman" w:hAnsi="Times New Roman" w:eastAsia="宋体" w:cs="Times New Roman"/>
                <w:color w:val="auto"/>
                <w:sz w:val="24"/>
                <w:szCs w:val="24"/>
                <w:highlight w:val="none"/>
                <w:lang w:val="en-US" w:eastAsia="zh-CN"/>
              </w:rPr>
              <w:t>本项目</w:t>
            </w:r>
            <w:r>
              <w:rPr>
                <w:rFonts w:hint="eastAsia" w:cs="Times New Roman"/>
                <w:color w:val="auto"/>
                <w:sz w:val="24"/>
                <w:szCs w:val="24"/>
                <w:highlight w:val="none"/>
                <w:lang w:val="en-US" w:eastAsia="zh-CN"/>
              </w:rPr>
              <w:t>烘干工序</w:t>
            </w:r>
            <w:r>
              <w:rPr>
                <w:rFonts w:hint="default" w:ascii="Times New Roman" w:hAnsi="Times New Roman" w:eastAsia="宋体" w:cs="Times New Roman"/>
                <w:color w:val="auto"/>
                <w:sz w:val="24"/>
                <w:szCs w:val="24"/>
                <w:highlight w:val="none"/>
                <w:lang w:val="en-US" w:eastAsia="zh-CN"/>
              </w:rPr>
              <w:t>天然气用量为47752m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eastAsia" w:cs="Times New Roman"/>
                <w:color w:val="auto"/>
                <w:sz w:val="24"/>
                <w:szCs w:val="24"/>
                <w:highlight w:val="none"/>
                <w:lang w:val="en-US" w:eastAsia="zh-CN"/>
              </w:rPr>
              <w:t>，固化工序天然气使用量152248</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/a。本项目使用天然气属于《天然气》（GB17820-2018）中的二类气体，其含硫量≤100mg/m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。天然气燃烧过程中，氮氧化物、二氧化硫和工业废气量参考《排放源统计调查产排污核算方法和系数手册》中“机械行业系数手册”内“14涂装天然气工业炉窑”产污系数。</w:t>
            </w:r>
            <w:r>
              <w:rPr>
                <w:rFonts w:hint="default" w:ascii="Times New Roman" w:hAnsi="Times New Roman" w:cs="Times New Roman"/>
                <w:color w:val="auto"/>
                <w:kern w:val="0"/>
                <w:sz w:val="24"/>
                <w:szCs w:val="24"/>
                <w:highlight w:val="none"/>
              </w:rPr>
              <w:t>本项目烘水炉年工作时间</w:t>
            </w:r>
            <w:r>
              <w:rPr>
                <w:rFonts w:hint="eastAsia" w:cs="Times New Roman"/>
                <w:color w:val="auto"/>
                <w:kern w:val="0"/>
                <w:sz w:val="24"/>
                <w:szCs w:val="24"/>
                <w:highlight w:val="none"/>
                <w:lang w:val="en-US" w:eastAsia="zh-CN"/>
              </w:rPr>
              <w:t>3000</w:t>
            </w:r>
            <w:r>
              <w:rPr>
                <w:rFonts w:hint="default" w:ascii="Times New Roman" w:hAnsi="Times New Roman" w:cs="Times New Roman"/>
                <w:color w:val="auto"/>
                <w:kern w:val="0"/>
                <w:sz w:val="24"/>
                <w:szCs w:val="24"/>
                <w:highlight w:val="none"/>
              </w:rPr>
              <w:t>h</w:t>
            </w:r>
            <w:r>
              <w:rPr>
                <w:rFonts w:hint="default" w:ascii="Times New Roman" w:hAnsi="Times New Roman" w:cs="Times New Roman"/>
                <w:color w:val="auto"/>
                <w:kern w:val="0"/>
                <w:sz w:val="24"/>
                <w:szCs w:val="24"/>
                <w:highlight w:val="none"/>
                <w:lang w:eastAsia="zh-CN"/>
              </w:rPr>
              <w:t>。</w:t>
            </w:r>
          </w:p>
          <w:p w14:paraId="2C3CB9E5">
            <w:pPr>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烘干工序</w:t>
            </w:r>
            <w:r>
              <w:rPr>
                <w:rFonts w:hint="default" w:ascii="Times New Roman" w:hAnsi="Times New Roman" w:eastAsia="宋体" w:cs="Times New Roman"/>
                <w:color w:val="auto"/>
                <w:sz w:val="24"/>
                <w:szCs w:val="24"/>
                <w:highlight w:val="none"/>
                <w:lang w:val="en-US" w:eastAsia="zh-CN"/>
              </w:rPr>
              <w:t>燃烧天然气的污染物产生情况如下：</w:t>
            </w:r>
          </w:p>
          <w:p w14:paraId="7F263F9F">
            <w:pPr>
              <w:keepNext w:val="0"/>
              <w:keepLines w:val="0"/>
              <w:widowControl/>
              <w:numPr>
                <w:ilvl w:val="0"/>
                <w:numId w:val="10"/>
              </w:numPr>
              <w:suppressLineNumbers w:val="0"/>
              <w:spacing w:before="0" w:beforeAutospacing="0" w:after="0" w:afterAutospacing="0" w:line="240" w:lineRule="auto"/>
              <w:ind w:left="0" w:leftChars="0" w:right="0" w:hanging="1"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天然气燃烧废气产生情况一览表</w:t>
            </w:r>
          </w:p>
          <w:tbl>
            <w:tblPr>
              <w:tblStyle w:val="44"/>
              <w:tblW w:w="48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5"/>
              <w:gridCol w:w="945"/>
              <w:gridCol w:w="846"/>
              <w:gridCol w:w="928"/>
              <w:gridCol w:w="2289"/>
              <w:gridCol w:w="1092"/>
              <w:gridCol w:w="1106"/>
            </w:tblGrid>
            <w:tr w14:paraId="0A6B3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exact"/>
              </w:trPr>
              <w:tc>
                <w:tcPr>
                  <w:tcW w:w="318" w:type="pct"/>
                  <w:vAlign w:val="center"/>
                </w:tcPr>
                <w:p w14:paraId="10FB02C7">
                  <w:pPr>
                    <w:wordWrap w:val="0"/>
                    <w:topLinePunct/>
                    <w:autoSpaceDE w:val="0"/>
                    <w:autoSpaceDN w:val="0"/>
                    <w:spacing w:line="240" w:lineRule="auto"/>
                    <w:jc w:val="center"/>
                    <w:rPr>
                      <w:b/>
                      <w:bCs/>
                      <w:color w:val="auto"/>
                      <w:sz w:val="21"/>
                      <w:szCs w:val="21"/>
                      <w:highlight w:val="none"/>
                    </w:rPr>
                  </w:pPr>
                  <w:r>
                    <w:rPr>
                      <w:b/>
                      <w:bCs/>
                      <w:color w:val="auto"/>
                      <w:sz w:val="21"/>
                      <w:szCs w:val="21"/>
                      <w:highlight w:val="none"/>
                    </w:rPr>
                    <w:t>序号</w:t>
                  </w:r>
                </w:p>
              </w:tc>
              <w:tc>
                <w:tcPr>
                  <w:tcW w:w="617" w:type="pct"/>
                  <w:vAlign w:val="center"/>
                </w:tcPr>
                <w:p w14:paraId="78B9D53C">
                  <w:pPr>
                    <w:wordWrap w:val="0"/>
                    <w:topLinePunct/>
                    <w:autoSpaceDE w:val="0"/>
                    <w:autoSpaceDN w:val="0"/>
                    <w:spacing w:line="240" w:lineRule="auto"/>
                    <w:jc w:val="center"/>
                    <w:rPr>
                      <w:b/>
                      <w:bCs/>
                      <w:color w:val="auto"/>
                      <w:sz w:val="21"/>
                      <w:szCs w:val="21"/>
                      <w:highlight w:val="none"/>
                    </w:rPr>
                  </w:pPr>
                  <w:r>
                    <w:rPr>
                      <w:b/>
                      <w:bCs/>
                      <w:color w:val="auto"/>
                      <w:sz w:val="21"/>
                      <w:szCs w:val="21"/>
                      <w:highlight w:val="none"/>
                    </w:rPr>
                    <w:t>废气产生点</w:t>
                  </w:r>
                </w:p>
              </w:tc>
              <w:tc>
                <w:tcPr>
                  <w:tcW w:w="537" w:type="pct"/>
                  <w:vAlign w:val="center"/>
                </w:tcPr>
                <w:p w14:paraId="699107DB">
                  <w:pPr>
                    <w:wordWrap w:val="0"/>
                    <w:topLinePunct/>
                    <w:autoSpaceDE w:val="0"/>
                    <w:autoSpaceDN w:val="0"/>
                    <w:spacing w:line="240" w:lineRule="auto"/>
                    <w:jc w:val="center"/>
                    <w:rPr>
                      <w:b/>
                      <w:bCs/>
                      <w:color w:val="auto"/>
                      <w:sz w:val="21"/>
                      <w:szCs w:val="21"/>
                      <w:highlight w:val="none"/>
                    </w:rPr>
                  </w:pPr>
                  <w:r>
                    <w:rPr>
                      <w:b/>
                      <w:bCs/>
                      <w:color w:val="auto"/>
                      <w:sz w:val="21"/>
                      <w:szCs w:val="21"/>
                      <w:highlight w:val="none"/>
                    </w:rPr>
                    <w:t>消耗量（m</w:t>
                  </w:r>
                  <w:r>
                    <w:rPr>
                      <w:b/>
                      <w:bCs/>
                      <w:color w:val="auto"/>
                      <w:sz w:val="21"/>
                      <w:szCs w:val="21"/>
                      <w:highlight w:val="none"/>
                      <w:vertAlign w:val="superscript"/>
                    </w:rPr>
                    <w:t>3</w:t>
                  </w:r>
                  <w:r>
                    <w:rPr>
                      <w:b/>
                      <w:bCs/>
                      <w:color w:val="auto"/>
                      <w:sz w:val="21"/>
                      <w:szCs w:val="21"/>
                      <w:highlight w:val="none"/>
                    </w:rPr>
                    <w:t>）</w:t>
                  </w:r>
                </w:p>
              </w:tc>
              <w:tc>
                <w:tcPr>
                  <w:tcW w:w="605" w:type="pct"/>
                  <w:vAlign w:val="center"/>
                </w:tcPr>
                <w:p w14:paraId="267F4353">
                  <w:pPr>
                    <w:wordWrap w:val="0"/>
                    <w:topLinePunct/>
                    <w:autoSpaceDE w:val="0"/>
                    <w:autoSpaceDN w:val="0"/>
                    <w:spacing w:line="240" w:lineRule="auto"/>
                    <w:jc w:val="center"/>
                    <w:rPr>
                      <w:b/>
                      <w:bCs/>
                      <w:color w:val="auto"/>
                      <w:sz w:val="21"/>
                      <w:szCs w:val="21"/>
                      <w:highlight w:val="none"/>
                    </w:rPr>
                  </w:pPr>
                  <w:r>
                    <w:rPr>
                      <w:b/>
                      <w:bCs/>
                      <w:color w:val="auto"/>
                      <w:sz w:val="21"/>
                      <w:szCs w:val="21"/>
                      <w:highlight w:val="none"/>
                    </w:rPr>
                    <w:t>参数</w:t>
                  </w:r>
                </w:p>
              </w:tc>
              <w:tc>
                <w:tcPr>
                  <w:tcW w:w="1490" w:type="pct"/>
                  <w:vAlign w:val="center"/>
                </w:tcPr>
                <w:p w14:paraId="64DFC1B4">
                  <w:pPr>
                    <w:wordWrap w:val="0"/>
                    <w:topLinePunct/>
                    <w:autoSpaceDE w:val="0"/>
                    <w:autoSpaceDN w:val="0"/>
                    <w:spacing w:line="240" w:lineRule="auto"/>
                    <w:jc w:val="center"/>
                    <w:rPr>
                      <w:b/>
                      <w:bCs/>
                      <w:color w:val="auto"/>
                      <w:sz w:val="21"/>
                      <w:szCs w:val="21"/>
                      <w:highlight w:val="none"/>
                    </w:rPr>
                  </w:pPr>
                  <w:r>
                    <w:rPr>
                      <w:b/>
                      <w:bCs/>
                      <w:color w:val="auto"/>
                      <w:sz w:val="21"/>
                      <w:szCs w:val="21"/>
                      <w:highlight w:val="none"/>
                    </w:rPr>
                    <w:t>产污系数</w:t>
                  </w:r>
                </w:p>
              </w:tc>
              <w:tc>
                <w:tcPr>
                  <w:tcW w:w="712" w:type="pct"/>
                  <w:vAlign w:val="center"/>
                </w:tcPr>
                <w:p w14:paraId="688431C7">
                  <w:pPr>
                    <w:wordWrap w:val="0"/>
                    <w:topLinePunct/>
                    <w:autoSpaceDE w:val="0"/>
                    <w:autoSpaceDN w:val="0"/>
                    <w:spacing w:line="240" w:lineRule="auto"/>
                    <w:jc w:val="center"/>
                    <w:rPr>
                      <w:b/>
                      <w:bCs/>
                      <w:color w:val="auto"/>
                      <w:sz w:val="21"/>
                      <w:szCs w:val="21"/>
                      <w:highlight w:val="none"/>
                    </w:rPr>
                  </w:pPr>
                  <w:r>
                    <w:rPr>
                      <w:b/>
                      <w:bCs/>
                      <w:color w:val="auto"/>
                      <w:sz w:val="21"/>
                      <w:szCs w:val="21"/>
                      <w:highlight w:val="none"/>
                    </w:rPr>
                    <w:t>产生量（t/a）</w:t>
                  </w:r>
                </w:p>
              </w:tc>
              <w:tc>
                <w:tcPr>
                  <w:tcW w:w="717" w:type="pct"/>
                  <w:vAlign w:val="center"/>
                </w:tcPr>
                <w:p w14:paraId="593293DE">
                  <w:pPr>
                    <w:wordWrap w:val="0"/>
                    <w:topLinePunct/>
                    <w:autoSpaceDE w:val="0"/>
                    <w:autoSpaceDN w:val="0"/>
                    <w:spacing w:line="240" w:lineRule="auto"/>
                    <w:jc w:val="center"/>
                    <w:rPr>
                      <w:b/>
                      <w:bCs/>
                      <w:color w:val="auto"/>
                      <w:sz w:val="21"/>
                      <w:szCs w:val="21"/>
                      <w:highlight w:val="none"/>
                    </w:rPr>
                  </w:pPr>
                  <w:r>
                    <w:rPr>
                      <w:b/>
                      <w:bCs/>
                      <w:color w:val="auto"/>
                      <w:sz w:val="21"/>
                      <w:szCs w:val="21"/>
                      <w:highlight w:val="none"/>
                    </w:rPr>
                    <w:t>产生速率（kg/h）</w:t>
                  </w:r>
                </w:p>
              </w:tc>
            </w:tr>
            <w:tr w14:paraId="6C63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exact"/>
              </w:trPr>
              <w:tc>
                <w:tcPr>
                  <w:tcW w:w="318" w:type="pct"/>
                  <w:vAlign w:val="center"/>
                </w:tcPr>
                <w:p w14:paraId="676D5628">
                  <w:pPr>
                    <w:numPr>
                      <w:ilvl w:val="0"/>
                      <w:numId w:val="11"/>
                    </w:numPr>
                    <w:wordWrap w:val="0"/>
                    <w:topLinePunct/>
                    <w:autoSpaceDE w:val="0"/>
                    <w:autoSpaceDN w:val="0"/>
                    <w:spacing w:line="240" w:lineRule="auto"/>
                    <w:jc w:val="center"/>
                    <w:rPr>
                      <w:color w:val="auto"/>
                      <w:sz w:val="21"/>
                      <w:szCs w:val="21"/>
                      <w:highlight w:val="none"/>
                    </w:rPr>
                  </w:pPr>
                </w:p>
              </w:tc>
              <w:tc>
                <w:tcPr>
                  <w:tcW w:w="617" w:type="pct"/>
                  <w:vMerge w:val="restart"/>
                  <w:vAlign w:val="center"/>
                </w:tcPr>
                <w:p w14:paraId="6EAA7A2D">
                  <w:pPr>
                    <w:wordWrap w:val="0"/>
                    <w:topLinePunct/>
                    <w:autoSpaceDE w:val="0"/>
                    <w:autoSpaceDN w:val="0"/>
                    <w:spacing w:line="240" w:lineRule="auto"/>
                    <w:jc w:val="center"/>
                    <w:rPr>
                      <w:color w:val="auto"/>
                      <w:sz w:val="21"/>
                      <w:szCs w:val="21"/>
                      <w:highlight w:val="none"/>
                    </w:rPr>
                  </w:pPr>
                  <w:r>
                    <w:rPr>
                      <w:color w:val="auto"/>
                      <w:sz w:val="21"/>
                      <w:szCs w:val="21"/>
                      <w:highlight w:val="none"/>
                    </w:rPr>
                    <w:t>表面预处理烘干烘道</w:t>
                  </w:r>
                </w:p>
              </w:tc>
              <w:tc>
                <w:tcPr>
                  <w:tcW w:w="537" w:type="pct"/>
                  <w:vMerge w:val="restart"/>
                  <w:vAlign w:val="center"/>
                </w:tcPr>
                <w:p w14:paraId="39CC85A0">
                  <w:pPr>
                    <w:widowControl/>
                    <w:spacing w:line="240" w:lineRule="auto"/>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47752</w:t>
                  </w:r>
                </w:p>
              </w:tc>
              <w:tc>
                <w:tcPr>
                  <w:tcW w:w="605" w:type="pct"/>
                  <w:vAlign w:val="center"/>
                </w:tcPr>
                <w:p w14:paraId="59C2E373">
                  <w:pPr>
                    <w:wordWrap w:val="0"/>
                    <w:topLinePunct/>
                    <w:autoSpaceDE w:val="0"/>
                    <w:autoSpaceDN w:val="0"/>
                    <w:spacing w:line="240" w:lineRule="auto"/>
                    <w:jc w:val="center"/>
                    <w:rPr>
                      <w:color w:val="auto"/>
                      <w:sz w:val="21"/>
                      <w:szCs w:val="21"/>
                      <w:highlight w:val="none"/>
                    </w:rPr>
                  </w:pPr>
                  <w:r>
                    <w:rPr>
                      <w:color w:val="auto"/>
                      <w:sz w:val="21"/>
                      <w:szCs w:val="21"/>
                      <w:highlight w:val="none"/>
                    </w:rPr>
                    <w:t>工业废气量</w:t>
                  </w:r>
                </w:p>
              </w:tc>
              <w:tc>
                <w:tcPr>
                  <w:tcW w:w="1490" w:type="pct"/>
                  <w:vAlign w:val="center"/>
                </w:tcPr>
                <w:p w14:paraId="5911B564">
                  <w:pPr>
                    <w:wordWrap w:val="0"/>
                    <w:topLinePunct/>
                    <w:autoSpaceDE w:val="0"/>
                    <w:autoSpaceDN w:val="0"/>
                    <w:spacing w:line="240" w:lineRule="auto"/>
                    <w:jc w:val="center"/>
                    <w:rPr>
                      <w:color w:val="auto"/>
                      <w:sz w:val="21"/>
                      <w:szCs w:val="21"/>
                      <w:highlight w:val="none"/>
                    </w:rPr>
                  </w:pPr>
                  <w:r>
                    <w:rPr>
                      <w:color w:val="auto"/>
                      <w:sz w:val="21"/>
                      <w:szCs w:val="21"/>
                      <w:highlight w:val="none"/>
                    </w:rPr>
                    <w:t>13.6（</w:t>
                  </w:r>
                  <w:r>
                    <w:rPr>
                      <w:rFonts w:hint="eastAsia"/>
                      <w:color w:val="auto"/>
                      <w:sz w:val="21"/>
                      <w:szCs w:val="21"/>
                      <w:highlight w:val="none"/>
                      <w:lang w:val="en-US" w:eastAsia="zh-CN"/>
                    </w:rPr>
                    <w:t>万</w:t>
                  </w:r>
                  <w:r>
                    <w:rPr>
                      <w:color w:val="auto"/>
                      <w:sz w:val="21"/>
                      <w:szCs w:val="21"/>
                      <w:highlight w:val="none"/>
                    </w:rPr>
                    <w:t>Nm</w:t>
                  </w:r>
                  <w:r>
                    <w:rPr>
                      <w:color w:val="auto"/>
                      <w:sz w:val="21"/>
                      <w:szCs w:val="21"/>
                      <w:highlight w:val="none"/>
                      <w:vertAlign w:val="superscript"/>
                    </w:rPr>
                    <w:t>3</w:t>
                  </w:r>
                  <w:r>
                    <w:rPr>
                      <w:color w:val="auto"/>
                      <w:sz w:val="21"/>
                      <w:szCs w:val="21"/>
                      <w:highlight w:val="none"/>
                    </w:rPr>
                    <w:t>/m</w:t>
                  </w:r>
                  <w:r>
                    <w:rPr>
                      <w:color w:val="auto"/>
                      <w:sz w:val="21"/>
                      <w:szCs w:val="21"/>
                      <w:highlight w:val="none"/>
                      <w:vertAlign w:val="superscript"/>
                    </w:rPr>
                    <w:t>3</w:t>
                  </w:r>
                  <w:r>
                    <w:rPr>
                      <w:color w:val="auto"/>
                      <w:sz w:val="21"/>
                      <w:szCs w:val="21"/>
                      <w:highlight w:val="none"/>
                    </w:rPr>
                    <w:t>-燃料）</w:t>
                  </w:r>
                </w:p>
              </w:tc>
              <w:tc>
                <w:tcPr>
                  <w:tcW w:w="1092" w:type="dxa"/>
                  <w:vAlign w:val="center"/>
                </w:tcPr>
                <w:p w14:paraId="6C36B8F0">
                  <w:pPr>
                    <w:keepNext w:val="0"/>
                    <w:keepLines w:val="0"/>
                    <w:widowControl/>
                    <w:suppressLineNumbers w:val="0"/>
                    <w:spacing w:line="240" w:lineRule="auto"/>
                    <w:jc w:val="center"/>
                    <w:textAlignment w:val="center"/>
                    <w:rPr>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64.943</w:t>
                  </w:r>
                  <w:r>
                    <w:rPr>
                      <w:rFonts w:hint="eastAsia" w:ascii="宋体" w:hAnsi="宋体" w:eastAsia="宋体" w:cs="宋体"/>
                      <w:i w:val="0"/>
                      <w:iCs w:val="0"/>
                      <w:color w:val="auto"/>
                      <w:kern w:val="0"/>
                      <w:sz w:val="21"/>
                      <w:szCs w:val="21"/>
                      <w:highlight w:val="none"/>
                      <w:u w:val="none"/>
                      <w:lang w:val="en-US" w:eastAsia="zh-CN" w:bidi="ar"/>
                    </w:rPr>
                    <w:t>万</w:t>
                  </w:r>
                  <w:r>
                    <w:rPr>
                      <w:rFonts w:hint="default" w:ascii="Times New Roman" w:hAnsi="Times New Roman" w:eastAsia="宋体" w:cs="Times New Roman"/>
                      <w:i w:val="0"/>
                      <w:iCs w:val="0"/>
                      <w:color w:val="auto"/>
                      <w:kern w:val="0"/>
                      <w:sz w:val="21"/>
                      <w:szCs w:val="21"/>
                      <w:highlight w:val="none"/>
                      <w:u w:val="none"/>
                      <w:lang w:val="en-US" w:eastAsia="zh-CN" w:bidi="ar"/>
                    </w:rPr>
                    <w:t>Nm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/a</w:t>
                  </w:r>
                </w:p>
              </w:tc>
              <w:tc>
                <w:tcPr>
                  <w:tcW w:w="1106" w:type="dxa"/>
                  <w:vAlign w:val="center"/>
                </w:tcPr>
                <w:p w14:paraId="77F03DBB">
                  <w:pPr>
                    <w:keepNext w:val="0"/>
                    <w:keepLines w:val="0"/>
                    <w:widowControl/>
                    <w:suppressLineNumbers w:val="0"/>
                    <w:spacing w:line="240" w:lineRule="auto"/>
                    <w:jc w:val="center"/>
                    <w:textAlignment w:val="center"/>
                    <w:rPr>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216.5 Nm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/h</w:t>
                  </w:r>
                </w:p>
              </w:tc>
            </w:tr>
            <w:tr w14:paraId="3D1FB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exact"/>
              </w:trPr>
              <w:tc>
                <w:tcPr>
                  <w:tcW w:w="318" w:type="pct"/>
                  <w:vAlign w:val="center"/>
                </w:tcPr>
                <w:p w14:paraId="7AF21CCE">
                  <w:pPr>
                    <w:numPr>
                      <w:ilvl w:val="0"/>
                      <w:numId w:val="11"/>
                    </w:numPr>
                    <w:wordWrap w:val="0"/>
                    <w:topLinePunct/>
                    <w:autoSpaceDE w:val="0"/>
                    <w:autoSpaceDN w:val="0"/>
                    <w:spacing w:line="240" w:lineRule="auto"/>
                    <w:jc w:val="center"/>
                    <w:rPr>
                      <w:color w:val="auto"/>
                      <w:sz w:val="21"/>
                      <w:szCs w:val="21"/>
                      <w:highlight w:val="none"/>
                    </w:rPr>
                  </w:pPr>
                </w:p>
              </w:tc>
              <w:tc>
                <w:tcPr>
                  <w:tcW w:w="617" w:type="pct"/>
                  <w:vMerge w:val="continue"/>
                  <w:vAlign w:val="center"/>
                </w:tcPr>
                <w:p w14:paraId="5B99E986">
                  <w:pPr>
                    <w:wordWrap w:val="0"/>
                    <w:topLinePunct/>
                    <w:autoSpaceDE w:val="0"/>
                    <w:autoSpaceDN w:val="0"/>
                    <w:spacing w:line="240" w:lineRule="auto"/>
                    <w:jc w:val="center"/>
                    <w:rPr>
                      <w:color w:val="auto"/>
                      <w:sz w:val="21"/>
                      <w:szCs w:val="21"/>
                      <w:highlight w:val="none"/>
                    </w:rPr>
                  </w:pPr>
                </w:p>
              </w:tc>
              <w:tc>
                <w:tcPr>
                  <w:tcW w:w="537" w:type="pct"/>
                  <w:vMerge w:val="continue"/>
                  <w:vAlign w:val="center"/>
                </w:tcPr>
                <w:p w14:paraId="3EA02A12">
                  <w:pPr>
                    <w:widowControl/>
                    <w:spacing w:line="240" w:lineRule="auto"/>
                    <w:jc w:val="center"/>
                    <w:textAlignment w:val="center"/>
                    <w:rPr>
                      <w:color w:val="auto"/>
                      <w:sz w:val="21"/>
                      <w:szCs w:val="21"/>
                      <w:highlight w:val="none"/>
                    </w:rPr>
                  </w:pPr>
                </w:p>
              </w:tc>
              <w:tc>
                <w:tcPr>
                  <w:tcW w:w="605" w:type="pct"/>
                  <w:vAlign w:val="center"/>
                </w:tcPr>
                <w:p w14:paraId="224177B8">
                  <w:pPr>
                    <w:wordWrap w:val="0"/>
                    <w:topLinePunct/>
                    <w:autoSpaceDE w:val="0"/>
                    <w:autoSpaceDN w:val="0"/>
                    <w:spacing w:line="240" w:lineRule="auto"/>
                    <w:jc w:val="center"/>
                    <w:rPr>
                      <w:color w:val="auto"/>
                      <w:sz w:val="21"/>
                      <w:szCs w:val="21"/>
                      <w:highlight w:val="none"/>
                    </w:rPr>
                  </w:pPr>
                  <w:r>
                    <w:rPr>
                      <w:color w:val="auto"/>
                      <w:sz w:val="21"/>
                      <w:szCs w:val="21"/>
                      <w:highlight w:val="none"/>
                    </w:rPr>
                    <w:t>SO</w:t>
                  </w:r>
                  <w:r>
                    <w:rPr>
                      <w:color w:val="auto"/>
                      <w:sz w:val="21"/>
                      <w:szCs w:val="21"/>
                      <w:highlight w:val="none"/>
                      <w:vertAlign w:val="subscript"/>
                    </w:rPr>
                    <w:t>2</w:t>
                  </w:r>
                </w:p>
              </w:tc>
              <w:tc>
                <w:tcPr>
                  <w:tcW w:w="1490" w:type="pct"/>
                  <w:vAlign w:val="center"/>
                </w:tcPr>
                <w:p w14:paraId="2D079475">
                  <w:pPr>
                    <w:wordWrap w:val="0"/>
                    <w:topLinePunct/>
                    <w:autoSpaceDE w:val="0"/>
                    <w:autoSpaceDN w:val="0"/>
                    <w:spacing w:line="240" w:lineRule="auto"/>
                    <w:jc w:val="center"/>
                    <w:rPr>
                      <w:color w:val="auto"/>
                      <w:sz w:val="21"/>
                      <w:szCs w:val="21"/>
                      <w:highlight w:val="none"/>
                    </w:rPr>
                  </w:pPr>
                  <w:r>
                    <w:rPr>
                      <w:color w:val="auto"/>
                      <w:sz w:val="21"/>
                      <w:szCs w:val="21"/>
                      <w:highlight w:val="none"/>
                    </w:rPr>
                    <w:t>0.000002S（kg/m</w:t>
                  </w:r>
                  <w:r>
                    <w:rPr>
                      <w:color w:val="auto"/>
                      <w:sz w:val="21"/>
                      <w:szCs w:val="21"/>
                      <w:highlight w:val="none"/>
                      <w:vertAlign w:val="superscript"/>
                    </w:rPr>
                    <w:t>3</w:t>
                  </w:r>
                  <w:r>
                    <w:rPr>
                      <w:color w:val="auto"/>
                      <w:sz w:val="21"/>
                      <w:szCs w:val="21"/>
                      <w:highlight w:val="none"/>
                    </w:rPr>
                    <w:t>-燃料）</w:t>
                  </w:r>
                </w:p>
              </w:tc>
              <w:tc>
                <w:tcPr>
                  <w:tcW w:w="1092" w:type="dxa"/>
                  <w:vAlign w:val="center"/>
                </w:tcPr>
                <w:p w14:paraId="573193BE">
                  <w:pPr>
                    <w:keepNext w:val="0"/>
                    <w:keepLines w:val="0"/>
                    <w:widowControl/>
                    <w:suppressLineNumbers w:val="0"/>
                    <w:jc w:val="center"/>
                    <w:textAlignment w:val="center"/>
                    <w:rPr>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0.0096 </w:t>
                  </w:r>
                </w:p>
              </w:tc>
              <w:tc>
                <w:tcPr>
                  <w:tcW w:w="1106" w:type="dxa"/>
                  <w:vAlign w:val="center"/>
                </w:tcPr>
                <w:p w14:paraId="52E5C150">
                  <w:pPr>
                    <w:keepNext w:val="0"/>
                    <w:keepLines w:val="0"/>
                    <w:widowControl/>
                    <w:suppressLineNumbers w:val="0"/>
                    <w:jc w:val="center"/>
                    <w:textAlignment w:val="center"/>
                    <w:rPr>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0.0032 </w:t>
                  </w:r>
                </w:p>
              </w:tc>
            </w:tr>
            <w:tr w14:paraId="4DCCB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exact"/>
              </w:trPr>
              <w:tc>
                <w:tcPr>
                  <w:tcW w:w="318" w:type="pct"/>
                  <w:vAlign w:val="center"/>
                </w:tcPr>
                <w:p w14:paraId="4BCF49F0">
                  <w:pPr>
                    <w:numPr>
                      <w:ilvl w:val="0"/>
                      <w:numId w:val="11"/>
                    </w:numPr>
                    <w:wordWrap w:val="0"/>
                    <w:topLinePunct/>
                    <w:autoSpaceDE w:val="0"/>
                    <w:autoSpaceDN w:val="0"/>
                    <w:spacing w:line="240" w:lineRule="auto"/>
                    <w:jc w:val="center"/>
                    <w:rPr>
                      <w:color w:val="auto"/>
                      <w:sz w:val="21"/>
                      <w:szCs w:val="21"/>
                      <w:highlight w:val="none"/>
                    </w:rPr>
                  </w:pPr>
                </w:p>
              </w:tc>
              <w:tc>
                <w:tcPr>
                  <w:tcW w:w="617" w:type="pct"/>
                  <w:vMerge w:val="continue"/>
                  <w:vAlign w:val="center"/>
                </w:tcPr>
                <w:p w14:paraId="3EA1A92D">
                  <w:pPr>
                    <w:wordWrap w:val="0"/>
                    <w:topLinePunct/>
                    <w:autoSpaceDE w:val="0"/>
                    <w:autoSpaceDN w:val="0"/>
                    <w:spacing w:line="240" w:lineRule="auto"/>
                    <w:jc w:val="center"/>
                    <w:rPr>
                      <w:color w:val="auto"/>
                      <w:sz w:val="21"/>
                      <w:szCs w:val="21"/>
                      <w:highlight w:val="none"/>
                    </w:rPr>
                  </w:pPr>
                </w:p>
              </w:tc>
              <w:tc>
                <w:tcPr>
                  <w:tcW w:w="537" w:type="pct"/>
                  <w:vMerge w:val="continue"/>
                  <w:vAlign w:val="center"/>
                </w:tcPr>
                <w:p w14:paraId="5F567178">
                  <w:pPr>
                    <w:widowControl/>
                    <w:spacing w:line="240" w:lineRule="auto"/>
                    <w:jc w:val="center"/>
                    <w:textAlignment w:val="center"/>
                    <w:rPr>
                      <w:color w:val="auto"/>
                      <w:sz w:val="21"/>
                      <w:szCs w:val="21"/>
                      <w:highlight w:val="none"/>
                    </w:rPr>
                  </w:pPr>
                </w:p>
              </w:tc>
              <w:tc>
                <w:tcPr>
                  <w:tcW w:w="605" w:type="pct"/>
                  <w:vAlign w:val="center"/>
                </w:tcPr>
                <w:p w14:paraId="4AED024B">
                  <w:pPr>
                    <w:wordWrap w:val="0"/>
                    <w:topLinePunct/>
                    <w:autoSpaceDE w:val="0"/>
                    <w:autoSpaceDN w:val="0"/>
                    <w:spacing w:line="240" w:lineRule="auto"/>
                    <w:jc w:val="center"/>
                    <w:rPr>
                      <w:color w:val="auto"/>
                      <w:sz w:val="21"/>
                      <w:szCs w:val="21"/>
                      <w:highlight w:val="none"/>
                    </w:rPr>
                  </w:pPr>
                  <w:r>
                    <w:rPr>
                      <w:color w:val="auto"/>
                      <w:sz w:val="21"/>
                      <w:szCs w:val="21"/>
                      <w:highlight w:val="none"/>
                    </w:rPr>
                    <w:t>NO</w:t>
                  </w:r>
                  <w:r>
                    <w:rPr>
                      <w:color w:val="auto"/>
                      <w:sz w:val="21"/>
                      <w:szCs w:val="21"/>
                      <w:highlight w:val="none"/>
                      <w:vertAlign w:val="subscript"/>
                    </w:rPr>
                    <w:t>2</w:t>
                  </w:r>
                </w:p>
              </w:tc>
              <w:tc>
                <w:tcPr>
                  <w:tcW w:w="1490" w:type="pct"/>
                  <w:vAlign w:val="center"/>
                </w:tcPr>
                <w:p w14:paraId="4C91B1E0">
                  <w:pPr>
                    <w:wordWrap w:val="0"/>
                    <w:topLinePunct/>
                    <w:autoSpaceDE w:val="0"/>
                    <w:autoSpaceDN w:val="0"/>
                    <w:spacing w:line="240" w:lineRule="auto"/>
                    <w:jc w:val="center"/>
                    <w:rPr>
                      <w:color w:val="auto"/>
                      <w:sz w:val="21"/>
                      <w:szCs w:val="21"/>
                      <w:highlight w:val="none"/>
                    </w:rPr>
                  </w:pPr>
                  <w:r>
                    <w:rPr>
                      <w:color w:val="auto"/>
                      <w:sz w:val="21"/>
                      <w:szCs w:val="21"/>
                      <w:highlight w:val="none"/>
                    </w:rPr>
                    <w:t>0.00187（kg/m</w:t>
                  </w:r>
                  <w:r>
                    <w:rPr>
                      <w:color w:val="auto"/>
                      <w:sz w:val="21"/>
                      <w:szCs w:val="21"/>
                      <w:highlight w:val="none"/>
                      <w:vertAlign w:val="superscript"/>
                    </w:rPr>
                    <w:t>3</w:t>
                  </w:r>
                  <w:r>
                    <w:rPr>
                      <w:color w:val="auto"/>
                      <w:sz w:val="21"/>
                      <w:szCs w:val="21"/>
                      <w:highlight w:val="none"/>
                    </w:rPr>
                    <w:t>-燃料）</w:t>
                  </w:r>
                </w:p>
              </w:tc>
              <w:tc>
                <w:tcPr>
                  <w:tcW w:w="1092" w:type="dxa"/>
                  <w:vAlign w:val="center"/>
                </w:tcPr>
                <w:p w14:paraId="7ABAF90B">
                  <w:pPr>
                    <w:keepNext w:val="0"/>
                    <w:keepLines w:val="0"/>
                    <w:widowControl/>
                    <w:suppressLineNumbers w:val="0"/>
                    <w:jc w:val="center"/>
                    <w:textAlignment w:val="center"/>
                    <w:rPr>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0.0893 </w:t>
                  </w:r>
                </w:p>
              </w:tc>
              <w:tc>
                <w:tcPr>
                  <w:tcW w:w="1106" w:type="dxa"/>
                  <w:vAlign w:val="center"/>
                </w:tcPr>
                <w:p w14:paraId="33F74B67">
                  <w:pPr>
                    <w:keepNext w:val="0"/>
                    <w:keepLines w:val="0"/>
                    <w:widowControl/>
                    <w:suppressLineNumbers w:val="0"/>
                    <w:jc w:val="center"/>
                    <w:textAlignment w:val="center"/>
                    <w:rPr>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0.0298 </w:t>
                  </w:r>
                </w:p>
              </w:tc>
            </w:tr>
            <w:tr w14:paraId="15A7A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exact"/>
              </w:trPr>
              <w:tc>
                <w:tcPr>
                  <w:tcW w:w="318" w:type="pct"/>
                  <w:vAlign w:val="center"/>
                </w:tcPr>
                <w:p w14:paraId="5A8472A4">
                  <w:pPr>
                    <w:numPr>
                      <w:ilvl w:val="0"/>
                      <w:numId w:val="11"/>
                    </w:numPr>
                    <w:wordWrap w:val="0"/>
                    <w:topLinePunct/>
                    <w:autoSpaceDE w:val="0"/>
                    <w:autoSpaceDN w:val="0"/>
                    <w:spacing w:line="240" w:lineRule="auto"/>
                    <w:jc w:val="center"/>
                    <w:rPr>
                      <w:color w:val="auto"/>
                      <w:sz w:val="21"/>
                      <w:szCs w:val="21"/>
                      <w:highlight w:val="none"/>
                    </w:rPr>
                  </w:pPr>
                </w:p>
              </w:tc>
              <w:tc>
                <w:tcPr>
                  <w:tcW w:w="617" w:type="pct"/>
                  <w:vMerge w:val="continue"/>
                  <w:vAlign w:val="center"/>
                </w:tcPr>
                <w:p w14:paraId="381DB716">
                  <w:pPr>
                    <w:wordWrap w:val="0"/>
                    <w:topLinePunct/>
                    <w:autoSpaceDE w:val="0"/>
                    <w:autoSpaceDN w:val="0"/>
                    <w:spacing w:line="240" w:lineRule="auto"/>
                    <w:jc w:val="center"/>
                    <w:rPr>
                      <w:color w:val="auto"/>
                      <w:sz w:val="21"/>
                      <w:szCs w:val="21"/>
                      <w:highlight w:val="none"/>
                    </w:rPr>
                  </w:pPr>
                </w:p>
              </w:tc>
              <w:tc>
                <w:tcPr>
                  <w:tcW w:w="537" w:type="pct"/>
                  <w:vMerge w:val="continue"/>
                  <w:vAlign w:val="center"/>
                </w:tcPr>
                <w:p w14:paraId="30701301">
                  <w:pPr>
                    <w:widowControl/>
                    <w:spacing w:line="240" w:lineRule="auto"/>
                    <w:jc w:val="center"/>
                    <w:textAlignment w:val="center"/>
                    <w:rPr>
                      <w:color w:val="auto"/>
                      <w:sz w:val="21"/>
                      <w:szCs w:val="21"/>
                      <w:highlight w:val="none"/>
                    </w:rPr>
                  </w:pPr>
                </w:p>
              </w:tc>
              <w:tc>
                <w:tcPr>
                  <w:tcW w:w="605" w:type="pct"/>
                  <w:vAlign w:val="center"/>
                </w:tcPr>
                <w:p w14:paraId="5B5FFF24">
                  <w:pPr>
                    <w:wordWrap w:val="0"/>
                    <w:topLinePunct/>
                    <w:autoSpaceDE w:val="0"/>
                    <w:autoSpaceDN w:val="0"/>
                    <w:spacing w:line="240" w:lineRule="auto"/>
                    <w:jc w:val="center"/>
                    <w:rPr>
                      <w:color w:val="auto"/>
                      <w:sz w:val="21"/>
                      <w:szCs w:val="21"/>
                      <w:highlight w:val="none"/>
                    </w:rPr>
                  </w:pPr>
                  <w:r>
                    <w:rPr>
                      <w:color w:val="auto"/>
                      <w:sz w:val="21"/>
                      <w:szCs w:val="21"/>
                      <w:highlight w:val="none"/>
                    </w:rPr>
                    <w:t>烟尘</w:t>
                  </w:r>
                </w:p>
              </w:tc>
              <w:tc>
                <w:tcPr>
                  <w:tcW w:w="1490" w:type="pct"/>
                  <w:vAlign w:val="center"/>
                </w:tcPr>
                <w:p w14:paraId="164EC1DD">
                  <w:pPr>
                    <w:wordWrap w:val="0"/>
                    <w:topLinePunct/>
                    <w:autoSpaceDE w:val="0"/>
                    <w:autoSpaceDN w:val="0"/>
                    <w:spacing w:line="240" w:lineRule="auto"/>
                    <w:jc w:val="center"/>
                    <w:rPr>
                      <w:color w:val="auto"/>
                      <w:sz w:val="21"/>
                      <w:szCs w:val="21"/>
                      <w:highlight w:val="none"/>
                    </w:rPr>
                  </w:pPr>
                  <w:r>
                    <w:rPr>
                      <w:color w:val="auto"/>
                      <w:sz w:val="21"/>
                      <w:szCs w:val="21"/>
                      <w:highlight w:val="none"/>
                    </w:rPr>
                    <w:t>0.000286（kg/m</w:t>
                  </w:r>
                  <w:r>
                    <w:rPr>
                      <w:color w:val="auto"/>
                      <w:sz w:val="21"/>
                      <w:szCs w:val="21"/>
                      <w:highlight w:val="none"/>
                      <w:vertAlign w:val="superscript"/>
                    </w:rPr>
                    <w:t>3</w:t>
                  </w:r>
                  <w:r>
                    <w:rPr>
                      <w:color w:val="auto"/>
                      <w:sz w:val="21"/>
                      <w:szCs w:val="21"/>
                      <w:highlight w:val="none"/>
                    </w:rPr>
                    <w:t>-燃料）</w:t>
                  </w:r>
                </w:p>
              </w:tc>
              <w:tc>
                <w:tcPr>
                  <w:tcW w:w="1092" w:type="dxa"/>
                  <w:vAlign w:val="center"/>
                </w:tcPr>
                <w:p w14:paraId="55D95806">
                  <w:pPr>
                    <w:keepNext w:val="0"/>
                    <w:keepLines w:val="0"/>
                    <w:widowControl/>
                    <w:suppressLineNumbers w:val="0"/>
                    <w:jc w:val="center"/>
                    <w:textAlignment w:val="center"/>
                    <w:rPr>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0.0137 </w:t>
                  </w:r>
                </w:p>
              </w:tc>
              <w:tc>
                <w:tcPr>
                  <w:tcW w:w="1106" w:type="dxa"/>
                  <w:vAlign w:val="center"/>
                </w:tcPr>
                <w:p w14:paraId="72E9B5EA">
                  <w:pPr>
                    <w:keepNext w:val="0"/>
                    <w:keepLines w:val="0"/>
                    <w:widowControl/>
                    <w:suppressLineNumbers w:val="0"/>
                    <w:jc w:val="center"/>
                    <w:textAlignment w:val="center"/>
                    <w:rPr>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0.0046 </w:t>
                  </w:r>
                </w:p>
              </w:tc>
            </w:tr>
            <w:tr w14:paraId="72FB1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exact"/>
              </w:trPr>
              <w:tc>
                <w:tcPr>
                  <w:tcW w:w="318" w:type="pct"/>
                  <w:vAlign w:val="center"/>
                </w:tcPr>
                <w:p w14:paraId="70810442">
                  <w:pPr>
                    <w:numPr>
                      <w:ilvl w:val="0"/>
                      <w:numId w:val="11"/>
                    </w:numPr>
                    <w:wordWrap w:val="0"/>
                    <w:topLinePunct/>
                    <w:autoSpaceDE w:val="0"/>
                    <w:autoSpaceDN w:val="0"/>
                    <w:spacing w:line="240" w:lineRule="auto"/>
                    <w:jc w:val="center"/>
                    <w:rPr>
                      <w:color w:val="auto"/>
                      <w:sz w:val="21"/>
                      <w:szCs w:val="21"/>
                      <w:highlight w:val="none"/>
                    </w:rPr>
                  </w:pPr>
                </w:p>
              </w:tc>
              <w:tc>
                <w:tcPr>
                  <w:tcW w:w="617" w:type="pct"/>
                  <w:vMerge w:val="restart"/>
                  <w:vAlign w:val="center"/>
                </w:tcPr>
                <w:p w14:paraId="2FAE90E5">
                  <w:pPr>
                    <w:wordWrap w:val="0"/>
                    <w:topLinePunct/>
                    <w:autoSpaceDE w:val="0"/>
                    <w:autoSpaceDN w:val="0"/>
                    <w:spacing w:line="240" w:lineRule="auto"/>
                    <w:jc w:val="center"/>
                    <w:rPr>
                      <w:color w:val="auto"/>
                      <w:sz w:val="21"/>
                      <w:szCs w:val="21"/>
                      <w:highlight w:val="none"/>
                    </w:rPr>
                  </w:pPr>
                  <w:r>
                    <w:rPr>
                      <w:color w:val="auto"/>
                      <w:sz w:val="21"/>
                      <w:szCs w:val="21"/>
                      <w:highlight w:val="none"/>
                    </w:rPr>
                    <w:t>喷粉/喷漆烘干固化</w:t>
                  </w:r>
                </w:p>
              </w:tc>
              <w:tc>
                <w:tcPr>
                  <w:tcW w:w="537" w:type="pct"/>
                  <w:vMerge w:val="restart"/>
                  <w:vAlign w:val="center"/>
                </w:tcPr>
                <w:p w14:paraId="5FCF7549">
                  <w:pPr>
                    <w:widowControl/>
                    <w:spacing w:line="240" w:lineRule="auto"/>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152248</w:t>
                  </w:r>
                </w:p>
              </w:tc>
              <w:tc>
                <w:tcPr>
                  <w:tcW w:w="605" w:type="pct"/>
                  <w:vAlign w:val="center"/>
                </w:tcPr>
                <w:p w14:paraId="2610CD0C">
                  <w:pPr>
                    <w:wordWrap w:val="0"/>
                    <w:topLinePunct/>
                    <w:autoSpaceDE w:val="0"/>
                    <w:autoSpaceDN w:val="0"/>
                    <w:spacing w:line="240" w:lineRule="auto"/>
                    <w:jc w:val="center"/>
                    <w:rPr>
                      <w:color w:val="auto"/>
                      <w:sz w:val="21"/>
                      <w:szCs w:val="21"/>
                      <w:highlight w:val="none"/>
                    </w:rPr>
                  </w:pPr>
                  <w:r>
                    <w:rPr>
                      <w:color w:val="auto"/>
                      <w:sz w:val="21"/>
                      <w:szCs w:val="21"/>
                      <w:highlight w:val="none"/>
                    </w:rPr>
                    <w:t>工业废气量</w:t>
                  </w:r>
                </w:p>
              </w:tc>
              <w:tc>
                <w:tcPr>
                  <w:tcW w:w="1490" w:type="pct"/>
                  <w:vAlign w:val="center"/>
                </w:tcPr>
                <w:p w14:paraId="4AF334BB">
                  <w:pPr>
                    <w:wordWrap w:val="0"/>
                    <w:topLinePunct/>
                    <w:autoSpaceDE w:val="0"/>
                    <w:autoSpaceDN w:val="0"/>
                    <w:spacing w:line="240" w:lineRule="auto"/>
                    <w:jc w:val="center"/>
                    <w:rPr>
                      <w:color w:val="auto"/>
                      <w:sz w:val="21"/>
                      <w:szCs w:val="21"/>
                      <w:highlight w:val="none"/>
                    </w:rPr>
                  </w:pPr>
                  <w:r>
                    <w:rPr>
                      <w:color w:val="auto"/>
                      <w:sz w:val="21"/>
                      <w:szCs w:val="21"/>
                      <w:highlight w:val="none"/>
                    </w:rPr>
                    <w:t>13.6（Nm</w:t>
                  </w:r>
                  <w:r>
                    <w:rPr>
                      <w:color w:val="auto"/>
                      <w:sz w:val="21"/>
                      <w:szCs w:val="21"/>
                      <w:highlight w:val="none"/>
                      <w:vertAlign w:val="superscript"/>
                    </w:rPr>
                    <w:t>3</w:t>
                  </w:r>
                  <w:r>
                    <w:rPr>
                      <w:color w:val="auto"/>
                      <w:sz w:val="21"/>
                      <w:szCs w:val="21"/>
                      <w:highlight w:val="none"/>
                    </w:rPr>
                    <w:t>/m</w:t>
                  </w:r>
                  <w:r>
                    <w:rPr>
                      <w:color w:val="auto"/>
                      <w:sz w:val="21"/>
                      <w:szCs w:val="21"/>
                      <w:highlight w:val="none"/>
                      <w:vertAlign w:val="superscript"/>
                    </w:rPr>
                    <w:t>3</w:t>
                  </w:r>
                  <w:r>
                    <w:rPr>
                      <w:color w:val="auto"/>
                      <w:sz w:val="21"/>
                      <w:szCs w:val="21"/>
                      <w:highlight w:val="none"/>
                    </w:rPr>
                    <w:t>-燃料）</w:t>
                  </w:r>
                </w:p>
              </w:tc>
              <w:tc>
                <w:tcPr>
                  <w:tcW w:w="1092" w:type="dxa"/>
                  <w:vAlign w:val="center"/>
                </w:tcPr>
                <w:p w14:paraId="0BDE6438">
                  <w:pPr>
                    <w:keepNext w:val="0"/>
                    <w:keepLines w:val="0"/>
                    <w:widowControl/>
                    <w:suppressLineNumbers w:val="0"/>
                    <w:spacing w:line="240" w:lineRule="auto"/>
                    <w:jc w:val="center"/>
                    <w:textAlignment w:val="center"/>
                    <w:rPr>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207.057</w:t>
                  </w:r>
                  <w:r>
                    <w:rPr>
                      <w:rFonts w:hint="eastAsia" w:ascii="宋体" w:hAnsi="宋体" w:eastAsia="宋体" w:cs="宋体"/>
                      <w:i w:val="0"/>
                      <w:iCs w:val="0"/>
                      <w:color w:val="auto"/>
                      <w:kern w:val="0"/>
                      <w:sz w:val="21"/>
                      <w:szCs w:val="21"/>
                      <w:highlight w:val="none"/>
                      <w:u w:val="none"/>
                      <w:lang w:val="en-US" w:eastAsia="zh-CN" w:bidi="ar"/>
                    </w:rPr>
                    <w:t>万</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Nm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/a</w:t>
                  </w:r>
                </w:p>
              </w:tc>
              <w:tc>
                <w:tcPr>
                  <w:tcW w:w="1106" w:type="dxa"/>
                  <w:vAlign w:val="center"/>
                </w:tcPr>
                <w:p w14:paraId="6F7B1872">
                  <w:pPr>
                    <w:keepNext w:val="0"/>
                    <w:keepLines w:val="0"/>
                    <w:widowControl/>
                    <w:suppressLineNumbers w:val="0"/>
                    <w:spacing w:line="240" w:lineRule="auto"/>
                    <w:jc w:val="center"/>
                    <w:textAlignment w:val="center"/>
                    <w:rPr>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690.2 Nm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/h</w:t>
                  </w:r>
                </w:p>
              </w:tc>
            </w:tr>
            <w:tr w14:paraId="47436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trPr>
              <w:tc>
                <w:tcPr>
                  <w:tcW w:w="318" w:type="pct"/>
                  <w:vAlign w:val="center"/>
                </w:tcPr>
                <w:p w14:paraId="0F1DEFDF">
                  <w:pPr>
                    <w:numPr>
                      <w:ilvl w:val="0"/>
                      <w:numId w:val="11"/>
                    </w:numPr>
                    <w:wordWrap w:val="0"/>
                    <w:topLinePunct/>
                    <w:autoSpaceDE w:val="0"/>
                    <w:autoSpaceDN w:val="0"/>
                    <w:spacing w:line="240" w:lineRule="auto"/>
                    <w:jc w:val="center"/>
                    <w:rPr>
                      <w:color w:val="auto"/>
                      <w:sz w:val="21"/>
                      <w:szCs w:val="21"/>
                      <w:highlight w:val="none"/>
                    </w:rPr>
                  </w:pPr>
                </w:p>
              </w:tc>
              <w:tc>
                <w:tcPr>
                  <w:tcW w:w="617" w:type="pct"/>
                  <w:vMerge w:val="continue"/>
                  <w:vAlign w:val="center"/>
                </w:tcPr>
                <w:p w14:paraId="2F751DC9">
                  <w:pPr>
                    <w:wordWrap w:val="0"/>
                    <w:topLinePunct/>
                    <w:autoSpaceDE w:val="0"/>
                    <w:autoSpaceDN w:val="0"/>
                    <w:spacing w:line="240" w:lineRule="auto"/>
                    <w:jc w:val="center"/>
                    <w:rPr>
                      <w:color w:val="auto"/>
                      <w:sz w:val="21"/>
                      <w:szCs w:val="21"/>
                      <w:highlight w:val="none"/>
                    </w:rPr>
                  </w:pPr>
                </w:p>
              </w:tc>
              <w:tc>
                <w:tcPr>
                  <w:tcW w:w="537" w:type="pct"/>
                  <w:vMerge w:val="continue"/>
                  <w:vAlign w:val="center"/>
                </w:tcPr>
                <w:p w14:paraId="4BF297BB">
                  <w:pPr>
                    <w:widowControl/>
                    <w:spacing w:line="240" w:lineRule="auto"/>
                    <w:jc w:val="center"/>
                    <w:textAlignment w:val="center"/>
                    <w:rPr>
                      <w:color w:val="auto"/>
                      <w:sz w:val="21"/>
                      <w:szCs w:val="21"/>
                      <w:highlight w:val="none"/>
                    </w:rPr>
                  </w:pPr>
                </w:p>
              </w:tc>
              <w:tc>
                <w:tcPr>
                  <w:tcW w:w="605" w:type="pct"/>
                  <w:vAlign w:val="center"/>
                </w:tcPr>
                <w:p w14:paraId="0FD1E8D0">
                  <w:pPr>
                    <w:wordWrap w:val="0"/>
                    <w:topLinePunct/>
                    <w:autoSpaceDE w:val="0"/>
                    <w:autoSpaceDN w:val="0"/>
                    <w:spacing w:line="240" w:lineRule="auto"/>
                    <w:jc w:val="center"/>
                    <w:rPr>
                      <w:color w:val="auto"/>
                      <w:sz w:val="21"/>
                      <w:szCs w:val="21"/>
                      <w:highlight w:val="none"/>
                    </w:rPr>
                  </w:pPr>
                  <w:r>
                    <w:rPr>
                      <w:color w:val="auto"/>
                      <w:sz w:val="21"/>
                      <w:szCs w:val="21"/>
                      <w:highlight w:val="none"/>
                    </w:rPr>
                    <w:t>SO</w:t>
                  </w:r>
                  <w:r>
                    <w:rPr>
                      <w:color w:val="auto"/>
                      <w:sz w:val="21"/>
                      <w:szCs w:val="21"/>
                      <w:highlight w:val="none"/>
                      <w:vertAlign w:val="subscript"/>
                    </w:rPr>
                    <w:t>2</w:t>
                  </w:r>
                </w:p>
              </w:tc>
              <w:tc>
                <w:tcPr>
                  <w:tcW w:w="1490" w:type="pct"/>
                  <w:vAlign w:val="center"/>
                </w:tcPr>
                <w:p w14:paraId="428DC05B">
                  <w:pPr>
                    <w:wordWrap w:val="0"/>
                    <w:topLinePunct/>
                    <w:autoSpaceDE w:val="0"/>
                    <w:autoSpaceDN w:val="0"/>
                    <w:spacing w:line="240" w:lineRule="auto"/>
                    <w:jc w:val="center"/>
                    <w:rPr>
                      <w:color w:val="auto"/>
                      <w:sz w:val="21"/>
                      <w:szCs w:val="21"/>
                      <w:highlight w:val="none"/>
                    </w:rPr>
                  </w:pPr>
                  <w:r>
                    <w:rPr>
                      <w:color w:val="auto"/>
                      <w:sz w:val="21"/>
                      <w:szCs w:val="21"/>
                      <w:highlight w:val="none"/>
                    </w:rPr>
                    <w:t>0.000002S（kg/m</w:t>
                  </w:r>
                  <w:r>
                    <w:rPr>
                      <w:color w:val="auto"/>
                      <w:sz w:val="21"/>
                      <w:szCs w:val="21"/>
                      <w:highlight w:val="none"/>
                      <w:vertAlign w:val="superscript"/>
                    </w:rPr>
                    <w:t>3</w:t>
                  </w:r>
                  <w:r>
                    <w:rPr>
                      <w:color w:val="auto"/>
                      <w:sz w:val="21"/>
                      <w:szCs w:val="21"/>
                      <w:highlight w:val="none"/>
                    </w:rPr>
                    <w:t>-燃料）</w:t>
                  </w:r>
                </w:p>
              </w:tc>
              <w:tc>
                <w:tcPr>
                  <w:tcW w:w="1092" w:type="dxa"/>
                  <w:vAlign w:val="center"/>
                </w:tcPr>
                <w:p w14:paraId="4AC41222">
                  <w:pPr>
                    <w:keepNext w:val="0"/>
                    <w:keepLines w:val="0"/>
                    <w:widowControl/>
                    <w:suppressLineNumbers w:val="0"/>
                    <w:jc w:val="center"/>
                    <w:textAlignment w:val="center"/>
                    <w:rPr>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0.0304 </w:t>
                  </w:r>
                </w:p>
              </w:tc>
              <w:tc>
                <w:tcPr>
                  <w:tcW w:w="1106" w:type="dxa"/>
                  <w:vAlign w:val="center"/>
                </w:tcPr>
                <w:p w14:paraId="03F2E90E">
                  <w:pPr>
                    <w:keepNext w:val="0"/>
                    <w:keepLines w:val="0"/>
                    <w:widowControl/>
                    <w:suppressLineNumbers w:val="0"/>
                    <w:jc w:val="center"/>
                    <w:textAlignment w:val="center"/>
                    <w:rPr>
                      <w:rFonts w:hint="default"/>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0.0101 </w:t>
                  </w:r>
                </w:p>
              </w:tc>
            </w:tr>
            <w:tr w14:paraId="61780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exact"/>
              </w:trPr>
              <w:tc>
                <w:tcPr>
                  <w:tcW w:w="318" w:type="pct"/>
                  <w:vAlign w:val="center"/>
                </w:tcPr>
                <w:p w14:paraId="55A74C1E">
                  <w:pPr>
                    <w:numPr>
                      <w:ilvl w:val="0"/>
                      <w:numId w:val="11"/>
                    </w:numPr>
                    <w:wordWrap w:val="0"/>
                    <w:topLinePunct/>
                    <w:autoSpaceDE w:val="0"/>
                    <w:autoSpaceDN w:val="0"/>
                    <w:spacing w:line="240" w:lineRule="auto"/>
                    <w:jc w:val="center"/>
                    <w:rPr>
                      <w:color w:val="auto"/>
                      <w:sz w:val="21"/>
                      <w:szCs w:val="21"/>
                      <w:highlight w:val="none"/>
                    </w:rPr>
                  </w:pPr>
                </w:p>
              </w:tc>
              <w:tc>
                <w:tcPr>
                  <w:tcW w:w="617" w:type="pct"/>
                  <w:vMerge w:val="continue"/>
                  <w:vAlign w:val="center"/>
                </w:tcPr>
                <w:p w14:paraId="63CF8B82">
                  <w:pPr>
                    <w:wordWrap w:val="0"/>
                    <w:topLinePunct/>
                    <w:autoSpaceDE w:val="0"/>
                    <w:autoSpaceDN w:val="0"/>
                    <w:spacing w:line="240" w:lineRule="auto"/>
                    <w:jc w:val="center"/>
                    <w:rPr>
                      <w:color w:val="auto"/>
                      <w:sz w:val="21"/>
                      <w:szCs w:val="21"/>
                      <w:highlight w:val="none"/>
                    </w:rPr>
                  </w:pPr>
                </w:p>
              </w:tc>
              <w:tc>
                <w:tcPr>
                  <w:tcW w:w="537" w:type="pct"/>
                  <w:vMerge w:val="continue"/>
                  <w:vAlign w:val="center"/>
                </w:tcPr>
                <w:p w14:paraId="1AA2325B">
                  <w:pPr>
                    <w:widowControl/>
                    <w:spacing w:line="240" w:lineRule="auto"/>
                    <w:jc w:val="center"/>
                    <w:textAlignment w:val="center"/>
                    <w:rPr>
                      <w:color w:val="auto"/>
                      <w:sz w:val="21"/>
                      <w:szCs w:val="21"/>
                      <w:highlight w:val="none"/>
                    </w:rPr>
                  </w:pPr>
                </w:p>
              </w:tc>
              <w:tc>
                <w:tcPr>
                  <w:tcW w:w="605" w:type="pct"/>
                  <w:vAlign w:val="center"/>
                </w:tcPr>
                <w:p w14:paraId="33E28755">
                  <w:pPr>
                    <w:wordWrap w:val="0"/>
                    <w:topLinePunct/>
                    <w:autoSpaceDE w:val="0"/>
                    <w:autoSpaceDN w:val="0"/>
                    <w:spacing w:line="240" w:lineRule="auto"/>
                    <w:jc w:val="center"/>
                    <w:rPr>
                      <w:color w:val="auto"/>
                      <w:sz w:val="21"/>
                      <w:szCs w:val="21"/>
                      <w:highlight w:val="none"/>
                    </w:rPr>
                  </w:pPr>
                  <w:r>
                    <w:rPr>
                      <w:color w:val="auto"/>
                      <w:sz w:val="21"/>
                      <w:szCs w:val="21"/>
                      <w:highlight w:val="none"/>
                    </w:rPr>
                    <w:t>NO</w:t>
                  </w:r>
                  <w:r>
                    <w:rPr>
                      <w:color w:val="auto"/>
                      <w:sz w:val="21"/>
                      <w:szCs w:val="21"/>
                      <w:highlight w:val="none"/>
                      <w:vertAlign w:val="subscript"/>
                    </w:rPr>
                    <w:t>2</w:t>
                  </w:r>
                </w:p>
              </w:tc>
              <w:tc>
                <w:tcPr>
                  <w:tcW w:w="1490" w:type="pct"/>
                  <w:vAlign w:val="center"/>
                </w:tcPr>
                <w:p w14:paraId="5719A461">
                  <w:pPr>
                    <w:wordWrap w:val="0"/>
                    <w:topLinePunct/>
                    <w:autoSpaceDE w:val="0"/>
                    <w:autoSpaceDN w:val="0"/>
                    <w:spacing w:line="240" w:lineRule="auto"/>
                    <w:jc w:val="center"/>
                    <w:rPr>
                      <w:color w:val="auto"/>
                      <w:sz w:val="21"/>
                      <w:szCs w:val="21"/>
                      <w:highlight w:val="none"/>
                    </w:rPr>
                  </w:pPr>
                  <w:r>
                    <w:rPr>
                      <w:color w:val="auto"/>
                      <w:sz w:val="21"/>
                      <w:szCs w:val="21"/>
                      <w:highlight w:val="none"/>
                    </w:rPr>
                    <w:t>0.00187（kg/m</w:t>
                  </w:r>
                  <w:r>
                    <w:rPr>
                      <w:color w:val="auto"/>
                      <w:sz w:val="21"/>
                      <w:szCs w:val="21"/>
                      <w:highlight w:val="none"/>
                      <w:vertAlign w:val="superscript"/>
                    </w:rPr>
                    <w:t>3</w:t>
                  </w:r>
                  <w:r>
                    <w:rPr>
                      <w:color w:val="auto"/>
                      <w:sz w:val="21"/>
                      <w:szCs w:val="21"/>
                      <w:highlight w:val="none"/>
                    </w:rPr>
                    <w:t>-燃料）</w:t>
                  </w:r>
                </w:p>
              </w:tc>
              <w:tc>
                <w:tcPr>
                  <w:tcW w:w="1092" w:type="dxa"/>
                  <w:vAlign w:val="center"/>
                </w:tcPr>
                <w:p w14:paraId="77409FE1">
                  <w:pPr>
                    <w:keepNext w:val="0"/>
                    <w:keepLines w:val="0"/>
                    <w:widowControl/>
                    <w:suppressLineNumbers w:val="0"/>
                    <w:jc w:val="center"/>
                    <w:textAlignment w:val="center"/>
                    <w:rPr>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0.2847 </w:t>
                  </w:r>
                </w:p>
              </w:tc>
              <w:tc>
                <w:tcPr>
                  <w:tcW w:w="1106" w:type="dxa"/>
                  <w:vAlign w:val="center"/>
                </w:tcPr>
                <w:p w14:paraId="330E2703">
                  <w:pPr>
                    <w:keepNext w:val="0"/>
                    <w:keepLines w:val="0"/>
                    <w:widowControl/>
                    <w:suppressLineNumbers w:val="0"/>
                    <w:jc w:val="center"/>
                    <w:textAlignment w:val="center"/>
                    <w:rPr>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0.0949 </w:t>
                  </w:r>
                </w:p>
              </w:tc>
            </w:tr>
            <w:tr w14:paraId="14E47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trPr>
              <w:tc>
                <w:tcPr>
                  <w:tcW w:w="318" w:type="pct"/>
                  <w:vAlign w:val="center"/>
                </w:tcPr>
                <w:p w14:paraId="1E0C229E">
                  <w:pPr>
                    <w:numPr>
                      <w:ilvl w:val="0"/>
                      <w:numId w:val="11"/>
                    </w:numPr>
                    <w:wordWrap w:val="0"/>
                    <w:topLinePunct/>
                    <w:autoSpaceDE w:val="0"/>
                    <w:autoSpaceDN w:val="0"/>
                    <w:spacing w:line="240" w:lineRule="auto"/>
                    <w:jc w:val="center"/>
                    <w:rPr>
                      <w:color w:val="auto"/>
                      <w:sz w:val="21"/>
                      <w:szCs w:val="21"/>
                      <w:highlight w:val="none"/>
                    </w:rPr>
                  </w:pPr>
                </w:p>
              </w:tc>
              <w:tc>
                <w:tcPr>
                  <w:tcW w:w="617" w:type="pct"/>
                  <w:vMerge w:val="continue"/>
                  <w:vAlign w:val="center"/>
                </w:tcPr>
                <w:p w14:paraId="58FF3706">
                  <w:pPr>
                    <w:wordWrap w:val="0"/>
                    <w:topLinePunct/>
                    <w:autoSpaceDE w:val="0"/>
                    <w:autoSpaceDN w:val="0"/>
                    <w:spacing w:line="240" w:lineRule="auto"/>
                    <w:jc w:val="center"/>
                    <w:rPr>
                      <w:color w:val="auto"/>
                      <w:sz w:val="21"/>
                      <w:szCs w:val="21"/>
                      <w:highlight w:val="none"/>
                    </w:rPr>
                  </w:pPr>
                </w:p>
              </w:tc>
              <w:tc>
                <w:tcPr>
                  <w:tcW w:w="537" w:type="pct"/>
                  <w:vMerge w:val="continue"/>
                  <w:vAlign w:val="center"/>
                </w:tcPr>
                <w:p w14:paraId="2AC7E96C">
                  <w:pPr>
                    <w:widowControl/>
                    <w:spacing w:line="240" w:lineRule="auto"/>
                    <w:jc w:val="center"/>
                    <w:textAlignment w:val="center"/>
                    <w:rPr>
                      <w:color w:val="auto"/>
                      <w:sz w:val="21"/>
                      <w:szCs w:val="21"/>
                      <w:highlight w:val="none"/>
                    </w:rPr>
                  </w:pPr>
                </w:p>
              </w:tc>
              <w:tc>
                <w:tcPr>
                  <w:tcW w:w="605" w:type="pct"/>
                  <w:vAlign w:val="center"/>
                </w:tcPr>
                <w:p w14:paraId="2EB0D0C4">
                  <w:pPr>
                    <w:wordWrap w:val="0"/>
                    <w:topLinePunct/>
                    <w:autoSpaceDE w:val="0"/>
                    <w:autoSpaceDN w:val="0"/>
                    <w:spacing w:line="240" w:lineRule="auto"/>
                    <w:jc w:val="center"/>
                    <w:rPr>
                      <w:color w:val="auto"/>
                      <w:sz w:val="21"/>
                      <w:szCs w:val="21"/>
                      <w:highlight w:val="none"/>
                    </w:rPr>
                  </w:pPr>
                  <w:r>
                    <w:rPr>
                      <w:color w:val="auto"/>
                      <w:sz w:val="21"/>
                      <w:szCs w:val="21"/>
                      <w:highlight w:val="none"/>
                    </w:rPr>
                    <w:t>烟尘</w:t>
                  </w:r>
                </w:p>
              </w:tc>
              <w:tc>
                <w:tcPr>
                  <w:tcW w:w="1490" w:type="pct"/>
                  <w:vAlign w:val="center"/>
                </w:tcPr>
                <w:p w14:paraId="6F57B5EC">
                  <w:pPr>
                    <w:wordWrap w:val="0"/>
                    <w:topLinePunct/>
                    <w:autoSpaceDE w:val="0"/>
                    <w:autoSpaceDN w:val="0"/>
                    <w:spacing w:line="240" w:lineRule="auto"/>
                    <w:jc w:val="center"/>
                    <w:rPr>
                      <w:color w:val="auto"/>
                      <w:sz w:val="21"/>
                      <w:szCs w:val="21"/>
                      <w:highlight w:val="none"/>
                    </w:rPr>
                  </w:pPr>
                  <w:r>
                    <w:rPr>
                      <w:color w:val="auto"/>
                      <w:sz w:val="21"/>
                      <w:szCs w:val="21"/>
                      <w:highlight w:val="none"/>
                    </w:rPr>
                    <w:t>0.000286（kg/m</w:t>
                  </w:r>
                  <w:r>
                    <w:rPr>
                      <w:color w:val="auto"/>
                      <w:sz w:val="21"/>
                      <w:szCs w:val="21"/>
                      <w:highlight w:val="none"/>
                      <w:vertAlign w:val="superscript"/>
                    </w:rPr>
                    <w:t>3</w:t>
                  </w:r>
                  <w:r>
                    <w:rPr>
                      <w:color w:val="auto"/>
                      <w:sz w:val="21"/>
                      <w:szCs w:val="21"/>
                      <w:highlight w:val="none"/>
                    </w:rPr>
                    <w:t>-燃料）</w:t>
                  </w:r>
                </w:p>
              </w:tc>
              <w:tc>
                <w:tcPr>
                  <w:tcW w:w="1092" w:type="dxa"/>
                  <w:vAlign w:val="center"/>
                </w:tcPr>
                <w:p w14:paraId="5E0F3E27">
                  <w:pPr>
                    <w:keepNext w:val="0"/>
                    <w:keepLines w:val="0"/>
                    <w:widowControl/>
                    <w:suppressLineNumbers w:val="0"/>
                    <w:jc w:val="center"/>
                    <w:textAlignment w:val="center"/>
                    <w:rPr>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0.0435 </w:t>
                  </w:r>
                </w:p>
              </w:tc>
              <w:tc>
                <w:tcPr>
                  <w:tcW w:w="1106" w:type="dxa"/>
                  <w:vAlign w:val="center"/>
                </w:tcPr>
                <w:p w14:paraId="774D00A2">
                  <w:pPr>
                    <w:keepNext w:val="0"/>
                    <w:keepLines w:val="0"/>
                    <w:widowControl/>
                    <w:suppressLineNumbers w:val="0"/>
                    <w:jc w:val="center"/>
                    <w:textAlignment w:val="center"/>
                    <w:rPr>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0.0145 </w:t>
                  </w:r>
                </w:p>
              </w:tc>
            </w:tr>
            <w:tr w14:paraId="08694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exact"/>
              </w:trPr>
              <w:tc>
                <w:tcPr>
                  <w:tcW w:w="318" w:type="pct"/>
                  <w:vAlign w:val="center"/>
                </w:tcPr>
                <w:p w14:paraId="34C53787">
                  <w:pPr>
                    <w:numPr>
                      <w:ilvl w:val="0"/>
                      <w:numId w:val="11"/>
                    </w:numPr>
                    <w:wordWrap w:val="0"/>
                    <w:topLinePunct/>
                    <w:autoSpaceDE w:val="0"/>
                    <w:autoSpaceDN w:val="0"/>
                    <w:spacing w:line="240" w:lineRule="auto"/>
                    <w:jc w:val="center"/>
                    <w:rPr>
                      <w:color w:val="auto"/>
                      <w:sz w:val="21"/>
                      <w:szCs w:val="21"/>
                      <w:highlight w:val="none"/>
                    </w:rPr>
                  </w:pPr>
                </w:p>
              </w:tc>
              <w:tc>
                <w:tcPr>
                  <w:tcW w:w="617" w:type="pct"/>
                  <w:vMerge w:val="restart"/>
                  <w:vAlign w:val="center"/>
                </w:tcPr>
                <w:p w14:paraId="2DB0F727">
                  <w:pPr>
                    <w:wordWrap w:val="0"/>
                    <w:topLinePunct/>
                    <w:autoSpaceDE w:val="0"/>
                    <w:autoSpaceDN w:val="0"/>
                    <w:spacing w:line="240" w:lineRule="auto"/>
                    <w:jc w:val="center"/>
                    <w:rPr>
                      <w:color w:val="auto"/>
                      <w:sz w:val="21"/>
                      <w:szCs w:val="21"/>
                      <w:highlight w:val="none"/>
                    </w:rPr>
                  </w:pPr>
                  <w:r>
                    <w:rPr>
                      <w:color w:val="auto"/>
                      <w:sz w:val="21"/>
                      <w:szCs w:val="21"/>
                      <w:highlight w:val="none"/>
                    </w:rPr>
                    <w:t>合计</w:t>
                  </w:r>
                </w:p>
              </w:tc>
              <w:tc>
                <w:tcPr>
                  <w:tcW w:w="537" w:type="pct"/>
                  <w:vMerge w:val="restart"/>
                  <w:vAlign w:val="center"/>
                </w:tcPr>
                <w:p w14:paraId="6620FA17">
                  <w:pPr>
                    <w:widowControl/>
                    <w:spacing w:line="240" w:lineRule="auto"/>
                    <w:jc w:val="center"/>
                    <w:textAlignment w:val="center"/>
                    <w:rPr>
                      <w:color w:val="auto"/>
                      <w:sz w:val="21"/>
                      <w:szCs w:val="21"/>
                      <w:highlight w:val="none"/>
                    </w:rPr>
                  </w:pPr>
                  <w:r>
                    <w:rPr>
                      <w:rFonts w:hint="eastAsia"/>
                      <w:color w:val="auto"/>
                      <w:sz w:val="21"/>
                      <w:szCs w:val="21"/>
                      <w:highlight w:val="none"/>
                      <w:lang w:val="en-US" w:eastAsia="zh-CN"/>
                    </w:rPr>
                    <w:t>20</w:t>
                  </w:r>
                  <w:r>
                    <w:rPr>
                      <w:color w:val="auto"/>
                      <w:sz w:val="21"/>
                      <w:szCs w:val="21"/>
                      <w:highlight w:val="none"/>
                    </w:rPr>
                    <w:t>万</w:t>
                  </w:r>
                </w:p>
              </w:tc>
              <w:tc>
                <w:tcPr>
                  <w:tcW w:w="605" w:type="pct"/>
                  <w:vAlign w:val="center"/>
                </w:tcPr>
                <w:p w14:paraId="301A637D">
                  <w:pPr>
                    <w:wordWrap w:val="0"/>
                    <w:topLinePunct/>
                    <w:autoSpaceDE w:val="0"/>
                    <w:autoSpaceDN w:val="0"/>
                    <w:spacing w:line="240" w:lineRule="auto"/>
                    <w:jc w:val="center"/>
                    <w:rPr>
                      <w:color w:val="auto"/>
                      <w:sz w:val="21"/>
                      <w:szCs w:val="21"/>
                      <w:highlight w:val="none"/>
                    </w:rPr>
                  </w:pPr>
                  <w:r>
                    <w:rPr>
                      <w:color w:val="auto"/>
                      <w:sz w:val="21"/>
                      <w:szCs w:val="21"/>
                      <w:highlight w:val="none"/>
                    </w:rPr>
                    <w:t>SO</w:t>
                  </w:r>
                  <w:r>
                    <w:rPr>
                      <w:color w:val="auto"/>
                      <w:sz w:val="21"/>
                      <w:szCs w:val="21"/>
                      <w:highlight w:val="none"/>
                      <w:vertAlign w:val="subscript"/>
                    </w:rPr>
                    <w:t>2</w:t>
                  </w:r>
                </w:p>
              </w:tc>
              <w:tc>
                <w:tcPr>
                  <w:tcW w:w="1490" w:type="pct"/>
                  <w:vAlign w:val="center"/>
                </w:tcPr>
                <w:p w14:paraId="68C07560">
                  <w:pPr>
                    <w:wordWrap w:val="0"/>
                    <w:topLinePunct/>
                    <w:autoSpaceDE w:val="0"/>
                    <w:autoSpaceDN w:val="0"/>
                    <w:spacing w:line="240" w:lineRule="auto"/>
                    <w:jc w:val="center"/>
                    <w:rPr>
                      <w:color w:val="auto"/>
                      <w:sz w:val="21"/>
                      <w:szCs w:val="21"/>
                      <w:highlight w:val="none"/>
                    </w:rPr>
                  </w:pPr>
                  <w:r>
                    <w:rPr>
                      <w:color w:val="auto"/>
                      <w:sz w:val="21"/>
                      <w:szCs w:val="21"/>
                      <w:highlight w:val="none"/>
                    </w:rPr>
                    <w:t>/</w:t>
                  </w:r>
                </w:p>
              </w:tc>
              <w:tc>
                <w:tcPr>
                  <w:tcW w:w="1092" w:type="dxa"/>
                  <w:vAlign w:val="center"/>
                </w:tcPr>
                <w:p w14:paraId="67E0993E">
                  <w:pPr>
                    <w:keepNext w:val="0"/>
                    <w:keepLines w:val="0"/>
                    <w:widowControl/>
                    <w:suppressLineNumbers w:val="0"/>
                    <w:jc w:val="center"/>
                    <w:textAlignment w:val="center"/>
                    <w:rPr>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0.040 </w:t>
                  </w:r>
                </w:p>
              </w:tc>
              <w:tc>
                <w:tcPr>
                  <w:tcW w:w="1106" w:type="dxa"/>
                  <w:vAlign w:val="center"/>
                </w:tcPr>
                <w:p w14:paraId="46B767D3">
                  <w:pPr>
                    <w:keepNext w:val="0"/>
                    <w:keepLines w:val="0"/>
                    <w:widowControl/>
                    <w:suppressLineNumbers w:val="0"/>
                    <w:jc w:val="center"/>
                    <w:textAlignment w:val="center"/>
                    <w:rPr>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0.013 </w:t>
                  </w:r>
                </w:p>
              </w:tc>
            </w:tr>
            <w:tr w14:paraId="3DFC4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exact"/>
              </w:trPr>
              <w:tc>
                <w:tcPr>
                  <w:tcW w:w="318" w:type="pct"/>
                  <w:vAlign w:val="center"/>
                </w:tcPr>
                <w:p w14:paraId="6581656A">
                  <w:pPr>
                    <w:numPr>
                      <w:ilvl w:val="0"/>
                      <w:numId w:val="11"/>
                    </w:numPr>
                    <w:wordWrap w:val="0"/>
                    <w:topLinePunct/>
                    <w:autoSpaceDE w:val="0"/>
                    <w:autoSpaceDN w:val="0"/>
                    <w:spacing w:line="240" w:lineRule="auto"/>
                    <w:jc w:val="center"/>
                    <w:rPr>
                      <w:color w:val="auto"/>
                      <w:sz w:val="21"/>
                      <w:szCs w:val="21"/>
                      <w:highlight w:val="none"/>
                    </w:rPr>
                  </w:pPr>
                </w:p>
              </w:tc>
              <w:tc>
                <w:tcPr>
                  <w:tcW w:w="617" w:type="pct"/>
                  <w:vMerge w:val="continue"/>
                  <w:vAlign w:val="center"/>
                </w:tcPr>
                <w:p w14:paraId="3D385F7C">
                  <w:pPr>
                    <w:wordWrap w:val="0"/>
                    <w:topLinePunct/>
                    <w:autoSpaceDE w:val="0"/>
                    <w:autoSpaceDN w:val="0"/>
                    <w:spacing w:line="240" w:lineRule="auto"/>
                    <w:jc w:val="center"/>
                    <w:rPr>
                      <w:color w:val="auto"/>
                      <w:sz w:val="21"/>
                      <w:szCs w:val="21"/>
                      <w:highlight w:val="none"/>
                    </w:rPr>
                  </w:pPr>
                </w:p>
              </w:tc>
              <w:tc>
                <w:tcPr>
                  <w:tcW w:w="537" w:type="pct"/>
                  <w:vMerge w:val="continue"/>
                  <w:vAlign w:val="center"/>
                </w:tcPr>
                <w:p w14:paraId="63453E27">
                  <w:pPr>
                    <w:wordWrap w:val="0"/>
                    <w:topLinePunct/>
                    <w:autoSpaceDE w:val="0"/>
                    <w:autoSpaceDN w:val="0"/>
                    <w:spacing w:line="240" w:lineRule="auto"/>
                    <w:jc w:val="center"/>
                    <w:rPr>
                      <w:color w:val="auto"/>
                      <w:sz w:val="21"/>
                      <w:szCs w:val="21"/>
                      <w:highlight w:val="none"/>
                    </w:rPr>
                  </w:pPr>
                </w:p>
              </w:tc>
              <w:tc>
                <w:tcPr>
                  <w:tcW w:w="605" w:type="pct"/>
                  <w:vAlign w:val="center"/>
                </w:tcPr>
                <w:p w14:paraId="6EDC5615">
                  <w:pPr>
                    <w:wordWrap w:val="0"/>
                    <w:topLinePunct/>
                    <w:autoSpaceDE w:val="0"/>
                    <w:autoSpaceDN w:val="0"/>
                    <w:spacing w:line="240" w:lineRule="auto"/>
                    <w:jc w:val="center"/>
                    <w:rPr>
                      <w:color w:val="auto"/>
                      <w:sz w:val="21"/>
                      <w:szCs w:val="21"/>
                      <w:highlight w:val="none"/>
                    </w:rPr>
                  </w:pPr>
                  <w:r>
                    <w:rPr>
                      <w:color w:val="auto"/>
                      <w:sz w:val="21"/>
                      <w:szCs w:val="21"/>
                      <w:highlight w:val="none"/>
                    </w:rPr>
                    <w:t>NO</w:t>
                  </w:r>
                  <w:r>
                    <w:rPr>
                      <w:color w:val="auto"/>
                      <w:sz w:val="21"/>
                      <w:szCs w:val="21"/>
                      <w:highlight w:val="none"/>
                      <w:vertAlign w:val="subscript"/>
                    </w:rPr>
                    <w:t>2</w:t>
                  </w:r>
                </w:p>
              </w:tc>
              <w:tc>
                <w:tcPr>
                  <w:tcW w:w="1490" w:type="pct"/>
                  <w:vAlign w:val="center"/>
                </w:tcPr>
                <w:p w14:paraId="11B941C6">
                  <w:pPr>
                    <w:wordWrap w:val="0"/>
                    <w:topLinePunct/>
                    <w:autoSpaceDE w:val="0"/>
                    <w:autoSpaceDN w:val="0"/>
                    <w:spacing w:line="240" w:lineRule="auto"/>
                    <w:jc w:val="center"/>
                    <w:rPr>
                      <w:color w:val="auto"/>
                      <w:sz w:val="21"/>
                      <w:szCs w:val="21"/>
                      <w:highlight w:val="none"/>
                    </w:rPr>
                  </w:pPr>
                  <w:r>
                    <w:rPr>
                      <w:color w:val="auto"/>
                      <w:sz w:val="21"/>
                      <w:szCs w:val="21"/>
                      <w:highlight w:val="none"/>
                    </w:rPr>
                    <w:t>/</w:t>
                  </w:r>
                </w:p>
              </w:tc>
              <w:tc>
                <w:tcPr>
                  <w:tcW w:w="1092" w:type="dxa"/>
                  <w:vAlign w:val="center"/>
                </w:tcPr>
                <w:p w14:paraId="446186C5">
                  <w:pPr>
                    <w:keepNext w:val="0"/>
                    <w:keepLines w:val="0"/>
                    <w:widowControl/>
                    <w:suppressLineNumbers w:val="0"/>
                    <w:jc w:val="center"/>
                    <w:textAlignment w:val="center"/>
                    <w:rPr>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0.374 </w:t>
                  </w:r>
                </w:p>
              </w:tc>
              <w:tc>
                <w:tcPr>
                  <w:tcW w:w="1106" w:type="dxa"/>
                  <w:vAlign w:val="center"/>
                </w:tcPr>
                <w:p w14:paraId="742F9B1E">
                  <w:pPr>
                    <w:keepNext w:val="0"/>
                    <w:keepLines w:val="0"/>
                    <w:widowControl/>
                    <w:suppressLineNumbers w:val="0"/>
                    <w:jc w:val="center"/>
                    <w:textAlignment w:val="center"/>
                    <w:rPr>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0.125 </w:t>
                  </w:r>
                </w:p>
              </w:tc>
            </w:tr>
            <w:tr w14:paraId="1D8AC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exact"/>
              </w:trPr>
              <w:tc>
                <w:tcPr>
                  <w:tcW w:w="318" w:type="pct"/>
                  <w:vAlign w:val="center"/>
                </w:tcPr>
                <w:p w14:paraId="5B028344">
                  <w:pPr>
                    <w:numPr>
                      <w:ilvl w:val="0"/>
                      <w:numId w:val="11"/>
                    </w:numPr>
                    <w:wordWrap w:val="0"/>
                    <w:topLinePunct/>
                    <w:autoSpaceDE w:val="0"/>
                    <w:autoSpaceDN w:val="0"/>
                    <w:spacing w:line="240" w:lineRule="auto"/>
                    <w:jc w:val="center"/>
                    <w:rPr>
                      <w:color w:val="auto"/>
                      <w:sz w:val="21"/>
                      <w:szCs w:val="21"/>
                      <w:highlight w:val="none"/>
                    </w:rPr>
                  </w:pPr>
                </w:p>
              </w:tc>
              <w:tc>
                <w:tcPr>
                  <w:tcW w:w="617" w:type="pct"/>
                  <w:vMerge w:val="continue"/>
                  <w:vAlign w:val="center"/>
                </w:tcPr>
                <w:p w14:paraId="40B02BFD">
                  <w:pPr>
                    <w:wordWrap w:val="0"/>
                    <w:topLinePunct/>
                    <w:autoSpaceDE w:val="0"/>
                    <w:autoSpaceDN w:val="0"/>
                    <w:spacing w:line="240" w:lineRule="auto"/>
                    <w:jc w:val="center"/>
                    <w:rPr>
                      <w:color w:val="auto"/>
                      <w:sz w:val="21"/>
                      <w:szCs w:val="21"/>
                      <w:highlight w:val="none"/>
                    </w:rPr>
                  </w:pPr>
                </w:p>
              </w:tc>
              <w:tc>
                <w:tcPr>
                  <w:tcW w:w="537" w:type="pct"/>
                  <w:vMerge w:val="continue"/>
                  <w:vAlign w:val="center"/>
                </w:tcPr>
                <w:p w14:paraId="3C446A75">
                  <w:pPr>
                    <w:wordWrap w:val="0"/>
                    <w:topLinePunct/>
                    <w:autoSpaceDE w:val="0"/>
                    <w:autoSpaceDN w:val="0"/>
                    <w:spacing w:line="240" w:lineRule="auto"/>
                    <w:jc w:val="center"/>
                    <w:rPr>
                      <w:color w:val="auto"/>
                      <w:sz w:val="21"/>
                      <w:szCs w:val="21"/>
                      <w:highlight w:val="none"/>
                    </w:rPr>
                  </w:pPr>
                </w:p>
              </w:tc>
              <w:tc>
                <w:tcPr>
                  <w:tcW w:w="605" w:type="pct"/>
                  <w:vAlign w:val="center"/>
                </w:tcPr>
                <w:p w14:paraId="6F88960E">
                  <w:pPr>
                    <w:wordWrap w:val="0"/>
                    <w:topLinePunct/>
                    <w:autoSpaceDE w:val="0"/>
                    <w:autoSpaceDN w:val="0"/>
                    <w:spacing w:line="240" w:lineRule="auto"/>
                    <w:jc w:val="center"/>
                    <w:rPr>
                      <w:color w:val="auto"/>
                      <w:sz w:val="21"/>
                      <w:szCs w:val="21"/>
                      <w:highlight w:val="none"/>
                    </w:rPr>
                  </w:pPr>
                  <w:r>
                    <w:rPr>
                      <w:color w:val="auto"/>
                      <w:sz w:val="21"/>
                      <w:szCs w:val="21"/>
                      <w:highlight w:val="none"/>
                    </w:rPr>
                    <w:t>烟尘</w:t>
                  </w:r>
                </w:p>
              </w:tc>
              <w:tc>
                <w:tcPr>
                  <w:tcW w:w="1490" w:type="pct"/>
                  <w:vAlign w:val="center"/>
                </w:tcPr>
                <w:p w14:paraId="65427DE8">
                  <w:pPr>
                    <w:wordWrap w:val="0"/>
                    <w:topLinePunct/>
                    <w:autoSpaceDE w:val="0"/>
                    <w:autoSpaceDN w:val="0"/>
                    <w:spacing w:line="240" w:lineRule="auto"/>
                    <w:jc w:val="center"/>
                    <w:rPr>
                      <w:color w:val="auto"/>
                      <w:sz w:val="21"/>
                      <w:szCs w:val="21"/>
                      <w:highlight w:val="none"/>
                    </w:rPr>
                  </w:pPr>
                  <w:r>
                    <w:rPr>
                      <w:color w:val="auto"/>
                      <w:sz w:val="21"/>
                      <w:szCs w:val="21"/>
                      <w:highlight w:val="none"/>
                    </w:rPr>
                    <w:t>/</w:t>
                  </w:r>
                </w:p>
              </w:tc>
              <w:tc>
                <w:tcPr>
                  <w:tcW w:w="1092" w:type="dxa"/>
                  <w:vAlign w:val="center"/>
                </w:tcPr>
                <w:p w14:paraId="1854F968">
                  <w:pPr>
                    <w:keepNext w:val="0"/>
                    <w:keepLines w:val="0"/>
                    <w:widowControl/>
                    <w:suppressLineNumbers w:val="0"/>
                    <w:jc w:val="center"/>
                    <w:textAlignment w:val="center"/>
                    <w:rPr>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0.057 </w:t>
                  </w:r>
                </w:p>
              </w:tc>
              <w:tc>
                <w:tcPr>
                  <w:tcW w:w="1106" w:type="dxa"/>
                  <w:vAlign w:val="center"/>
                </w:tcPr>
                <w:p w14:paraId="1BC58500">
                  <w:pPr>
                    <w:keepNext w:val="0"/>
                    <w:keepLines w:val="0"/>
                    <w:widowControl/>
                    <w:suppressLineNumbers w:val="0"/>
                    <w:jc w:val="center"/>
                    <w:textAlignment w:val="center"/>
                    <w:rPr>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0.019 </w:t>
                  </w:r>
                </w:p>
              </w:tc>
            </w:tr>
            <w:tr w14:paraId="343D6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trPr>
              <w:tc>
                <w:tcPr>
                  <w:tcW w:w="5000" w:type="pct"/>
                  <w:gridSpan w:val="7"/>
                  <w:vAlign w:val="center"/>
                </w:tcPr>
                <w:p w14:paraId="25C9A244">
                  <w:pPr>
                    <w:widowControl/>
                    <w:spacing w:line="240" w:lineRule="auto"/>
                    <w:jc w:val="left"/>
                    <w:textAlignment w:val="center"/>
                    <w:rPr>
                      <w:color w:val="auto"/>
                      <w:sz w:val="21"/>
                      <w:szCs w:val="21"/>
                      <w:highlight w:val="none"/>
                    </w:rPr>
                  </w:pPr>
                  <w:r>
                    <w:rPr>
                      <w:color w:val="auto"/>
                      <w:sz w:val="21"/>
                      <w:szCs w:val="21"/>
                      <w:highlight w:val="none"/>
                    </w:rPr>
                    <w:t>注：</w:t>
                  </w:r>
                  <w:r>
                    <w:rPr>
                      <w:rFonts w:hint="eastAsia" w:ascii="宋体" w:hAnsi="宋体" w:cs="宋体"/>
                      <w:color w:val="auto"/>
                      <w:sz w:val="21"/>
                      <w:szCs w:val="21"/>
                      <w:highlight w:val="none"/>
                    </w:rPr>
                    <w:t>①</w:t>
                  </w:r>
                  <w:r>
                    <w:rPr>
                      <w:color w:val="auto"/>
                      <w:sz w:val="21"/>
                      <w:szCs w:val="21"/>
                      <w:highlight w:val="none"/>
                    </w:rPr>
                    <w:t>SO</w:t>
                  </w:r>
                  <w:r>
                    <w:rPr>
                      <w:color w:val="auto"/>
                      <w:sz w:val="21"/>
                      <w:szCs w:val="21"/>
                      <w:highlight w:val="none"/>
                      <w:vertAlign w:val="subscript"/>
                    </w:rPr>
                    <w:t>2</w:t>
                  </w:r>
                  <w:r>
                    <w:rPr>
                      <w:color w:val="auto"/>
                      <w:sz w:val="21"/>
                      <w:szCs w:val="21"/>
                      <w:highlight w:val="none"/>
                    </w:rPr>
                    <w:t>的产生系数为0.000002S，其中S为燃料中的含硫量，根据《天然气》（GB17820-2018）中的二类标准含S量最高不超100mg/m</w:t>
                  </w:r>
                  <w:r>
                    <w:rPr>
                      <w:color w:val="auto"/>
                      <w:sz w:val="21"/>
                      <w:szCs w:val="21"/>
                      <w:highlight w:val="none"/>
                      <w:vertAlign w:val="superscript"/>
                    </w:rPr>
                    <w:t>3</w:t>
                  </w:r>
                  <w:r>
                    <w:rPr>
                      <w:color w:val="auto"/>
                      <w:sz w:val="21"/>
                      <w:szCs w:val="21"/>
                      <w:highlight w:val="none"/>
                    </w:rPr>
                    <w:t>计算，即S取100；</w:t>
                  </w:r>
                </w:p>
              </w:tc>
            </w:tr>
          </w:tbl>
          <w:p w14:paraId="475AD199">
            <w:pPr>
              <w:keepNext w:val="0"/>
              <w:keepLines w:val="0"/>
              <w:pageBreakBefore w:val="0"/>
              <w:widowControl w:val="0"/>
              <w:kinsoku/>
              <w:wordWrap/>
              <w:overflowPunct/>
              <w:topLinePunct w:val="0"/>
              <w:autoSpaceDE/>
              <w:autoSpaceDN/>
              <w:bidi w:val="0"/>
              <w:adjustRightInd/>
              <w:snapToGrid/>
              <w:spacing w:line="100" w:lineRule="exact"/>
              <w:ind w:firstLine="480" w:firstLineChars="200"/>
              <w:jc w:val="both"/>
              <w:textAlignment w:val="auto"/>
              <w:rPr>
                <w:rFonts w:hint="default" w:ascii="Times New Roman" w:hAnsi="Times New Roman" w:eastAsia="宋体" w:cs="Times New Roman"/>
                <w:b/>
                <w:bCs/>
                <w:color w:val="auto"/>
                <w:sz w:val="24"/>
                <w:szCs w:val="24"/>
                <w:highlight w:val="none"/>
                <w:lang w:val="en-US" w:eastAsia="zh-CN"/>
              </w:rPr>
            </w:pPr>
          </w:p>
          <w:p w14:paraId="3616BE8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烘水炉燃烧机燃烧天然气产生的热烟气，经烘水通道首尾两端设置的集气罩收集，与烘水通道设置的直连排风管一并引至15m高排气筒</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DA00</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高空排放。</w:t>
            </w:r>
          </w:p>
          <w:p w14:paraId="66BEC51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根据建设项目提供环保工程资料，</w:t>
            </w:r>
            <w:r>
              <w:rPr>
                <w:rFonts w:hint="default" w:ascii="Times New Roman" w:hAnsi="Times New Roman" w:cs="Times New Roman"/>
                <w:color w:val="auto"/>
                <w:sz w:val="24"/>
                <w:highlight w:val="none"/>
                <w:lang w:val="en-US" w:eastAsia="zh-CN"/>
              </w:rPr>
              <w:t>烘水通道</w:t>
            </w:r>
            <w:r>
              <w:rPr>
                <w:rFonts w:hint="default" w:ascii="Times New Roman" w:hAnsi="Times New Roman" w:cs="Times New Roman"/>
                <w:color w:val="auto"/>
                <w:sz w:val="24"/>
                <w:highlight w:val="none"/>
              </w:rPr>
              <w:t>集气罩尺寸配置及风量计算如下表所示。</w:t>
            </w:r>
          </w:p>
          <w:p w14:paraId="38943203">
            <w:pPr>
              <w:keepNext w:val="0"/>
              <w:keepLines w:val="0"/>
              <w:widowControl/>
              <w:numPr>
                <w:ilvl w:val="0"/>
                <w:numId w:val="10"/>
              </w:numPr>
              <w:suppressLineNumbers w:val="0"/>
              <w:spacing w:before="0" w:beforeAutospacing="0" w:after="0" w:afterAutospacing="0" w:line="240" w:lineRule="auto"/>
              <w:ind w:left="0" w:leftChars="0" w:right="0" w:hanging="1"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天然气燃烧</w:t>
            </w:r>
            <w:r>
              <w:rPr>
                <w:rFonts w:hint="default" w:ascii="Times New Roman" w:hAnsi="Times New Roman" w:eastAsia="宋体" w:cs="Times New Roman"/>
                <w:b/>
                <w:bCs/>
                <w:color w:val="auto"/>
                <w:sz w:val="21"/>
                <w:szCs w:val="21"/>
                <w:highlight w:val="none"/>
              </w:rPr>
              <w:t>废气集气罩风量一览表</w:t>
            </w:r>
          </w:p>
          <w:tbl>
            <w:tblPr>
              <w:tblStyle w:val="43"/>
              <w:tblW w:w="798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55"/>
              <w:gridCol w:w="1056"/>
              <w:gridCol w:w="500"/>
              <w:gridCol w:w="667"/>
              <w:gridCol w:w="636"/>
              <w:gridCol w:w="862"/>
              <w:gridCol w:w="834"/>
              <w:gridCol w:w="834"/>
              <w:gridCol w:w="427"/>
              <w:gridCol w:w="913"/>
            </w:tblGrid>
            <w:tr w14:paraId="367BD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722" w:type="pct"/>
                  <w:vMerge w:val="restart"/>
                  <w:tcBorders>
                    <w:top w:val="single" w:color="000000" w:sz="4" w:space="0"/>
                    <w:left w:val="single" w:color="000000" w:sz="4" w:space="0"/>
                    <w:bottom w:val="single" w:color="000000" w:sz="4" w:space="0"/>
                    <w:right w:val="single" w:color="000000" w:sz="4" w:space="0"/>
                  </w:tcBorders>
                  <w:vAlign w:val="center"/>
                </w:tcPr>
                <w:p w14:paraId="751840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产污类别</w:t>
                  </w:r>
                </w:p>
              </w:tc>
              <w:tc>
                <w:tcPr>
                  <w:tcW w:w="412" w:type="pct"/>
                  <w:vMerge w:val="restart"/>
                  <w:tcBorders>
                    <w:top w:val="single" w:color="000000" w:sz="4" w:space="0"/>
                    <w:left w:val="single" w:color="000000" w:sz="4" w:space="0"/>
                    <w:bottom w:val="single" w:color="000000" w:sz="4" w:space="0"/>
                    <w:right w:val="single" w:color="000000" w:sz="4" w:space="0"/>
                  </w:tcBorders>
                  <w:vAlign w:val="center"/>
                </w:tcPr>
                <w:p w14:paraId="13400F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产污设备</w:t>
                  </w:r>
                </w:p>
              </w:tc>
              <w:tc>
                <w:tcPr>
                  <w:tcW w:w="392" w:type="pct"/>
                  <w:vMerge w:val="restart"/>
                  <w:tcBorders>
                    <w:top w:val="single" w:color="000000" w:sz="4" w:space="0"/>
                    <w:left w:val="single" w:color="000000" w:sz="4" w:space="0"/>
                    <w:bottom w:val="single" w:color="000000" w:sz="4" w:space="0"/>
                    <w:right w:val="single" w:color="000000" w:sz="4" w:space="0"/>
                  </w:tcBorders>
                  <w:vAlign w:val="center"/>
                </w:tcPr>
                <w:p w14:paraId="7CC850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设备数量</w:t>
                  </w:r>
                </w:p>
              </w:tc>
              <w:tc>
                <w:tcPr>
                  <w:tcW w:w="1878" w:type="pct"/>
                  <w:gridSpan w:val="4"/>
                  <w:tcBorders>
                    <w:top w:val="single" w:color="000000" w:sz="4" w:space="0"/>
                    <w:left w:val="single" w:color="000000" w:sz="4" w:space="0"/>
                    <w:bottom w:val="single" w:color="000000" w:sz="4" w:space="0"/>
                    <w:right w:val="single" w:color="000000" w:sz="4" w:space="0"/>
                  </w:tcBorders>
                  <w:vAlign w:val="center"/>
                </w:tcPr>
                <w:p w14:paraId="08D8A6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集气罩参数</w:t>
                  </w:r>
                </w:p>
              </w:tc>
              <w:tc>
                <w:tcPr>
                  <w:tcW w:w="522" w:type="pct"/>
                  <w:vMerge w:val="restart"/>
                  <w:tcBorders>
                    <w:top w:val="single" w:color="000000" w:sz="4" w:space="0"/>
                    <w:left w:val="single" w:color="000000" w:sz="4" w:space="0"/>
                    <w:bottom w:val="single" w:color="000000" w:sz="4" w:space="0"/>
                    <w:right w:val="single" w:color="000000" w:sz="4" w:space="0"/>
                  </w:tcBorders>
                  <w:vAlign w:val="center"/>
                </w:tcPr>
                <w:p w14:paraId="07E7EF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单个集气罩风量m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rPr>
                    <w:t>3</w:t>
                  </w:r>
                  <w:r>
                    <w:rPr>
                      <w:rFonts w:hint="default" w:ascii="Times New Roman" w:hAnsi="Times New Roman" w:eastAsia="宋体" w:cs="Times New Roman"/>
                      <w:b/>
                      <w:bCs/>
                      <w:i w:val="0"/>
                      <w:iCs w:val="0"/>
                      <w:color w:val="auto"/>
                      <w:kern w:val="0"/>
                      <w:sz w:val="21"/>
                      <w:szCs w:val="21"/>
                      <w:highlight w:val="none"/>
                      <w:u w:val="none"/>
                      <w:lang w:val="en-US" w:eastAsia="zh-CN"/>
                    </w:rPr>
                    <w:t>/h</w:t>
                  </w:r>
                </w:p>
              </w:tc>
              <w:tc>
                <w:tcPr>
                  <w:tcW w:w="400" w:type="pct"/>
                  <w:vMerge w:val="restart"/>
                  <w:tcBorders>
                    <w:top w:val="single" w:color="000000" w:sz="4" w:space="0"/>
                    <w:left w:val="single" w:color="000000" w:sz="4" w:space="0"/>
                    <w:bottom w:val="single" w:color="000000" w:sz="4" w:space="0"/>
                    <w:right w:val="single" w:color="000000" w:sz="4" w:space="0"/>
                  </w:tcBorders>
                  <w:vAlign w:val="center"/>
                </w:tcPr>
                <w:p w14:paraId="121342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总集气罩数量</w:t>
                  </w:r>
                </w:p>
              </w:tc>
              <w:tc>
                <w:tcPr>
                  <w:tcW w:w="671" w:type="pct"/>
                  <w:vMerge w:val="restart"/>
                  <w:tcBorders>
                    <w:top w:val="single" w:color="000000" w:sz="4" w:space="0"/>
                    <w:left w:val="single" w:color="000000" w:sz="4" w:space="0"/>
                    <w:bottom w:val="single" w:color="000000" w:sz="4" w:space="0"/>
                    <w:right w:val="single" w:color="000000" w:sz="4" w:space="0"/>
                  </w:tcBorders>
                  <w:vAlign w:val="center"/>
                </w:tcPr>
                <w:p w14:paraId="6076AF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集气罩计算总风量m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rPr>
                    <w:t>3</w:t>
                  </w:r>
                  <w:r>
                    <w:rPr>
                      <w:rFonts w:hint="default" w:ascii="Times New Roman" w:hAnsi="Times New Roman" w:eastAsia="宋体" w:cs="Times New Roman"/>
                      <w:b/>
                      <w:bCs/>
                      <w:i w:val="0"/>
                      <w:iCs w:val="0"/>
                      <w:color w:val="auto"/>
                      <w:kern w:val="0"/>
                      <w:sz w:val="21"/>
                      <w:szCs w:val="21"/>
                      <w:highlight w:val="none"/>
                      <w:u w:val="none"/>
                      <w:lang w:val="en-US" w:eastAsia="zh-CN"/>
                    </w:rPr>
                    <w:t>/h</w:t>
                  </w:r>
                </w:p>
              </w:tc>
            </w:tr>
            <w:tr w14:paraId="0F1DE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722" w:type="pct"/>
                  <w:vMerge w:val="continue"/>
                  <w:tcBorders>
                    <w:top w:val="single" w:color="000000" w:sz="4" w:space="0"/>
                    <w:left w:val="single" w:color="000000" w:sz="4" w:space="0"/>
                    <w:bottom w:val="single" w:color="000000" w:sz="4" w:space="0"/>
                    <w:right w:val="single" w:color="000000" w:sz="4" w:space="0"/>
                  </w:tcBorders>
                  <w:vAlign w:val="center"/>
                </w:tcPr>
                <w:p w14:paraId="5D4C83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highlight w:val="none"/>
                      <w:u w:val="none"/>
                    </w:rPr>
                  </w:pPr>
                </w:p>
              </w:tc>
              <w:tc>
                <w:tcPr>
                  <w:tcW w:w="412" w:type="pct"/>
                  <w:vMerge w:val="continue"/>
                  <w:tcBorders>
                    <w:top w:val="single" w:color="000000" w:sz="4" w:space="0"/>
                    <w:left w:val="single" w:color="000000" w:sz="4" w:space="0"/>
                    <w:bottom w:val="single" w:color="000000" w:sz="4" w:space="0"/>
                    <w:right w:val="single" w:color="000000" w:sz="4" w:space="0"/>
                  </w:tcBorders>
                  <w:vAlign w:val="center"/>
                </w:tcPr>
                <w:p w14:paraId="0E48B5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highlight w:val="none"/>
                      <w:u w:val="none"/>
                    </w:rPr>
                  </w:pPr>
                </w:p>
              </w:tc>
              <w:tc>
                <w:tcPr>
                  <w:tcW w:w="392" w:type="pct"/>
                  <w:vMerge w:val="continue"/>
                  <w:tcBorders>
                    <w:top w:val="single" w:color="000000" w:sz="4" w:space="0"/>
                    <w:left w:val="single" w:color="000000" w:sz="4" w:space="0"/>
                    <w:bottom w:val="single" w:color="000000" w:sz="4" w:space="0"/>
                    <w:right w:val="single" w:color="000000" w:sz="4" w:space="0"/>
                  </w:tcBorders>
                  <w:vAlign w:val="center"/>
                </w:tcPr>
                <w:p w14:paraId="578111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highlight w:val="none"/>
                      <w:u w:val="none"/>
                    </w:rPr>
                  </w:pPr>
                </w:p>
              </w:tc>
              <w:tc>
                <w:tcPr>
                  <w:tcW w:w="417" w:type="pct"/>
                  <w:tcBorders>
                    <w:top w:val="single" w:color="000000" w:sz="4" w:space="0"/>
                    <w:left w:val="single" w:color="000000" w:sz="4" w:space="0"/>
                    <w:bottom w:val="single" w:color="000000" w:sz="4" w:space="0"/>
                    <w:right w:val="single" w:color="000000" w:sz="4" w:space="0"/>
                  </w:tcBorders>
                  <w:vAlign w:val="center"/>
                </w:tcPr>
                <w:p w14:paraId="03229B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长度m</w:t>
                  </w:r>
                </w:p>
              </w:tc>
              <w:tc>
                <w:tcPr>
                  <w:tcW w:w="398" w:type="pct"/>
                  <w:tcBorders>
                    <w:top w:val="single" w:color="000000" w:sz="4" w:space="0"/>
                    <w:left w:val="single" w:color="000000" w:sz="4" w:space="0"/>
                    <w:bottom w:val="single" w:color="000000" w:sz="4" w:space="0"/>
                    <w:right w:val="single" w:color="000000" w:sz="4" w:space="0"/>
                  </w:tcBorders>
                  <w:vAlign w:val="center"/>
                </w:tcPr>
                <w:p w14:paraId="029267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宽度m</w:t>
                  </w:r>
                </w:p>
              </w:tc>
              <w:tc>
                <w:tcPr>
                  <w:tcW w:w="539" w:type="pct"/>
                  <w:tcBorders>
                    <w:top w:val="single" w:color="000000" w:sz="4" w:space="0"/>
                    <w:left w:val="single" w:color="000000" w:sz="4" w:space="0"/>
                    <w:bottom w:val="single" w:color="000000" w:sz="4" w:space="0"/>
                    <w:right w:val="single" w:color="000000" w:sz="4" w:space="0"/>
                  </w:tcBorders>
                  <w:vAlign w:val="center"/>
                </w:tcPr>
                <w:p w14:paraId="3044A3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至罩口距离m</w:t>
                  </w:r>
                </w:p>
              </w:tc>
              <w:tc>
                <w:tcPr>
                  <w:tcW w:w="522" w:type="pct"/>
                  <w:tcBorders>
                    <w:top w:val="single" w:color="000000" w:sz="4" w:space="0"/>
                    <w:left w:val="single" w:color="000000" w:sz="4" w:space="0"/>
                    <w:bottom w:val="single" w:color="000000" w:sz="4" w:space="0"/>
                    <w:right w:val="single" w:color="000000" w:sz="4" w:space="0"/>
                  </w:tcBorders>
                  <w:vAlign w:val="center"/>
                </w:tcPr>
                <w:p w14:paraId="244C51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控制风速m/s</w:t>
                  </w:r>
                </w:p>
              </w:tc>
              <w:tc>
                <w:tcPr>
                  <w:tcW w:w="522" w:type="pct"/>
                  <w:vMerge w:val="continue"/>
                  <w:tcBorders>
                    <w:top w:val="single" w:color="000000" w:sz="4" w:space="0"/>
                    <w:left w:val="single" w:color="000000" w:sz="4" w:space="0"/>
                    <w:bottom w:val="single" w:color="000000" w:sz="4" w:space="0"/>
                    <w:right w:val="single" w:color="000000" w:sz="4" w:space="0"/>
                  </w:tcBorders>
                  <w:vAlign w:val="center"/>
                </w:tcPr>
                <w:p w14:paraId="001FF8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highlight w:val="none"/>
                      <w:u w:val="none"/>
                    </w:rPr>
                  </w:pPr>
                </w:p>
              </w:tc>
              <w:tc>
                <w:tcPr>
                  <w:tcW w:w="400" w:type="pct"/>
                  <w:vMerge w:val="continue"/>
                  <w:tcBorders>
                    <w:top w:val="single" w:color="000000" w:sz="4" w:space="0"/>
                    <w:left w:val="single" w:color="000000" w:sz="4" w:space="0"/>
                    <w:bottom w:val="single" w:color="000000" w:sz="4" w:space="0"/>
                    <w:right w:val="single" w:color="000000" w:sz="4" w:space="0"/>
                  </w:tcBorders>
                  <w:vAlign w:val="center"/>
                </w:tcPr>
                <w:p w14:paraId="4C2A73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highlight w:val="none"/>
                      <w:u w:val="none"/>
                    </w:rPr>
                  </w:pPr>
                </w:p>
              </w:tc>
              <w:tc>
                <w:tcPr>
                  <w:tcW w:w="671" w:type="pct"/>
                  <w:vMerge w:val="continue"/>
                  <w:tcBorders>
                    <w:top w:val="single" w:color="000000" w:sz="4" w:space="0"/>
                    <w:left w:val="single" w:color="000000" w:sz="4" w:space="0"/>
                    <w:bottom w:val="single" w:color="000000" w:sz="4" w:space="0"/>
                    <w:right w:val="single" w:color="000000" w:sz="4" w:space="0"/>
                  </w:tcBorders>
                  <w:vAlign w:val="center"/>
                </w:tcPr>
                <w:p w14:paraId="4719E4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bCs/>
                      <w:i w:val="0"/>
                      <w:iCs w:val="0"/>
                      <w:color w:val="auto"/>
                      <w:sz w:val="21"/>
                      <w:szCs w:val="21"/>
                      <w:highlight w:val="none"/>
                      <w:u w:val="none"/>
                    </w:rPr>
                  </w:pPr>
                </w:p>
              </w:tc>
            </w:tr>
            <w:tr w14:paraId="4FE1C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2" w:hRule="atLeast"/>
                <w:jc w:val="center"/>
              </w:trPr>
              <w:tc>
                <w:tcPr>
                  <w:tcW w:w="722" w:type="pct"/>
                  <w:tcBorders>
                    <w:top w:val="single" w:color="000000" w:sz="4" w:space="0"/>
                    <w:left w:val="single" w:color="000000" w:sz="4" w:space="0"/>
                    <w:bottom w:val="single" w:color="000000" w:sz="4" w:space="0"/>
                    <w:right w:val="single" w:color="000000" w:sz="4" w:space="0"/>
                  </w:tcBorders>
                  <w:vAlign w:val="center"/>
                </w:tcPr>
                <w:p w14:paraId="249559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天然气燃烧废气（DA002）</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4BE39A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烘水通道</w:t>
                  </w:r>
                </w:p>
              </w:tc>
              <w:tc>
                <w:tcPr>
                  <w:tcW w:w="392" w:type="pct"/>
                  <w:tcBorders>
                    <w:top w:val="single" w:color="000000" w:sz="4" w:space="0"/>
                    <w:left w:val="single" w:color="000000" w:sz="4" w:space="0"/>
                    <w:bottom w:val="single" w:color="000000" w:sz="4" w:space="0"/>
                    <w:right w:val="single" w:color="000000" w:sz="4" w:space="0"/>
                  </w:tcBorders>
                  <w:noWrap/>
                  <w:vAlign w:val="center"/>
                </w:tcPr>
                <w:p w14:paraId="4ACF91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w:t>
                  </w:r>
                </w:p>
              </w:tc>
              <w:tc>
                <w:tcPr>
                  <w:tcW w:w="417" w:type="pct"/>
                  <w:tcBorders>
                    <w:top w:val="single" w:color="000000" w:sz="4" w:space="0"/>
                    <w:left w:val="single" w:color="000000" w:sz="4" w:space="0"/>
                    <w:bottom w:val="single" w:color="000000" w:sz="4" w:space="0"/>
                    <w:right w:val="single" w:color="000000" w:sz="4" w:space="0"/>
                  </w:tcBorders>
                  <w:noWrap/>
                  <w:vAlign w:val="center"/>
                </w:tcPr>
                <w:p w14:paraId="543D2D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w:t>
                  </w:r>
                </w:p>
              </w:tc>
              <w:tc>
                <w:tcPr>
                  <w:tcW w:w="398" w:type="pct"/>
                  <w:tcBorders>
                    <w:top w:val="single" w:color="000000" w:sz="4" w:space="0"/>
                    <w:left w:val="single" w:color="000000" w:sz="4" w:space="0"/>
                    <w:bottom w:val="single" w:color="000000" w:sz="4" w:space="0"/>
                    <w:right w:val="single" w:color="000000" w:sz="4" w:space="0"/>
                  </w:tcBorders>
                  <w:noWrap/>
                  <w:vAlign w:val="center"/>
                </w:tcPr>
                <w:p w14:paraId="22F5BF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rPr>
                    <w:t>0.9</w:t>
                  </w:r>
                </w:p>
              </w:tc>
              <w:tc>
                <w:tcPr>
                  <w:tcW w:w="539" w:type="pct"/>
                  <w:tcBorders>
                    <w:top w:val="single" w:color="000000" w:sz="4" w:space="0"/>
                    <w:left w:val="single" w:color="000000" w:sz="4" w:space="0"/>
                    <w:bottom w:val="single" w:color="000000" w:sz="4" w:space="0"/>
                    <w:right w:val="single" w:color="000000" w:sz="4" w:space="0"/>
                  </w:tcBorders>
                  <w:noWrap/>
                  <w:vAlign w:val="center"/>
                </w:tcPr>
                <w:p w14:paraId="116F46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0.3</w:t>
                  </w:r>
                </w:p>
              </w:tc>
              <w:tc>
                <w:tcPr>
                  <w:tcW w:w="522" w:type="pct"/>
                  <w:tcBorders>
                    <w:top w:val="single" w:color="000000" w:sz="4" w:space="0"/>
                    <w:left w:val="single" w:color="000000" w:sz="4" w:space="0"/>
                    <w:bottom w:val="single" w:color="000000" w:sz="4" w:space="0"/>
                    <w:right w:val="single" w:color="000000" w:sz="4" w:space="0"/>
                  </w:tcBorders>
                  <w:noWrap/>
                  <w:vAlign w:val="center"/>
                </w:tcPr>
                <w:p w14:paraId="144A52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0.5</w:t>
                  </w:r>
                </w:p>
              </w:tc>
              <w:tc>
                <w:tcPr>
                  <w:tcW w:w="522" w:type="pct"/>
                  <w:tcBorders>
                    <w:top w:val="single" w:color="000000" w:sz="4" w:space="0"/>
                    <w:left w:val="single" w:color="000000" w:sz="4" w:space="0"/>
                    <w:bottom w:val="single" w:color="000000" w:sz="4" w:space="0"/>
                    <w:right w:val="single" w:color="000000" w:sz="4" w:space="0"/>
                  </w:tcBorders>
                  <w:noWrap/>
                  <w:vAlign w:val="center"/>
                </w:tcPr>
                <w:p w14:paraId="5FA7A5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1436.4</w:t>
                  </w:r>
                </w:p>
              </w:tc>
              <w:tc>
                <w:tcPr>
                  <w:tcW w:w="400" w:type="pct"/>
                  <w:tcBorders>
                    <w:top w:val="single" w:color="000000" w:sz="4" w:space="0"/>
                    <w:left w:val="single" w:color="000000" w:sz="4" w:space="0"/>
                    <w:bottom w:val="single" w:color="000000" w:sz="4" w:space="0"/>
                    <w:right w:val="single" w:color="000000" w:sz="4" w:space="0"/>
                  </w:tcBorders>
                  <w:noWrap/>
                  <w:vAlign w:val="center"/>
                </w:tcPr>
                <w:p w14:paraId="4975E4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05A57C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2872.8</w:t>
                  </w:r>
                </w:p>
              </w:tc>
            </w:tr>
            <w:tr w14:paraId="1A622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jc w:val="center"/>
              </w:trPr>
              <w:tc>
                <w:tcPr>
                  <w:tcW w:w="722" w:type="pct"/>
                  <w:vMerge w:val="restart"/>
                  <w:tcBorders>
                    <w:top w:val="single" w:color="000000" w:sz="4" w:space="0"/>
                    <w:left w:val="single" w:color="000000" w:sz="4" w:space="0"/>
                    <w:right w:val="single" w:color="000000" w:sz="4" w:space="0"/>
                  </w:tcBorders>
                  <w:vAlign w:val="center"/>
                </w:tcPr>
                <w:p w14:paraId="4EE83C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rPr>
                    <w:t>天然气燃烧废气（DA00</w:t>
                  </w:r>
                  <w:r>
                    <w:rPr>
                      <w:rFonts w:hint="eastAsia" w:cs="Times New Roman"/>
                      <w:i w:val="0"/>
                      <w:iCs w:val="0"/>
                      <w:color w:val="auto"/>
                      <w:kern w:val="0"/>
                      <w:sz w:val="21"/>
                      <w:szCs w:val="21"/>
                      <w:highlight w:val="none"/>
                      <w:u w:val="none"/>
                      <w:lang w:val="en-US" w:eastAsia="zh-CN"/>
                    </w:rPr>
                    <w:t>3</w:t>
                  </w:r>
                  <w:r>
                    <w:rPr>
                      <w:rFonts w:hint="default" w:ascii="Times New Roman" w:hAnsi="Times New Roman" w:eastAsia="宋体" w:cs="Times New Roman"/>
                      <w:i w:val="0"/>
                      <w:iCs w:val="0"/>
                      <w:color w:val="auto"/>
                      <w:kern w:val="0"/>
                      <w:sz w:val="21"/>
                      <w:szCs w:val="21"/>
                      <w:highlight w:val="none"/>
                      <w:u w:val="none"/>
                      <w:lang w:val="en-US" w:eastAsia="zh-CN"/>
                    </w:rPr>
                    <w:t>）</w:t>
                  </w: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1E4EBC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rPr>
                    <w:t>1#烤炉</w:t>
                  </w:r>
                </w:p>
              </w:tc>
              <w:tc>
                <w:tcPr>
                  <w:tcW w:w="392" w:type="pct"/>
                  <w:tcBorders>
                    <w:top w:val="single" w:color="000000" w:sz="4" w:space="0"/>
                    <w:left w:val="single" w:color="000000" w:sz="4" w:space="0"/>
                    <w:bottom w:val="single" w:color="000000" w:sz="4" w:space="0"/>
                    <w:right w:val="single" w:color="000000" w:sz="4" w:space="0"/>
                  </w:tcBorders>
                  <w:noWrap/>
                  <w:vAlign w:val="center"/>
                </w:tcPr>
                <w:p w14:paraId="490FF57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rPr>
                    <w:t>1</w:t>
                  </w:r>
                </w:p>
              </w:tc>
              <w:tc>
                <w:tcPr>
                  <w:tcW w:w="667" w:type="dxa"/>
                  <w:tcBorders>
                    <w:top w:val="single" w:color="000000" w:sz="4" w:space="0"/>
                    <w:left w:val="single" w:color="000000" w:sz="4" w:space="0"/>
                    <w:bottom w:val="single" w:color="000000" w:sz="4" w:space="0"/>
                    <w:right w:val="single" w:color="000000" w:sz="4" w:space="0"/>
                  </w:tcBorders>
                  <w:noWrap/>
                  <w:vAlign w:val="center"/>
                </w:tcPr>
                <w:p w14:paraId="62CA369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rPr>
                    <w:t>0.4</w:t>
                  </w:r>
                </w:p>
              </w:tc>
              <w:tc>
                <w:tcPr>
                  <w:tcW w:w="636" w:type="dxa"/>
                  <w:tcBorders>
                    <w:top w:val="single" w:color="000000" w:sz="4" w:space="0"/>
                    <w:left w:val="single" w:color="000000" w:sz="4" w:space="0"/>
                    <w:bottom w:val="single" w:color="000000" w:sz="4" w:space="0"/>
                    <w:right w:val="single" w:color="000000" w:sz="4" w:space="0"/>
                  </w:tcBorders>
                  <w:noWrap/>
                  <w:vAlign w:val="center"/>
                </w:tcPr>
                <w:p w14:paraId="428E388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rPr>
                    <w:t>0.3</w:t>
                  </w: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61BB303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rPr>
                    <w:t>0.15</w:t>
                  </w:r>
                </w:p>
              </w:tc>
              <w:tc>
                <w:tcPr>
                  <w:tcW w:w="834" w:type="dxa"/>
                  <w:tcBorders>
                    <w:top w:val="single" w:color="000000" w:sz="4" w:space="0"/>
                    <w:left w:val="single" w:color="000000" w:sz="4" w:space="0"/>
                    <w:bottom w:val="single" w:color="000000" w:sz="4" w:space="0"/>
                    <w:right w:val="single" w:color="000000" w:sz="4" w:space="0"/>
                  </w:tcBorders>
                  <w:noWrap/>
                  <w:vAlign w:val="center"/>
                </w:tcPr>
                <w:p w14:paraId="1462077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2"/>
                      <w:sz w:val="21"/>
                      <w:szCs w:val="21"/>
                      <w:highlight w:val="none"/>
                      <w:u w:val="none"/>
                      <w:lang w:val="en-US" w:eastAsia="zh-CN" w:bidi="ar-SA"/>
                    </w:rPr>
                    <w:t>0.5</w:t>
                  </w:r>
                </w:p>
              </w:tc>
              <w:tc>
                <w:tcPr>
                  <w:tcW w:w="834" w:type="dxa"/>
                  <w:tcBorders>
                    <w:top w:val="single" w:color="000000" w:sz="4" w:space="0"/>
                    <w:left w:val="single" w:color="000000" w:sz="4" w:space="0"/>
                    <w:bottom w:val="single" w:color="000000" w:sz="4" w:space="0"/>
                    <w:right w:val="single" w:color="000000" w:sz="4" w:space="0"/>
                  </w:tcBorders>
                  <w:noWrap/>
                  <w:vAlign w:val="center"/>
                </w:tcPr>
                <w:p w14:paraId="46762A4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rPr>
                    <w:t>529.2</w:t>
                  </w:r>
                </w:p>
              </w:tc>
              <w:tc>
                <w:tcPr>
                  <w:tcW w:w="400" w:type="pct"/>
                  <w:tcBorders>
                    <w:top w:val="single" w:color="000000" w:sz="4" w:space="0"/>
                    <w:left w:val="single" w:color="000000" w:sz="4" w:space="0"/>
                    <w:bottom w:val="single" w:color="000000" w:sz="4" w:space="0"/>
                    <w:right w:val="single" w:color="000000" w:sz="4" w:space="0"/>
                  </w:tcBorders>
                  <w:noWrap/>
                  <w:vAlign w:val="center"/>
                </w:tcPr>
                <w:p w14:paraId="550F6FF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rPr>
                    <w:t>2</w:t>
                  </w:r>
                </w:p>
              </w:tc>
              <w:tc>
                <w:tcPr>
                  <w:tcW w:w="671" w:type="pct"/>
                  <w:vMerge w:val="restart"/>
                  <w:tcBorders>
                    <w:top w:val="single" w:color="000000" w:sz="4" w:space="0"/>
                    <w:left w:val="single" w:color="000000" w:sz="4" w:space="0"/>
                    <w:right w:val="single" w:color="000000" w:sz="4" w:space="0"/>
                  </w:tcBorders>
                  <w:noWrap/>
                  <w:vAlign w:val="center"/>
                </w:tcPr>
                <w:p w14:paraId="46DC7C8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rPr>
                    <w:t>2</w:t>
                  </w:r>
                  <w:r>
                    <w:rPr>
                      <w:rFonts w:hint="eastAsia" w:cs="Times New Roman"/>
                      <w:i w:val="0"/>
                      <w:iCs w:val="0"/>
                      <w:color w:val="auto"/>
                      <w:kern w:val="0"/>
                      <w:sz w:val="21"/>
                      <w:szCs w:val="21"/>
                      <w:highlight w:val="none"/>
                      <w:u w:val="none"/>
                      <w:lang w:val="en-US" w:eastAsia="zh-CN"/>
                    </w:rPr>
                    <w:t>620.8</w:t>
                  </w:r>
                </w:p>
              </w:tc>
            </w:tr>
            <w:tr w14:paraId="7290C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722" w:type="pct"/>
                  <w:vMerge w:val="continue"/>
                  <w:tcBorders>
                    <w:left w:val="single" w:color="000000" w:sz="4" w:space="0"/>
                    <w:right w:val="single" w:color="000000" w:sz="4" w:space="0"/>
                  </w:tcBorders>
                  <w:vAlign w:val="center"/>
                </w:tcPr>
                <w:p w14:paraId="47A87D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60A680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2#烤炉</w:t>
                  </w:r>
                </w:p>
              </w:tc>
              <w:tc>
                <w:tcPr>
                  <w:tcW w:w="392" w:type="pct"/>
                  <w:tcBorders>
                    <w:top w:val="single" w:color="000000" w:sz="4" w:space="0"/>
                    <w:left w:val="single" w:color="000000" w:sz="4" w:space="0"/>
                    <w:bottom w:val="single" w:color="000000" w:sz="4" w:space="0"/>
                    <w:right w:val="single" w:color="000000" w:sz="4" w:space="0"/>
                  </w:tcBorders>
                  <w:noWrap/>
                  <w:vAlign w:val="center"/>
                </w:tcPr>
                <w:p w14:paraId="2776202F">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1</w:t>
                  </w:r>
                </w:p>
              </w:tc>
              <w:tc>
                <w:tcPr>
                  <w:tcW w:w="667" w:type="dxa"/>
                  <w:tcBorders>
                    <w:top w:val="single" w:color="000000" w:sz="4" w:space="0"/>
                    <w:left w:val="single" w:color="000000" w:sz="4" w:space="0"/>
                    <w:bottom w:val="single" w:color="000000" w:sz="4" w:space="0"/>
                    <w:right w:val="single" w:color="000000" w:sz="4" w:space="0"/>
                  </w:tcBorders>
                  <w:noWrap/>
                  <w:vAlign w:val="center"/>
                </w:tcPr>
                <w:p w14:paraId="3E0AAE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0.4</w:t>
                  </w:r>
                </w:p>
              </w:tc>
              <w:tc>
                <w:tcPr>
                  <w:tcW w:w="636" w:type="dxa"/>
                  <w:tcBorders>
                    <w:top w:val="single" w:color="000000" w:sz="4" w:space="0"/>
                    <w:left w:val="single" w:color="000000" w:sz="4" w:space="0"/>
                    <w:bottom w:val="single" w:color="000000" w:sz="4" w:space="0"/>
                    <w:right w:val="single" w:color="000000" w:sz="4" w:space="0"/>
                  </w:tcBorders>
                  <w:noWrap/>
                  <w:vAlign w:val="center"/>
                </w:tcPr>
                <w:p w14:paraId="76F455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0.3</w:t>
                  </w: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268BF5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0.15</w:t>
                  </w:r>
                </w:p>
              </w:tc>
              <w:tc>
                <w:tcPr>
                  <w:tcW w:w="834" w:type="dxa"/>
                  <w:tcBorders>
                    <w:top w:val="single" w:color="000000" w:sz="4" w:space="0"/>
                    <w:left w:val="single" w:color="000000" w:sz="4" w:space="0"/>
                    <w:bottom w:val="single" w:color="000000" w:sz="4" w:space="0"/>
                    <w:right w:val="single" w:color="000000" w:sz="4" w:space="0"/>
                  </w:tcBorders>
                  <w:noWrap/>
                  <w:vAlign w:val="center"/>
                </w:tcPr>
                <w:p w14:paraId="3841B1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0.5</w:t>
                  </w:r>
                </w:p>
              </w:tc>
              <w:tc>
                <w:tcPr>
                  <w:tcW w:w="834" w:type="dxa"/>
                  <w:tcBorders>
                    <w:top w:val="single" w:color="000000" w:sz="4" w:space="0"/>
                    <w:left w:val="single" w:color="000000" w:sz="4" w:space="0"/>
                    <w:bottom w:val="single" w:color="000000" w:sz="4" w:space="0"/>
                    <w:right w:val="single" w:color="000000" w:sz="4" w:space="0"/>
                  </w:tcBorders>
                  <w:noWrap/>
                  <w:vAlign w:val="center"/>
                </w:tcPr>
                <w:p w14:paraId="124716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529.2</w:t>
                  </w:r>
                </w:p>
              </w:tc>
              <w:tc>
                <w:tcPr>
                  <w:tcW w:w="400" w:type="pct"/>
                  <w:tcBorders>
                    <w:top w:val="single" w:color="000000" w:sz="4" w:space="0"/>
                    <w:left w:val="single" w:color="000000" w:sz="4" w:space="0"/>
                    <w:bottom w:val="single" w:color="000000" w:sz="4" w:space="0"/>
                    <w:right w:val="single" w:color="000000" w:sz="4" w:space="0"/>
                  </w:tcBorders>
                  <w:noWrap/>
                  <w:vAlign w:val="center"/>
                </w:tcPr>
                <w:p w14:paraId="1C6C03AC">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2</w:t>
                  </w:r>
                </w:p>
              </w:tc>
              <w:tc>
                <w:tcPr>
                  <w:tcW w:w="671" w:type="pct"/>
                  <w:vMerge w:val="continue"/>
                  <w:tcBorders>
                    <w:left w:val="single" w:color="000000" w:sz="4" w:space="0"/>
                    <w:right w:val="single" w:color="000000" w:sz="4" w:space="0"/>
                  </w:tcBorders>
                  <w:noWrap/>
                  <w:vAlign w:val="center"/>
                </w:tcPr>
                <w:p w14:paraId="4EB31A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p>
              </w:tc>
            </w:tr>
            <w:tr w14:paraId="7E207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722" w:type="pct"/>
                  <w:vMerge w:val="continue"/>
                  <w:tcBorders>
                    <w:left w:val="single" w:color="000000" w:sz="4" w:space="0"/>
                    <w:bottom w:val="single" w:color="000000" w:sz="4" w:space="0"/>
                    <w:right w:val="single" w:color="000000" w:sz="4" w:space="0"/>
                  </w:tcBorders>
                  <w:vAlign w:val="center"/>
                </w:tcPr>
                <w:p w14:paraId="5E9B94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p>
              </w:tc>
              <w:tc>
                <w:tcPr>
                  <w:tcW w:w="412" w:type="pct"/>
                  <w:tcBorders>
                    <w:top w:val="single" w:color="000000" w:sz="4" w:space="0"/>
                    <w:left w:val="single" w:color="000000" w:sz="4" w:space="0"/>
                    <w:bottom w:val="single" w:color="000000" w:sz="4" w:space="0"/>
                    <w:right w:val="single" w:color="000000" w:sz="4" w:space="0"/>
                  </w:tcBorders>
                  <w:noWrap/>
                  <w:vAlign w:val="center"/>
                </w:tcPr>
                <w:p w14:paraId="1BECB1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3#烤炉</w:t>
                  </w:r>
                </w:p>
              </w:tc>
              <w:tc>
                <w:tcPr>
                  <w:tcW w:w="392" w:type="pct"/>
                  <w:tcBorders>
                    <w:top w:val="single" w:color="000000" w:sz="4" w:space="0"/>
                    <w:left w:val="single" w:color="000000" w:sz="4" w:space="0"/>
                    <w:bottom w:val="single" w:color="000000" w:sz="4" w:space="0"/>
                    <w:right w:val="single" w:color="000000" w:sz="4" w:space="0"/>
                  </w:tcBorders>
                  <w:noWrap/>
                  <w:vAlign w:val="center"/>
                </w:tcPr>
                <w:p w14:paraId="256D0571">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1</w:t>
                  </w:r>
                </w:p>
              </w:tc>
              <w:tc>
                <w:tcPr>
                  <w:tcW w:w="667" w:type="dxa"/>
                  <w:tcBorders>
                    <w:top w:val="single" w:color="000000" w:sz="4" w:space="0"/>
                    <w:left w:val="single" w:color="000000" w:sz="4" w:space="0"/>
                    <w:bottom w:val="single" w:color="000000" w:sz="4" w:space="0"/>
                    <w:right w:val="single" w:color="000000" w:sz="4" w:space="0"/>
                  </w:tcBorders>
                  <w:noWrap/>
                  <w:vAlign w:val="center"/>
                </w:tcPr>
                <w:p w14:paraId="6A509F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0.3</w:t>
                  </w:r>
                </w:p>
              </w:tc>
              <w:tc>
                <w:tcPr>
                  <w:tcW w:w="636" w:type="dxa"/>
                  <w:tcBorders>
                    <w:top w:val="single" w:color="000000" w:sz="4" w:space="0"/>
                    <w:left w:val="single" w:color="000000" w:sz="4" w:space="0"/>
                    <w:bottom w:val="single" w:color="000000" w:sz="4" w:space="0"/>
                    <w:right w:val="single" w:color="000000" w:sz="4" w:space="0"/>
                  </w:tcBorders>
                  <w:noWrap/>
                  <w:vAlign w:val="center"/>
                </w:tcPr>
                <w:p w14:paraId="3D8463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0.2</w:t>
                  </w: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226E8C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0.1</w:t>
                  </w:r>
                </w:p>
              </w:tc>
              <w:tc>
                <w:tcPr>
                  <w:tcW w:w="834" w:type="dxa"/>
                  <w:tcBorders>
                    <w:top w:val="single" w:color="000000" w:sz="4" w:space="0"/>
                    <w:left w:val="single" w:color="000000" w:sz="4" w:space="0"/>
                    <w:bottom w:val="single" w:color="000000" w:sz="4" w:space="0"/>
                    <w:right w:val="single" w:color="000000" w:sz="4" w:space="0"/>
                  </w:tcBorders>
                  <w:noWrap/>
                  <w:vAlign w:val="center"/>
                </w:tcPr>
                <w:p w14:paraId="04634B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0.5</w:t>
                  </w:r>
                </w:p>
              </w:tc>
              <w:tc>
                <w:tcPr>
                  <w:tcW w:w="834" w:type="dxa"/>
                  <w:tcBorders>
                    <w:top w:val="single" w:color="000000" w:sz="4" w:space="0"/>
                    <w:left w:val="single" w:color="000000" w:sz="4" w:space="0"/>
                    <w:bottom w:val="single" w:color="000000" w:sz="4" w:space="0"/>
                    <w:right w:val="single" w:color="000000" w:sz="4" w:space="0"/>
                  </w:tcBorders>
                  <w:noWrap/>
                  <w:vAlign w:val="center"/>
                </w:tcPr>
                <w:p w14:paraId="72B342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252</w:t>
                  </w:r>
                </w:p>
              </w:tc>
              <w:tc>
                <w:tcPr>
                  <w:tcW w:w="400" w:type="pct"/>
                  <w:tcBorders>
                    <w:top w:val="single" w:color="000000" w:sz="4" w:space="0"/>
                    <w:left w:val="single" w:color="000000" w:sz="4" w:space="0"/>
                    <w:bottom w:val="single" w:color="000000" w:sz="4" w:space="0"/>
                    <w:right w:val="single" w:color="000000" w:sz="4" w:space="0"/>
                  </w:tcBorders>
                  <w:noWrap/>
                  <w:vAlign w:val="center"/>
                </w:tcPr>
                <w:p w14:paraId="2A487C70">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2</w:t>
                  </w:r>
                </w:p>
              </w:tc>
              <w:tc>
                <w:tcPr>
                  <w:tcW w:w="671" w:type="pct"/>
                  <w:vMerge w:val="continue"/>
                  <w:tcBorders>
                    <w:left w:val="single" w:color="000000" w:sz="4" w:space="0"/>
                    <w:bottom w:val="single" w:color="000000" w:sz="4" w:space="0"/>
                    <w:right w:val="single" w:color="000000" w:sz="4" w:space="0"/>
                  </w:tcBorders>
                  <w:noWrap/>
                  <w:vAlign w:val="center"/>
                </w:tcPr>
                <w:p w14:paraId="7940EB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p>
              </w:tc>
            </w:tr>
            <w:tr w14:paraId="07EAD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5000" w:type="pct"/>
                  <w:gridSpan w:val="10"/>
                  <w:tcBorders>
                    <w:top w:val="single" w:color="000000" w:sz="4" w:space="0"/>
                    <w:left w:val="single" w:color="000000" w:sz="4" w:space="0"/>
                    <w:bottom w:val="single" w:color="000000" w:sz="4" w:space="0"/>
                    <w:right w:val="single" w:color="000000" w:sz="4" w:space="0"/>
                  </w:tcBorders>
                  <w:vAlign w:val="center"/>
                </w:tcPr>
                <w:p w14:paraId="54CD76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default" w:ascii="Times New Roman" w:hAnsi="Times New Roman" w:cs="Times New Roman"/>
                      <w:i w:val="0"/>
                      <w:iCs w:val="0"/>
                      <w:color w:val="auto"/>
                      <w:kern w:val="0"/>
                      <w:sz w:val="21"/>
                      <w:szCs w:val="21"/>
                      <w:highlight w:val="none"/>
                      <w:u w:val="none"/>
                      <w:lang w:val="en-US" w:eastAsia="zh-CN"/>
                    </w:rPr>
                  </w:pPr>
                  <w:r>
                    <w:rPr>
                      <w:rFonts w:hint="default" w:ascii="Times New Roman" w:hAnsi="Times New Roman" w:cs="Times New Roman"/>
                      <w:i w:val="0"/>
                      <w:iCs w:val="0"/>
                      <w:color w:val="auto"/>
                      <w:kern w:val="0"/>
                      <w:sz w:val="21"/>
                      <w:szCs w:val="21"/>
                      <w:highlight w:val="none"/>
                      <w:u w:val="none"/>
                      <w:lang w:val="en-US" w:eastAsia="zh-CN"/>
                    </w:rPr>
                    <w:t>注：在烘干通道</w:t>
                  </w:r>
                  <w:r>
                    <w:rPr>
                      <w:rFonts w:hint="eastAsia" w:cs="Times New Roman"/>
                      <w:i w:val="0"/>
                      <w:iCs w:val="0"/>
                      <w:color w:val="auto"/>
                      <w:kern w:val="0"/>
                      <w:sz w:val="21"/>
                      <w:szCs w:val="21"/>
                      <w:highlight w:val="none"/>
                      <w:u w:val="none"/>
                      <w:lang w:val="en-US" w:eastAsia="zh-CN"/>
                    </w:rPr>
                    <w:t>尾</w:t>
                  </w:r>
                  <w:r>
                    <w:rPr>
                      <w:rFonts w:hint="default" w:ascii="Times New Roman" w:hAnsi="Times New Roman" w:cs="Times New Roman"/>
                      <w:i w:val="0"/>
                      <w:iCs w:val="0"/>
                      <w:color w:val="auto"/>
                      <w:kern w:val="0"/>
                      <w:sz w:val="21"/>
                      <w:szCs w:val="21"/>
                      <w:highlight w:val="none"/>
                      <w:u w:val="none"/>
                      <w:lang w:val="en-US" w:eastAsia="zh-CN"/>
                    </w:rPr>
                    <w:t>端设置1只集气罩。</w:t>
                  </w:r>
                </w:p>
                <w:p w14:paraId="4E315C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Style w:val="83"/>
                      <w:rFonts w:hint="default" w:ascii="Times New Roman" w:hAnsi="Times New Roman" w:cs="Times New Roman"/>
                      <w:color w:val="auto"/>
                      <w:sz w:val="21"/>
                      <w:szCs w:val="21"/>
                      <w:highlight w:val="none"/>
                    </w:rPr>
                  </w:pPr>
                  <w:r>
                    <w:rPr>
                      <w:rStyle w:val="83"/>
                      <w:rFonts w:hint="default" w:ascii="Times New Roman" w:hAnsi="Times New Roman" w:cs="Times New Roman"/>
                      <w:color w:val="auto"/>
                      <w:sz w:val="21"/>
                      <w:szCs w:val="21"/>
                      <w:highlight w:val="none"/>
                    </w:rPr>
                    <w:t>依据《简明通风设计手册》[主编：孙一坚（湖南大学），中国建筑工业出版社出版]，上吸式集气罩的排风量计算公式为：</w:t>
                  </w:r>
                </w:p>
                <w:p w14:paraId="20F1D6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30" w:firstLineChars="30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Q=</w:t>
                  </w:r>
                  <w:r>
                    <w:rPr>
                      <w:rFonts w:hint="default" w:ascii="Times New Roman" w:hAnsi="Times New Roman" w:cs="Times New Roman"/>
                      <w:color w:val="auto"/>
                      <w:sz w:val="21"/>
                      <w:szCs w:val="21"/>
                      <w:highlight w:val="none"/>
                    </w:rPr>
                    <w:t>K×P×H×</w:t>
                  </w:r>
                  <w:r>
                    <w:rPr>
                      <w:rFonts w:hint="default" w:ascii="Times New Roman" w:hAnsi="Times New Roman" w:eastAsia="宋体" w:cs="Times New Roman"/>
                      <w:b w:val="0"/>
                      <w:bCs w:val="0"/>
                      <w:color w:val="auto"/>
                      <w:sz w:val="21"/>
                      <w:szCs w:val="21"/>
                      <w:highlight w:val="none"/>
                      <w:lang w:val="en-US" w:eastAsia="zh-CN"/>
                    </w:rPr>
                    <w:t>υ</w:t>
                  </w:r>
                  <w:r>
                    <w:rPr>
                      <w:rStyle w:val="47"/>
                      <w:rFonts w:hint="default" w:ascii="Times New Roman" w:hAnsi="Times New Roman" w:eastAsia="宋体" w:cs="Times New Roman"/>
                      <w:i w:val="0"/>
                      <w:iCs w:val="0"/>
                      <w:caps w:val="0"/>
                      <w:color w:val="auto"/>
                      <w:spacing w:val="0"/>
                      <w:sz w:val="21"/>
                      <w:szCs w:val="21"/>
                      <w:highlight w:val="none"/>
                      <w:shd w:val="clear" w:color="auto" w:fill="FFFFFF"/>
                      <w:vertAlign w:val="subscript"/>
                    </w:rPr>
                    <w:t>x</w:t>
                  </w:r>
                  <w:r>
                    <w:rPr>
                      <w:rFonts w:hint="default" w:ascii="Times New Roman" w:hAnsi="Times New Roman" w:eastAsia="宋体" w:cs="Times New Roman"/>
                      <w:b w:val="0"/>
                      <w:bCs w:val="0"/>
                      <w:color w:val="auto"/>
                      <w:sz w:val="21"/>
                      <w:szCs w:val="21"/>
                      <w:highlight w:val="none"/>
                      <w:lang w:val="en-US" w:eastAsia="zh-CN"/>
                    </w:rPr>
                    <w:t>×3600</w:t>
                  </w:r>
                </w:p>
                <w:p w14:paraId="206E80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Style w:val="83"/>
                      <w:rFonts w:hint="default" w:ascii="Times New Roman" w:hAnsi="Times New Roman" w:cs="Times New Roman"/>
                      <w:color w:val="auto"/>
                      <w:sz w:val="21"/>
                      <w:szCs w:val="21"/>
                      <w:highlight w:val="none"/>
                    </w:rPr>
                  </w:pPr>
                  <w:r>
                    <w:rPr>
                      <w:rStyle w:val="83"/>
                      <w:rFonts w:hint="default" w:ascii="Times New Roman" w:hAnsi="Times New Roman" w:cs="Times New Roman"/>
                      <w:color w:val="auto"/>
                      <w:sz w:val="21"/>
                      <w:szCs w:val="21"/>
                      <w:highlight w:val="none"/>
                    </w:rPr>
                    <w:t>式中：</w:t>
                  </w:r>
                </w:p>
                <w:p w14:paraId="0B1A51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Style w:val="83"/>
                      <w:rFonts w:hint="default" w:ascii="Times New Roman" w:hAnsi="Times New Roman" w:cs="Times New Roman"/>
                      <w:color w:val="auto"/>
                      <w:sz w:val="21"/>
                      <w:szCs w:val="21"/>
                      <w:highlight w:val="none"/>
                    </w:rPr>
                  </w:pPr>
                  <w:r>
                    <w:rPr>
                      <w:rStyle w:val="127"/>
                      <w:rFonts w:hint="default" w:ascii="Times New Roman" w:hAnsi="Times New Roman" w:cs="Times New Roman"/>
                      <w:color w:val="auto"/>
                      <w:sz w:val="21"/>
                      <w:szCs w:val="21"/>
                      <w:highlight w:val="none"/>
                    </w:rPr>
                    <w:t>Q</w:t>
                  </w:r>
                  <w:r>
                    <w:rPr>
                      <w:rStyle w:val="83"/>
                      <w:rFonts w:hint="default" w:ascii="Times New Roman" w:hAnsi="Times New Roman" w:cs="Times New Roman"/>
                      <w:color w:val="auto"/>
                      <w:sz w:val="21"/>
                      <w:szCs w:val="21"/>
                      <w:highlight w:val="none"/>
                    </w:rPr>
                    <w:t>：集气罩排风量，</w:t>
                  </w:r>
                  <w:r>
                    <w:rPr>
                      <w:rStyle w:val="127"/>
                      <w:rFonts w:hint="default" w:ascii="Times New Roman" w:hAnsi="Times New Roman" w:cs="Times New Roman"/>
                      <w:color w:val="auto"/>
                      <w:sz w:val="21"/>
                      <w:szCs w:val="21"/>
                      <w:highlight w:val="none"/>
                    </w:rPr>
                    <w:t>m</w:t>
                  </w:r>
                  <w:r>
                    <w:rPr>
                      <w:rStyle w:val="127"/>
                      <w:rFonts w:hint="default" w:ascii="Times New Roman" w:hAnsi="Times New Roman" w:cs="Times New Roman"/>
                      <w:color w:val="auto"/>
                      <w:sz w:val="21"/>
                      <w:szCs w:val="21"/>
                      <w:highlight w:val="none"/>
                      <w:vertAlign w:val="superscript"/>
                    </w:rPr>
                    <w:t>3</w:t>
                  </w:r>
                  <w:r>
                    <w:rPr>
                      <w:rStyle w:val="127"/>
                      <w:rFonts w:hint="default" w:ascii="Times New Roman" w:hAnsi="Times New Roman" w:cs="Times New Roman"/>
                      <w:color w:val="auto"/>
                      <w:sz w:val="21"/>
                      <w:szCs w:val="21"/>
                      <w:highlight w:val="none"/>
                    </w:rPr>
                    <w:t>/h</w:t>
                  </w:r>
                  <w:r>
                    <w:rPr>
                      <w:rStyle w:val="83"/>
                      <w:rFonts w:hint="default" w:ascii="Times New Roman" w:hAnsi="Times New Roman" w:cs="Times New Roman"/>
                      <w:color w:val="auto"/>
                      <w:sz w:val="21"/>
                      <w:szCs w:val="21"/>
                      <w:highlight w:val="none"/>
                    </w:rPr>
                    <w:t>；</w:t>
                  </w:r>
                </w:p>
                <w:p w14:paraId="65B288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K：考虑沿高度分布不均匀的安全系数，通常取1.4；</w:t>
                  </w:r>
                </w:p>
                <w:p w14:paraId="574981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P：集气罩的周长，m；P=2（a+b），a和b分别为集气罩罩口的长宽尺寸，应确保集气罩罩口的长宽大于废气发生源的长宽，a和b可按照废气发生源长宽的110%～120%进行设计。</w:t>
                  </w:r>
                </w:p>
                <w:p w14:paraId="7BBE3B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H：控制点（废气发生源）至罩口的距离，m；</w:t>
                  </w:r>
                  <w:r>
                    <w:rPr>
                      <w:rFonts w:hint="default" w:ascii="Times New Roman" w:hAnsi="Times New Roman" w:eastAsia="宋体" w:cs="Times New Roman"/>
                      <w:color w:val="auto"/>
                      <w:sz w:val="21"/>
                      <w:szCs w:val="21"/>
                      <w:highlight w:val="none"/>
                    </w:rPr>
                    <w:t>为确保集气罩对废气有较高的收集效率，H应尽可能小于集气罩长边0.3倍，</w:t>
                  </w:r>
                  <w:r>
                    <w:rPr>
                      <w:rFonts w:hint="default" w:ascii="Times New Roman" w:hAnsi="Times New Roman" w:eastAsia="宋体" w:cs="Times New Roman"/>
                      <w:color w:val="auto"/>
                      <w:sz w:val="21"/>
                      <w:szCs w:val="21"/>
                      <w:highlight w:val="none"/>
                      <w:lang w:eastAsia="zh-CN"/>
                    </w:rPr>
                    <w:t>即</w:t>
                  </w:r>
                  <w:r>
                    <w:rPr>
                      <w:rFonts w:hint="default" w:ascii="Times New Roman" w:hAnsi="Times New Roman" w:eastAsia="宋体" w:cs="Times New Roman"/>
                      <w:color w:val="auto"/>
                      <w:sz w:val="21"/>
                      <w:szCs w:val="21"/>
                      <w:highlight w:val="none"/>
                    </w:rPr>
                    <w:t>H≤0.3a。</w:t>
                  </w:r>
                </w:p>
                <w:p w14:paraId="28E640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b/>
                      <w:bCs/>
                      <w:i w:val="0"/>
                      <w:iCs w:val="0"/>
                      <w:color w:val="auto"/>
                      <w:kern w:val="0"/>
                      <w:sz w:val="21"/>
                      <w:szCs w:val="21"/>
                      <w:highlight w:val="none"/>
                      <w:u w:val="single"/>
                      <w:lang w:val="en-US" w:eastAsia="zh-CN"/>
                    </w:rPr>
                  </w:pPr>
                  <w:r>
                    <w:rPr>
                      <w:rStyle w:val="127"/>
                      <w:rFonts w:hint="default" w:ascii="Times New Roman" w:hAnsi="Times New Roman" w:cs="Times New Roman"/>
                      <w:color w:val="auto"/>
                      <w:sz w:val="21"/>
                      <w:szCs w:val="21"/>
                      <w:highlight w:val="none"/>
                    </w:rPr>
                    <w:t>V</w:t>
                  </w:r>
                  <w:r>
                    <w:rPr>
                      <w:rStyle w:val="127"/>
                      <w:rFonts w:hint="default" w:ascii="Times New Roman" w:hAnsi="Times New Roman" w:cs="Times New Roman"/>
                      <w:color w:val="auto"/>
                      <w:sz w:val="21"/>
                      <w:szCs w:val="21"/>
                      <w:highlight w:val="none"/>
                      <w:vertAlign w:val="subscript"/>
                    </w:rPr>
                    <w:t>x</w:t>
                  </w:r>
                  <w:r>
                    <w:rPr>
                      <w:rStyle w:val="83"/>
                      <w:rFonts w:hint="default" w:ascii="Times New Roman" w:hAnsi="Times New Roman" w:cs="Times New Roman"/>
                      <w:color w:val="auto"/>
                      <w:sz w:val="21"/>
                      <w:szCs w:val="21"/>
                      <w:highlight w:val="none"/>
                    </w:rPr>
                    <w:t>：控制风速，m/s；本项目取0.</w:t>
                  </w:r>
                  <w:r>
                    <w:rPr>
                      <w:rStyle w:val="83"/>
                      <w:rFonts w:hint="default" w:ascii="Times New Roman" w:hAnsi="Times New Roman" w:cs="Times New Roman"/>
                      <w:color w:val="auto"/>
                      <w:sz w:val="21"/>
                      <w:szCs w:val="21"/>
                      <w:highlight w:val="none"/>
                      <w:lang w:val="en-US" w:eastAsia="zh-CN"/>
                    </w:rPr>
                    <w:t>5</w:t>
                  </w:r>
                  <w:r>
                    <w:rPr>
                      <w:rStyle w:val="83"/>
                      <w:rFonts w:hint="default" w:ascii="Times New Roman" w:hAnsi="Times New Roman" w:cs="Times New Roman"/>
                      <w:color w:val="auto"/>
                      <w:sz w:val="21"/>
                      <w:szCs w:val="21"/>
                      <w:highlight w:val="none"/>
                    </w:rPr>
                    <w:t>m/s</w:t>
                  </w:r>
                </w:p>
              </w:tc>
            </w:tr>
          </w:tbl>
          <w:p w14:paraId="72BD0D4F">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烘水通道设置的</w:t>
            </w:r>
            <w:r>
              <w:rPr>
                <w:rFonts w:hint="default" w:ascii="Times New Roman" w:hAnsi="Times New Roman" w:cs="Times New Roman"/>
                <w:color w:val="auto"/>
                <w:sz w:val="24"/>
                <w:szCs w:val="24"/>
                <w:highlight w:val="none"/>
                <w:lang w:val="en-US" w:eastAsia="zh-CN"/>
              </w:rPr>
              <w:t>1条</w:t>
            </w:r>
            <w:r>
              <w:rPr>
                <w:rFonts w:hint="default" w:ascii="Times New Roman" w:hAnsi="Times New Roman" w:cs="Times New Roman"/>
                <w:color w:val="auto"/>
                <w:sz w:val="24"/>
                <w:szCs w:val="24"/>
                <w:highlight w:val="none"/>
              </w:rPr>
              <w:t>直连排风管</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eastAsia="zh-CN"/>
              </w:rPr>
              <w:t>参考《环境工程设计手册》中圆形分管的风量计算公式：</w:t>
            </w:r>
          </w:p>
          <w:p w14:paraId="36D28089">
            <w:pPr>
              <w:keepNext w:val="0"/>
              <w:keepLines w:val="0"/>
              <w:suppressLineNumbers w:val="0"/>
              <w:spacing w:before="0" w:beforeAutospacing="0" w:after="0" w:afterAutospacing="0" w:line="240" w:lineRule="auto"/>
              <w:ind w:left="480" w:leftChars="20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position w:val="-24"/>
                <w:sz w:val="24"/>
                <w:szCs w:val="24"/>
                <w:highlight w:val="none"/>
              </w:rPr>
              <w:object>
                <v:shape id="_x0000_i1027" o:spt="75" type="#_x0000_t75" style="height:31pt;width:80pt;" o:ole="t" filled="f" stroked="f" coordsize="21600,21600">
                  <v:path/>
                  <v:fill on="f" focussize="0,0"/>
                  <v:stroke on="f"/>
                  <v:imagedata r:id="rId17" embosscolor="#FFFFFF" o:title=""/>
                  <o:lock v:ext="edit" aspectratio="t"/>
                  <w10:wrap type="none"/>
                  <w10:anchorlock/>
                </v:shape>
                <o:OLEObject Type="Embed" ProgID="Equation.KSEE3" ShapeID="_x0000_i1027" DrawAspect="Content" ObjectID="_1468075727" r:id="rId16">
                  <o:LockedField>false</o:LockedField>
                </o:OLEObject>
              </w:object>
            </w:r>
          </w:p>
          <w:p w14:paraId="7A140F50">
            <w:pPr>
              <w:keepNext w:val="0"/>
              <w:keepLines w:val="0"/>
              <w:suppressLineNumbers w:val="0"/>
              <w:spacing w:before="0" w:beforeAutospacing="0" w:after="0" w:afterAutospacing="0" w:line="360" w:lineRule="auto"/>
              <w:ind w:left="480" w:leftChars="200" w:right="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式中：</w:t>
            </w:r>
          </w:p>
          <w:p w14:paraId="784D1183">
            <w:pPr>
              <w:keepNext w:val="0"/>
              <w:keepLines w:val="0"/>
              <w:suppressLineNumbers w:val="0"/>
              <w:spacing w:before="0" w:beforeAutospacing="0" w:after="0" w:afterAutospacing="0" w:line="360" w:lineRule="auto"/>
              <w:ind w:left="480" w:leftChars="200" w:right="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L---集气罩排风量，m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eastAsia="zh-CN"/>
              </w:rPr>
              <w:t>/h；</w:t>
            </w:r>
          </w:p>
          <w:p w14:paraId="075257A2">
            <w:pPr>
              <w:keepNext w:val="0"/>
              <w:keepLines w:val="0"/>
              <w:suppressLineNumbers w:val="0"/>
              <w:spacing w:before="0" w:beforeAutospacing="0" w:after="0" w:afterAutospacing="0" w:line="360" w:lineRule="auto"/>
              <w:ind w:left="480" w:leftChars="200" w:right="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D---分管直径，m，</w:t>
            </w:r>
            <w:r>
              <w:rPr>
                <w:rFonts w:hint="default" w:ascii="Times New Roman" w:hAnsi="Times New Roman" w:cs="Times New Roman"/>
                <w:color w:val="auto"/>
                <w:sz w:val="24"/>
                <w:szCs w:val="24"/>
                <w:highlight w:val="none"/>
                <w:lang w:val="en-US" w:eastAsia="zh-CN"/>
              </w:rPr>
              <w:t>本项目分管直径取0.15m</w:t>
            </w:r>
            <w:r>
              <w:rPr>
                <w:rFonts w:hint="default" w:ascii="Times New Roman" w:hAnsi="Times New Roman" w:cs="Times New Roman"/>
                <w:color w:val="auto"/>
                <w:sz w:val="24"/>
                <w:szCs w:val="24"/>
                <w:highlight w:val="none"/>
                <w:lang w:eastAsia="zh-CN"/>
              </w:rPr>
              <w:t>；</w:t>
            </w:r>
          </w:p>
          <w:p w14:paraId="62A7F1A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V---断面平均风速，m/s，根据《简明通风设计手册》中表6-10一般通风系统风管内的风速，项目采用钢板及塑料风管，项目干管采用风速为14m/s，本项目断面平均风速取</w:t>
            </w:r>
            <w:r>
              <w:rPr>
                <w:rFonts w:hint="default" w:ascii="Times New Roman" w:hAnsi="Times New Roman" w:cs="Times New Roman"/>
                <w:color w:val="auto"/>
                <w:sz w:val="24"/>
                <w:szCs w:val="24"/>
                <w:highlight w:val="none"/>
                <w:lang w:val="en-US" w:eastAsia="zh-CN"/>
              </w:rPr>
              <w:t>14</w:t>
            </w:r>
            <w:r>
              <w:rPr>
                <w:rFonts w:hint="default" w:ascii="Times New Roman" w:hAnsi="Times New Roman" w:cs="Times New Roman"/>
                <w:color w:val="auto"/>
                <w:sz w:val="24"/>
                <w:szCs w:val="24"/>
                <w:highlight w:val="none"/>
                <w:lang w:eastAsia="zh-CN"/>
              </w:rPr>
              <w:t>m/s。</w:t>
            </w:r>
          </w:p>
          <w:p w14:paraId="116972C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cs="Times New Roman"/>
                <w:b w:val="0"/>
                <w:bCs w:val="0"/>
                <w:color w:val="auto"/>
                <w:sz w:val="24"/>
                <w:szCs w:val="24"/>
                <w:highlight w:val="none"/>
                <w:lang w:val="en-US" w:eastAsia="zh-CN"/>
              </w:rPr>
              <w:t>单条直连排风管风量=3600s×3.14÷4×0.15</w:t>
            </w:r>
            <w:r>
              <w:rPr>
                <w:rFonts w:hint="default" w:ascii="Times New Roman" w:hAnsi="Times New Roman" w:cs="Times New Roman"/>
                <w:b w:val="0"/>
                <w:bCs w:val="0"/>
                <w:color w:val="auto"/>
                <w:sz w:val="24"/>
                <w:szCs w:val="24"/>
                <w:highlight w:val="none"/>
                <w:vertAlign w:val="superscript"/>
                <w:lang w:val="en-US" w:eastAsia="zh-CN"/>
              </w:rPr>
              <w:t>2</w:t>
            </w:r>
            <w:r>
              <w:rPr>
                <w:rFonts w:hint="default" w:ascii="Times New Roman" w:hAnsi="Times New Roman" w:cs="Times New Roman"/>
                <w:b w:val="0"/>
                <w:bCs w:val="0"/>
                <w:color w:val="auto"/>
                <w:sz w:val="24"/>
                <w:szCs w:val="24"/>
                <w:highlight w:val="none"/>
                <w:vertAlign w:val="baseline"/>
                <w:lang w:val="en-US" w:eastAsia="zh-CN"/>
              </w:rPr>
              <w:t>m</w:t>
            </w:r>
            <w:r>
              <w:rPr>
                <w:rFonts w:hint="default" w:ascii="Times New Roman" w:hAnsi="Times New Roman" w:cs="Times New Roman"/>
                <w:b w:val="0"/>
                <w:bCs w:val="0"/>
                <w:color w:val="auto"/>
                <w:sz w:val="24"/>
                <w:szCs w:val="24"/>
                <w:highlight w:val="none"/>
                <w:vertAlign w:val="superscript"/>
                <w:lang w:val="en-US" w:eastAsia="zh-CN"/>
              </w:rPr>
              <w:t>2</w:t>
            </w:r>
            <w:r>
              <w:rPr>
                <w:rFonts w:hint="default" w:ascii="Times New Roman" w:hAnsi="Times New Roman" w:cs="Times New Roman"/>
                <w:b w:val="0"/>
                <w:bCs w:val="0"/>
                <w:color w:val="auto"/>
                <w:sz w:val="24"/>
                <w:szCs w:val="24"/>
                <w:highlight w:val="none"/>
                <w:vertAlign w:val="baseline"/>
                <w:lang w:val="en-US" w:eastAsia="zh-CN"/>
              </w:rPr>
              <w:t>×14m/s=890.2m</w:t>
            </w:r>
            <w:r>
              <w:rPr>
                <w:rFonts w:hint="default" w:ascii="Times New Roman" w:hAnsi="Times New Roman" w:cs="Times New Roman"/>
                <w:b w:val="0"/>
                <w:bCs w:val="0"/>
                <w:color w:val="auto"/>
                <w:sz w:val="24"/>
                <w:szCs w:val="24"/>
                <w:highlight w:val="none"/>
                <w:vertAlign w:val="superscript"/>
                <w:lang w:val="en-US" w:eastAsia="zh-CN"/>
              </w:rPr>
              <w:t>3</w:t>
            </w:r>
            <w:r>
              <w:rPr>
                <w:rFonts w:hint="default" w:ascii="Times New Roman" w:hAnsi="Times New Roman" w:cs="Times New Roman"/>
                <w:b w:val="0"/>
                <w:bCs w:val="0"/>
                <w:color w:val="auto"/>
                <w:sz w:val="24"/>
                <w:szCs w:val="24"/>
                <w:highlight w:val="none"/>
                <w:vertAlign w:val="baseline"/>
                <w:lang w:val="en-US" w:eastAsia="zh-CN"/>
              </w:rPr>
              <w:t>/h</w:t>
            </w:r>
          </w:p>
          <w:p w14:paraId="0E1F0376">
            <w:pPr>
              <w:keepNext w:val="0"/>
              <w:keepLines w:val="0"/>
              <w:suppressLineNumbers w:val="0"/>
              <w:spacing w:before="0" w:beforeAutospacing="0" w:after="0" w:afterAutospacing="0" w:line="360" w:lineRule="auto"/>
              <w:ind w:left="480" w:leftChars="200" w:right="0"/>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本项目天然气燃烧废气收集风量统计如下表所示。</w:t>
            </w:r>
          </w:p>
          <w:p w14:paraId="32DFC56B">
            <w:pPr>
              <w:keepNext w:val="0"/>
              <w:keepLines w:val="0"/>
              <w:widowControl/>
              <w:numPr>
                <w:ilvl w:val="0"/>
                <w:numId w:val="10"/>
              </w:numPr>
              <w:suppressLineNumbers w:val="0"/>
              <w:spacing w:before="0" w:beforeAutospacing="0" w:after="0" w:afterAutospacing="0" w:line="240" w:lineRule="auto"/>
              <w:ind w:left="0" w:leftChars="0" w:right="0" w:hanging="1"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烘水通道天然气燃烧废气合计收集风量一览表</w:t>
            </w:r>
          </w:p>
          <w:tbl>
            <w:tblPr>
              <w:tblStyle w:val="43"/>
              <w:tblW w:w="840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51"/>
              <w:gridCol w:w="2253"/>
              <w:gridCol w:w="1685"/>
              <w:gridCol w:w="1982"/>
            </w:tblGrid>
            <w:tr w14:paraId="7814D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082" w:type="dxa"/>
                  <w:tcBorders>
                    <w:top w:val="single" w:color="000000" w:sz="4" w:space="0"/>
                    <w:left w:val="single" w:color="000000" w:sz="4" w:space="0"/>
                    <w:bottom w:val="single" w:color="000000" w:sz="4" w:space="0"/>
                    <w:right w:val="single" w:color="000000" w:sz="4" w:space="0"/>
                  </w:tcBorders>
                  <w:vAlign w:val="center"/>
                </w:tcPr>
                <w:p w14:paraId="255367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产污类别</w:t>
                  </w:r>
                </w:p>
              </w:tc>
              <w:tc>
                <w:tcPr>
                  <w:tcW w:w="2407" w:type="dxa"/>
                  <w:tcBorders>
                    <w:top w:val="single" w:color="000000" w:sz="4" w:space="0"/>
                    <w:left w:val="single" w:color="000000" w:sz="4" w:space="0"/>
                    <w:bottom w:val="single" w:color="000000" w:sz="4" w:space="0"/>
                    <w:right w:val="single" w:color="000000" w:sz="4" w:space="0"/>
                  </w:tcBorders>
                  <w:vAlign w:val="center"/>
                </w:tcPr>
                <w:p w14:paraId="71CCD6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产污设备</w:t>
                  </w:r>
                </w:p>
              </w:tc>
              <w:tc>
                <w:tcPr>
                  <w:tcW w:w="1796" w:type="dxa"/>
                  <w:tcBorders>
                    <w:top w:val="single" w:color="000000" w:sz="4" w:space="0"/>
                    <w:left w:val="single" w:color="000000" w:sz="4" w:space="0"/>
                    <w:bottom w:val="single" w:color="000000" w:sz="4" w:space="0"/>
                    <w:right w:val="single" w:color="000000" w:sz="4" w:space="0"/>
                  </w:tcBorders>
                  <w:vAlign w:val="center"/>
                </w:tcPr>
                <w:p w14:paraId="76B423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集气方式</w:t>
                  </w:r>
                </w:p>
              </w:tc>
              <w:tc>
                <w:tcPr>
                  <w:tcW w:w="2116" w:type="dxa"/>
                  <w:tcBorders>
                    <w:top w:val="single" w:color="000000" w:sz="4" w:space="0"/>
                    <w:left w:val="single" w:color="000000" w:sz="4" w:space="0"/>
                    <w:bottom w:val="single" w:color="000000" w:sz="4" w:space="0"/>
                    <w:right w:val="single" w:color="000000" w:sz="4" w:space="0"/>
                  </w:tcBorders>
                  <w:vAlign w:val="center"/>
                </w:tcPr>
                <w:p w14:paraId="2C9E9D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rPr>
                    <w:t>计算风量（m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rPr>
                    <w:t>3</w:t>
                  </w:r>
                  <w:r>
                    <w:rPr>
                      <w:rFonts w:hint="default" w:ascii="Times New Roman" w:hAnsi="Times New Roman" w:eastAsia="宋体" w:cs="Times New Roman"/>
                      <w:b/>
                      <w:bCs/>
                      <w:i w:val="0"/>
                      <w:iCs w:val="0"/>
                      <w:color w:val="auto"/>
                      <w:kern w:val="0"/>
                      <w:sz w:val="21"/>
                      <w:szCs w:val="21"/>
                      <w:highlight w:val="none"/>
                      <w:u w:val="none"/>
                      <w:lang w:val="en-US" w:eastAsia="zh-CN"/>
                    </w:rPr>
                    <w:t>/h）</w:t>
                  </w:r>
                </w:p>
              </w:tc>
            </w:tr>
            <w:tr w14:paraId="30398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082" w:type="dxa"/>
                  <w:vMerge w:val="restart"/>
                  <w:tcBorders>
                    <w:top w:val="single" w:color="000000" w:sz="4" w:space="0"/>
                    <w:left w:val="single" w:color="000000" w:sz="4" w:space="0"/>
                    <w:bottom w:val="single" w:color="000000" w:sz="4" w:space="0"/>
                    <w:right w:val="single" w:color="000000" w:sz="4" w:space="0"/>
                  </w:tcBorders>
                  <w:vAlign w:val="center"/>
                </w:tcPr>
                <w:p w14:paraId="6297E297">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天然气燃烧废气</w:t>
                  </w:r>
                  <w:r>
                    <w:rPr>
                      <w:rFonts w:hint="eastAsia" w:ascii="Times New Roman" w:hAnsi="Times New Roman" w:eastAsia="宋体" w:cs="Times New Roman"/>
                      <w:i w:val="0"/>
                      <w:iCs w:val="0"/>
                      <w:color w:val="auto"/>
                      <w:kern w:val="0"/>
                      <w:sz w:val="21"/>
                      <w:szCs w:val="21"/>
                      <w:highlight w:val="none"/>
                      <w:u w:val="none"/>
                      <w:lang w:val="en-US" w:eastAsia="zh-CN"/>
                    </w:rPr>
                    <w:t>DA002</w:t>
                  </w:r>
                </w:p>
              </w:tc>
              <w:tc>
                <w:tcPr>
                  <w:tcW w:w="2407" w:type="dxa"/>
                  <w:tcBorders>
                    <w:top w:val="single" w:color="000000" w:sz="4" w:space="0"/>
                    <w:left w:val="single" w:color="000000" w:sz="4" w:space="0"/>
                    <w:bottom w:val="single" w:color="000000" w:sz="4" w:space="0"/>
                    <w:right w:val="single" w:color="000000" w:sz="4" w:space="0"/>
                  </w:tcBorders>
                  <w:vAlign w:val="center"/>
                </w:tcPr>
                <w:p w14:paraId="2AC0EF70">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烘水通道</w:t>
                  </w:r>
                </w:p>
              </w:tc>
              <w:tc>
                <w:tcPr>
                  <w:tcW w:w="1796" w:type="dxa"/>
                  <w:tcBorders>
                    <w:top w:val="single" w:color="000000" w:sz="4" w:space="0"/>
                    <w:left w:val="single" w:color="000000" w:sz="4" w:space="0"/>
                    <w:bottom w:val="single" w:color="000000" w:sz="4" w:space="0"/>
                    <w:right w:val="single" w:color="000000" w:sz="4" w:space="0"/>
                  </w:tcBorders>
                  <w:vAlign w:val="center"/>
                </w:tcPr>
                <w:p w14:paraId="576782F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集气罩</w:t>
                  </w:r>
                </w:p>
              </w:tc>
              <w:tc>
                <w:tcPr>
                  <w:tcW w:w="2116" w:type="dxa"/>
                  <w:tcBorders>
                    <w:top w:val="single" w:color="000000" w:sz="4" w:space="0"/>
                    <w:left w:val="single" w:color="000000" w:sz="4" w:space="0"/>
                    <w:bottom w:val="single" w:color="000000" w:sz="4" w:space="0"/>
                    <w:right w:val="single" w:color="000000" w:sz="4" w:space="0"/>
                  </w:tcBorders>
                  <w:vAlign w:val="center"/>
                </w:tcPr>
                <w:p w14:paraId="51D9848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rPr>
                    <w:t>2872.8</w:t>
                  </w:r>
                </w:p>
              </w:tc>
            </w:tr>
            <w:tr w14:paraId="67080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082" w:type="dxa"/>
                  <w:vMerge w:val="continue"/>
                  <w:tcBorders>
                    <w:left w:val="single" w:color="000000" w:sz="4" w:space="0"/>
                    <w:right w:val="single" w:color="000000" w:sz="4" w:space="0"/>
                  </w:tcBorders>
                  <w:vAlign w:val="center"/>
                </w:tcPr>
                <w:p w14:paraId="21847CF4">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i w:val="0"/>
                      <w:iCs w:val="0"/>
                      <w:color w:val="auto"/>
                      <w:kern w:val="0"/>
                      <w:sz w:val="21"/>
                      <w:szCs w:val="21"/>
                      <w:highlight w:val="none"/>
                      <w:u w:val="none"/>
                      <w:lang w:val="en-US" w:eastAsia="zh-CN"/>
                    </w:rPr>
                  </w:pPr>
                </w:p>
              </w:tc>
              <w:tc>
                <w:tcPr>
                  <w:tcW w:w="2407" w:type="dxa"/>
                  <w:tcBorders>
                    <w:top w:val="single" w:color="000000" w:sz="4" w:space="0"/>
                    <w:left w:val="single" w:color="000000" w:sz="4" w:space="0"/>
                    <w:bottom w:val="single" w:color="000000" w:sz="4" w:space="0"/>
                    <w:right w:val="single" w:color="000000" w:sz="4" w:space="0"/>
                  </w:tcBorders>
                  <w:vAlign w:val="center"/>
                </w:tcPr>
                <w:p w14:paraId="4558AADA">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烘水通道</w:t>
                  </w:r>
                </w:p>
              </w:tc>
              <w:tc>
                <w:tcPr>
                  <w:tcW w:w="1796" w:type="dxa"/>
                  <w:tcBorders>
                    <w:top w:val="single" w:color="000000" w:sz="4" w:space="0"/>
                    <w:left w:val="single" w:color="000000" w:sz="4" w:space="0"/>
                    <w:bottom w:val="single" w:color="000000" w:sz="4" w:space="0"/>
                    <w:right w:val="single" w:color="000000" w:sz="4" w:space="0"/>
                  </w:tcBorders>
                  <w:vAlign w:val="center"/>
                </w:tcPr>
                <w:p w14:paraId="5E5EB82F">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直连管道</w:t>
                  </w:r>
                </w:p>
              </w:tc>
              <w:tc>
                <w:tcPr>
                  <w:tcW w:w="2116" w:type="dxa"/>
                  <w:tcBorders>
                    <w:top w:val="single" w:color="000000" w:sz="4" w:space="0"/>
                    <w:left w:val="single" w:color="000000" w:sz="4" w:space="0"/>
                    <w:bottom w:val="single" w:color="000000" w:sz="4" w:space="0"/>
                    <w:right w:val="single" w:color="000000" w:sz="4" w:space="0"/>
                  </w:tcBorders>
                  <w:vAlign w:val="center"/>
                </w:tcPr>
                <w:p w14:paraId="064539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890.2</w:t>
                  </w:r>
                </w:p>
              </w:tc>
            </w:tr>
            <w:tr w14:paraId="2A7AC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082" w:type="dxa"/>
                  <w:vMerge w:val="restart"/>
                  <w:tcBorders>
                    <w:top w:val="single" w:color="000000" w:sz="4" w:space="0"/>
                    <w:left w:val="single" w:color="000000" w:sz="4" w:space="0"/>
                    <w:bottom w:val="single" w:color="000000" w:sz="4" w:space="0"/>
                    <w:right w:val="single" w:color="000000" w:sz="4" w:space="0"/>
                  </w:tcBorders>
                  <w:vAlign w:val="center"/>
                </w:tcPr>
                <w:p w14:paraId="20A8681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rPr>
                    <w:t>天然气燃烧废气</w:t>
                  </w:r>
                  <w:r>
                    <w:rPr>
                      <w:rFonts w:hint="eastAsia" w:ascii="Times New Roman" w:hAnsi="Times New Roman" w:eastAsia="宋体" w:cs="Times New Roman"/>
                      <w:i w:val="0"/>
                      <w:iCs w:val="0"/>
                      <w:color w:val="auto"/>
                      <w:kern w:val="0"/>
                      <w:sz w:val="21"/>
                      <w:szCs w:val="21"/>
                      <w:highlight w:val="none"/>
                      <w:u w:val="none"/>
                      <w:lang w:val="en-US" w:eastAsia="zh-CN"/>
                    </w:rPr>
                    <w:t>DA00</w:t>
                  </w:r>
                  <w:r>
                    <w:rPr>
                      <w:rFonts w:hint="eastAsia" w:cs="Times New Roman"/>
                      <w:i w:val="0"/>
                      <w:iCs w:val="0"/>
                      <w:color w:val="auto"/>
                      <w:kern w:val="0"/>
                      <w:sz w:val="21"/>
                      <w:szCs w:val="21"/>
                      <w:highlight w:val="none"/>
                      <w:u w:val="none"/>
                      <w:lang w:val="en-US" w:eastAsia="zh-CN"/>
                    </w:rPr>
                    <w:t>3</w:t>
                  </w:r>
                </w:p>
              </w:tc>
              <w:tc>
                <w:tcPr>
                  <w:tcW w:w="2407" w:type="dxa"/>
                  <w:tcBorders>
                    <w:top w:val="single" w:color="000000" w:sz="4" w:space="0"/>
                    <w:left w:val="single" w:color="000000" w:sz="4" w:space="0"/>
                    <w:bottom w:val="single" w:color="000000" w:sz="4" w:space="0"/>
                    <w:right w:val="single" w:color="000000" w:sz="4" w:space="0"/>
                  </w:tcBorders>
                  <w:vAlign w:val="center"/>
                </w:tcPr>
                <w:p w14:paraId="7A75EE85">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rPr>
                    <w:t>烤</w:t>
                  </w:r>
                  <w:r>
                    <w:rPr>
                      <w:rFonts w:hint="eastAsia" w:ascii="Times New Roman" w:hAnsi="Times New Roman" w:eastAsia="宋体" w:cs="Times New Roman"/>
                      <w:i w:val="0"/>
                      <w:iCs w:val="0"/>
                      <w:color w:val="auto"/>
                      <w:kern w:val="0"/>
                      <w:sz w:val="21"/>
                      <w:szCs w:val="21"/>
                      <w:highlight w:val="none"/>
                      <w:u w:val="none"/>
                      <w:lang w:val="en-US" w:eastAsia="zh-CN"/>
                    </w:rPr>
                    <w:t>炉尾</w:t>
                  </w:r>
                  <w:r>
                    <w:rPr>
                      <w:rFonts w:hint="default" w:ascii="Times New Roman" w:hAnsi="Times New Roman" w:eastAsia="宋体" w:cs="Times New Roman"/>
                      <w:i w:val="0"/>
                      <w:iCs w:val="0"/>
                      <w:color w:val="auto"/>
                      <w:kern w:val="0"/>
                      <w:sz w:val="21"/>
                      <w:szCs w:val="21"/>
                      <w:highlight w:val="none"/>
                      <w:u w:val="none"/>
                      <w:lang w:val="en-US" w:eastAsia="zh-CN"/>
                    </w:rPr>
                    <w:t>端</w:t>
                  </w:r>
                </w:p>
              </w:tc>
              <w:tc>
                <w:tcPr>
                  <w:tcW w:w="1796" w:type="dxa"/>
                  <w:tcBorders>
                    <w:top w:val="single" w:color="000000" w:sz="4" w:space="0"/>
                    <w:left w:val="single" w:color="000000" w:sz="4" w:space="0"/>
                    <w:bottom w:val="single" w:color="000000" w:sz="4" w:space="0"/>
                    <w:right w:val="single" w:color="000000" w:sz="4" w:space="0"/>
                  </w:tcBorders>
                  <w:vAlign w:val="center"/>
                </w:tcPr>
                <w:p w14:paraId="2467C7A1">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集气罩</w:t>
                  </w:r>
                </w:p>
              </w:tc>
              <w:tc>
                <w:tcPr>
                  <w:tcW w:w="2116" w:type="dxa"/>
                  <w:tcBorders>
                    <w:top w:val="single" w:color="000000" w:sz="4" w:space="0"/>
                    <w:left w:val="single" w:color="000000" w:sz="4" w:space="0"/>
                    <w:bottom w:val="single" w:color="000000" w:sz="4" w:space="0"/>
                    <w:right w:val="single" w:color="000000" w:sz="4" w:space="0"/>
                  </w:tcBorders>
                  <w:vAlign w:val="center"/>
                </w:tcPr>
                <w:p w14:paraId="44EF31E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rPr>
                    <w:t>2620.8</w:t>
                  </w:r>
                </w:p>
              </w:tc>
            </w:tr>
            <w:tr w14:paraId="3F61E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082" w:type="dxa"/>
                  <w:vMerge w:val="continue"/>
                  <w:tcBorders>
                    <w:top w:val="single" w:color="000000" w:sz="4" w:space="0"/>
                    <w:left w:val="single" w:color="000000" w:sz="4" w:space="0"/>
                    <w:bottom w:val="single" w:color="000000" w:sz="4" w:space="0"/>
                    <w:right w:val="single" w:color="000000" w:sz="4" w:space="0"/>
                  </w:tcBorders>
                  <w:noWrap/>
                  <w:vAlign w:val="center"/>
                </w:tcPr>
                <w:p w14:paraId="52B17637">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i w:val="0"/>
                      <w:iCs w:val="0"/>
                      <w:color w:val="auto"/>
                      <w:sz w:val="21"/>
                      <w:szCs w:val="21"/>
                      <w:highlight w:val="none"/>
                      <w:u w:val="none"/>
                    </w:rPr>
                  </w:pPr>
                </w:p>
              </w:tc>
              <w:tc>
                <w:tcPr>
                  <w:tcW w:w="2407" w:type="dxa"/>
                  <w:tcBorders>
                    <w:top w:val="single" w:color="000000" w:sz="4" w:space="0"/>
                    <w:left w:val="single" w:color="000000" w:sz="4" w:space="0"/>
                    <w:bottom w:val="single" w:color="000000" w:sz="4" w:space="0"/>
                    <w:right w:val="single" w:color="000000" w:sz="4" w:space="0"/>
                  </w:tcBorders>
                  <w:noWrap/>
                  <w:vAlign w:val="center"/>
                </w:tcPr>
                <w:p w14:paraId="24B0E2BD">
                  <w:pPr>
                    <w:keepNext w:val="0"/>
                    <w:keepLines w:val="0"/>
                    <w:widowControl/>
                    <w:suppressLineNumbers w:val="0"/>
                    <w:spacing w:before="0" w:beforeAutospacing="0" w:after="0" w:afterAutospacing="0" w:line="240" w:lineRule="auto"/>
                    <w:ind w:left="0" w:leftChars="0" w:right="0" w:rightChars="0"/>
                    <w:jc w:val="center"/>
                    <w:textAlignment w:val="center"/>
                    <w:rPr>
                      <w:color w:val="auto"/>
                      <w:highlight w:val="none"/>
                    </w:rPr>
                  </w:pPr>
                  <w:r>
                    <w:rPr>
                      <w:rFonts w:hint="eastAsia" w:ascii="Times New Roman" w:hAnsi="Times New Roman" w:eastAsia="宋体" w:cs="Times New Roman"/>
                      <w:i w:val="0"/>
                      <w:iCs w:val="0"/>
                      <w:color w:val="auto"/>
                      <w:kern w:val="0"/>
                      <w:sz w:val="21"/>
                      <w:szCs w:val="21"/>
                      <w:highlight w:val="none"/>
                      <w:u w:val="none"/>
                      <w:lang w:val="en-US" w:eastAsia="zh-CN"/>
                    </w:rPr>
                    <w:t>固化</w:t>
                  </w:r>
                  <w:r>
                    <w:rPr>
                      <w:rFonts w:hint="default" w:ascii="Times New Roman" w:hAnsi="Times New Roman" w:eastAsia="宋体" w:cs="Times New Roman"/>
                      <w:i w:val="0"/>
                      <w:iCs w:val="0"/>
                      <w:color w:val="auto"/>
                      <w:kern w:val="0"/>
                      <w:sz w:val="21"/>
                      <w:szCs w:val="21"/>
                      <w:highlight w:val="none"/>
                      <w:u w:val="none"/>
                      <w:lang w:val="en-US" w:eastAsia="zh-CN"/>
                    </w:rPr>
                    <w:t>通道</w:t>
                  </w:r>
                </w:p>
              </w:tc>
              <w:tc>
                <w:tcPr>
                  <w:tcW w:w="1796" w:type="dxa"/>
                  <w:tcBorders>
                    <w:top w:val="single" w:color="000000" w:sz="4" w:space="0"/>
                    <w:left w:val="single" w:color="000000" w:sz="4" w:space="0"/>
                    <w:bottom w:val="single" w:color="000000" w:sz="4" w:space="0"/>
                    <w:right w:val="single" w:color="000000" w:sz="4" w:space="0"/>
                  </w:tcBorders>
                  <w:noWrap/>
                  <w:vAlign w:val="center"/>
                </w:tcPr>
                <w:p w14:paraId="5252FF51">
                  <w:pPr>
                    <w:keepNext w:val="0"/>
                    <w:keepLines w:val="0"/>
                    <w:widowControl/>
                    <w:suppressLineNumbers w:val="0"/>
                    <w:spacing w:before="0" w:beforeAutospacing="0" w:after="0" w:afterAutospacing="0" w:line="240" w:lineRule="auto"/>
                    <w:ind w:left="0" w:leftChars="0" w:right="0" w:rightChars="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rPr>
                    <w:t>直连管道</w:t>
                  </w:r>
                </w:p>
              </w:tc>
              <w:tc>
                <w:tcPr>
                  <w:tcW w:w="2116" w:type="dxa"/>
                  <w:tcBorders>
                    <w:top w:val="single" w:color="000000" w:sz="4" w:space="0"/>
                    <w:left w:val="single" w:color="000000" w:sz="4" w:space="0"/>
                    <w:bottom w:val="single" w:color="000000" w:sz="4" w:space="0"/>
                    <w:right w:val="single" w:color="000000" w:sz="4" w:space="0"/>
                  </w:tcBorders>
                  <w:noWrap/>
                  <w:vAlign w:val="center"/>
                </w:tcPr>
                <w:p w14:paraId="670608C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rPr>
                    <w:t>890.2</w:t>
                  </w:r>
                </w:p>
              </w:tc>
            </w:tr>
            <w:tr w14:paraId="4B643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8401" w:type="dxa"/>
                  <w:gridSpan w:val="4"/>
                  <w:tcBorders>
                    <w:top w:val="single" w:color="000000" w:sz="4" w:space="0"/>
                    <w:left w:val="single" w:color="000000" w:sz="4" w:space="0"/>
                    <w:bottom w:val="single" w:color="000000" w:sz="4" w:space="0"/>
                    <w:right w:val="single" w:color="000000" w:sz="4" w:space="0"/>
                  </w:tcBorders>
                  <w:noWrap/>
                  <w:vAlign w:val="center"/>
                </w:tcPr>
                <w:p w14:paraId="6A756C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rPr>
                    <w:t>备注：本环评考虑到风阻损失等，保守设计风量取</w:t>
                  </w:r>
                  <w:r>
                    <w:rPr>
                      <w:rFonts w:hint="eastAsia" w:cs="Times New Roman"/>
                      <w:b w:val="0"/>
                      <w:bCs w:val="0"/>
                      <w:i w:val="0"/>
                      <w:iCs w:val="0"/>
                      <w:color w:val="auto"/>
                      <w:kern w:val="0"/>
                      <w:sz w:val="21"/>
                      <w:szCs w:val="21"/>
                      <w:highlight w:val="none"/>
                      <w:u w:val="none"/>
                      <w:lang w:val="en-US" w:eastAsia="zh-CN"/>
                    </w:rPr>
                    <w:t>5</w:t>
                  </w:r>
                  <w:r>
                    <w:rPr>
                      <w:rFonts w:hint="default" w:ascii="Times New Roman" w:hAnsi="Times New Roman" w:eastAsia="宋体" w:cs="Times New Roman"/>
                      <w:b w:val="0"/>
                      <w:bCs w:val="0"/>
                      <w:i w:val="0"/>
                      <w:iCs w:val="0"/>
                      <w:color w:val="auto"/>
                      <w:kern w:val="0"/>
                      <w:sz w:val="21"/>
                      <w:szCs w:val="21"/>
                      <w:highlight w:val="none"/>
                      <w:u w:val="none"/>
                      <w:lang w:val="en-US" w:eastAsia="zh-CN"/>
                    </w:rPr>
                    <w:t>000m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rPr>
                    <w:t>3</w:t>
                  </w:r>
                  <w:r>
                    <w:rPr>
                      <w:rFonts w:hint="default" w:ascii="Times New Roman" w:hAnsi="Times New Roman" w:eastAsia="宋体" w:cs="Times New Roman"/>
                      <w:b w:val="0"/>
                      <w:bCs w:val="0"/>
                      <w:i w:val="0"/>
                      <w:iCs w:val="0"/>
                      <w:color w:val="auto"/>
                      <w:kern w:val="0"/>
                      <w:sz w:val="21"/>
                      <w:szCs w:val="21"/>
                      <w:highlight w:val="none"/>
                      <w:u w:val="none"/>
                      <w:lang w:val="en-US" w:eastAsia="zh-CN"/>
                    </w:rPr>
                    <w:t>/h</w:t>
                  </w:r>
                  <w:r>
                    <w:rPr>
                      <w:rFonts w:hint="default" w:ascii="Times New Roman" w:hAnsi="Times New Roman" w:cs="Times New Roman"/>
                      <w:b w:val="0"/>
                      <w:bCs w:val="0"/>
                      <w:i w:val="0"/>
                      <w:iCs w:val="0"/>
                      <w:color w:val="auto"/>
                      <w:kern w:val="0"/>
                      <w:sz w:val="21"/>
                      <w:szCs w:val="21"/>
                      <w:highlight w:val="none"/>
                      <w:u w:val="none"/>
                      <w:lang w:val="en-US" w:eastAsia="zh-CN"/>
                    </w:rPr>
                    <w:t>，且已包含天然气自身产生的工业废气量。</w:t>
                  </w:r>
                </w:p>
              </w:tc>
            </w:tr>
          </w:tbl>
          <w:p w14:paraId="77E6DA30">
            <w:pPr>
              <w:keepNext w:val="0"/>
              <w:keepLines w:val="0"/>
              <w:pageBreakBefore w:val="0"/>
              <w:widowControl w:val="0"/>
              <w:kinsoku/>
              <w:wordWrap/>
              <w:overflowPunct/>
              <w:topLinePunct w:val="0"/>
              <w:autoSpaceDE/>
              <w:autoSpaceDN/>
              <w:bidi w:val="0"/>
              <w:adjustRightInd/>
              <w:snapToGrid/>
              <w:spacing w:line="100" w:lineRule="exact"/>
              <w:ind w:firstLine="480" w:firstLineChars="200"/>
              <w:jc w:val="both"/>
              <w:textAlignment w:val="auto"/>
              <w:rPr>
                <w:rFonts w:hint="default" w:ascii="Times New Roman" w:hAnsi="Times New Roman" w:eastAsia="宋体" w:cs="Times New Roman"/>
                <w:b/>
                <w:bCs/>
                <w:color w:val="auto"/>
                <w:sz w:val="24"/>
                <w:szCs w:val="24"/>
                <w:highlight w:val="none"/>
                <w:lang w:val="en-US" w:eastAsia="zh-CN"/>
              </w:rPr>
            </w:pPr>
          </w:p>
          <w:p w14:paraId="2A0725B5">
            <w:pPr>
              <w:pStyle w:val="120"/>
              <w:keepNext w:val="0"/>
              <w:keepLines w:val="0"/>
              <w:suppressLineNumbers w:val="0"/>
              <w:snapToGrid/>
              <w:spacing w:before="0" w:beforeAutospacing="0" w:after="0" w:afterAutospacing="0"/>
              <w:ind w:left="0" w:right="0" w:firstLine="480"/>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根据前文废气产生量和风量计算，本项目燃烧废气产排情况如下表所示。</w:t>
            </w:r>
          </w:p>
          <w:p w14:paraId="4FEBE8F6">
            <w:pPr>
              <w:pStyle w:val="120"/>
              <w:keepNext w:val="0"/>
              <w:keepLines w:val="0"/>
              <w:numPr>
                <w:ilvl w:val="0"/>
                <w:numId w:val="10"/>
              </w:numPr>
              <w:suppressLineNumbers w:val="0"/>
              <w:snapToGrid/>
              <w:spacing w:before="0" w:beforeAutospacing="0" w:after="0" w:afterAutospacing="0"/>
              <w:ind w:left="0" w:leftChars="0" w:right="0" w:hanging="1" w:firstLineChars="0"/>
              <w:jc w:val="center"/>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本项目燃烧废气产排情况一览表</w:t>
            </w:r>
          </w:p>
          <w:tbl>
            <w:tblPr>
              <w:tblStyle w:val="43"/>
              <w:tblW w:w="777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89"/>
              <w:gridCol w:w="907"/>
              <w:gridCol w:w="907"/>
              <w:gridCol w:w="907"/>
              <w:gridCol w:w="907"/>
              <w:gridCol w:w="947"/>
              <w:gridCol w:w="910"/>
            </w:tblGrid>
            <w:tr w14:paraId="210D0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2289" w:type="dxa"/>
                  <w:tcBorders>
                    <w:top w:val="single" w:color="000000" w:sz="4" w:space="0"/>
                    <w:left w:val="single" w:color="000000" w:sz="4" w:space="0"/>
                    <w:bottom w:val="single" w:color="000000" w:sz="4" w:space="0"/>
                    <w:right w:val="single" w:color="000000" w:sz="4" w:space="0"/>
                  </w:tcBorders>
                  <w:vAlign w:val="center"/>
                </w:tcPr>
                <w:p w14:paraId="23D8B6B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污染物</w:t>
                  </w:r>
                </w:p>
              </w:tc>
              <w:tc>
                <w:tcPr>
                  <w:tcW w:w="907" w:type="dxa"/>
                  <w:tcBorders>
                    <w:top w:val="single" w:color="000000" w:sz="4" w:space="0"/>
                    <w:left w:val="single" w:color="000000" w:sz="4" w:space="0"/>
                    <w:bottom w:val="single" w:color="000000" w:sz="4" w:space="0"/>
                    <w:right w:val="single" w:color="000000" w:sz="4" w:space="0"/>
                  </w:tcBorders>
                  <w:vAlign w:val="center"/>
                </w:tcPr>
                <w:p w14:paraId="2B5C0C6E">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eastAsia" w:ascii="宋体" w:hAnsi="宋体" w:eastAsia="宋体" w:cs="宋体"/>
                      <w:b/>
                      <w:bCs/>
                      <w:i w:val="0"/>
                      <w:iCs w:val="0"/>
                      <w:color w:val="auto"/>
                      <w:kern w:val="0"/>
                      <w:sz w:val="21"/>
                      <w:szCs w:val="21"/>
                      <w:highlight w:val="none"/>
                      <w:u w:val="none"/>
                      <w:lang w:val="en-US" w:eastAsia="zh-CN" w:bidi="ar"/>
                    </w:rPr>
                    <w:t>颗粒物</w:t>
                  </w:r>
                </w:p>
              </w:tc>
              <w:tc>
                <w:tcPr>
                  <w:tcW w:w="907" w:type="dxa"/>
                  <w:tcBorders>
                    <w:top w:val="single" w:color="000000" w:sz="4" w:space="0"/>
                    <w:left w:val="single" w:color="000000" w:sz="4" w:space="0"/>
                    <w:bottom w:val="single" w:color="000000" w:sz="4" w:space="0"/>
                    <w:right w:val="single" w:color="000000" w:sz="4" w:space="0"/>
                  </w:tcBorders>
                  <w:vAlign w:val="center"/>
                </w:tcPr>
                <w:p w14:paraId="06AFA19B">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SO</w:t>
                  </w:r>
                  <w:r>
                    <w:rPr>
                      <w:rFonts w:hint="default" w:ascii="Times New Roman" w:hAnsi="Times New Roman" w:eastAsia="宋体" w:cs="Times New Roman"/>
                      <w:b/>
                      <w:bCs/>
                      <w:i w:val="0"/>
                      <w:iCs w:val="0"/>
                      <w:color w:val="auto"/>
                      <w:kern w:val="0"/>
                      <w:sz w:val="21"/>
                      <w:szCs w:val="21"/>
                      <w:highlight w:val="none"/>
                      <w:u w:val="none"/>
                      <w:vertAlign w:val="subscript"/>
                      <w:lang w:val="en-US" w:eastAsia="zh-CN" w:bidi="ar"/>
                    </w:rPr>
                    <w:t>2</w:t>
                  </w:r>
                </w:p>
              </w:tc>
              <w:tc>
                <w:tcPr>
                  <w:tcW w:w="907" w:type="dxa"/>
                  <w:tcBorders>
                    <w:top w:val="single" w:color="000000" w:sz="4" w:space="0"/>
                    <w:left w:val="single" w:color="000000" w:sz="4" w:space="0"/>
                    <w:bottom w:val="single" w:color="000000" w:sz="4" w:space="0"/>
                    <w:right w:val="single" w:color="000000" w:sz="4" w:space="0"/>
                  </w:tcBorders>
                  <w:vAlign w:val="center"/>
                </w:tcPr>
                <w:p w14:paraId="532057F7">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NO</w:t>
                  </w:r>
                  <w:r>
                    <w:rPr>
                      <w:rFonts w:hint="default" w:ascii="Times New Roman" w:hAnsi="Times New Roman" w:eastAsia="宋体" w:cs="Times New Roman"/>
                      <w:b/>
                      <w:bCs/>
                      <w:i w:val="0"/>
                      <w:iCs w:val="0"/>
                      <w:color w:val="auto"/>
                      <w:kern w:val="0"/>
                      <w:sz w:val="21"/>
                      <w:szCs w:val="21"/>
                      <w:highlight w:val="none"/>
                      <w:u w:val="none"/>
                      <w:vertAlign w:val="subscript"/>
                      <w:lang w:val="en-US" w:eastAsia="zh-CN" w:bidi="ar"/>
                    </w:rPr>
                    <w:t>X</w:t>
                  </w:r>
                </w:p>
              </w:tc>
              <w:tc>
                <w:tcPr>
                  <w:tcW w:w="907" w:type="dxa"/>
                  <w:tcBorders>
                    <w:top w:val="single" w:color="000000" w:sz="4" w:space="0"/>
                    <w:left w:val="single" w:color="000000" w:sz="4" w:space="0"/>
                    <w:bottom w:val="single" w:color="000000" w:sz="4" w:space="0"/>
                    <w:right w:val="single" w:color="000000" w:sz="4" w:space="0"/>
                  </w:tcBorders>
                  <w:vAlign w:val="center"/>
                </w:tcPr>
                <w:p w14:paraId="7584F85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颗粒物</w:t>
                  </w:r>
                </w:p>
              </w:tc>
              <w:tc>
                <w:tcPr>
                  <w:tcW w:w="947" w:type="dxa"/>
                  <w:tcBorders>
                    <w:top w:val="single" w:color="000000" w:sz="4" w:space="0"/>
                    <w:left w:val="single" w:color="000000" w:sz="4" w:space="0"/>
                    <w:bottom w:val="single" w:color="000000" w:sz="4" w:space="0"/>
                    <w:right w:val="single" w:color="000000" w:sz="4" w:space="0"/>
                  </w:tcBorders>
                  <w:vAlign w:val="center"/>
                </w:tcPr>
                <w:p w14:paraId="6D18B9F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SO</w:t>
                  </w:r>
                  <w:r>
                    <w:rPr>
                      <w:rFonts w:hint="default" w:ascii="Times New Roman" w:hAnsi="Times New Roman" w:eastAsia="宋体" w:cs="Times New Roman"/>
                      <w:b/>
                      <w:bCs/>
                      <w:i w:val="0"/>
                      <w:iCs w:val="0"/>
                      <w:color w:val="auto"/>
                      <w:kern w:val="0"/>
                      <w:sz w:val="21"/>
                      <w:szCs w:val="21"/>
                      <w:highlight w:val="none"/>
                      <w:u w:val="none"/>
                      <w:vertAlign w:val="subscript"/>
                      <w:lang w:val="en-US" w:eastAsia="zh-CN" w:bidi="ar"/>
                    </w:rPr>
                    <w:t>2</w:t>
                  </w:r>
                </w:p>
              </w:tc>
              <w:tc>
                <w:tcPr>
                  <w:tcW w:w="910" w:type="dxa"/>
                  <w:tcBorders>
                    <w:top w:val="single" w:color="000000" w:sz="4" w:space="0"/>
                    <w:left w:val="single" w:color="000000" w:sz="4" w:space="0"/>
                    <w:bottom w:val="single" w:color="000000" w:sz="4" w:space="0"/>
                    <w:right w:val="single" w:color="000000" w:sz="4" w:space="0"/>
                  </w:tcBorders>
                  <w:vAlign w:val="center"/>
                </w:tcPr>
                <w:p w14:paraId="12D4141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NO</w:t>
                  </w:r>
                  <w:r>
                    <w:rPr>
                      <w:rFonts w:hint="default" w:ascii="Times New Roman" w:hAnsi="Times New Roman" w:eastAsia="宋体" w:cs="Times New Roman"/>
                      <w:b/>
                      <w:bCs/>
                      <w:i w:val="0"/>
                      <w:iCs w:val="0"/>
                      <w:color w:val="auto"/>
                      <w:kern w:val="0"/>
                      <w:sz w:val="21"/>
                      <w:szCs w:val="21"/>
                      <w:highlight w:val="none"/>
                      <w:u w:val="none"/>
                      <w:vertAlign w:val="subscript"/>
                      <w:lang w:val="en-US" w:eastAsia="zh-CN" w:bidi="ar"/>
                    </w:rPr>
                    <w:t>X</w:t>
                  </w:r>
                </w:p>
              </w:tc>
            </w:tr>
            <w:tr w14:paraId="435A9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2289" w:type="dxa"/>
                  <w:tcBorders>
                    <w:top w:val="single" w:color="000000" w:sz="4" w:space="0"/>
                    <w:left w:val="single" w:color="000000" w:sz="4" w:space="0"/>
                    <w:bottom w:val="single" w:color="000000" w:sz="4" w:space="0"/>
                    <w:right w:val="single" w:color="000000" w:sz="4" w:space="0"/>
                  </w:tcBorders>
                  <w:vAlign w:val="center"/>
                </w:tcPr>
                <w:p w14:paraId="4E9948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产生总量（</w:t>
                  </w:r>
                  <w:r>
                    <w:rPr>
                      <w:rFonts w:hint="default" w:ascii="Times New Roman" w:hAnsi="Times New Roman" w:eastAsia="宋体" w:cs="Times New Roman"/>
                      <w:i w:val="0"/>
                      <w:iCs w:val="0"/>
                      <w:color w:val="auto"/>
                      <w:kern w:val="0"/>
                      <w:sz w:val="21"/>
                      <w:szCs w:val="21"/>
                      <w:highlight w:val="none"/>
                      <w:u w:val="none"/>
                      <w:lang w:val="en-US" w:eastAsia="zh-CN" w:bidi="ar"/>
                    </w:rPr>
                    <w:t>t/a</w:t>
                  </w:r>
                  <w:r>
                    <w:rPr>
                      <w:rFonts w:hint="eastAsia" w:ascii="宋体" w:hAnsi="宋体" w:eastAsia="宋体" w:cs="宋体"/>
                      <w:i w:val="0"/>
                      <w:iCs w:val="0"/>
                      <w:color w:val="auto"/>
                      <w:kern w:val="0"/>
                      <w:sz w:val="21"/>
                      <w:szCs w:val="21"/>
                      <w:highlight w:val="none"/>
                      <w:u w:val="none"/>
                      <w:lang w:val="en-US" w:eastAsia="zh-CN" w:bidi="ar"/>
                    </w:rPr>
                    <w:t>）</w:t>
                  </w:r>
                </w:p>
              </w:tc>
              <w:tc>
                <w:tcPr>
                  <w:tcW w:w="907" w:type="dxa"/>
                  <w:tcBorders>
                    <w:top w:val="single" w:color="000000" w:sz="4" w:space="0"/>
                    <w:left w:val="single" w:color="000000" w:sz="4" w:space="0"/>
                    <w:bottom w:val="single" w:color="000000" w:sz="4" w:space="0"/>
                    <w:right w:val="single" w:color="000000" w:sz="4" w:space="0"/>
                  </w:tcBorders>
                  <w:vAlign w:val="center"/>
                </w:tcPr>
                <w:p w14:paraId="5DB031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0.0137 </w:t>
                  </w:r>
                </w:p>
              </w:tc>
              <w:tc>
                <w:tcPr>
                  <w:tcW w:w="907" w:type="dxa"/>
                  <w:tcBorders>
                    <w:top w:val="single" w:color="000000" w:sz="4" w:space="0"/>
                    <w:left w:val="single" w:color="000000" w:sz="4" w:space="0"/>
                    <w:bottom w:val="single" w:color="000000" w:sz="4" w:space="0"/>
                    <w:right w:val="single" w:color="000000" w:sz="4" w:space="0"/>
                  </w:tcBorders>
                  <w:vAlign w:val="center"/>
                </w:tcPr>
                <w:p w14:paraId="553A0F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0.0096 </w:t>
                  </w:r>
                </w:p>
              </w:tc>
              <w:tc>
                <w:tcPr>
                  <w:tcW w:w="907" w:type="dxa"/>
                  <w:tcBorders>
                    <w:top w:val="single" w:color="000000" w:sz="4" w:space="0"/>
                    <w:left w:val="single" w:color="000000" w:sz="4" w:space="0"/>
                    <w:bottom w:val="single" w:color="000000" w:sz="4" w:space="0"/>
                    <w:right w:val="single" w:color="000000" w:sz="4" w:space="0"/>
                  </w:tcBorders>
                  <w:vAlign w:val="center"/>
                </w:tcPr>
                <w:p w14:paraId="6E6D6B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0.0893 </w:t>
                  </w:r>
                </w:p>
              </w:tc>
              <w:tc>
                <w:tcPr>
                  <w:tcW w:w="907" w:type="dxa"/>
                  <w:tcBorders>
                    <w:top w:val="single" w:color="000000" w:sz="4" w:space="0"/>
                    <w:left w:val="single" w:color="000000" w:sz="4" w:space="0"/>
                    <w:bottom w:val="single" w:color="000000" w:sz="4" w:space="0"/>
                    <w:right w:val="single" w:color="000000" w:sz="4" w:space="0"/>
                  </w:tcBorders>
                  <w:vAlign w:val="center"/>
                </w:tcPr>
                <w:p w14:paraId="679283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0.0435 </w:t>
                  </w:r>
                </w:p>
              </w:tc>
              <w:tc>
                <w:tcPr>
                  <w:tcW w:w="947" w:type="dxa"/>
                  <w:tcBorders>
                    <w:top w:val="single" w:color="000000" w:sz="4" w:space="0"/>
                    <w:left w:val="single" w:color="000000" w:sz="4" w:space="0"/>
                    <w:bottom w:val="single" w:color="000000" w:sz="4" w:space="0"/>
                    <w:right w:val="single" w:color="000000" w:sz="4" w:space="0"/>
                  </w:tcBorders>
                  <w:vAlign w:val="center"/>
                </w:tcPr>
                <w:p w14:paraId="42BB79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0.0304 </w:t>
                  </w:r>
                </w:p>
              </w:tc>
              <w:tc>
                <w:tcPr>
                  <w:tcW w:w="910" w:type="dxa"/>
                  <w:tcBorders>
                    <w:top w:val="single" w:color="000000" w:sz="4" w:space="0"/>
                    <w:left w:val="single" w:color="000000" w:sz="4" w:space="0"/>
                    <w:bottom w:val="single" w:color="000000" w:sz="4" w:space="0"/>
                    <w:right w:val="single" w:color="000000" w:sz="4" w:space="0"/>
                  </w:tcBorders>
                  <w:vAlign w:val="center"/>
                </w:tcPr>
                <w:p w14:paraId="2FCC70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0.2847 </w:t>
                  </w:r>
                </w:p>
              </w:tc>
            </w:tr>
            <w:tr w14:paraId="440C6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2289" w:type="dxa"/>
                  <w:tcBorders>
                    <w:top w:val="single" w:color="000000" w:sz="4" w:space="0"/>
                    <w:left w:val="single" w:color="000000" w:sz="4" w:space="0"/>
                    <w:bottom w:val="single" w:color="000000" w:sz="4" w:space="0"/>
                    <w:right w:val="single" w:color="000000" w:sz="4" w:space="0"/>
                  </w:tcBorders>
                  <w:vAlign w:val="center"/>
                </w:tcPr>
                <w:p w14:paraId="30795F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产生速率（</w:t>
                  </w:r>
                  <w:r>
                    <w:rPr>
                      <w:rFonts w:hint="default" w:ascii="Times New Roman" w:hAnsi="Times New Roman" w:eastAsia="宋体" w:cs="Times New Roman"/>
                      <w:i w:val="0"/>
                      <w:iCs w:val="0"/>
                      <w:color w:val="auto"/>
                      <w:kern w:val="0"/>
                      <w:sz w:val="21"/>
                      <w:szCs w:val="21"/>
                      <w:highlight w:val="none"/>
                      <w:u w:val="none"/>
                      <w:lang w:val="en-US" w:eastAsia="zh-CN" w:bidi="ar"/>
                    </w:rPr>
                    <w:t>kg/h</w:t>
                  </w:r>
                  <w:r>
                    <w:rPr>
                      <w:rFonts w:hint="eastAsia" w:ascii="宋体" w:hAnsi="宋体" w:eastAsia="宋体" w:cs="宋体"/>
                      <w:i w:val="0"/>
                      <w:iCs w:val="0"/>
                      <w:color w:val="auto"/>
                      <w:kern w:val="0"/>
                      <w:sz w:val="21"/>
                      <w:szCs w:val="21"/>
                      <w:highlight w:val="none"/>
                      <w:u w:val="none"/>
                      <w:lang w:val="en-US" w:eastAsia="zh-CN" w:bidi="ar"/>
                    </w:rPr>
                    <w:t>）</w:t>
                  </w:r>
                </w:p>
              </w:tc>
              <w:tc>
                <w:tcPr>
                  <w:tcW w:w="907" w:type="dxa"/>
                  <w:tcBorders>
                    <w:top w:val="single" w:color="000000" w:sz="4" w:space="0"/>
                    <w:left w:val="single" w:color="000000" w:sz="4" w:space="0"/>
                    <w:bottom w:val="single" w:color="000000" w:sz="4" w:space="0"/>
                    <w:right w:val="single" w:color="000000" w:sz="4" w:space="0"/>
                  </w:tcBorders>
                  <w:vAlign w:val="center"/>
                </w:tcPr>
                <w:p w14:paraId="3B1B6D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0.0046 </w:t>
                  </w:r>
                </w:p>
              </w:tc>
              <w:tc>
                <w:tcPr>
                  <w:tcW w:w="907" w:type="dxa"/>
                  <w:tcBorders>
                    <w:top w:val="single" w:color="000000" w:sz="4" w:space="0"/>
                    <w:left w:val="single" w:color="000000" w:sz="4" w:space="0"/>
                    <w:bottom w:val="single" w:color="000000" w:sz="4" w:space="0"/>
                    <w:right w:val="single" w:color="000000" w:sz="4" w:space="0"/>
                  </w:tcBorders>
                  <w:vAlign w:val="center"/>
                </w:tcPr>
                <w:p w14:paraId="498090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0.0032 </w:t>
                  </w:r>
                </w:p>
              </w:tc>
              <w:tc>
                <w:tcPr>
                  <w:tcW w:w="907" w:type="dxa"/>
                  <w:tcBorders>
                    <w:top w:val="single" w:color="000000" w:sz="4" w:space="0"/>
                    <w:left w:val="single" w:color="000000" w:sz="4" w:space="0"/>
                    <w:bottom w:val="single" w:color="000000" w:sz="4" w:space="0"/>
                    <w:right w:val="single" w:color="000000" w:sz="4" w:space="0"/>
                  </w:tcBorders>
                  <w:vAlign w:val="center"/>
                </w:tcPr>
                <w:p w14:paraId="0001FD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0.0298 </w:t>
                  </w:r>
                </w:p>
              </w:tc>
              <w:tc>
                <w:tcPr>
                  <w:tcW w:w="907" w:type="dxa"/>
                  <w:tcBorders>
                    <w:top w:val="single" w:color="000000" w:sz="4" w:space="0"/>
                    <w:left w:val="single" w:color="000000" w:sz="4" w:space="0"/>
                    <w:bottom w:val="single" w:color="000000" w:sz="4" w:space="0"/>
                    <w:right w:val="single" w:color="000000" w:sz="4" w:space="0"/>
                  </w:tcBorders>
                  <w:vAlign w:val="center"/>
                </w:tcPr>
                <w:p w14:paraId="10D548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0.0145 </w:t>
                  </w:r>
                </w:p>
              </w:tc>
              <w:tc>
                <w:tcPr>
                  <w:tcW w:w="947" w:type="dxa"/>
                  <w:tcBorders>
                    <w:top w:val="single" w:color="000000" w:sz="4" w:space="0"/>
                    <w:left w:val="single" w:color="000000" w:sz="4" w:space="0"/>
                    <w:bottom w:val="single" w:color="000000" w:sz="4" w:space="0"/>
                    <w:right w:val="single" w:color="000000" w:sz="4" w:space="0"/>
                  </w:tcBorders>
                  <w:vAlign w:val="center"/>
                </w:tcPr>
                <w:p w14:paraId="16A6DF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0.0101 </w:t>
                  </w:r>
                </w:p>
              </w:tc>
              <w:tc>
                <w:tcPr>
                  <w:tcW w:w="910" w:type="dxa"/>
                  <w:tcBorders>
                    <w:top w:val="single" w:color="000000" w:sz="4" w:space="0"/>
                    <w:left w:val="single" w:color="000000" w:sz="4" w:space="0"/>
                    <w:bottom w:val="single" w:color="000000" w:sz="4" w:space="0"/>
                    <w:right w:val="single" w:color="000000" w:sz="4" w:space="0"/>
                  </w:tcBorders>
                  <w:vAlign w:val="center"/>
                </w:tcPr>
                <w:p w14:paraId="46B8C9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0.0949 </w:t>
                  </w:r>
                </w:p>
              </w:tc>
            </w:tr>
            <w:tr w14:paraId="40372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2289" w:type="dxa"/>
                  <w:tcBorders>
                    <w:top w:val="single" w:color="000000" w:sz="4" w:space="0"/>
                    <w:left w:val="single" w:color="000000" w:sz="4" w:space="0"/>
                    <w:bottom w:val="single" w:color="000000" w:sz="4" w:space="0"/>
                    <w:right w:val="single" w:color="000000" w:sz="4" w:space="0"/>
                  </w:tcBorders>
                  <w:vAlign w:val="center"/>
                </w:tcPr>
                <w:p w14:paraId="29CEDD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废气量</w:t>
                  </w:r>
                </w:p>
              </w:tc>
              <w:tc>
                <w:tcPr>
                  <w:tcW w:w="2721" w:type="dxa"/>
                  <w:gridSpan w:val="3"/>
                  <w:tcBorders>
                    <w:top w:val="single" w:color="000000" w:sz="4" w:space="0"/>
                    <w:left w:val="single" w:color="000000" w:sz="4" w:space="0"/>
                    <w:bottom w:val="single" w:color="000000" w:sz="4" w:space="0"/>
                    <w:right w:val="single" w:color="000000" w:sz="4" w:space="0"/>
                  </w:tcBorders>
                  <w:vAlign w:val="center"/>
                </w:tcPr>
                <w:p w14:paraId="647C8D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5000m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/h</w:t>
                  </w:r>
                </w:p>
              </w:tc>
              <w:tc>
                <w:tcPr>
                  <w:tcW w:w="2764" w:type="dxa"/>
                  <w:gridSpan w:val="3"/>
                  <w:tcBorders>
                    <w:top w:val="single" w:color="000000" w:sz="4" w:space="0"/>
                    <w:left w:val="single" w:color="000000" w:sz="4" w:space="0"/>
                    <w:bottom w:val="single" w:color="000000" w:sz="4" w:space="0"/>
                    <w:right w:val="single" w:color="000000" w:sz="4" w:space="0"/>
                  </w:tcBorders>
                  <w:vAlign w:val="center"/>
                </w:tcPr>
                <w:p w14:paraId="4E9961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10000m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/h</w:t>
                  </w:r>
                </w:p>
              </w:tc>
            </w:tr>
            <w:tr w14:paraId="6C66C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5010" w:type="dxa"/>
                  <w:gridSpan w:val="4"/>
                  <w:tcBorders>
                    <w:top w:val="single" w:color="000000" w:sz="4" w:space="0"/>
                    <w:left w:val="single" w:color="000000" w:sz="4" w:space="0"/>
                    <w:bottom w:val="single" w:color="000000" w:sz="4" w:space="0"/>
                    <w:right w:val="single" w:color="000000" w:sz="4" w:space="0"/>
                  </w:tcBorders>
                  <w:vAlign w:val="center"/>
                </w:tcPr>
                <w:p w14:paraId="618B849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排气筒编号：</w:t>
                  </w:r>
                  <w:r>
                    <w:rPr>
                      <w:rFonts w:hint="default" w:ascii="Times New Roman" w:hAnsi="Times New Roman" w:eastAsia="宋体" w:cs="Times New Roman"/>
                      <w:i w:val="0"/>
                      <w:iCs w:val="0"/>
                      <w:color w:val="auto"/>
                      <w:kern w:val="0"/>
                      <w:sz w:val="21"/>
                      <w:szCs w:val="21"/>
                      <w:highlight w:val="none"/>
                      <w:u w:val="none"/>
                      <w:lang w:val="en-US" w:eastAsia="zh-CN" w:bidi="ar"/>
                    </w:rPr>
                    <w:t>DA002</w:t>
                  </w:r>
                </w:p>
              </w:tc>
              <w:tc>
                <w:tcPr>
                  <w:tcW w:w="2764" w:type="dxa"/>
                  <w:gridSpan w:val="3"/>
                  <w:tcBorders>
                    <w:top w:val="single" w:color="000000" w:sz="4" w:space="0"/>
                    <w:left w:val="single" w:color="000000" w:sz="4" w:space="0"/>
                    <w:bottom w:val="single" w:color="000000" w:sz="4" w:space="0"/>
                    <w:right w:val="single" w:color="000000" w:sz="4" w:space="0"/>
                  </w:tcBorders>
                  <w:vAlign w:val="center"/>
                </w:tcPr>
                <w:p w14:paraId="617C4B1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排气筒编号：</w:t>
                  </w:r>
                  <w:r>
                    <w:rPr>
                      <w:rFonts w:hint="default" w:ascii="Times New Roman" w:hAnsi="Times New Roman" w:eastAsia="宋体" w:cs="Times New Roman"/>
                      <w:i w:val="0"/>
                      <w:iCs w:val="0"/>
                      <w:color w:val="auto"/>
                      <w:kern w:val="0"/>
                      <w:sz w:val="21"/>
                      <w:szCs w:val="21"/>
                      <w:highlight w:val="none"/>
                      <w:u w:val="none"/>
                      <w:lang w:val="en-US" w:eastAsia="zh-CN" w:bidi="ar"/>
                    </w:rPr>
                    <w:t>DA003</w:t>
                  </w:r>
                </w:p>
              </w:tc>
            </w:tr>
            <w:tr w14:paraId="5F1B6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2289" w:type="dxa"/>
                  <w:tcBorders>
                    <w:top w:val="single" w:color="000000" w:sz="4" w:space="0"/>
                    <w:left w:val="single" w:color="000000" w:sz="4" w:space="0"/>
                    <w:bottom w:val="single" w:color="000000" w:sz="4" w:space="0"/>
                    <w:right w:val="single" w:color="000000" w:sz="4" w:space="0"/>
                  </w:tcBorders>
                  <w:vAlign w:val="center"/>
                </w:tcPr>
                <w:p w14:paraId="18E700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ascii="宋体" w:hAnsi="宋体" w:eastAsia="宋体" w:cs="宋体"/>
                      <w:b/>
                      <w:bCs/>
                      <w:i w:val="0"/>
                      <w:iCs w:val="0"/>
                      <w:color w:val="auto"/>
                      <w:kern w:val="0"/>
                      <w:sz w:val="21"/>
                      <w:szCs w:val="21"/>
                      <w:highlight w:val="none"/>
                      <w:u w:val="none"/>
                      <w:lang w:val="en-US" w:eastAsia="zh-CN" w:bidi="ar"/>
                    </w:rPr>
                    <w:t>污染物</w:t>
                  </w:r>
                </w:p>
              </w:tc>
              <w:tc>
                <w:tcPr>
                  <w:tcW w:w="907" w:type="dxa"/>
                  <w:tcBorders>
                    <w:top w:val="single" w:color="000000" w:sz="4" w:space="0"/>
                    <w:left w:val="single" w:color="000000" w:sz="4" w:space="0"/>
                    <w:bottom w:val="single" w:color="000000" w:sz="4" w:space="0"/>
                    <w:right w:val="single" w:color="000000" w:sz="4" w:space="0"/>
                  </w:tcBorders>
                  <w:vAlign w:val="center"/>
                </w:tcPr>
                <w:p w14:paraId="0ABDD60A">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eastAsia" w:ascii="宋体" w:hAnsi="宋体" w:eastAsia="宋体" w:cs="宋体"/>
                      <w:b/>
                      <w:bCs/>
                      <w:i w:val="0"/>
                      <w:iCs w:val="0"/>
                      <w:color w:val="auto"/>
                      <w:kern w:val="0"/>
                      <w:sz w:val="21"/>
                      <w:szCs w:val="21"/>
                      <w:highlight w:val="none"/>
                      <w:u w:val="none"/>
                      <w:lang w:val="en-US" w:eastAsia="zh-CN" w:bidi="ar"/>
                    </w:rPr>
                    <w:t>颗粒物</w:t>
                  </w:r>
                </w:p>
              </w:tc>
              <w:tc>
                <w:tcPr>
                  <w:tcW w:w="907" w:type="dxa"/>
                  <w:tcBorders>
                    <w:top w:val="single" w:color="000000" w:sz="4" w:space="0"/>
                    <w:left w:val="single" w:color="000000" w:sz="4" w:space="0"/>
                    <w:bottom w:val="single" w:color="000000" w:sz="4" w:space="0"/>
                    <w:right w:val="single" w:color="000000" w:sz="4" w:space="0"/>
                  </w:tcBorders>
                  <w:vAlign w:val="center"/>
                </w:tcPr>
                <w:p w14:paraId="132745CC">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SO</w:t>
                  </w:r>
                  <w:r>
                    <w:rPr>
                      <w:rFonts w:hint="default" w:ascii="Times New Roman" w:hAnsi="Times New Roman" w:eastAsia="宋体" w:cs="Times New Roman"/>
                      <w:b/>
                      <w:bCs/>
                      <w:i w:val="0"/>
                      <w:iCs w:val="0"/>
                      <w:color w:val="auto"/>
                      <w:kern w:val="0"/>
                      <w:sz w:val="21"/>
                      <w:szCs w:val="21"/>
                      <w:highlight w:val="none"/>
                      <w:u w:val="none"/>
                      <w:vertAlign w:val="subscript"/>
                      <w:lang w:val="en-US" w:eastAsia="zh-CN" w:bidi="ar"/>
                    </w:rPr>
                    <w:t>2</w:t>
                  </w:r>
                </w:p>
              </w:tc>
              <w:tc>
                <w:tcPr>
                  <w:tcW w:w="907" w:type="dxa"/>
                  <w:tcBorders>
                    <w:top w:val="single" w:color="000000" w:sz="4" w:space="0"/>
                    <w:left w:val="single" w:color="000000" w:sz="4" w:space="0"/>
                    <w:bottom w:val="single" w:color="000000" w:sz="4" w:space="0"/>
                    <w:right w:val="single" w:color="000000" w:sz="4" w:space="0"/>
                  </w:tcBorders>
                  <w:vAlign w:val="center"/>
                </w:tcPr>
                <w:p w14:paraId="2F3F95AD">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NO</w:t>
                  </w:r>
                  <w:r>
                    <w:rPr>
                      <w:rFonts w:hint="default" w:ascii="Times New Roman" w:hAnsi="Times New Roman" w:eastAsia="宋体" w:cs="Times New Roman"/>
                      <w:b/>
                      <w:bCs/>
                      <w:i w:val="0"/>
                      <w:iCs w:val="0"/>
                      <w:color w:val="auto"/>
                      <w:kern w:val="0"/>
                      <w:sz w:val="21"/>
                      <w:szCs w:val="21"/>
                      <w:highlight w:val="none"/>
                      <w:u w:val="none"/>
                      <w:vertAlign w:val="subscript"/>
                      <w:lang w:val="en-US" w:eastAsia="zh-CN" w:bidi="ar"/>
                    </w:rPr>
                    <w:t>X</w:t>
                  </w:r>
                </w:p>
              </w:tc>
              <w:tc>
                <w:tcPr>
                  <w:tcW w:w="907" w:type="dxa"/>
                  <w:tcBorders>
                    <w:top w:val="single" w:color="000000" w:sz="4" w:space="0"/>
                    <w:left w:val="single" w:color="000000" w:sz="4" w:space="0"/>
                    <w:bottom w:val="single" w:color="000000" w:sz="4" w:space="0"/>
                    <w:right w:val="single" w:color="000000" w:sz="4" w:space="0"/>
                  </w:tcBorders>
                  <w:vAlign w:val="center"/>
                </w:tcPr>
                <w:p w14:paraId="6A3E24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ascii="宋体" w:hAnsi="宋体" w:eastAsia="宋体" w:cs="宋体"/>
                      <w:b/>
                      <w:bCs/>
                      <w:i w:val="0"/>
                      <w:iCs w:val="0"/>
                      <w:color w:val="auto"/>
                      <w:kern w:val="0"/>
                      <w:sz w:val="21"/>
                      <w:szCs w:val="21"/>
                      <w:highlight w:val="none"/>
                      <w:u w:val="none"/>
                      <w:lang w:val="en-US" w:eastAsia="zh-CN" w:bidi="ar"/>
                    </w:rPr>
                    <w:t>颗粒物</w:t>
                  </w:r>
                </w:p>
              </w:tc>
              <w:tc>
                <w:tcPr>
                  <w:tcW w:w="947" w:type="dxa"/>
                  <w:tcBorders>
                    <w:top w:val="single" w:color="000000" w:sz="4" w:space="0"/>
                    <w:left w:val="single" w:color="000000" w:sz="4" w:space="0"/>
                    <w:bottom w:val="single" w:color="000000" w:sz="4" w:space="0"/>
                    <w:right w:val="single" w:color="000000" w:sz="4" w:space="0"/>
                  </w:tcBorders>
                  <w:vAlign w:val="center"/>
                </w:tcPr>
                <w:p w14:paraId="3FC73A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SO</w:t>
                  </w:r>
                  <w:r>
                    <w:rPr>
                      <w:rFonts w:hint="default" w:ascii="Times New Roman" w:hAnsi="Times New Roman" w:eastAsia="宋体" w:cs="Times New Roman"/>
                      <w:b/>
                      <w:bCs/>
                      <w:i w:val="0"/>
                      <w:iCs w:val="0"/>
                      <w:color w:val="auto"/>
                      <w:kern w:val="0"/>
                      <w:sz w:val="21"/>
                      <w:szCs w:val="21"/>
                      <w:highlight w:val="none"/>
                      <w:u w:val="none"/>
                      <w:vertAlign w:val="subscript"/>
                      <w:lang w:val="en-US" w:eastAsia="zh-CN" w:bidi="ar"/>
                    </w:rPr>
                    <w:t>2</w:t>
                  </w:r>
                </w:p>
              </w:tc>
              <w:tc>
                <w:tcPr>
                  <w:tcW w:w="910" w:type="dxa"/>
                  <w:tcBorders>
                    <w:top w:val="single" w:color="000000" w:sz="4" w:space="0"/>
                    <w:left w:val="single" w:color="000000" w:sz="4" w:space="0"/>
                    <w:bottom w:val="single" w:color="000000" w:sz="4" w:space="0"/>
                    <w:right w:val="single" w:color="000000" w:sz="4" w:space="0"/>
                  </w:tcBorders>
                  <w:vAlign w:val="center"/>
                </w:tcPr>
                <w:p w14:paraId="3C9409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NO</w:t>
                  </w:r>
                  <w:r>
                    <w:rPr>
                      <w:rFonts w:hint="default" w:ascii="Times New Roman" w:hAnsi="Times New Roman" w:eastAsia="宋体" w:cs="Times New Roman"/>
                      <w:b/>
                      <w:bCs/>
                      <w:i w:val="0"/>
                      <w:iCs w:val="0"/>
                      <w:color w:val="auto"/>
                      <w:kern w:val="0"/>
                      <w:sz w:val="21"/>
                      <w:szCs w:val="21"/>
                      <w:highlight w:val="none"/>
                      <w:u w:val="none"/>
                      <w:vertAlign w:val="subscript"/>
                      <w:lang w:val="en-US" w:eastAsia="zh-CN" w:bidi="ar"/>
                    </w:rPr>
                    <w:t>X</w:t>
                  </w:r>
                </w:p>
              </w:tc>
            </w:tr>
            <w:tr w14:paraId="039DF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2289" w:type="dxa"/>
                  <w:tcBorders>
                    <w:top w:val="single" w:color="000000" w:sz="4" w:space="0"/>
                    <w:left w:val="single" w:color="000000" w:sz="4" w:space="0"/>
                    <w:bottom w:val="single" w:color="000000" w:sz="4" w:space="0"/>
                    <w:right w:val="single" w:color="000000" w:sz="4" w:space="0"/>
                  </w:tcBorders>
                  <w:vAlign w:val="center"/>
                </w:tcPr>
                <w:p w14:paraId="53CE44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排放量（</w:t>
                  </w:r>
                  <w:r>
                    <w:rPr>
                      <w:rFonts w:hint="default" w:ascii="Times New Roman" w:hAnsi="Times New Roman" w:eastAsia="宋体" w:cs="Times New Roman"/>
                      <w:i w:val="0"/>
                      <w:iCs w:val="0"/>
                      <w:color w:val="auto"/>
                      <w:kern w:val="0"/>
                      <w:sz w:val="21"/>
                      <w:szCs w:val="21"/>
                      <w:highlight w:val="none"/>
                      <w:u w:val="none"/>
                      <w:lang w:val="en-US" w:eastAsia="zh-CN" w:bidi="ar"/>
                    </w:rPr>
                    <w:t>t/a</w:t>
                  </w:r>
                  <w:r>
                    <w:rPr>
                      <w:rFonts w:hint="eastAsia" w:ascii="宋体" w:hAnsi="宋体" w:eastAsia="宋体" w:cs="宋体"/>
                      <w:i w:val="0"/>
                      <w:iCs w:val="0"/>
                      <w:color w:val="auto"/>
                      <w:kern w:val="0"/>
                      <w:sz w:val="21"/>
                      <w:szCs w:val="21"/>
                      <w:highlight w:val="none"/>
                      <w:u w:val="none"/>
                      <w:lang w:val="en-US" w:eastAsia="zh-CN" w:bidi="ar"/>
                    </w:rPr>
                    <w:t>）</w:t>
                  </w:r>
                </w:p>
              </w:tc>
              <w:tc>
                <w:tcPr>
                  <w:tcW w:w="907" w:type="dxa"/>
                  <w:tcBorders>
                    <w:top w:val="single" w:color="000000" w:sz="4" w:space="0"/>
                    <w:left w:val="single" w:color="000000" w:sz="4" w:space="0"/>
                    <w:bottom w:val="single" w:color="000000" w:sz="4" w:space="0"/>
                    <w:right w:val="single" w:color="000000" w:sz="4" w:space="0"/>
                  </w:tcBorders>
                  <w:vAlign w:val="center"/>
                </w:tcPr>
                <w:p w14:paraId="4E3E75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0.0137 </w:t>
                  </w:r>
                </w:p>
              </w:tc>
              <w:tc>
                <w:tcPr>
                  <w:tcW w:w="907" w:type="dxa"/>
                  <w:tcBorders>
                    <w:top w:val="single" w:color="000000" w:sz="4" w:space="0"/>
                    <w:left w:val="single" w:color="000000" w:sz="4" w:space="0"/>
                    <w:bottom w:val="single" w:color="000000" w:sz="4" w:space="0"/>
                    <w:right w:val="single" w:color="000000" w:sz="4" w:space="0"/>
                  </w:tcBorders>
                  <w:vAlign w:val="center"/>
                </w:tcPr>
                <w:p w14:paraId="199C7B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0.0096 </w:t>
                  </w:r>
                </w:p>
              </w:tc>
              <w:tc>
                <w:tcPr>
                  <w:tcW w:w="907" w:type="dxa"/>
                  <w:tcBorders>
                    <w:top w:val="single" w:color="000000" w:sz="4" w:space="0"/>
                    <w:left w:val="single" w:color="000000" w:sz="4" w:space="0"/>
                    <w:bottom w:val="single" w:color="000000" w:sz="4" w:space="0"/>
                    <w:right w:val="single" w:color="000000" w:sz="4" w:space="0"/>
                  </w:tcBorders>
                  <w:vAlign w:val="center"/>
                </w:tcPr>
                <w:p w14:paraId="3ABE72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0.0893 </w:t>
                  </w:r>
                </w:p>
              </w:tc>
              <w:tc>
                <w:tcPr>
                  <w:tcW w:w="907" w:type="dxa"/>
                  <w:tcBorders>
                    <w:top w:val="single" w:color="000000" w:sz="4" w:space="0"/>
                    <w:left w:val="single" w:color="000000" w:sz="4" w:space="0"/>
                    <w:bottom w:val="single" w:color="000000" w:sz="4" w:space="0"/>
                    <w:right w:val="single" w:color="000000" w:sz="4" w:space="0"/>
                  </w:tcBorders>
                  <w:vAlign w:val="center"/>
                </w:tcPr>
                <w:p w14:paraId="41E00C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0.0435 </w:t>
                  </w:r>
                </w:p>
              </w:tc>
              <w:tc>
                <w:tcPr>
                  <w:tcW w:w="947" w:type="dxa"/>
                  <w:tcBorders>
                    <w:top w:val="single" w:color="000000" w:sz="4" w:space="0"/>
                    <w:left w:val="single" w:color="000000" w:sz="4" w:space="0"/>
                    <w:bottom w:val="single" w:color="000000" w:sz="4" w:space="0"/>
                    <w:right w:val="single" w:color="000000" w:sz="4" w:space="0"/>
                  </w:tcBorders>
                  <w:vAlign w:val="center"/>
                </w:tcPr>
                <w:p w14:paraId="773961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0.0304 </w:t>
                  </w:r>
                </w:p>
              </w:tc>
              <w:tc>
                <w:tcPr>
                  <w:tcW w:w="910" w:type="dxa"/>
                  <w:tcBorders>
                    <w:top w:val="single" w:color="000000" w:sz="4" w:space="0"/>
                    <w:left w:val="single" w:color="000000" w:sz="4" w:space="0"/>
                    <w:bottom w:val="single" w:color="000000" w:sz="4" w:space="0"/>
                    <w:right w:val="single" w:color="000000" w:sz="4" w:space="0"/>
                  </w:tcBorders>
                  <w:vAlign w:val="center"/>
                </w:tcPr>
                <w:p w14:paraId="5E1CF4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0.2847 </w:t>
                  </w:r>
                </w:p>
              </w:tc>
            </w:tr>
            <w:tr w14:paraId="2B9BC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2289" w:type="dxa"/>
                  <w:tcBorders>
                    <w:top w:val="single" w:color="000000" w:sz="4" w:space="0"/>
                    <w:left w:val="single" w:color="000000" w:sz="4" w:space="0"/>
                    <w:bottom w:val="single" w:color="000000" w:sz="4" w:space="0"/>
                    <w:right w:val="single" w:color="000000" w:sz="4" w:space="0"/>
                  </w:tcBorders>
                  <w:vAlign w:val="center"/>
                </w:tcPr>
                <w:p w14:paraId="64B75B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排放速率（</w:t>
                  </w:r>
                  <w:r>
                    <w:rPr>
                      <w:rFonts w:hint="default" w:ascii="Times New Roman" w:hAnsi="Times New Roman" w:eastAsia="宋体" w:cs="Times New Roman"/>
                      <w:i w:val="0"/>
                      <w:iCs w:val="0"/>
                      <w:color w:val="auto"/>
                      <w:kern w:val="0"/>
                      <w:sz w:val="21"/>
                      <w:szCs w:val="21"/>
                      <w:highlight w:val="none"/>
                      <w:u w:val="none"/>
                      <w:lang w:val="en-US" w:eastAsia="zh-CN" w:bidi="ar"/>
                    </w:rPr>
                    <w:t>kg/h</w:t>
                  </w:r>
                  <w:r>
                    <w:rPr>
                      <w:rFonts w:hint="eastAsia" w:ascii="宋体" w:hAnsi="宋体" w:eastAsia="宋体" w:cs="宋体"/>
                      <w:i w:val="0"/>
                      <w:iCs w:val="0"/>
                      <w:color w:val="auto"/>
                      <w:kern w:val="0"/>
                      <w:sz w:val="21"/>
                      <w:szCs w:val="21"/>
                      <w:highlight w:val="none"/>
                      <w:u w:val="none"/>
                      <w:lang w:val="en-US" w:eastAsia="zh-CN" w:bidi="ar"/>
                    </w:rPr>
                    <w:t>）</w:t>
                  </w:r>
                </w:p>
              </w:tc>
              <w:tc>
                <w:tcPr>
                  <w:tcW w:w="907" w:type="dxa"/>
                  <w:tcBorders>
                    <w:top w:val="single" w:color="000000" w:sz="4" w:space="0"/>
                    <w:left w:val="single" w:color="000000" w:sz="4" w:space="0"/>
                    <w:bottom w:val="single" w:color="000000" w:sz="4" w:space="0"/>
                    <w:right w:val="single" w:color="000000" w:sz="4" w:space="0"/>
                  </w:tcBorders>
                  <w:vAlign w:val="center"/>
                </w:tcPr>
                <w:p w14:paraId="2C593E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0.0046 </w:t>
                  </w:r>
                </w:p>
              </w:tc>
              <w:tc>
                <w:tcPr>
                  <w:tcW w:w="907" w:type="dxa"/>
                  <w:tcBorders>
                    <w:top w:val="single" w:color="000000" w:sz="4" w:space="0"/>
                    <w:left w:val="single" w:color="000000" w:sz="4" w:space="0"/>
                    <w:bottom w:val="single" w:color="000000" w:sz="4" w:space="0"/>
                    <w:right w:val="single" w:color="000000" w:sz="4" w:space="0"/>
                  </w:tcBorders>
                  <w:vAlign w:val="center"/>
                </w:tcPr>
                <w:p w14:paraId="3A785E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0.0032 </w:t>
                  </w:r>
                </w:p>
              </w:tc>
              <w:tc>
                <w:tcPr>
                  <w:tcW w:w="907" w:type="dxa"/>
                  <w:tcBorders>
                    <w:top w:val="single" w:color="000000" w:sz="4" w:space="0"/>
                    <w:left w:val="single" w:color="000000" w:sz="4" w:space="0"/>
                    <w:bottom w:val="single" w:color="000000" w:sz="4" w:space="0"/>
                    <w:right w:val="single" w:color="000000" w:sz="4" w:space="0"/>
                  </w:tcBorders>
                  <w:vAlign w:val="center"/>
                </w:tcPr>
                <w:p w14:paraId="1A2861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0.0298 </w:t>
                  </w:r>
                </w:p>
              </w:tc>
              <w:tc>
                <w:tcPr>
                  <w:tcW w:w="907" w:type="dxa"/>
                  <w:tcBorders>
                    <w:top w:val="single" w:color="000000" w:sz="4" w:space="0"/>
                    <w:left w:val="single" w:color="000000" w:sz="4" w:space="0"/>
                    <w:bottom w:val="single" w:color="000000" w:sz="4" w:space="0"/>
                    <w:right w:val="single" w:color="000000" w:sz="4" w:space="0"/>
                  </w:tcBorders>
                  <w:vAlign w:val="center"/>
                </w:tcPr>
                <w:p w14:paraId="2D2CBD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0.0145 </w:t>
                  </w:r>
                </w:p>
              </w:tc>
              <w:tc>
                <w:tcPr>
                  <w:tcW w:w="947" w:type="dxa"/>
                  <w:tcBorders>
                    <w:top w:val="single" w:color="000000" w:sz="4" w:space="0"/>
                    <w:left w:val="single" w:color="000000" w:sz="4" w:space="0"/>
                    <w:bottom w:val="single" w:color="000000" w:sz="4" w:space="0"/>
                    <w:right w:val="single" w:color="000000" w:sz="4" w:space="0"/>
                  </w:tcBorders>
                  <w:vAlign w:val="center"/>
                </w:tcPr>
                <w:p w14:paraId="1EEFF9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0.0101 </w:t>
                  </w:r>
                </w:p>
              </w:tc>
              <w:tc>
                <w:tcPr>
                  <w:tcW w:w="910" w:type="dxa"/>
                  <w:tcBorders>
                    <w:top w:val="single" w:color="000000" w:sz="4" w:space="0"/>
                    <w:left w:val="single" w:color="000000" w:sz="4" w:space="0"/>
                    <w:bottom w:val="single" w:color="000000" w:sz="4" w:space="0"/>
                    <w:right w:val="single" w:color="000000" w:sz="4" w:space="0"/>
                  </w:tcBorders>
                  <w:vAlign w:val="center"/>
                </w:tcPr>
                <w:p w14:paraId="56159B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0.0949 </w:t>
                  </w:r>
                </w:p>
              </w:tc>
            </w:tr>
            <w:tr w14:paraId="3856B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2289" w:type="dxa"/>
                  <w:tcBorders>
                    <w:top w:val="single" w:color="000000" w:sz="4" w:space="0"/>
                    <w:left w:val="single" w:color="000000" w:sz="4" w:space="0"/>
                    <w:bottom w:val="single" w:color="000000" w:sz="4" w:space="0"/>
                    <w:right w:val="single" w:color="000000" w:sz="4" w:space="0"/>
                  </w:tcBorders>
                  <w:vAlign w:val="center"/>
                </w:tcPr>
                <w:p w14:paraId="0CE126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排放浓度（</w:t>
                  </w:r>
                  <w:r>
                    <w:rPr>
                      <w:rFonts w:hint="default" w:ascii="Times New Roman" w:hAnsi="Times New Roman" w:eastAsia="宋体" w:cs="Times New Roman"/>
                      <w:i w:val="0"/>
                      <w:iCs w:val="0"/>
                      <w:color w:val="auto"/>
                      <w:kern w:val="0"/>
                      <w:sz w:val="21"/>
                      <w:szCs w:val="21"/>
                      <w:highlight w:val="none"/>
                      <w:u w:val="none"/>
                      <w:lang w:val="en-US" w:eastAsia="zh-CN" w:bidi="ar"/>
                    </w:rPr>
                    <w:t>mg/m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w:t>
                  </w:r>
                </w:p>
              </w:tc>
              <w:tc>
                <w:tcPr>
                  <w:tcW w:w="907" w:type="dxa"/>
                  <w:tcBorders>
                    <w:top w:val="single" w:color="000000" w:sz="4" w:space="0"/>
                    <w:left w:val="single" w:color="000000" w:sz="4" w:space="0"/>
                    <w:bottom w:val="single" w:color="000000" w:sz="4" w:space="0"/>
                    <w:right w:val="single" w:color="000000" w:sz="4" w:space="0"/>
                  </w:tcBorders>
                  <w:vAlign w:val="center"/>
                </w:tcPr>
                <w:p w14:paraId="28E783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0.9 </w:t>
                  </w:r>
                </w:p>
              </w:tc>
              <w:tc>
                <w:tcPr>
                  <w:tcW w:w="907" w:type="dxa"/>
                  <w:tcBorders>
                    <w:top w:val="single" w:color="000000" w:sz="4" w:space="0"/>
                    <w:left w:val="single" w:color="000000" w:sz="4" w:space="0"/>
                    <w:bottom w:val="single" w:color="000000" w:sz="4" w:space="0"/>
                    <w:right w:val="single" w:color="000000" w:sz="4" w:space="0"/>
                  </w:tcBorders>
                  <w:vAlign w:val="center"/>
                </w:tcPr>
                <w:p w14:paraId="7EE3BD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0.6 </w:t>
                  </w:r>
                </w:p>
              </w:tc>
              <w:tc>
                <w:tcPr>
                  <w:tcW w:w="907" w:type="dxa"/>
                  <w:tcBorders>
                    <w:top w:val="single" w:color="000000" w:sz="4" w:space="0"/>
                    <w:left w:val="single" w:color="000000" w:sz="4" w:space="0"/>
                    <w:bottom w:val="single" w:color="000000" w:sz="4" w:space="0"/>
                    <w:right w:val="single" w:color="000000" w:sz="4" w:space="0"/>
                  </w:tcBorders>
                  <w:vAlign w:val="center"/>
                </w:tcPr>
                <w:p w14:paraId="1F0FC0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6.0 </w:t>
                  </w:r>
                </w:p>
              </w:tc>
              <w:tc>
                <w:tcPr>
                  <w:tcW w:w="907" w:type="dxa"/>
                  <w:tcBorders>
                    <w:top w:val="single" w:color="000000" w:sz="4" w:space="0"/>
                    <w:left w:val="single" w:color="000000" w:sz="4" w:space="0"/>
                    <w:bottom w:val="single" w:color="000000" w:sz="4" w:space="0"/>
                    <w:right w:val="single" w:color="000000" w:sz="4" w:space="0"/>
                  </w:tcBorders>
                  <w:vAlign w:val="center"/>
                </w:tcPr>
                <w:p w14:paraId="059BD3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1.5 </w:t>
                  </w:r>
                </w:p>
              </w:tc>
              <w:tc>
                <w:tcPr>
                  <w:tcW w:w="947" w:type="dxa"/>
                  <w:tcBorders>
                    <w:top w:val="single" w:color="000000" w:sz="4" w:space="0"/>
                    <w:left w:val="single" w:color="000000" w:sz="4" w:space="0"/>
                    <w:bottom w:val="single" w:color="000000" w:sz="4" w:space="0"/>
                    <w:right w:val="single" w:color="000000" w:sz="4" w:space="0"/>
                  </w:tcBorders>
                  <w:vAlign w:val="center"/>
                </w:tcPr>
                <w:p w14:paraId="1BC155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 </w:t>
                  </w:r>
                </w:p>
              </w:tc>
              <w:tc>
                <w:tcPr>
                  <w:tcW w:w="910" w:type="dxa"/>
                  <w:tcBorders>
                    <w:top w:val="single" w:color="000000" w:sz="4" w:space="0"/>
                    <w:left w:val="single" w:color="000000" w:sz="4" w:space="0"/>
                    <w:bottom w:val="single" w:color="000000" w:sz="4" w:space="0"/>
                    <w:right w:val="single" w:color="000000" w:sz="4" w:space="0"/>
                  </w:tcBorders>
                  <w:vAlign w:val="center"/>
                </w:tcPr>
                <w:p w14:paraId="368CC0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9.5 </w:t>
                  </w:r>
                </w:p>
              </w:tc>
            </w:tr>
          </w:tbl>
          <w:p w14:paraId="02E4E5A4">
            <w:pPr>
              <w:keepNext w:val="0"/>
              <w:keepLines w:val="0"/>
              <w:pageBreakBefore w:val="0"/>
              <w:widowControl w:val="0"/>
              <w:kinsoku/>
              <w:wordWrap/>
              <w:overflowPunct/>
              <w:topLinePunct w:val="0"/>
              <w:autoSpaceDE/>
              <w:autoSpaceDN/>
              <w:bidi w:val="0"/>
              <w:adjustRightInd/>
              <w:snapToGrid/>
              <w:spacing w:line="100" w:lineRule="exact"/>
              <w:ind w:firstLine="480" w:firstLineChars="200"/>
              <w:jc w:val="both"/>
              <w:textAlignment w:val="auto"/>
              <w:rPr>
                <w:rFonts w:hint="default" w:ascii="Times New Roman" w:hAnsi="Times New Roman" w:eastAsia="宋体" w:cs="Times New Roman"/>
                <w:b/>
                <w:bCs/>
                <w:color w:val="auto"/>
                <w:sz w:val="24"/>
                <w:szCs w:val="24"/>
                <w:highlight w:val="none"/>
                <w:lang w:val="en-US" w:eastAsia="zh-CN"/>
              </w:rPr>
            </w:pPr>
          </w:p>
          <w:p w14:paraId="6A1DBAB3">
            <w:pPr>
              <w:keepNext w:val="0"/>
              <w:keepLines w:val="0"/>
              <w:suppressLineNumbers w:val="0"/>
              <w:spacing w:before="0" w:beforeAutospacing="0" w:after="0" w:afterAutospacing="0" w:line="360" w:lineRule="auto"/>
              <w:ind w:left="0" w:right="0" w:firstLine="468" w:firstLineChars="200"/>
              <w:rPr>
                <w:b/>
                <w:bCs/>
                <w:color w:val="auto"/>
                <w:sz w:val="24"/>
                <w:szCs w:val="24"/>
                <w:highlight w:val="none"/>
              </w:rPr>
            </w:pPr>
            <w:r>
              <w:rPr>
                <w:rFonts w:hint="default" w:ascii="Times New Roman" w:hAnsi="Times New Roman" w:cs="Times New Roman"/>
                <w:b/>
                <w:bCs/>
                <w:color w:val="auto"/>
                <w:spacing w:val="-3"/>
                <w:sz w:val="24"/>
                <w:szCs w:val="24"/>
                <w:highlight w:val="none"/>
                <w:lang w:val="en-US" w:eastAsia="zh-CN"/>
              </w:rPr>
              <w:t>2.1.4</w:t>
            </w:r>
            <w:r>
              <w:rPr>
                <w:b/>
                <w:bCs/>
                <w:color w:val="auto"/>
                <w:sz w:val="24"/>
                <w:szCs w:val="24"/>
                <w:highlight w:val="none"/>
              </w:rPr>
              <w:t>静电喷粉粉尘</w:t>
            </w:r>
          </w:p>
          <w:p w14:paraId="22D76E13">
            <w:pPr>
              <w:pageBreakBefore w:val="0"/>
              <w:wordWrap w:val="0"/>
              <w:topLinePunct/>
              <w:bidi w:val="0"/>
              <w:spacing w:beforeAutospacing="0" w:afterAutospacing="0" w:line="360" w:lineRule="auto"/>
              <w:ind w:firstLine="480" w:firstLineChars="200"/>
              <w:rPr>
                <w:color w:val="auto"/>
                <w:sz w:val="24"/>
                <w:szCs w:val="24"/>
                <w:highlight w:val="none"/>
              </w:rPr>
            </w:pPr>
            <w:r>
              <w:rPr>
                <w:color w:val="auto"/>
                <w:sz w:val="24"/>
                <w:szCs w:val="24"/>
                <w:highlight w:val="none"/>
              </w:rPr>
              <w:t>项目使用喷枪在密闭喷粉房对工件进行喷粉处理，喷粉过程中未附着的环氧/聚酯粉末涂料粉末会形成粉尘，其主要污染物为颗粒物。本评价采用《污染源源强核算技术指南 准则》（HJ884-2018）中提及的产污系数法核算喷粉粉尘产生量。根据《排放源统计调查产排污核算方法和系数手册》（生态环境部公告2021年第24号）中“机械行业系数手册”内14涂装工段-喷塑工艺产生颗粒物的产污系数为300kg/t-粉末涂料。</w:t>
            </w:r>
          </w:p>
          <w:p w14:paraId="7B594BF7">
            <w:pPr>
              <w:pStyle w:val="120"/>
              <w:pageBreakBefore w:val="0"/>
              <w:wordWrap w:val="0"/>
              <w:topLinePunct/>
              <w:bidi w:val="0"/>
              <w:snapToGrid/>
              <w:spacing w:beforeAutospacing="0" w:afterAutospacing="0"/>
              <w:ind w:firstLine="480"/>
              <w:rPr>
                <w:color w:val="auto"/>
                <w:sz w:val="24"/>
                <w:szCs w:val="24"/>
                <w:highlight w:val="none"/>
              </w:rPr>
            </w:pPr>
            <w:r>
              <w:rPr>
                <w:color w:val="auto"/>
                <w:sz w:val="24"/>
                <w:szCs w:val="24"/>
                <w:highlight w:val="none"/>
              </w:rPr>
              <w:t>喷粉房本身可视作集尘室，喷粉过程中保持密闭，同样采用“密闭工作台（集尘室）+大旋风+滤芯式二级回收系统”系统处理，即静电喷粉粉尘收集效率为90%，收集后可回用于静电喷粉工序，考虑到少量粉末附着在滤芯内，收集回用率取99%；静电喷粉粉尘未收集部分沉降在喷粉房内，沉降率取80%，最终处理后的静电喷粉粉尘于车间内无组织排放。</w:t>
            </w:r>
            <w:r>
              <w:rPr>
                <w:color w:val="auto"/>
                <w:highlight w:val="none"/>
              </w:rPr>
              <w:t>静电喷涂工位均接入“密闭工作台（集尘室）+大旋风+滤芯式二级回收系统”系统；该系统除尘效率参考《简明通风设计手册》（孙一坚主编）中“第三节 惯性及旋风除尘器”P361内容可知，高效旋风除尘器除尘效率可达90%以上，保守取值为90%；滤芯过滤器主要部件为转翼式滤芯筒，由“二 滤筒式除尘器”p407内容可知，其实测除尘效率为99.2%～99.9%（重量法）</w:t>
            </w:r>
            <w:r>
              <w:rPr>
                <w:rFonts w:hint="eastAsia"/>
                <w:color w:val="auto"/>
                <w:highlight w:val="none"/>
              </w:rPr>
              <w:t>，</w:t>
            </w:r>
            <w:r>
              <w:rPr>
                <w:color w:val="auto"/>
                <w:highlight w:val="none"/>
              </w:rPr>
              <w:t>保守取值为99%。综上，“大旋风+滤芯式二级回收系统”总处理效率为：1-（1-90%）×（1-99%）×100%=99.9%</w:t>
            </w:r>
            <w:r>
              <w:rPr>
                <w:rFonts w:hint="eastAsia"/>
                <w:color w:val="auto"/>
                <w:highlight w:val="none"/>
                <w:lang w:eastAsia="zh-CN"/>
              </w:rPr>
              <w:t>，保守取值</w:t>
            </w:r>
            <w:r>
              <w:rPr>
                <w:rFonts w:hint="eastAsia"/>
                <w:color w:val="auto"/>
                <w:highlight w:val="none"/>
                <w:lang w:val="en-US" w:eastAsia="zh-CN"/>
              </w:rPr>
              <w:t>99%</w:t>
            </w:r>
            <w:r>
              <w:rPr>
                <w:rFonts w:hint="eastAsia"/>
                <w:color w:val="auto"/>
                <w:sz w:val="28"/>
                <w:szCs w:val="28"/>
                <w:highlight w:val="none"/>
                <w:lang w:eastAsia="zh-CN"/>
              </w:rPr>
              <w:t>。</w:t>
            </w:r>
          </w:p>
          <w:p w14:paraId="11AFD1C6">
            <w:pPr>
              <w:pageBreakBefore w:val="0"/>
              <w:wordWrap w:val="0"/>
              <w:topLinePunct/>
              <w:bidi w:val="0"/>
              <w:spacing w:beforeAutospacing="0" w:afterAutospacing="0" w:line="360" w:lineRule="auto"/>
              <w:ind w:firstLine="480" w:firstLineChars="200"/>
              <w:rPr>
                <w:color w:val="auto"/>
                <w:sz w:val="24"/>
                <w:szCs w:val="24"/>
                <w:highlight w:val="none"/>
              </w:rPr>
            </w:pPr>
            <w:r>
              <w:rPr>
                <w:color w:val="auto"/>
                <w:sz w:val="24"/>
                <w:szCs w:val="24"/>
                <w:highlight w:val="none"/>
              </w:rPr>
              <w:t>本项目的喷粉粉末</w:t>
            </w:r>
            <w:r>
              <w:rPr>
                <w:rFonts w:hint="eastAsia"/>
                <w:color w:val="auto"/>
                <w:sz w:val="24"/>
                <w:szCs w:val="24"/>
                <w:highlight w:val="none"/>
                <w:lang w:val="en-US" w:eastAsia="zh-CN"/>
              </w:rPr>
              <w:t>一次</w:t>
            </w:r>
            <w:r>
              <w:rPr>
                <w:color w:val="auto"/>
                <w:sz w:val="24"/>
                <w:szCs w:val="24"/>
                <w:highlight w:val="none"/>
              </w:rPr>
              <w:t>上粉率为70%，综合利用率为95.54%</w:t>
            </w:r>
            <w:r>
              <w:rPr>
                <w:rFonts w:hint="eastAsia"/>
                <w:color w:val="auto"/>
                <w:sz w:val="24"/>
                <w:szCs w:val="24"/>
                <w:highlight w:val="none"/>
                <w:lang w:eastAsia="zh-CN"/>
              </w:rPr>
              <w:t>（本项目喷粉粉末一次附着率为70%，粉末收集效率为90%，回用率为99%，未收集部分粉尘沉降率为80%。因本项目回用粉末一直参与回用，其粉末综合利用率为0.7+（0.3×0.9×0.99）×0.7+（0.3×0.9×0.99）2×0.7....=0.7×(1-0.2673n)/（1-0.2673）=0.7（1-0）/（1-0.2673）=95.54%）</w:t>
            </w:r>
            <w:r>
              <w:rPr>
                <w:color w:val="auto"/>
                <w:sz w:val="24"/>
                <w:szCs w:val="24"/>
                <w:highlight w:val="none"/>
              </w:rPr>
              <w:t>，使用的环氧粉末涂料粉总量为</w:t>
            </w:r>
            <w:r>
              <w:rPr>
                <w:rFonts w:hint="eastAsia"/>
                <w:color w:val="auto"/>
                <w:sz w:val="24"/>
                <w:szCs w:val="24"/>
                <w:highlight w:val="none"/>
                <w:lang w:val="en-US" w:eastAsia="zh-CN"/>
              </w:rPr>
              <w:t>11.455</w:t>
            </w:r>
            <w:r>
              <w:rPr>
                <w:color w:val="auto"/>
                <w:sz w:val="24"/>
                <w:szCs w:val="24"/>
                <w:highlight w:val="none"/>
              </w:rPr>
              <w:t>t/a，粉末喷涂工件附着量为：</w:t>
            </w:r>
            <w:r>
              <w:rPr>
                <w:rFonts w:hint="eastAsia"/>
                <w:color w:val="auto"/>
                <w:sz w:val="24"/>
                <w:szCs w:val="24"/>
                <w:highlight w:val="none"/>
                <w:lang w:val="en-US" w:eastAsia="zh-CN"/>
              </w:rPr>
              <w:t>11.455</w:t>
            </w:r>
            <w:r>
              <w:rPr>
                <w:color w:val="auto"/>
                <w:sz w:val="24"/>
                <w:szCs w:val="24"/>
                <w:highlight w:val="none"/>
              </w:rPr>
              <w:t>t/a×95.54%=</w:t>
            </w:r>
            <w:r>
              <w:rPr>
                <w:rFonts w:hint="eastAsia"/>
                <w:color w:val="auto"/>
                <w:sz w:val="24"/>
                <w:szCs w:val="24"/>
                <w:highlight w:val="none"/>
                <w:lang w:val="en-US" w:eastAsia="zh-CN"/>
              </w:rPr>
              <w:t>10.944</w:t>
            </w:r>
            <w:r>
              <w:rPr>
                <w:color w:val="auto"/>
                <w:sz w:val="24"/>
                <w:szCs w:val="24"/>
                <w:highlight w:val="none"/>
              </w:rPr>
              <w:t>t/a。</w:t>
            </w:r>
          </w:p>
          <w:p w14:paraId="3E6BB551">
            <w:pPr>
              <w:pageBreakBefore w:val="0"/>
              <w:wordWrap w:val="0"/>
              <w:topLinePunct/>
              <w:bidi w:val="0"/>
              <w:spacing w:beforeAutospacing="0" w:afterAutospacing="0" w:line="360" w:lineRule="auto"/>
              <w:ind w:firstLine="480" w:firstLineChars="200"/>
              <w:rPr>
                <w:color w:val="auto"/>
                <w:sz w:val="24"/>
                <w:szCs w:val="24"/>
                <w:highlight w:val="none"/>
              </w:rPr>
            </w:pPr>
            <w:r>
              <w:rPr>
                <w:color w:val="auto"/>
                <w:sz w:val="24"/>
                <w:szCs w:val="24"/>
                <w:highlight w:val="none"/>
              </w:rPr>
              <w:t>在收集效率为90%、收集回用率效率为99%的情况下，设回收利用过程未附着量为Xt/a，则有</w:t>
            </w:r>
            <w:r>
              <w:rPr>
                <w:rFonts w:hint="eastAsia"/>
                <w:color w:val="auto"/>
                <w:sz w:val="24"/>
                <w:szCs w:val="24"/>
                <w:highlight w:val="none"/>
                <w:lang w:val="en-US" w:eastAsia="zh-CN"/>
              </w:rPr>
              <w:t>11.455</w:t>
            </w:r>
            <w:r>
              <w:rPr>
                <w:color w:val="auto"/>
                <w:sz w:val="24"/>
                <w:szCs w:val="24"/>
                <w:highlight w:val="none"/>
              </w:rPr>
              <w:t>t/a+（0.9×0.99）Xt/a=</w:t>
            </w:r>
            <w:r>
              <w:rPr>
                <w:rFonts w:hint="eastAsia"/>
                <w:color w:val="auto"/>
                <w:sz w:val="24"/>
                <w:szCs w:val="24"/>
                <w:highlight w:val="none"/>
                <w:lang w:val="en-US" w:eastAsia="zh-CN"/>
              </w:rPr>
              <w:t>10.944</w:t>
            </w:r>
            <w:r>
              <w:rPr>
                <w:color w:val="auto"/>
                <w:sz w:val="24"/>
                <w:szCs w:val="24"/>
                <w:highlight w:val="none"/>
              </w:rPr>
              <w:t>t/a+Xt/a，解得回收利用过程未附着量X=</w:t>
            </w:r>
            <w:r>
              <w:rPr>
                <w:rFonts w:hint="eastAsia"/>
                <w:color w:val="auto"/>
                <w:sz w:val="24"/>
                <w:szCs w:val="24"/>
                <w:highlight w:val="none"/>
                <w:lang w:val="en-US" w:eastAsia="zh-CN"/>
              </w:rPr>
              <w:t>4.687</w:t>
            </w:r>
            <w:r>
              <w:rPr>
                <w:color w:val="auto"/>
                <w:sz w:val="24"/>
                <w:szCs w:val="24"/>
                <w:highlight w:val="none"/>
              </w:rPr>
              <w:t>t/a。</w:t>
            </w:r>
          </w:p>
          <w:p w14:paraId="7C4BAEA4">
            <w:pPr>
              <w:pageBreakBefore w:val="0"/>
              <w:wordWrap w:val="0"/>
              <w:topLinePunct/>
              <w:bidi w:val="0"/>
              <w:spacing w:beforeAutospacing="0" w:afterAutospacing="0" w:line="360" w:lineRule="auto"/>
              <w:ind w:firstLine="480" w:firstLineChars="200"/>
              <w:rPr>
                <w:color w:val="auto"/>
                <w:sz w:val="24"/>
                <w:szCs w:val="24"/>
                <w:highlight w:val="none"/>
              </w:rPr>
            </w:pPr>
            <w:r>
              <w:rPr>
                <w:color w:val="auto"/>
                <w:sz w:val="24"/>
                <w:szCs w:val="24"/>
                <w:highlight w:val="none"/>
              </w:rPr>
              <w:t>对应收集量为：</w:t>
            </w:r>
            <w:r>
              <w:rPr>
                <w:rFonts w:hint="eastAsia"/>
                <w:color w:val="auto"/>
                <w:sz w:val="24"/>
                <w:szCs w:val="24"/>
                <w:highlight w:val="none"/>
                <w:lang w:val="en-US" w:eastAsia="zh-CN"/>
              </w:rPr>
              <w:t>4.687</w:t>
            </w:r>
            <w:r>
              <w:rPr>
                <w:color w:val="auto"/>
                <w:sz w:val="24"/>
                <w:szCs w:val="24"/>
                <w:highlight w:val="none"/>
              </w:rPr>
              <w:t>t/a×0.9=</w:t>
            </w:r>
            <w:r>
              <w:rPr>
                <w:rFonts w:hint="eastAsia"/>
                <w:color w:val="auto"/>
                <w:sz w:val="24"/>
                <w:szCs w:val="24"/>
                <w:highlight w:val="none"/>
                <w:lang w:val="en-US" w:eastAsia="zh-CN"/>
              </w:rPr>
              <w:t>4.2183</w:t>
            </w:r>
            <w:r>
              <w:rPr>
                <w:color w:val="auto"/>
                <w:sz w:val="24"/>
                <w:szCs w:val="24"/>
                <w:highlight w:val="none"/>
              </w:rPr>
              <w:t>t/a；收集回用量为：</w:t>
            </w:r>
            <w:r>
              <w:rPr>
                <w:rFonts w:hint="eastAsia"/>
                <w:color w:val="auto"/>
                <w:sz w:val="24"/>
                <w:szCs w:val="24"/>
                <w:highlight w:val="none"/>
                <w:lang w:val="en-US" w:eastAsia="zh-CN"/>
              </w:rPr>
              <w:t>4.2183</w:t>
            </w:r>
            <w:r>
              <w:rPr>
                <w:color w:val="auto"/>
                <w:sz w:val="24"/>
                <w:szCs w:val="24"/>
                <w:highlight w:val="none"/>
              </w:rPr>
              <w:t>t/a×0.99=</w:t>
            </w:r>
            <w:r>
              <w:rPr>
                <w:rFonts w:hint="eastAsia"/>
                <w:color w:val="auto"/>
                <w:sz w:val="24"/>
                <w:szCs w:val="24"/>
                <w:highlight w:val="none"/>
                <w:lang w:val="en-US" w:eastAsia="zh-CN"/>
              </w:rPr>
              <w:t>4.1762</w:t>
            </w:r>
            <w:r>
              <w:rPr>
                <w:color w:val="auto"/>
                <w:sz w:val="24"/>
                <w:szCs w:val="24"/>
                <w:highlight w:val="none"/>
              </w:rPr>
              <w:t>t/a；未收集量为：</w:t>
            </w:r>
            <w:r>
              <w:rPr>
                <w:rFonts w:hint="eastAsia"/>
                <w:color w:val="auto"/>
                <w:sz w:val="24"/>
                <w:szCs w:val="24"/>
                <w:highlight w:val="none"/>
                <w:lang w:val="en-US" w:eastAsia="zh-CN"/>
              </w:rPr>
              <w:t>4.687</w:t>
            </w:r>
            <w:r>
              <w:rPr>
                <w:color w:val="auto"/>
                <w:sz w:val="24"/>
                <w:szCs w:val="24"/>
                <w:highlight w:val="none"/>
              </w:rPr>
              <w:t>t/a</w:t>
            </w:r>
            <w:r>
              <w:rPr>
                <w:rFonts w:hint="eastAsia"/>
                <w:color w:val="auto"/>
                <w:sz w:val="24"/>
                <w:szCs w:val="24"/>
                <w:highlight w:val="none"/>
                <w:lang w:val="en-US" w:eastAsia="zh-CN"/>
              </w:rPr>
              <w:t>-4.2183</w:t>
            </w:r>
            <w:r>
              <w:rPr>
                <w:color w:val="auto"/>
                <w:sz w:val="24"/>
                <w:szCs w:val="24"/>
                <w:highlight w:val="none"/>
              </w:rPr>
              <w:t>t/a=</w:t>
            </w:r>
            <w:r>
              <w:rPr>
                <w:rFonts w:hint="eastAsia"/>
                <w:color w:val="auto"/>
                <w:sz w:val="24"/>
                <w:szCs w:val="24"/>
                <w:highlight w:val="none"/>
                <w:lang w:val="en-US" w:eastAsia="zh-CN"/>
              </w:rPr>
              <w:t>0.4687</w:t>
            </w:r>
            <w:r>
              <w:rPr>
                <w:color w:val="auto"/>
                <w:sz w:val="24"/>
                <w:szCs w:val="24"/>
                <w:highlight w:val="none"/>
              </w:rPr>
              <w:t>t/a，地面沉降量为：</w:t>
            </w:r>
            <w:r>
              <w:rPr>
                <w:rFonts w:hint="eastAsia"/>
                <w:color w:val="auto"/>
                <w:sz w:val="24"/>
                <w:szCs w:val="24"/>
                <w:highlight w:val="none"/>
                <w:lang w:val="en-US" w:eastAsia="zh-CN"/>
              </w:rPr>
              <w:t>0.4687</w:t>
            </w:r>
            <w:r>
              <w:rPr>
                <w:color w:val="auto"/>
                <w:sz w:val="24"/>
                <w:szCs w:val="24"/>
                <w:highlight w:val="none"/>
              </w:rPr>
              <w:t>t/a×80%=</w:t>
            </w:r>
            <w:r>
              <w:rPr>
                <w:rFonts w:hint="eastAsia"/>
                <w:color w:val="auto"/>
                <w:sz w:val="24"/>
                <w:szCs w:val="24"/>
                <w:highlight w:val="none"/>
                <w:lang w:val="en-US" w:eastAsia="zh-CN"/>
              </w:rPr>
              <w:t>0.3750</w:t>
            </w:r>
            <w:r>
              <w:rPr>
                <w:color w:val="auto"/>
                <w:sz w:val="24"/>
                <w:szCs w:val="24"/>
                <w:highlight w:val="none"/>
              </w:rPr>
              <w:t>t/a。最终静电喷粉粉尘无组织排放量为：（</w:t>
            </w:r>
            <w:r>
              <w:rPr>
                <w:rFonts w:hint="eastAsia"/>
                <w:color w:val="auto"/>
                <w:sz w:val="24"/>
                <w:szCs w:val="24"/>
                <w:highlight w:val="none"/>
                <w:lang w:val="en-US" w:eastAsia="zh-CN"/>
              </w:rPr>
              <w:t>4.2183</w:t>
            </w:r>
            <w:r>
              <w:rPr>
                <w:color w:val="auto"/>
                <w:sz w:val="24"/>
                <w:szCs w:val="24"/>
                <w:highlight w:val="none"/>
              </w:rPr>
              <w:t>-</w:t>
            </w:r>
            <w:r>
              <w:rPr>
                <w:rFonts w:hint="eastAsia"/>
                <w:color w:val="auto"/>
                <w:sz w:val="24"/>
                <w:szCs w:val="24"/>
                <w:highlight w:val="none"/>
                <w:lang w:val="en-US" w:eastAsia="zh-CN"/>
              </w:rPr>
              <w:t>4.1762</w:t>
            </w:r>
            <w:r>
              <w:rPr>
                <w:color w:val="auto"/>
                <w:sz w:val="24"/>
                <w:szCs w:val="24"/>
                <w:highlight w:val="none"/>
              </w:rPr>
              <w:t>）t/a+（</w:t>
            </w:r>
            <w:r>
              <w:rPr>
                <w:rFonts w:hint="eastAsia"/>
                <w:color w:val="auto"/>
                <w:sz w:val="24"/>
                <w:szCs w:val="24"/>
                <w:highlight w:val="none"/>
                <w:lang w:val="en-US" w:eastAsia="zh-CN"/>
              </w:rPr>
              <w:t>0.4687</w:t>
            </w:r>
            <w:r>
              <w:rPr>
                <w:color w:val="auto"/>
                <w:sz w:val="24"/>
                <w:szCs w:val="24"/>
                <w:highlight w:val="none"/>
              </w:rPr>
              <w:t>-</w:t>
            </w:r>
            <w:r>
              <w:rPr>
                <w:rFonts w:hint="eastAsia"/>
                <w:color w:val="auto"/>
                <w:sz w:val="24"/>
                <w:szCs w:val="24"/>
                <w:highlight w:val="none"/>
                <w:lang w:val="en-US" w:eastAsia="zh-CN"/>
              </w:rPr>
              <w:t>0.375</w:t>
            </w:r>
            <w:r>
              <w:rPr>
                <w:color w:val="auto"/>
                <w:sz w:val="24"/>
                <w:szCs w:val="24"/>
                <w:highlight w:val="none"/>
              </w:rPr>
              <w:t>）t/a=</w:t>
            </w:r>
            <w:r>
              <w:rPr>
                <w:rFonts w:hint="eastAsia"/>
                <w:color w:val="auto"/>
                <w:sz w:val="24"/>
                <w:szCs w:val="24"/>
                <w:highlight w:val="none"/>
                <w:lang w:val="en-US" w:eastAsia="zh-CN"/>
              </w:rPr>
              <w:t>0.136</w:t>
            </w:r>
            <w:r>
              <w:rPr>
                <w:color w:val="auto"/>
                <w:sz w:val="24"/>
                <w:szCs w:val="24"/>
                <w:highlight w:val="none"/>
              </w:rPr>
              <w:t>t/a。</w:t>
            </w:r>
          </w:p>
          <w:p w14:paraId="0FA6C0FE">
            <w:pPr>
              <w:pageBreakBefore w:val="0"/>
              <w:wordWrap w:val="0"/>
              <w:topLinePunct/>
              <w:bidi w:val="0"/>
              <w:spacing w:beforeAutospacing="0" w:afterAutospacing="0" w:line="360" w:lineRule="auto"/>
              <w:ind w:firstLine="480" w:firstLineChars="200"/>
              <w:rPr>
                <w:color w:val="auto"/>
                <w:sz w:val="24"/>
                <w:szCs w:val="24"/>
                <w:highlight w:val="none"/>
              </w:rPr>
            </w:pPr>
            <w:r>
              <w:rPr>
                <w:color w:val="auto"/>
                <w:sz w:val="24"/>
                <w:szCs w:val="24"/>
                <w:highlight w:val="none"/>
              </w:rPr>
              <w:t>粉末涂料平衡详见下图。</w:t>
            </w:r>
          </w:p>
          <w:p w14:paraId="4FEB4727">
            <w:pPr>
              <w:pageBreakBefore w:val="0"/>
              <w:wordWrap w:val="0"/>
              <w:topLinePunct/>
              <w:bidi w:val="0"/>
              <w:spacing w:beforeAutospacing="0" w:afterAutospacing="0" w:line="240" w:lineRule="auto"/>
              <w:rPr>
                <w:color w:val="auto"/>
                <w:sz w:val="24"/>
                <w:szCs w:val="24"/>
                <w:highlight w:val="none"/>
              </w:rPr>
            </w:pPr>
            <w:r>
              <w:rPr>
                <w:color w:val="auto"/>
                <w:sz w:val="32"/>
                <w:highlight w:val="none"/>
              </w:rPr>
              <mc:AlternateContent>
                <mc:Choice Requires="wpc">
                  <w:drawing>
                    <wp:inline distT="0" distB="0" distL="114300" distR="114300">
                      <wp:extent cx="5172075" cy="3609975"/>
                      <wp:effectExtent l="0" t="0" r="0" b="0"/>
                      <wp:docPr id="169" name="画布 169"/>
                      <wp:cNvGraphicFramePr/>
                      <a:graphic xmlns:a="http://schemas.openxmlformats.org/drawingml/2006/main">
                        <a:graphicData uri="http://schemas.microsoft.com/office/word/2010/wordprocessingCanvas">
                          <wpc:wpc>
                            <wpc:bg/>
                            <wpc:whole/>
                            <wps:wsp>
                              <wps:cNvPr id="170" name="文本框 170"/>
                              <wps:cNvSpPr txBox="1"/>
                              <wps:spPr>
                                <a:xfrm>
                                  <a:off x="130175" y="989965"/>
                                  <a:ext cx="885825"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C72AAEF">
                                    <w:pPr>
                                      <w:spacing w:line="240" w:lineRule="auto"/>
                                      <w:jc w:val="center"/>
                                      <w:rPr>
                                        <w:rFonts w:hint="default" w:ascii="Times New Roman" w:hAnsi="Times New Roman" w:cs="Times New Roman"/>
                                        <w:sz w:val="18"/>
                                        <w:szCs w:val="21"/>
                                        <w:lang w:val="en-US" w:eastAsia="zh-CN"/>
                                      </w:rPr>
                                    </w:pPr>
                                    <w:r>
                                      <w:rPr>
                                        <w:rFonts w:hint="default" w:ascii="Times New Roman" w:hAnsi="Times New Roman" w:cs="Times New Roman"/>
                                        <w:sz w:val="18"/>
                                        <w:szCs w:val="21"/>
                                        <w:lang w:val="en-US" w:eastAsia="zh-CN"/>
                                      </w:rPr>
                                      <w:t>静电喷涂粉末</w:t>
                                    </w:r>
                                  </w:p>
                                  <w:p w14:paraId="5A7C07AB">
                                    <w:pPr>
                                      <w:pStyle w:val="2"/>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t>1.45</w:t>
                                    </w:r>
                                    <w:r>
                                      <w:rPr>
                                        <w:rFonts w:hint="default" w:ascii="Times New Roman" w:hAnsi="Times New Roman" w:cs="Times New Roman"/>
                                        <w:sz w:val="21"/>
                                        <w:szCs w:val="21"/>
                                        <w:lang w:val="en-US" w:eastAsia="zh-CN"/>
                                      </w:rPr>
                                      <w:t>5t/a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5" name="文本框 295"/>
                              <wps:cNvSpPr txBox="1"/>
                              <wps:spPr>
                                <a:xfrm>
                                  <a:off x="1484630" y="65405"/>
                                  <a:ext cx="867410"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7D77DFA">
                                    <w:pPr>
                                      <w:pStyle w:val="2"/>
                                      <w:spacing w:line="240" w:lineRule="auto"/>
                                      <w:jc w:val="center"/>
                                      <w:rPr>
                                        <w:rFonts w:hint="default" w:ascii="Times New Roman" w:hAnsi="Times New Roman" w:cs="Times New Roman"/>
                                        <w:sz w:val="21"/>
                                        <w:szCs w:val="21"/>
                                        <w:lang w:val="en-US" w:eastAsia="zh-CN"/>
                                      </w:rPr>
                                    </w:pPr>
                                    <w:r>
                                      <w:rPr>
                                        <w:rFonts w:hint="eastAsia" w:ascii="Times New Roman" w:cs="Times New Roman"/>
                                        <w:sz w:val="21"/>
                                        <w:szCs w:val="21"/>
                                        <w:lang w:val="en-US" w:eastAsia="zh-CN"/>
                                      </w:rPr>
                                      <w:t>工件附着量10.944</w:t>
                                    </w:r>
                                    <w:r>
                                      <w:rPr>
                                        <w:rFonts w:hint="default" w:ascii="Times New Roman" w:hAnsi="Times New Roman" w:cs="Times New Roman"/>
                                        <w:sz w:val="21"/>
                                        <w:szCs w:val="21"/>
                                        <w:lang w:val="en-US" w:eastAsia="zh-CN"/>
                                      </w:rPr>
                                      <w:t>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6" name="文本框 296"/>
                              <wps:cNvSpPr txBox="1"/>
                              <wps:spPr>
                                <a:xfrm>
                                  <a:off x="1484630" y="1424305"/>
                                  <a:ext cx="924560" cy="746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76878E1">
                                    <w:pPr>
                                      <w:pStyle w:val="2"/>
                                      <w:spacing w:line="240" w:lineRule="auto"/>
                                      <w:jc w:val="center"/>
                                      <w:rPr>
                                        <w:rFonts w:hint="default" w:ascii="Times New Roman" w:hAnsi="Times New Roman" w:cs="Times New Roman"/>
                                        <w:sz w:val="21"/>
                                        <w:szCs w:val="21"/>
                                        <w:lang w:val="en-US" w:eastAsia="zh-CN"/>
                                      </w:rPr>
                                    </w:pPr>
                                    <w:r>
                                      <w:rPr>
                                        <w:rFonts w:hint="eastAsia" w:ascii="Times New Roman" w:cs="Times New Roman"/>
                                        <w:sz w:val="21"/>
                                        <w:szCs w:val="21"/>
                                        <w:lang w:val="en-US" w:eastAsia="zh-CN"/>
                                      </w:rPr>
                                      <w:t>回收利用过程未附着量4.687</w:t>
                                    </w:r>
                                    <w:r>
                                      <w:rPr>
                                        <w:rFonts w:hint="default" w:ascii="Times New Roman" w:hAnsi="Times New Roman" w:cs="Times New Roman"/>
                                        <w:sz w:val="21"/>
                                        <w:szCs w:val="21"/>
                                        <w:lang w:val="en-US" w:eastAsia="zh-CN"/>
                                      </w:rPr>
                                      <w:t>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7" name="文本框 297"/>
                              <wps:cNvSpPr txBox="1"/>
                              <wps:spPr>
                                <a:xfrm>
                                  <a:off x="2955925" y="2475230"/>
                                  <a:ext cx="905510" cy="4953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40314B4">
                                    <w:pPr>
                                      <w:pStyle w:val="2"/>
                                      <w:spacing w:line="240" w:lineRule="auto"/>
                                      <w:jc w:val="center"/>
                                      <w:rPr>
                                        <w:rFonts w:hint="default" w:ascii="Times New Roman" w:hAnsi="Times New Roman" w:cs="Times New Roman"/>
                                        <w:sz w:val="21"/>
                                        <w:szCs w:val="21"/>
                                        <w:lang w:val="en-US" w:eastAsia="zh-CN"/>
                                      </w:rPr>
                                    </w:pPr>
                                    <w:r>
                                      <w:rPr>
                                        <w:rFonts w:hint="eastAsia" w:ascii="Times New Roman" w:cs="Times New Roman"/>
                                        <w:sz w:val="21"/>
                                        <w:szCs w:val="21"/>
                                        <w:lang w:val="en-US" w:eastAsia="zh-CN"/>
                                      </w:rPr>
                                      <w:t>收集量4.2183</w:t>
                                    </w:r>
                                    <w:r>
                                      <w:rPr>
                                        <w:rFonts w:hint="default" w:ascii="Times New Roman" w:hAnsi="Times New Roman" w:cs="Times New Roman"/>
                                        <w:sz w:val="21"/>
                                        <w:szCs w:val="21"/>
                                        <w:lang w:val="en-US" w:eastAsia="zh-CN"/>
                                      </w:rPr>
                                      <w:t>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8" name="文本框 298"/>
                              <wps:cNvSpPr txBox="1"/>
                              <wps:spPr>
                                <a:xfrm>
                                  <a:off x="2956560" y="1370330"/>
                                  <a:ext cx="904240" cy="535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1D65079">
                                    <w:pPr>
                                      <w:pStyle w:val="2"/>
                                      <w:spacing w:line="240" w:lineRule="auto"/>
                                      <w:jc w:val="center"/>
                                      <w:rPr>
                                        <w:rFonts w:hint="default" w:ascii="Times New Roman" w:hAnsi="Times New Roman" w:cs="Times New Roman"/>
                                        <w:sz w:val="21"/>
                                        <w:szCs w:val="21"/>
                                        <w:lang w:val="en-US" w:eastAsia="zh-CN"/>
                                      </w:rPr>
                                    </w:pPr>
                                    <w:r>
                                      <w:rPr>
                                        <w:rFonts w:hint="eastAsia" w:ascii="Times New Roman" w:cs="Times New Roman"/>
                                        <w:sz w:val="21"/>
                                        <w:szCs w:val="21"/>
                                        <w:lang w:val="en-US" w:eastAsia="zh-CN"/>
                                      </w:rPr>
                                      <w:t>地面沉降量0.375</w:t>
                                    </w:r>
                                    <w:r>
                                      <w:rPr>
                                        <w:rFonts w:hint="default" w:ascii="Times New Roman" w:hAnsi="Times New Roman" w:cs="Times New Roman"/>
                                        <w:sz w:val="21"/>
                                        <w:szCs w:val="21"/>
                                        <w:lang w:val="en-US" w:eastAsia="zh-CN"/>
                                      </w:rPr>
                                      <w:t>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9" name="文本框 299"/>
                              <wps:cNvSpPr txBox="1"/>
                              <wps:spPr>
                                <a:xfrm>
                                  <a:off x="2961005" y="449580"/>
                                  <a:ext cx="895985" cy="4540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CA4AD8A">
                                    <w:pPr>
                                      <w:spacing w:line="240" w:lineRule="auto"/>
                                      <w:jc w:val="center"/>
                                      <w:rPr>
                                        <w:rFonts w:hint="default" w:ascii="Times New Roman" w:hAnsi="Times New Roman" w:cs="Times New Roman"/>
                                        <w:sz w:val="18"/>
                                        <w:szCs w:val="21"/>
                                        <w:lang w:val="en-US" w:eastAsia="zh-CN"/>
                                      </w:rPr>
                                    </w:pPr>
                                    <w:r>
                                      <w:rPr>
                                        <w:rFonts w:hint="eastAsia" w:cs="Times New Roman"/>
                                        <w:sz w:val="18"/>
                                        <w:szCs w:val="21"/>
                                        <w:lang w:val="en-US" w:eastAsia="zh-CN"/>
                                      </w:rPr>
                                      <w:t>未收集量</w:t>
                                    </w:r>
                                  </w:p>
                                  <w:p w14:paraId="03503C43">
                                    <w:pPr>
                                      <w:pStyle w:val="2"/>
                                      <w:spacing w:line="240" w:lineRule="auto"/>
                                      <w:jc w:val="center"/>
                                      <w:rPr>
                                        <w:rFonts w:hint="default" w:ascii="Times New Roman" w:hAnsi="Times New Roman" w:cs="Times New Roman"/>
                                        <w:sz w:val="21"/>
                                        <w:szCs w:val="21"/>
                                        <w:lang w:val="en-US" w:eastAsia="zh-CN"/>
                                      </w:rPr>
                                    </w:pPr>
                                    <w:r>
                                      <w:rPr>
                                        <w:rFonts w:hint="eastAsia" w:ascii="Times New Roman" w:cs="Times New Roman"/>
                                        <w:sz w:val="21"/>
                                        <w:szCs w:val="21"/>
                                        <w:lang w:val="en-US" w:eastAsia="zh-CN"/>
                                      </w:rPr>
                                      <w:t>0.4687</w:t>
                                    </w:r>
                                    <w:r>
                                      <w:rPr>
                                        <w:rFonts w:hint="default" w:ascii="Times New Roman" w:hAnsi="Times New Roman" w:cs="Times New Roman"/>
                                        <w:sz w:val="21"/>
                                        <w:szCs w:val="21"/>
                                        <w:lang w:val="en-US" w:eastAsia="zh-CN"/>
                                      </w:rPr>
                                      <w:t>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0" name="文本框 300"/>
                              <wps:cNvSpPr txBox="1"/>
                              <wps:spPr>
                                <a:xfrm>
                                  <a:off x="4202430" y="1179830"/>
                                  <a:ext cx="835025" cy="6642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1C4D5D8">
                                    <w:pPr>
                                      <w:spacing w:line="240" w:lineRule="auto"/>
                                      <w:jc w:val="center"/>
                                      <w:rPr>
                                        <w:rFonts w:hint="default" w:ascii="Times New Roman" w:hAnsi="Times New Roman" w:cs="Times New Roman"/>
                                        <w:sz w:val="18"/>
                                        <w:szCs w:val="21"/>
                                        <w:lang w:val="en-US" w:eastAsia="zh-CN"/>
                                      </w:rPr>
                                    </w:pPr>
                                    <w:r>
                                      <w:rPr>
                                        <w:rFonts w:hint="eastAsia" w:cs="Times New Roman"/>
                                        <w:sz w:val="18"/>
                                        <w:szCs w:val="21"/>
                                        <w:lang w:val="en-US" w:eastAsia="zh-CN"/>
                                      </w:rPr>
                                      <w:t>无组织排放量</w:t>
                                    </w:r>
                                  </w:p>
                                  <w:p w14:paraId="5F3931C5">
                                    <w:pPr>
                                      <w:pStyle w:val="2"/>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0.136</w:t>
                                    </w:r>
                                    <w:r>
                                      <w:rPr>
                                        <w:rFonts w:hint="default" w:ascii="Times New Roman" w:hAnsi="Times New Roman" w:cs="Times New Roman"/>
                                        <w:sz w:val="21"/>
                                        <w:szCs w:val="21"/>
                                        <w:lang w:val="en-US" w:eastAsia="zh-CN"/>
                                      </w:rPr>
                                      <w:t>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1" name="肘形连接符 301"/>
                              <wps:cNvCnPr>
                                <a:stCxn id="170" idx="3"/>
                                <a:endCxn id="295" idx="1"/>
                              </wps:cNvCnPr>
                              <wps:spPr>
                                <a:xfrm flipV="1">
                                  <a:off x="1016000" y="313055"/>
                                  <a:ext cx="468630" cy="924560"/>
                                </a:xfrm>
                                <a:prstGeom prst="bentConnector3">
                                  <a:avLst>
                                    <a:gd name="adj1" fmla="val 50000"/>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02" name="肘形连接符 302"/>
                              <wps:cNvCnPr>
                                <a:stCxn id="170" idx="3"/>
                                <a:endCxn id="296" idx="1"/>
                              </wps:cNvCnPr>
                              <wps:spPr>
                                <a:xfrm>
                                  <a:off x="1016000" y="1237615"/>
                                  <a:ext cx="468630" cy="560070"/>
                                </a:xfrm>
                                <a:prstGeom prst="bentConnector3">
                                  <a:avLst>
                                    <a:gd name="adj1" fmla="val 50000"/>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03" name="肘形连接符 303"/>
                              <wps:cNvCnPr>
                                <a:stCxn id="296" idx="3"/>
                                <a:endCxn id="297" idx="1"/>
                              </wps:cNvCnPr>
                              <wps:spPr>
                                <a:xfrm>
                                  <a:off x="2409190" y="1797685"/>
                                  <a:ext cx="546735" cy="925195"/>
                                </a:xfrm>
                                <a:prstGeom prst="bentConnector3">
                                  <a:avLst>
                                    <a:gd name="adj1" fmla="val 50058"/>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04" name="肘形连接符 304"/>
                              <wps:cNvCnPr>
                                <a:stCxn id="296" idx="3"/>
                                <a:endCxn id="299" idx="1"/>
                              </wps:cNvCnPr>
                              <wps:spPr>
                                <a:xfrm flipV="1">
                                  <a:off x="2409190" y="676910"/>
                                  <a:ext cx="551815" cy="1120775"/>
                                </a:xfrm>
                                <a:prstGeom prst="bentConnector3">
                                  <a:avLst>
                                    <a:gd name="adj1" fmla="val 50058"/>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05" name="直接箭头连接符 305"/>
                              <wps:cNvCnPr>
                                <a:stCxn id="299" idx="2"/>
                                <a:endCxn id="298" idx="0"/>
                              </wps:cNvCnPr>
                              <wps:spPr>
                                <a:xfrm flipH="1">
                                  <a:off x="3408680" y="903605"/>
                                  <a:ext cx="635" cy="466725"/>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06" name="肘形连接符 306"/>
                              <wps:cNvCnPr>
                                <a:stCxn id="299" idx="3"/>
                                <a:endCxn id="300" idx="1"/>
                              </wps:cNvCnPr>
                              <wps:spPr>
                                <a:xfrm>
                                  <a:off x="3856990" y="676910"/>
                                  <a:ext cx="345440" cy="835025"/>
                                </a:xfrm>
                                <a:prstGeom prst="bentConnector3">
                                  <a:avLst>
                                    <a:gd name="adj1" fmla="val 50000"/>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07" name="肘形连接符 307"/>
                              <wps:cNvCnPr>
                                <a:stCxn id="297" idx="3"/>
                                <a:endCxn id="300" idx="1"/>
                              </wps:cNvCnPr>
                              <wps:spPr>
                                <a:xfrm flipV="1">
                                  <a:off x="3861435" y="1511935"/>
                                  <a:ext cx="340995" cy="1210945"/>
                                </a:xfrm>
                                <a:prstGeom prst="bentConnector3">
                                  <a:avLst>
                                    <a:gd name="adj1" fmla="val 50093"/>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08" name="肘形连接符 308"/>
                              <wps:cNvCnPr/>
                              <wps:spPr>
                                <a:xfrm rot="5400000" flipH="1">
                                  <a:off x="1248410" y="796290"/>
                                  <a:ext cx="1485265" cy="2835275"/>
                                </a:xfrm>
                                <a:prstGeom prst="bentConnector3">
                                  <a:avLst>
                                    <a:gd name="adj1" fmla="val -16032"/>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09" name="文本框 309"/>
                              <wps:cNvSpPr txBox="1"/>
                              <wps:spPr>
                                <a:xfrm>
                                  <a:off x="4035425" y="2009140"/>
                                  <a:ext cx="809625" cy="312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9ECBF8">
                                    <w:pPr>
                                      <w:spacing w:line="240" w:lineRule="auto"/>
                                      <w:rPr>
                                        <w:rFonts w:hint="default" w:eastAsia="宋体"/>
                                        <w:lang w:val="en-US" w:eastAsia="zh-CN"/>
                                      </w:rPr>
                                    </w:pPr>
                                    <w:r>
                                      <w:rPr>
                                        <w:rFonts w:hint="eastAsia"/>
                                        <w:lang w:val="en-US" w:eastAsia="zh-CN"/>
                                      </w:rPr>
                                      <w:t>0.0937t/a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0" name="文本框 310"/>
                              <wps:cNvSpPr txBox="1"/>
                              <wps:spPr>
                                <a:xfrm>
                                  <a:off x="46355" y="255905"/>
                                  <a:ext cx="904875" cy="2800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DC1DF4">
                                    <w:pPr>
                                      <w:spacing w:line="240" w:lineRule="auto"/>
                                      <w:rPr>
                                        <w:rFonts w:hint="default" w:eastAsia="宋体"/>
                                        <w:lang w:val="en-US" w:eastAsia="zh-CN"/>
                                      </w:rPr>
                                    </w:pPr>
                                    <w:r>
                                      <w:rPr>
                                        <w:rFonts w:hint="eastAsia"/>
                                        <w:lang w:val="en-US" w:eastAsia="zh-CN"/>
                                      </w:rPr>
                                      <w:t>11.455t/a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1" name="文本框 311"/>
                              <wps:cNvSpPr txBox="1"/>
                              <wps:spPr>
                                <a:xfrm>
                                  <a:off x="1103630" y="2846070"/>
                                  <a:ext cx="1645920" cy="3435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593932">
                                    <w:pPr>
                                      <w:spacing w:line="240" w:lineRule="auto"/>
                                      <w:rPr>
                                        <w:rFonts w:hint="default" w:eastAsia="宋体"/>
                                        <w:lang w:val="en-US" w:eastAsia="zh-CN"/>
                                      </w:rPr>
                                    </w:pPr>
                                    <w:r>
                                      <w:rPr>
                                        <w:rFonts w:hint="eastAsia"/>
                                        <w:lang w:val="en-US" w:eastAsia="zh-CN"/>
                                      </w:rPr>
                                      <w:t>收集回用量4.1762t/a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2" name="文本框 312"/>
                              <wps:cNvSpPr txBox="1"/>
                              <wps:spPr>
                                <a:xfrm>
                                  <a:off x="3951605" y="779780"/>
                                  <a:ext cx="809625" cy="3435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BAF811">
                                    <w:pPr>
                                      <w:spacing w:line="240" w:lineRule="auto"/>
                                      <w:rPr>
                                        <w:rFonts w:hint="default" w:eastAsia="宋体"/>
                                        <w:lang w:val="en-US" w:eastAsia="zh-CN"/>
                                      </w:rPr>
                                    </w:pPr>
                                    <w:r>
                                      <w:rPr>
                                        <w:rFonts w:hint="eastAsia"/>
                                        <w:lang w:val="en-US" w:eastAsia="zh-CN"/>
                                      </w:rPr>
                                      <w:t>0.0422t/a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3" name="直接箭头连接符 313"/>
                              <wps:cNvCnPr/>
                              <wps:spPr>
                                <a:xfrm flipH="1">
                                  <a:off x="513080" y="484505"/>
                                  <a:ext cx="635" cy="466725"/>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c:wpc>
                        </a:graphicData>
                      </a:graphic>
                    </wp:inline>
                  </w:drawing>
                </mc:Choice>
                <mc:Fallback>
                  <w:pict>
                    <v:group id="_x0000_s1026" o:spid="_x0000_s1026" o:spt="203" style="height:284.25pt;width:407.25pt;" coordsize="5172075,3609975" editas="canvas" o:gfxdata="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">
                      <o:lock v:ext="edit" aspectratio="f"/>
                      <v:shape id="_x0000_s1026" o:spid="_x0000_s1026" style="position:absolute;left:0;top:0;height:3609975;width:5172075;" filled="f" stroked="f" coordsize="21600,21600" o:gfxdata="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">
                        <v:fill on="f" focussize="0,0"/>
                        <v:stroke on="f"/>
                        <v:imagedata o:title=""/>
                        <o:lock v:ext="edit" aspectratio="f"/>
                      </v:shape>
                      <v:shape id="_x0000_s1026" o:spid="_x0000_s1026" o:spt="202" type="#_x0000_t202" style="position:absolute;left:130175;top:989965;height:495300;width:885825;" fillcolor="#FFFFFF [3201]" filled="t" stroked="t" coordsize="21600,21600" o:gfxdata="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3wVJhNQAAAAFAQAADwAAAAAAAAABACAAAAAiAAAAZHJzL2Rvd25yZXYueG1sUEsBAhQAFAAA&#10;AAgAh07iQFs6YjllAgAAxAQAAA4AAAAAAAAAAQAgAAAAIwEAAGRycy9lMm9Eb2MueG1sUEsFBgAA&#10;AAAGAAYAWQEAAPoFAAAAAA==&#10;">
                        <v:fill on="t" focussize="0,0"/>
                        <v:stroke weight="0.5pt" color="#000000 [3204]" joinstyle="round"/>
                        <v:imagedata o:title=""/>
                        <o:lock v:ext="edit" aspectratio="f"/>
                        <v:textbox>
                          <w:txbxContent>
                            <w:p w14:paraId="4C72AAEF">
                              <w:pPr>
                                <w:spacing w:line="240" w:lineRule="auto"/>
                                <w:jc w:val="center"/>
                                <w:rPr>
                                  <w:rFonts w:hint="default" w:ascii="Times New Roman" w:hAnsi="Times New Roman" w:cs="Times New Roman"/>
                                  <w:sz w:val="18"/>
                                  <w:szCs w:val="21"/>
                                  <w:lang w:val="en-US" w:eastAsia="zh-CN"/>
                                </w:rPr>
                              </w:pPr>
                              <w:r>
                                <w:rPr>
                                  <w:rFonts w:hint="default" w:ascii="Times New Roman" w:hAnsi="Times New Roman" w:cs="Times New Roman"/>
                                  <w:sz w:val="18"/>
                                  <w:szCs w:val="21"/>
                                  <w:lang w:val="en-US" w:eastAsia="zh-CN"/>
                                </w:rPr>
                                <w:t>静电喷涂粉末</w:t>
                              </w:r>
                            </w:p>
                            <w:p w14:paraId="5A7C07AB">
                              <w:pPr>
                                <w:pStyle w:val="2"/>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t>1.45</w:t>
                              </w:r>
                              <w:r>
                                <w:rPr>
                                  <w:rFonts w:hint="default" w:ascii="Times New Roman" w:hAnsi="Times New Roman" w:cs="Times New Roman"/>
                                  <w:sz w:val="21"/>
                                  <w:szCs w:val="21"/>
                                  <w:lang w:val="en-US" w:eastAsia="zh-CN"/>
                                </w:rPr>
                                <w:t>5t/a</w:t>
                              </w:r>
                            </w:p>
                          </w:txbxContent>
                        </v:textbox>
                      </v:shape>
                      <v:shape id="_x0000_s1026" o:spid="_x0000_s1026" o:spt="202" type="#_x0000_t202" style="position:absolute;left:1484630;top:65405;height:495300;width:867410;" fillcolor="#FFFFFF [3201]" filled="t" stroked="t" coordsize="21600,21600" o:gfxdata="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8FSYTUAAAABQEAAA8AAAAAAAAAAQAgAAAAIgAAAGRycy9kb3ducmV2LnhtbFBLAQIUABQA&#10;AAAIAIdO4kB/+0akZgIAAMQEAAAOAAAAAAAAAAEAIAAAACMBAABkcnMvZTJvRG9jLnhtbFBLBQYA&#10;AAAABgAGAFkBAAD7BQAAAAA=&#10;">
                        <v:fill on="t" focussize="0,0"/>
                        <v:stroke weight="0.5pt" color="#000000 [3204]" joinstyle="round"/>
                        <v:imagedata o:title=""/>
                        <o:lock v:ext="edit" aspectratio="f"/>
                        <v:textbox>
                          <w:txbxContent>
                            <w:p w14:paraId="77D77DFA">
                              <w:pPr>
                                <w:pStyle w:val="2"/>
                                <w:spacing w:line="240" w:lineRule="auto"/>
                                <w:jc w:val="center"/>
                                <w:rPr>
                                  <w:rFonts w:hint="default" w:ascii="Times New Roman" w:hAnsi="Times New Roman" w:cs="Times New Roman"/>
                                  <w:sz w:val="21"/>
                                  <w:szCs w:val="21"/>
                                  <w:lang w:val="en-US" w:eastAsia="zh-CN"/>
                                </w:rPr>
                              </w:pPr>
                              <w:r>
                                <w:rPr>
                                  <w:rFonts w:hint="eastAsia" w:ascii="Times New Roman" w:cs="Times New Roman"/>
                                  <w:sz w:val="21"/>
                                  <w:szCs w:val="21"/>
                                  <w:lang w:val="en-US" w:eastAsia="zh-CN"/>
                                </w:rPr>
                                <w:t>工件附着量10.944</w:t>
                              </w:r>
                              <w:r>
                                <w:rPr>
                                  <w:rFonts w:hint="default" w:ascii="Times New Roman" w:hAnsi="Times New Roman" w:cs="Times New Roman"/>
                                  <w:sz w:val="21"/>
                                  <w:szCs w:val="21"/>
                                  <w:lang w:val="en-US" w:eastAsia="zh-CN"/>
                                </w:rPr>
                                <w:t>t/a</w:t>
                              </w:r>
                            </w:p>
                          </w:txbxContent>
                        </v:textbox>
                      </v:shape>
                      <v:shape id="_x0000_s1026" o:spid="_x0000_s1026" o:spt="202" type="#_x0000_t202" style="position:absolute;left:1484630;top:1424305;height:746125;width:924560;" fillcolor="#FFFFFF [3201]" filled="t" stroked="t" coordsize="21600,21600" o:gfxdata="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8FSYTUAAAABQEAAA8AAAAAAAAAAQAgAAAAIgAAAGRycy9kb3ducmV2LnhtbFBLAQIUABQA&#10;AAAIAIdO4kAptca0ZgIAAMYEAAAOAAAAAAAAAAEAIAAAACMBAABkcnMvZTJvRG9jLnhtbFBLBQYA&#10;AAAABgAGAFkBAAD7BQAAAAA=&#10;">
                        <v:fill on="t" focussize="0,0"/>
                        <v:stroke weight="0.5pt" color="#000000 [3204]" joinstyle="round"/>
                        <v:imagedata o:title=""/>
                        <o:lock v:ext="edit" aspectratio="f"/>
                        <v:textbox>
                          <w:txbxContent>
                            <w:p w14:paraId="676878E1">
                              <w:pPr>
                                <w:pStyle w:val="2"/>
                                <w:spacing w:line="240" w:lineRule="auto"/>
                                <w:jc w:val="center"/>
                                <w:rPr>
                                  <w:rFonts w:hint="default" w:ascii="Times New Roman" w:hAnsi="Times New Roman" w:cs="Times New Roman"/>
                                  <w:sz w:val="21"/>
                                  <w:szCs w:val="21"/>
                                  <w:lang w:val="en-US" w:eastAsia="zh-CN"/>
                                </w:rPr>
                              </w:pPr>
                              <w:r>
                                <w:rPr>
                                  <w:rFonts w:hint="eastAsia" w:ascii="Times New Roman" w:cs="Times New Roman"/>
                                  <w:sz w:val="21"/>
                                  <w:szCs w:val="21"/>
                                  <w:lang w:val="en-US" w:eastAsia="zh-CN"/>
                                </w:rPr>
                                <w:t>回收利用过程未附着量4.687</w:t>
                              </w:r>
                              <w:r>
                                <w:rPr>
                                  <w:rFonts w:hint="default" w:ascii="Times New Roman" w:hAnsi="Times New Roman" w:cs="Times New Roman"/>
                                  <w:sz w:val="21"/>
                                  <w:szCs w:val="21"/>
                                  <w:lang w:val="en-US" w:eastAsia="zh-CN"/>
                                </w:rPr>
                                <w:t>t/a</w:t>
                              </w:r>
                            </w:p>
                          </w:txbxContent>
                        </v:textbox>
                      </v:shape>
                      <v:shape id="_x0000_s1026" o:spid="_x0000_s1026" o:spt="202" type="#_x0000_t202" style="position:absolute;left:2955925;top:2475230;height:495300;width:905510;" fillcolor="#FFFFFF [3201]" filled="t" stroked="t" coordsize="21600,21600" o:gfxdata="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fBUmE1AAAAAUBAAAPAAAAAAAAAAEAIAAAACIAAABkcnMvZG93bnJldi54bWxQSwECFAAU&#10;AAAACACHTuJANTgXdGcCAADGBAAADgAAAAAAAAABACAAAAAjAQAAZHJzL2Uyb0RvYy54bWxQSwUG&#10;AAAAAAYABgBZAQAA/AUAAAAA&#10;">
                        <v:fill on="t" focussize="0,0"/>
                        <v:stroke weight="0.5pt" color="#000000 [3204]" joinstyle="round"/>
                        <v:imagedata o:title=""/>
                        <o:lock v:ext="edit" aspectratio="f"/>
                        <v:textbox>
                          <w:txbxContent>
                            <w:p w14:paraId="740314B4">
                              <w:pPr>
                                <w:pStyle w:val="2"/>
                                <w:spacing w:line="240" w:lineRule="auto"/>
                                <w:jc w:val="center"/>
                                <w:rPr>
                                  <w:rFonts w:hint="default" w:ascii="Times New Roman" w:hAnsi="Times New Roman" w:cs="Times New Roman"/>
                                  <w:sz w:val="21"/>
                                  <w:szCs w:val="21"/>
                                  <w:lang w:val="en-US" w:eastAsia="zh-CN"/>
                                </w:rPr>
                              </w:pPr>
                              <w:r>
                                <w:rPr>
                                  <w:rFonts w:hint="eastAsia" w:ascii="Times New Roman" w:cs="Times New Roman"/>
                                  <w:sz w:val="21"/>
                                  <w:szCs w:val="21"/>
                                  <w:lang w:val="en-US" w:eastAsia="zh-CN"/>
                                </w:rPr>
                                <w:t>收集量4.2183</w:t>
                              </w:r>
                              <w:r>
                                <w:rPr>
                                  <w:rFonts w:hint="default" w:ascii="Times New Roman" w:hAnsi="Times New Roman" w:cs="Times New Roman"/>
                                  <w:sz w:val="21"/>
                                  <w:szCs w:val="21"/>
                                  <w:lang w:val="en-US" w:eastAsia="zh-CN"/>
                                </w:rPr>
                                <w:t>t/a</w:t>
                              </w:r>
                            </w:p>
                          </w:txbxContent>
                        </v:textbox>
                      </v:shape>
                      <v:shape id="_x0000_s1026" o:spid="_x0000_s1026" o:spt="202" type="#_x0000_t202" style="position:absolute;left:2956560;top:1370330;height:535940;width:904240;" fillcolor="#FFFFFF [3201]" filled="t" stroked="t" coordsize="21600,21600" o:gfxdata="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3wVJhNQAAAAFAQAADwAAAAAAAAABACAAAAAiAAAAZHJzL2Rvd25yZXYueG1sUEsBAhQAFAAAAAgA&#10;h07iQLSpYCxiAgAAxgQAAA4AAAAAAAAAAQAgAAAAIwEAAGRycy9lMm9Eb2MueG1sUEsFBgAAAAAG&#10;AAYAWQEAAPcFAAAAAA==&#10;">
                        <v:fill on="t" focussize="0,0"/>
                        <v:stroke weight="0.5pt" color="#000000 [3204]" joinstyle="round"/>
                        <v:imagedata o:title=""/>
                        <o:lock v:ext="edit" aspectratio="f"/>
                        <v:textbox>
                          <w:txbxContent>
                            <w:p w14:paraId="21D65079">
                              <w:pPr>
                                <w:pStyle w:val="2"/>
                                <w:spacing w:line="240" w:lineRule="auto"/>
                                <w:jc w:val="center"/>
                                <w:rPr>
                                  <w:rFonts w:hint="default" w:ascii="Times New Roman" w:hAnsi="Times New Roman" w:cs="Times New Roman"/>
                                  <w:sz w:val="21"/>
                                  <w:szCs w:val="21"/>
                                  <w:lang w:val="en-US" w:eastAsia="zh-CN"/>
                                </w:rPr>
                              </w:pPr>
                              <w:r>
                                <w:rPr>
                                  <w:rFonts w:hint="eastAsia" w:ascii="Times New Roman" w:cs="Times New Roman"/>
                                  <w:sz w:val="21"/>
                                  <w:szCs w:val="21"/>
                                  <w:lang w:val="en-US" w:eastAsia="zh-CN"/>
                                </w:rPr>
                                <w:t>地面沉降量0.375</w:t>
                              </w:r>
                              <w:r>
                                <w:rPr>
                                  <w:rFonts w:hint="default" w:ascii="Times New Roman" w:hAnsi="Times New Roman" w:cs="Times New Roman"/>
                                  <w:sz w:val="21"/>
                                  <w:szCs w:val="21"/>
                                  <w:lang w:val="en-US" w:eastAsia="zh-CN"/>
                                </w:rPr>
                                <w:t>t/a</w:t>
                              </w:r>
                            </w:p>
                          </w:txbxContent>
                        </v:textbox>
                      </v:shape>
                      <v:shape id="_x0000_s1026" o:spid="_x0000_s1026" o:spt="202" type="#_x0000_t202" style="position:absolute;left:2961005;top:449580;height:454025;width:895985;" fillcolor="#FFFFFF [3201]" filled="t" stroked="t" coordsize="21600,21600" o:gfxdata="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fBUmE1AAAAAUBAAAPAAAAAAAAAAEAIAAAACIAAABkcnMvZG93bnJldi54bWxQSwECFAAUAAAA&#10;CACHTuJAORX2/2QCAADFBAAADgAAAAAAAAABACAAAAAjAQAAZHJzL2Uyb0RvYy54bWxQSwUGAAAA&#10;AAYABgBZAQAA+QUAAAAA&#10;">
                        <v:fill on="t" focussize="0,0"/>
                        <v:stroke weight="0.5pt" color="#000000 [3204]" joinstyle="round"/>
                        <v:imagedata o:title=""/>
                        <o:lock v:ext="edit" aspectratio="f"/>
                        <v:textbox>
                          <w:txbxContent>
                            <w:p w14:paraId="1CA4AD8A">
                              <w:pPr>
                                <w:spacing w:line="240" w:lineRule="auto"/>
                                <w:jc w:val="center"/>
                                <w:rPr>
                                  <w:rFonts w:hint="default" w:ascii="Times New Roman" w:hAnsi="Times New Roman" w:cs="Times New Roman"/>
                                  <w:sz w:val="18"/>
                                  <w:szCs w:val="21"/>
                                  <w:lang w:val="en-US" w:eastAsia="zh-CN"/>
                                </w:rPr>
                              </w:pPr>
                              <w:r>
                                <w:rPr>
                                  <w:rFonts w:hint="eastAsia" w:cs="Times New Roman"/>
                                  <w:sz w:val="18"/>
                                  <w:szCs w:val="21"/>
                                  <w:lang w:val="en-US" w:eastAsia="zh-CN"/>
                                </w:rPr>
                                <w:t>未收集量</w:t>
                              </w:r>
                            </w:p>
                            <w:p w14:paraId="03503C43">
                              <w:pPr>
                                <w:pStyle w:val="2"/>
                                <w:spacing w:line="240" w:lineRule="auto"/>
                                <w:jc w:val="center"/>
                                <w:rPr>
                                  <w:rFonts w:hint="default" w:ascii="Times New Roman" w:hAnsi="Times New Roman" w:cs="Times New Roman"/>
                                  <w:sz w:val="21"/>
                                  <w:szCs w:val="21"/>
                                  <w:lang w:val="en-US" w:eastAsia="zh-CN"/>
                                </w:rPr>
                              </w:pPr>
                              <w:r>
                                <w:rPr>
                                  <w:rFonts w:hint="eastAsia" w:ascii="Times New Roman" w:cs="Times New Roman"/>
                                  <w:sz w:val="21"/>
                                  <w:szCs w:val="21"/>
                                  <w:lang w:val="en-US" w:eastAsia="zh-CN"/>
                                </w:rPr>
                                <w:t>0.4687</w:t>
                              </w:r>
                              <w:r>
                                <w:rPr>
                                  <w:rFonts w:hint="default" w:ascii="Times New Roman" w:hAnsi="Times New Roman" w:cs="Times New Roman"/>
                                  <w:sz w:val="21"/>
                                  <w:szCs w:val="21"/>
                                  <w:lang w:val="en-US" w:eastAsia="zh-CN"/>
                                </w:rPr>
                                <w:t>t/a</w:t>
                              </w:r>
                            </w:p>
                          </w:txbxContent>
                        </v:textbox>
                      </v:shape>
                      <v:shape id="_x0000_s1026" o:spid="_x0000_s1026" o:spt="202" type="#_x0000_t202" style="position:absolute;left:4202430;top:1179830;height:664210;width:835025;" fillcolor="#FFFFFF [3201]" filled="t" stroked="t" coordsize="21600,21600" o:gfxdata="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3wVJhNQAAAAFAQAADwAAAAAAAAABACAAAAAiAAAAZHJzL2Rvd25yZXYueG1sUEsBAhQAFAAA&#10;AAgAh07iQH8RvfZlAgAAxgQAAA4AAAAAAAAAAQAgAAAAIwEAAGRycy9lMm9Eb2MueG1sUEsFBgAA&#10;AAAGAAYAWQEAAPoFAAAAAA==&#10;">
                        <v:fill on="t" focussize="0,0"/>
                        <v:stroke weight="0.5pt" color="#000000 [3204]" joinstyle="round"/>
                        <v:imagedata o:title=""/>
                        <o:lock v:ext="edit" aspectratio="f"/>
                        <v:textbox>
                          <w:txbxContent>
                            <w:p w14:paraId="41C4D5D8">
                              <w:pPr>
                                <w:spacing w:line="240" w:lineRule="auto"/>
                                <w:jc w:val="center"/>
                                <w:rPr>
                                  <w:rFonts w:hint="default" w:ascii="Times New Roman" w:hAnsi="Times New Roman" w:cs="Times New Roman"/>
                                  <w:sz w:val="18"/>
                                  <w:szCs w:val="21"/>
                                  <w:lang w:val="en-US" w:eastAsia="zh-CN"/>
                                </w:rPr>
                              </w:pPr>
                              <w:r>
                                <w:rPr>
                                  <w:rFonts w:hint="eastAsia" w:cs="Times New Roman"/>
                                  <w:sz w:val="18"/>
                                  <w:szCs w:val="21"/>
                                  <w:lang w:val="en-US" w:eastAsia="zh-CN"/>
                                </w:rPr>
                                <w:t>无组织排放量</w:t>
                              </w:r>
                            </w:p>
                            <w:p w14:paraId="5F3931C5">
                              <w:pPr>
                                <w:pStyle w:val="2"/>
                                <w:spacing w:line="240" w:lineRule="auto"/>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0.136</w:t>
                              </w:r>
                              <w:r>
                                <w:rPr>
                                  <w:rFonts w:hint="default" w:ascii="Times New Roman" w:hAnsi="Times New Roman" w:cs="Times New Roman"/>
                                  <w:sz w:val="21"/>
                                  <w:szCs w:val="21"/>
                                  <w:lang w:val="en-US" w:eastAsia="zh-CN"/>
                                </w:rPr>
                                <w:t>t/a</w:t>
                              </w:r>
                            </w:p>
                          </w:txbxContent>
                        </v:textbox>
                      </v:shape>
                      <v:shape id="_x0000_s1026" o:spid="_x0000_s1026" o:spt="34" type="#_x0000_t34" style="position:absolute;left:1016000;top:313055;flip:y;height:924560;width:468630;" filled="f" stroked="t" coordsize="21600,21600" o:gfxdata="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sSSaN1gAAAAUBAAAPAAAAAAAAAAEAIAAAACIAAABkcnMv&#10;ZG93bnJldi54bWxQSwECFAAUAAAACACHTuJAzK9Urz4CAABLBAAADgAAAAAAAAABACAAAAAlAQAA&#10;ZHJzL2Uyb0RvYy54bWxQSwUGAAAAAAYABgBZAQAA1QUAAAAA&#10;" adj="10800">
                        <v:fill on="f" focussize="0,0"/>
                        <v:stroke color="#000000 [3213]" joinstyle="round" endarrow="open"/>
                        <v:imagedata o:title=""/>
                        <o:lock v:ext="edit" aspectratio="f"/>
                      </v:shape>
                      <v:shape id="_x0000_s1026" o:spid="_x0000_s1026" o:spt="34" type="#_x0000_t34" style="position:absolute;left:1016000;top:1237615;height:560070;width:468630;" filled="f" stroked="t" coordsize="21600,21600" o:gfxdata="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xnGQnWAAAABQEAAA8AAAAAAAAAAQAgAAAAIgAAAGRycy9kb3ducmV2Lnht&#10;bFBLAQIUABQAAAAIAIdO4kBJ0qZoNAIAAEIEAAAOAAAAAAAAAAEAIAAAACUBAABkcnMvZTJvRG9j&#10;LnhtbFBLBQYAAAAABgAGAFkBAADLBQAAAAA=&#10;" adj="10800">
                        <v:fill on="f" focussize="0,0"/>
                        <v:stroke color="#000000 [3213]" joinstyle="round" endarrow="open"/>
                        <v:imagedata o:title=""/>
                        <o:lock v:ext="edit" aspectratio="f"/>
                      </v:shape>
                      <v:shape id="_x0000_s1026" o:spid="_x0000_s1026" o:spt="34" type="#_x0000_t34" style="position:absolute;left:2409190;top:1797685;height:925195;width:546735;" filled="f" stroked="t" coordsize="21600,21600" o:gfxdata="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juPFFtcAAAAFAQAADwAAAAAAAAABACAAAAAiAAAAZHJzL2Rvd25yZXYu&#10;eG1sUEsBAhQAFAAAAAgAh07iQMB6Db01AgAAQgQAAA4AAAAAAAAAAQAgAAAAJgEAAGRycy9lMm9E&#10;b2MueG1sUEsFBgAAAAAGAAYAWQEAAM0FAAAAAA==&#10;" adj="10813">
                        <v:fill on="f" focussize="0,0"/>
                        <v:stroke color="#000000 [3213]" joinstyle="round" endarrow="open"/>
                        <v:imagedata o:title=""/>
                        <o:lock v:ext="edit" aspectratio="f"/>
                      </v:shape>
                      <v:shape id="_x0000_s1026" o:spid="_x0000_s1026" o:spt="34" type="#_x0000_t34" style="position:absolute;left:2409190;top:676910;flip:y;height:1120775;width:551815;" filled="f" stroked="t" coordsize="21600,21600" o:gfxdata="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5Y7Zk1AAAAAUBAAAPAAAAAAAAAAEAIAAAACIAAABkcnMvZG93&#10;bnJldi54bWxQSwECFAAUAAAACACHTuJArWX8ED0CAABMBAAADgAAAAAAAAABACAAAAAjAQAAZHJz&#10;L2Uyb0RvYy54bWxQSwUGAAAAAAYABgBZAQAA0gUAAAAA&#10;" adj="10813">
                        <v:fill on="f" focussize="0,0"/>
                        <v:stroke color="#000000 [3213]" joinstyle="round" endarrow="open"/>
                        <v:imagedata o:title=""/>
                        <o:lock v:ext="edit" aspectratio="f"/>
                      </v:shape>
                      <v:shape id="_x0000_s1026" o:spid="_x0000_s1026" o:spt="32" type="#_x0000_t32" style="position:absolute;left:3408680;top:903605;flip:x;height:466725;width:635;" filled="f" stroked="t" coordsize="21600,21600" o:gfxdata="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kWDZzVAAAABQEAAA8AAAAAAAAAAQAgAAAAIgAAAGRycy9kb3ducmV2LnhtbFBLAQIUABQA&#10;AAAIAIdO4kAexL2ALAIAACUEAAAOAAAAAAAAAAEAIAAAACQBAABkcnMvZTJvRG9jLnhtbFBLBQYA&#10;AAAABgAGAFkBAADCBQAAAAA=&#10;">
                        <v:fill on="f" focussize="0,0"/>
                        <v:stroke color="#000000 [3213]" joinstyle="round" endarrow="open"/>
                        <v:imagedata o:title=""/>
                        <o:lock v:ext="edit" aspectratio="f"/>
                      </v:shape>
                      <v:shape id="_x0000_s1026" o:spid="_x0000_s1026" o:spt="34" type="#_x0000_t34" style="position:absolute;left:3856990;top:676910;height:835025;width:345440;" filled="f" stroked="t" coordsize="21600,21600" o:gfxdata="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GcZCdYAAAAFAQAADwAAAAAAAAABACAAAAAiAAAAZHJzL2Rvd25yZXYueG1s&#10;UEsBAhQAFAAAAAgAh07iQPrpV5czAgAAQQQAAA4AAAAAAAAAAQAgAAAAJQEAAGRycy9lMm9Eb2Mu&#10;eG1sUEsFBgAAAAAGAAYAWQEAAMoFAAAAAA==&#10;" adj="10800">
                        <v:fill on="f" focussize="0,0"/>
                        <v:stroke color="#000000 [3213]" joinstyle="round" endarrow="open"/>
                        <v:imagedata o:title=""/>
                        <o:lock v:ext="edit" aspectratio="f"/>
                      </v:shape>
                      <v:shape id="_x0000_s1026" o:spid="_x0000_s1026" o:spt="34" type="#_x0000_t34" style="position:absolute;left:3861435;top:1511935;flip:y;height:1210945;width:340995;" filled="f" stroked="t" coordsize="21600,21600" o:gfxdata="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M+nM9YAAAAFAQAADwAAAAAAAAABACAAAAAiAAAAZHJz&#10;L2Rvd25yZXYueG1sUEsBAhQAFAAAAAgAh07iQKddW6M/AgAATQQAAA4AAAAAAAAAAQAgAAAAJQEA&#10;AGRycy9lMm9Eb2MueG1sUEsFBgAAAAAGAAYAWQEAANYFAAAAAA==&#10;" adj="10820">
                        <v:fill on="f" focussize="0,0"/>
                        <v:stroke color="#000000 [3213]" joinstyle="round" endarrow="open"/>
                        <v:imagedata o:title=""/>
                        <o:lock v:ext="edit" aspectratio="f"/>
                      </v:shape>
                      <v:shape id="_x0000_s1026" o:spid="_x0000_s1026" o:spt="34" type="#_x0000_t34" style="position:absolute;left:1248410;top:796290;flip:x;height:2835275;width:1485265;rotation:-5898240f;" filled="f" stroked="t" coordsize="21600,21600" o:gfxdata="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Y2PZd1gAAAAUBAAAPAAAAAAAAAAEAIAAAACIAAABkcnMvZG93bnJldi54bWxQSwEC&#10;FAAUAAAACACHTuJA/6aTCi8CAAAYBAAADgAAAAAAAAABACAAAAAlAQAAZHJzL2Uyb0RvYy54bWxQ&#10;SwUGAAAAAAYABgBZAQAAxgUAAAAA&#10;" adj="-3463">
                        <v:fill on="f" focussize="0,0"/>
                        <v:stroke color="#000000 [3213]" joinstyle="round" endarrow="open"/>
                        <v:imagedata o:title=""/>
                        <o:lock v:ext="edit" aspectratio="f"/>
                      </v:shape>
                      <v:shape id="_x0000_s1026" o:spid="_x0000_s1026" o:spt="202" type="#_x0000_t202" style="position:absolute;left:4035425;top:2009140;height:312420;width:809625;" filled="f" stroked="f" coordsize="21600,21600" o:gfxdata="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wToJLXAAAABQEAAA8AAAAAAAAAAQAg&#10;AAAAIgAAAGRycy9kb3ducmV2LnhtbFBLAQIUABQAAAAIAIdO4kDvRYNwSAIAAHUEAAAOAAAAAAAA&#10;AAEAIAAAACYBAABkcnMvZTJvRG9jLnhtbFBLBQYAAAAABgAGAFkBAADgBQAAAAA=&#10;">
                        <v:fill on="f" focussize="0,0"/>
                        <v:stroke on="f" weight="0.5pt"/>
                        <v:imagedata o:title=""/>
                        <o:lock v:ext="edit" aspectratio="f"/>
                        <v:textbox>
                          <w:txbxContent>
                            <w:p w14:paraId="169ECBF8">
                              <w:pPr>
                                <w:spacing w:line="240" w:lineRule="auto"/>
                                <w:rPr>
                                  <w:rFonts w:hint="default" w:eastAsia="宋体"/>
                                  <w:lang w:val="en-US" w:eastAsia="zh-CN"/>
                                </w:rPr>
                              </w:pPr>
                              <w:r>
                                <w:rPr>
                                  <w:rFonts w:hint="eastAsia"/>
                                  <w:lang w:val="en-US" w:eastAsia="zh-CN"/>
                                </w:rPr>
                                <w:t>0.0937t/a</w:t>
                              </w:r>
                            </w:p>
                          </w:txbxContent>
                        </v:textbox>
                      </v:shape>
                      <v:shape id="_x0000_s1026" o:spid="_x0000_s1026" o:spt="202" type="#_x0000_t202" style="position:absolute;left:46355;top:255905;height:280035;width:904875;" filled="f" stroked="f" coordsize="21600,21600" o:gfxdata="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ME6CS1wAAAAUBAAAPAAAAAAAAAAEAIAAA&#10;ACIAAABkcnMvZG93bnJldi54bWxQSwECFAAUAAAACACHTuJAEbe0UUYCAAByBAAADgAAAAAAAAAB&#10;ACAAAAAmAQAAZHJzL2Uyb0RvYy54bWxQSwUGAAAAAAYABgBZAQAA3gUAAAAA&#10;">
                        <v:fill on="f" focussize="0,0"/>
                        <v:stroke on="f" weight="0.5pt"/>
                        <v:imagedata o:title=""/>
                        <o:lock v:ext="edit" aspectratio="f"/>
                        <v:textbox>
                          <w:txbxContent>
                            <w:p w14:paraId="7ADC1DF4">
                              <w:pPr>
                                <w:spacing w:line="240" w:lineRule="auto"/>
                                <w:rPr>
                                  <w:rFonts w:hint="default" w:eastAsia="宋体"/>
                                  <w:lang w:val="en-US" w:eastAsia="zh-CN"/>
                                </w:rPr>
                              </w:pPr>
                              <w:r>
                                <w:rPr>
                                  <w:rFonts w:hint="eastAsia"/>
                                  <w:lang w:val="en-US" w:eastAsia="zh-CN"/>
                                </w:rPr>
                                <w:t>11.455t/a</w:t>
                              </w:r>
                            </w:p>
                          </w:txbxContent>
                        </v:textbox>
                      </v:shape>
                      <v:shape id="_x0000_s1026" o:spid="_x0000_s1026" o:spt="202" type="#_x0000_t202" style="position:absolute;left:1103630;top:2846070;height:343535;width:1645920;" filled="f" stroked="f" coordsize="21600,21600" o:gfxdata="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wToJLXAAAABQEAAA8AAAAAAAAAAQAg&#10;AAAAIgAAAGRycy9kb3ducmV2LnhtbFBLAQIUABQAAAAIAIdO4kCU469JSAIAAHYEAAAOAAAAAAAA&#10;AAEAIAAAACYBAABkcnMvZTJvRG9jLnhtbFBLBQYAAAAABgAGAFkBAADgBQAAAAA=&#10;">
                        <v:fill on="f" focussize="0,0"/>
                        <v:stroke on="f" weight="0.5pt"/>
                        <v:imagedata o:title=""/>
                        <o:lock v:ext="edit" aspectratio="f"/>
                        <v:textbox>
                          <w:txbxContent>
                            <w:p w14:paraId="57593932">
                              <w:pPr>
                                <w:spacing w:line="240" w:lineRule="auto"/>
                                <w:rPr>
                                  <w:rFonts w:hint="default" w:eastAsia="宋体"/>
                                  <w:lang w:val="en-US" w:eastAsia="zh-CN"/>
                                </w:rPr>
                              </w:pPr>
                              <w:r>
                                <w:rPr>
                                  <w:rFonts w:hint="eastAsia"/>
                                  <w:lang w:val="en-US" w:eastAsia="zh-CN"/>
                                </w:rPr>
                                <w:t>收集回用量4.1762t/a</w:t>
                              </w:r>
                            </w:p>
                          </w:txbxContent>
                        </v:textbox>
                      </v:shape>
                      <v:shape id="_x0000_s1026" o:spid="_x0000_s1026" o:spt="202" type="#_x0000_t202" style="position:absolute;left:3951605;top:779780;height:343535;width:809625;" filled="f" stroked="f" coordsize="21600,21600" o:gfxdata="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wToJLXAAAABQEAAA8AAAAAAAAAAQAg&#10;AAAAIgAAAGRycy9kb3ducmV2LnhtbFBLAQIUABQAAAAIAIdO4kCRAcEISAIAAHQEAAAOAAAAAAAA&#10;AAEAIAAAACYBAABkcnMvZTJvRG9jLnhtbFBLBQYAAAAABgAGAFkBAADgBQAAAAA=&#10;">
                        <v:fill on="f" focussize="0,0"/>
                        <v:stroke on="f" weight="0.5pt"/>
                        <v:imagedata o:title=""/>
                        <o:lock v:ext="edit" aspectratio="f"/>
                        <v:textbox>
                          <w:txbxContent>
                            <w:p w14:paraId="70BAF811">
                              <w:pPr>
                                <w:spacing w:line="240" w:lineRule="auto"/>
                                <w:rPr>
                                  <w:rFonts w:hint="default" w:eastAsia="宋体"/>
                                  <w:lang w:val="en-US" w:eastAsia="zh-CN"/>
                                </w:rPr>
                              </w:pPr>
                              <w:r>
                                <w:rPr>
                                  <w:rFonts w:hint="eastAsia"/>
                                  <w:lang w:val="en-US" w:eastAsia="zh-CN"/>
                                </w:rPr>
                                <w:t>0.0422t/a</w:t>
                              </w:r>
                            </w:p>
                          </w:txbxContent>
                        </v:textbox>
                      </v:shape>
                      <v:shape id="_x0000_s1026" o:spid="_x0000_s1026" o:spt="32" type="#_x0000_t32" style="position:absolute;left:513080;top:484505;flip:x;height:466725;width:635;" filled="f" stroked="t" coordsize="21600,21600" o:gfxdata="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kWDZzVAAAABQEAAA8AAAAAAAAAAQAgAAAA&#10;IgAAAGRycy9kb3ducmV2LnhtbFBLAQIUABQAAAAIAIdO4kA0huzRDgIAAOADAAAOAAAAAAAAAAEA&#10;IAAAACQBAABkcnMvZTJvRG9jLnhtbFBLBQYAAAAABgAGAFkBAACkBQAAAAA=&#10;">
                        <v:fill on="f" focussize="0,0"/>
                        <v:stroke color="#000000 [3213]" joinstyle="round" endarrow="open"/>
                        <v:imagedata o:title=""/>
                        <o:lock v:ext="edit" aspectratio="f"/>
                      </v:shape>
                      <w10:wrap type="none"/>
                      <w10:anchorlock/>
                    </v:group>
                  </w:pict>
                </mc:Fallback>
              </mc:AlternateContent>
            </w:r>
          </w:p>
          <w:p w14:paraId="046C42DF">
            <w:pPr>
              <w:pageBreakBefore w:val="0"/>
              <w:widowControl/>
              <w:numPr>
                <w:ilvl w:val="0"/>
                <w:numId w:val="0"/>
              </w:numPr>
              <w:tabs>
                <w:tab w:val="left" w:pos="0"/>
              </w:tabs>
              <w:wordWrap w:val="0"/>
              <w:topLinePunct/>
              <w:bidi w:val="0"/>
              <w:spacing w:beforeAutospacing="0" w:afterAutospacing="0"/>
              <w:ind w:left="0" w:leftChars="0" w:firstLine="0" w:firstLineChars="0"/>
              <w:jc w:val="center"/>
              <w:rPr>
                <w:b/>
                <w:bCs/>
                <w:color w:val="auto"/>
                <w:sz w:val="21"/>
                <w:szCs w:val="21"/>
                <w:highlight w:val="none"/>
              </w:rPr>
            </w:pPr>
            <w:r>
              <w:rPr>
                <w:rFonts w:hint="default" w:ascii="Times New Roman" w:hAnsi="Times New Roman" w:eastAsia="宋体" w:cs="Times New Roman"/>
                <w:b/>
                <w:bCs/>
                <w:color w:val="auto"/>
                <w:kern w:val="2"/>
                <w:sz w:val="21"/>
                <w:szCs w:val="21"/>
                <w:highlight w:val="none"/>
                <w:lang w:val="en-US" w:eastAsia="zh-CN" w:bidi="ar-SA"/>
              </w:rPr>
              <w:t>图4-1</w:t>
            </w:r>
            <w:r>
              <w:rPr>
                <w:rFonts w:hint="eastAsia"/>
                <w:b/>
                <w:bCs/>
                <w:color w:val="auto"/>
                <w:sz w:val="21"/>
                <w:szCs w:val="21"/>
                <w:highlight w:val="none"/>
                <w:lang w:val="en-US" w:eastAsia="zh-CN"/>
              </w:rPr>
              <w:t xml:space="preserve"> </w:t>
            </w:r>
            <w:r>
              <w:rPr>
                <w:b/>
                <w:bCs/>
                <w:color w:val="auto"/>
                <w:sz w:val="21"/>
                <w:szCs w:val="21"/>
                <w:highlight w:val="none"/>
              </w:rPr>
              <w:t>粉末涂料平衡图</w:t>
            </w:r>
          </w:p>
          <w:p w14:paraId="2DE70AC1">
            <w:pPr>
              <w:pStyle w:val="120"/>
              <w:pageBreakBefore w:val="0"/>
              <w:wordWrap w:val="0"/>
              <w:topLinePunct/>
              <w:bidi w:val="0"/>
              <w:snapToGrid/>
              <w:spacing w:beforeAutospacing="0" w:afterAutospacing="0"/>
              <w:ind w:firstLine="482"/>
              <w:outlineLvl w:val="9"/>
              <w:rPr>
                <w:b/>
                <w:bCs/>
                <w:color w:val="auto"/>
                <w:highlight w:val="none"/>
              </w:rPr>
            </w:pPr>
            <w:bookmarkStart w:id="117" w:name="_Toc32051"/>
            <w:bookmarkStart w:id="118" w:name="_Toc15801"/>
            <w:r>
              <w:rPr>
                <w:rFonts w:hint="eastAsia"/>
                <w:b/>
                <w:bCs/>
                <w:color w:val="auto"/>
                <w:highlight w:val="none"/>
                <w:lang w:val="en-US" w:eastAsia="zh-CN"/>
              </w:rPr>
              <w:t>2.1.5喷印、固化</w:t>
            </w:r>
            <w:r>
              <w:rPr>
                <w:b/>
                <w:bCs/>
                <w:color w:val="auto"/>
                <w:highlight w:val="none"/>
              </w:rPr>
              <w:t>废气</w:t>
            </w:r>
            <w:bookmarkEnd w:id="117"/>
            <w:bookmarkEnd w:id="118"/>
          </w:p>
          <w:p w14:paraId="13199BB5">
            <w:pPr>
              <w:pStyle w:val="120"/>
              <w:pageBreakBefore w:val="0"/>
              <w:wordWrap w:val="0"/>
              <w:topLinePunct/>
              <w:bidi w:val="0"/>
              <w:snapToGrid/>
              <w:spacing w:beforeAutospacing="0" w:afterAutospacing="0"/>
              <w:ind w:firstLine="480"/>
              <w:rPr>
                <w:color w:val="auto"/>
                <w:highlight w:val="none"/>
              </w:rPr>
            </w:pPr>
            <w:r>
              <w:rPr>
                <w:rFonts w:hint="eastAsia"/>
                <w:color w:val="auto"/>
                <w:highlight w:val="none"/>
                <w:lang w:val="en-US" w:eastAsia="zh-CN"/>
              </w:rPr>
              <w:t>主要</w:t>
            </w:r>
            <w:r>
              <w:rPr>
                <w:color w:val="auto"/>
                <w:highlight w:val="none"/>
              </w:rPr>
              <w:t>包含</w:t>
            </w:r>
            <w:r>
              <w:rPr>
                <w:rFonts w:hint="eastAsia"/>
                <w:color w:val="auto"/>
                <w:highlight w:val="none"/>
                <w:lang w:val="en-US" w:eastAsia="zh-CN"/>
              </w:rPr>
              <w:t>喷粉固化有机废气、喷印有机废气（含调墨、丝印、丝印前表面清洁、固化废气）</w:t>
            </w:r>
            <w:r>
              <w:rPr>
                <w:color w:val="auto"/>
                <w:highlight w:val="none"/>
              </w:rPr>
              <w:t>。</w:t>
            </w:r>
          </w:p>
          <w:p w14:paraId="369913A3">
            <w:pPr>
              <w:pStyle w:val="120"/>
              <w:pageBreakBefore w:val="0"/>
              <w:wordWrap w:val="0"/>
              <w:topLinePunct/>
              <w:bidi w:val="0"/>
              <w:snapToGrid/>
              <w:spacing w:beforeAutospacing="0" w:afterAutospacing="0"/>
              <w:ind w:firstLine="480"/>
              <w:outlineLvl w:val="9"/>
              <w:rPr>
                <w:b/>
                <w:bCs/>
                <w:color w:val="auto"/>
                <w:highlight w:val="none"/>
              </w:rPr>
            </w:pPr>
            <w:bookmarkStart w:id="119" w:name="_Toc41"/>
            <w:bookmarkStart w:id="120" w:name="_Toc16550"/>
            <w:r>
              <w:rPr>
                <w:rFonts w:hint="eastAsia"/>
                <w:b/>
                <w:bCs/>
                <w:color w:val="auto"/>
                <w:highlight w:val="none"/>
                <w:lang w:val="en-US" w:eastAsia="zh-CN"/>
              </w:rPr>
              <w:t>（1）</w:t>
            </w:r>
            <w:r>
              <w:rPr>
                <w:b/>
                <w:bCs/>
                <w:color w:val="auto"/>
                <w:highlight w:val="none"/>
              </w:rPr>
              <w:t>喷粉</w:t>
            </w:r>
            <w:r>
              <w:rPr>
                <w:rFonts w:hint="eastAsia"/>
                <w:b/>
                <w:bCs/>
                <w:color w:val="auto"/>
                <w:highlight w:val="none"/>
                <w:lang w:val="en-US" w:eastAsia="zh-CN"/>
              </w:rPr>
              <w:t>固化</w:t>
            </w:r>
            <w:r>
              <w:rPr>
                <w:b/>
                <w:bCs/>
                <w:color w:val="auto"/>
                <w:highlight w:val="none"/>
              </w:rPr>
              <w:t>有机废气</w:t>
            </w:r>
            <w:bookmarkEnd w:id="119"/>
            <w:bookmarkEnd w:id="120"/>
          </w:p>
          <w:p w14:paraId="193C82B5">
            <w:pPr>
              <w:pStyle w:val="120"/>
              <w:pageBreakBefore w:val="0"/>
              <w:numPr>
                <w:ilvl w:val="0"/>
                <w:numId w:val="0"/>
              </w:numPr>
              <w:wordWrap w:val="0"/>
              <w:topLinePunct/>
              <w:bidi w:val="0"/>
              <w:snapToGrid/>
              <w:spacing w:beforeAutospacing="0" w:afterAutospacing="0"/>
              <w:ind w:firstLine="482"/>
              <w:rPr>
                <w:rFonts w:hint="eastAsia" w:cs="Times New Roman"/>
                <w:b/>
                <w:bCs/>
                <w:color w:val="auto"/>
                <w:spacing w:val="0"/>
                <w:kern w:val="2"/>
                <w:sz w:val="24"/>
                <w:szCs w:val="24"/>
                <w:highlight w:val="none"/>
                <w:lang w:val="en-US" w:eastAsia="zh-CN" w:bidi="ar-SA"/>
              </w:rPr>
            </w:pPr>
            <w:r>
              <w:rPr>
                <w:color w:val="auto"/>
                <w:highlight w:val="none"/>
              </w:rPr>
              <w:t>采用《污染源源强核算技术指南 准则》（HJ884-2018）中提及的产污系数法核算烤粉有机废气产生量。根据《排放源统计调查产排污核算方法和系数手册》（生态环境部公告 2021年第24号）中“机械行业系数手册”内 14 涂装工段-喷塑后烘干产生的挥发性有机物的产污系数为1.2kg/t-粉末涂料，喷粉有机废气产生点位均发生在烘干固化工序。</w:t>
            </w:r>
          </w:p>
          <w:p w14:paraId="2F46D5F9">
            <w:pPr>
              <w:pStyle w:val="120"/>
              <w:pageBreakBefore w:val="0"/>
              <w:numPr>
                <w:ilvl w:val="0"/>
                <w:numId w:val="0"/>
              </w:numPr>
              <w:wordWrap w:val="0"/>
              <w:topLinePunct/>
              <w:bidi w:val="0"/>
              <w:snapToGrid/>
              <w:spacing w:beforeAutospacing="0" w:afterAutospacing="0"/>
              <w:ind w:firstLine="482"/>
              <w:rPr>
                <w:rFonts w:hint="default" w:ascii="Times New Roman" w:hAnsi="Times New Roman" w:cs="Times New Roman"/>
                <w:color w:val="auto"/>
                <w:highlight w:val="none"/>
                <w:lang w:val="en-US" w:eastAsia="zh-CN"/>
              </w:rPr>
            </w:pPr>
            <w:r>
              <w:rPr>
                <w:rFonts w:hint="default" w:ascii="Times New Roman" w:hAnsi="Times New Roman" w:cs="Times New Roman"/>
                <w:b w:val="0"/>
                <w:bCs w:val="0"/>
                <w:color w:val="auto"/>
                <w:spacing w:val="-3"/>
                <w:sz w:val="24"/>
                <w:szCs w:val="24"/>
                <w:highlight w:val="none"/>
                <w:lang w:val="en-US" w:eastAsia="zh-CN"/>
              </w:rPr>
              <w:t>固化炉有机废气由</w:t>
            </w:r>
            <w:r>
              <w:rPr>
                <w:rFonts w:hint="eastAsia" w:ascii="Times New Roman" w:hAnsi="Times New Roman" w:cs="Times New Roman"/>
                <w:b w:val="0"/>
                <w:bCs w:val="0"/>
                <w:color w:val="auto"/>
                <w:spacing w:val="-3"/>
                <w:sz w:val="24"/>
                <w:szCs w:val="24"/>
                <w:highlight w:val="none"/>
                <w:lang w:val="en-US" w:eastAsia="zh-CN"/>
              </w:rPr>
              <w:t>粉末涂料</w:t>
            </w:r>
            <w:r>
              <w:rPr>
                <w:rFonts w:hint="default" w:ascii="Times New Roman" w:hAnsi="Times New Roman" w:cs="Times New Roman"/>
                <w:b w:val="0"/>
                <w:bCs w:val="0"/>
                <w:color w:val="auto"/>
                <w:spacing w:val="-3"/>
                <w:sz w:val="24"/>
                <w:szCs w:val="24"/>
                <w:highlight w:val="none"/>
                <w:lang w:val="en-US" w:eastAsia="zh-CN"/>
              </w:rPr>
              <w:t>喷涂后固化过程产生，主要为高温下塑粉熔融释放的有机物，以非甲烷总烃计。喷塑后的工件在烘道内通过送回风管道循环风烘干固化，固化温度为 180℃~220℃。项目设</w:t>
            </w:r>
            <w:r>
              <w:rPr>
                <w:rFonts w:hint="eastAsia" w:ascii="Times New Roman" w:hAnsi="Times New Roman" w:cs="Times New Roman"/>
                <w:b w:val="0"/>
                <w:bCs w:val="0"/>
                <w:color w:val="auto"/>
                <w:spacing w:val="-3"/>
                <w:sz w:val="24"/>
                <w:szCs w:val="24"/>
                <w:highlight w:val="none"/>
                <w:lang w:val="en-US" w:eastAsia="zh-CN"/>
              </w:rPr>
              <w:t>1</w:t>
            </w:r>
            <w:r>
              <w:rPr>
                <w:rFonts w:hint="default" w:ascii="Times New Roman" w:hAnsi="Times New Roman" w:cs="Times New Roman"/>
                <w:b w:val="0"/>
                <w:bCs w:val="0"/>
                <w:color w:val="auto"/>
                <w:spacing w:val="-3"/>
                <w:sz w:val="24"/>
                <w:szCs w:val="24"/>
                <w:highlight w:val="none"/>
                <w:lang w:val="en-US" w:eastAsia="zh-CN"/>
              </w:rPr>
              <w:t>个喷</w:t>
            </w:r>
            <w:r>
              <w:rPr>
                <w:rFonts w:hint="eastAsia" w:ascii="Times New Roman" w:hAnsi="Times New Roman" w:cs="Times New Roman"/>
                <w:b w:val="0"/>
                <w:bCs w:val="0"/>
                <w:color w:val="auto"/>
                <w:spacing w:val="-3"/>
                <w:sz w:val="24"/>
                <w:szCs w:val="24"/>
                <w:highlight w:val="none"/>
                <w:lang w:val="en-US" w:eastAsia="zh-CN"/>
              </w:rPr>
              <w:t>粉</w:t>
            </w:r>
            <w:r>
              <w:rPr>
                <w:rFonts w:hint="default" w:ascii="Times New Roman" w:hAnsi="Times New Roman" w:cs="Times New Roman"/>
                <w:b w:val="0"/>
                <w:bCs w:val="0"/>
                <w:color w:val="auto"/>
                <w:spacing w:val="-3"/>
                <w:sz w:val="24"/>
                <w:szCs w:val="24"/>
                <w:highlight w:val="none"/>
                <w:lang w:val="en-US" w:eastAsia="zh-CN"/>
              </w:rPr>
              <w:t>房，</w:t>
            </w:r>
            <w:r>
              <w:rPr>
                <w:rFonts w:hint="eastAsia" w:ascii="Times New Roman" w:hAnsi="Times New Roman" w:cs="Times New Roman"/>
                <w:b w:val="0"/>
                <w:bCs w:val="0"/>
                <w:color w:val="auto"/>
                <w:spacing w:val="-3"/>
                <w:sz w:val="24"/>
                <w:szCs w:val="24"/>
                <w:highlight w:val="none"/>
                <w:lang w:val="en-US" w:eastAsia="zh-CN"/>
              </w:rPr>
              <w:t>粉末涂料</w:t>
            </w:r>
            <w:r>
              <w:rPr>
                <w:rFonts w:hint="default" w:ascii="Times New Roman" w:hAnsi="Times New Roman" w:cs="Times New Roman"/>
                <w:b w:val="0"/>
                <w:bCs w:val="0"/>
                <w:color w:val="auto"/>
                <w:spacing w:val="-3"/>
                <w:sz w:val="24"/>
                <w:szCs w:val="24"/>
                <w:highlight w:val="none"/>
                <w:lang w:val="en-US" w:eastAsia="zh-CN"/>
              </w:rPr>
              <w:t>年总用量为</w:t>
            </w:r>
            <w:r>
              <w:rPr>
                <w:rFonts w:hint="eastAsia" w:cs="Times New Roman"/>
                <w:b w:val="0"/>
                <w:bCs w:val="0"/>
                <w:color w:val="auto"/>
                <w:spacing w:val="-3"/>
                <w:sz w:val="24"/>
                <w:szCs w:val="24"/>
                <w:highlight w:val="none"/>
                <w:lang w:val="en-US" w:eastAsia="zh-CN"/>
              </w:rPr>
              <w:t>11.455</w:t>
            </w:r>
            <w:r>
              <w:rPr>
                <w:rFonts w:hint="default" w:ascii="Times New Roman" w:hAnsi="Times New Roman" w:cs="Times New Roman"/>
                <w:b w:val="0"/>
                <w:bCs w:val="0"/>
                <w:color w:val="auto"/>
                <w:spacing w:val="-3"/>
                <w:sz w:val="24"/>
                <w:szCs w:val="24"/>
                <w:highlight w:val="none"/>
                <w:lang w:val="en-US" w:eastAsia="zh-CN"/>
              </w:rPr>
              <w:t>t/a</w:t>
            </w:r>
            <w:r>
              <w:rPr>
                <w:rFonts w:hint="eastAsia" w:ascii="Times New Roman" w:hAnsi="Times New Roman" w:cs="Times New Roman"/>
                <w:b w:val="0"/>
                <w:bCs w:val="0"/>
                <w:color w:val="auto"/>
                <w:spacing w:val="-3"/>
                <w:sz w:val="24"/>
                <w:szCs w:val="24"/>
                <w:highlight w:val="none"/>
                <w:lang w:val="en-US" w:eastAsia="zh-CN"/>
              </w:rPr>
              <w:t>，则</w:t>
            </w:r>
            <w:r>
              <w:rPr>
                <w:rFonts w:hint="default" w:ascii="Times New Roman" w:hAnsi="Times New Roman" w:cs="Times New Roman"/>
                <w:b w:val="0"/>
                <w:bCs w:val="0"/>
                <w:color w:val="auto"/>
                <w:spacing w:val="-3"/>
                <w:sz w:val="24"/>
                <w:szCs w:val="24"/>
                <w:highlight w:val="none"/>
                <w:lang w:val="en-US" w:eastAsia="zh-CN"/>
              </w:rPr>
              <w:t>非甲烷总烃产生量为 0.</w:t>
            </w:r>
            <w:r>
              <w:rPr>
                <w:rFonts w:hint="eastAsia" w:cs="Times New Roman"/>
                <w:b w:val="0"/>
                <w:bCs w:val="0"/>
                <w:color w:val="auto"/>
                <w:spacing w:val="-3"/>
                <w:sz w:val="24"/>
                <w:szCs w:val="24"/>
                <w:highlight w:val="none"/>
                <w:lang w:val="en-US" w:eastAsia="zh-CN"/>
              </w:rPr>
              <w:t>0</w:t>
            </w:r>
            <w:r>
              <w:rPr>
                <w:rFonts w:hint="eastAsia" w:ascii="Times New Roman" w:hAnsi="Times New Roman" w:cs="Times New Roman"/>
                <w:b w:val="0"/>
                <w:bCs w:val="0"/>
                <w:color w:val="auto"/>
                <w:spacing w:val="-3"/>
                <w:sz w:val="24"/>
                <w:szCs w:val="24"/>
                <w:highlight w:val="none"/>
                <w:lang w:val="en-US" w:eastAsia="zh-CN"/>
              </w:rPr>
              <w:t>1</w:t>
            </w:r>
            <w:r>
              <w:rPr>
                <w:rFonts w:hint="eastAsia" w:cs="Times New Roman"/>
                <w:b w:val="0"/>
                <w:bCs w:val="0"/>
                <w:color w:val="auto"/>
                <w:spacing w:val="-3"/>
                <w:sz w:val="24"/>
                <w:szCs w:val="24"/>
                <w:highlight w:val="none"/>
                <w:lang w:val="en-US" w:eastAsia="zh-CN"/>
              </w:rPr>
              <w:t>37</w:t>
            </w:r>
            <w:r>
              <w:rPr>
                <w:rFonts w:hint="default" w:ascii="Times New Roman" w:hAnsi="Times New Roman" w:cs="Times New Roman"/>
                <w:b w:val="0"/>
                <w:bCs w:val="0"/>
                <w:color w:val="auto"/>
                <w:spacing w:val="-3"/>
                <w:sz w:val="24"/>
                <w:szCs w:val="24"/>
                <w:highlight w:val="none"/>
                <w:lang w:val="en-US" w:eastAsia="zh-CN"/>
              </w:rPr>
              <w:t>t/a。</w:t>
            </w:r>
            <w:r>
              <w:rPr>
                <w:rFonts w:hint="eastAsia" w:ascii="Times New Roman" w:hAnsi="Times New Roman" w:cs="Times New Roman"/>
                <w:b w:val="0"/>
                <w:bCs w:val="0"/>
                <w:color w:val="auto"/>
                <w:spacing w:val="-3"/>
                <w:sz w:val="24"/>
                <w:szCs w:val="24"/>
                <w:highlight w:val="none"/>
                <w:lang w:val="en-US" w:eastAsia="zh-CN"/>
              </w:rPr>
              <w:t>年工作时间3000h。</w:t>
            </w:r>
          </w:p>
          <w:p w14:paraId="16C1B262">
            <w:pPr>
              <w:pStyle w:val="120"/>
              <w:pageBreakBefore w:val="0"/>
              <w:wordWrap w:val="0"/>
              <w:topLinePunct/>
              <w:bidi w:val="0"/>
              <w:snapToGrid/>
              <w:spacing w:beforeAutospacing="0" w:afterAutospacing="0"/>
              <w:ind w:firstLine="480"/>
              <w:outlineLvl w:val="9"/>
              <w:rPr>
                <w:b/>
                <w:bCs/>
                <w:color w:val="auto"/>
                <w:highlight w:val="none"/>
              </w:rPr>
            </w:pPr>
            <w:bookmarkStart w:id="121" w:name="_Toc4743"/>
            <w:bookmarkStart w:id="122" w:name="_Toc28148"/>
            <w:r>
              <w:rPr>
                <w:rFonts w:hint="eastAsia"/>
                <w:b/>
                <w:bCs/>
                <w:color w:val="auto"/>
                <w:highlight w:val="none"/>
                <w:lang w:val="en-US" w:eastAsia="zh-CN"/>
              </w:rPr>
              <w:t>（2）</w:t>
            </w:r>
            <w:r>
              <w:rPr>
                <w:b/>
                <w:bCs/>
                <w:color w:val="auto"/>
                <w:highlight w:val="none"/>
              </w:rPr>
              <w:t>喷</w:t>
            </w:r>
            <w:r>
              <w:rPr>
                <w:rFonts w:hint="eastAsia"/>
                <w:b/>
                <w:bCs/>
                <w:color w:val="auto"/>
                <w:highlight w:val="none"/>
                <w:lang w:val="en-US" w:eastAsia="zh-CN"/>
              </w:rPr>
              <w:t>印、固化</w:t>
            </w:r>
            <w:r>
              <w:rPr>
                <w:b/>
                <w:bCs/>
                <w:color w:val="auto"/>
                <w:highlight w:val="none"/>
              </w:rPr>
              <w:t>废气</w:t>
            </w:r>
            <w:bookmarkEnd w:id="121"/>
            <w:bookmarkEnd w:id="122"/>
          </w:p>
          <w:p w14:paraId="5461E9F8">
            <w:pPr>
              <w:pStyle w:val="120"/>
              <w:wordWrap w:val="0"/>
              <w:topLinePunct/>
              <w:snapToGrid/>
              <w:ind w:firstLine="480"/>
              <w:rPr>
                <w:b/>
                <w:bCs/>
                <w:color w:val="auto"/>
                <w:highlight w:val="none"/>
              </w:rPr>
            </w:pPr>
            <w:r>
              <w:rPr>
                <w:rFonts w:hint="eastAsia" w:ascii="宋体" w:hAnsi="宋体" w:cs="宋体"/>
                <w:b/>
                <w:bCs/>
                <w:color w:val="auto"/>
                <w:highlight w:val="none"/>
              </w:rPr>
              <w:t>①</w:t>
            </w:r>
            <w:r>
              <w:rPr>
                <w:rFonts w:hint="eastAsia"/>
                <w:b/>
                <w:bCs/>
                <w:color w:val="auto"/>
                <w:highlight w:val="none"/>
              </w:rPr>
              <w:t>漆雾</w:t>
            </w:r>
          </w:p>
          <w:p w14:paraId="6CF964E7">
            <w:pPr>
              <w:pStyle w:val="120"/>
              <w:pageBreakBefore w:val="0"/>
              <w:wordWrap w:val="0"/>
              <w:topLinePunct/>
              <w:bidi w:val="0"/>
              <w:snapToGrid/>
              <w:spacing w:beforeAutospacing="0" w:afterAutospacing="0"/>
              <w:ind w:firstLine="480"/>
              <w:rPr>
                <w:rFonts w:hint="default" w:eastAsia="宋体"/>
                <w:color w:val="auto"/>
                <w:highlight w:val="none"/>
                <w:lang w:val="en-US" w:eastAsia="zh-CN"/>
              </w:rPr>
            </w:pPr>
            <w:r>
              <w:rPr>
                <w:color w:val="auto"/>
                <w:highlight w:val="none"/>
              </w:rPr>
              <w:t>本项目喷漆过程中会产生漆雾（颗粒物）。</w:t>
            </w:r>
            <w:r>
              <w:rPr>
                <w:rFonts w:hint="eastAsia"/>
                <w:color w:val="auto"/>
                <w:highlight w:val="none"/>
                <w:lang w:val="en-US" w:eastAsia="zh-CN"/>
              </w:rPr>
              <w:t>产生的漆雾需先经水帘柜处理后进入喷淋塔处理。</w:t>
            </w:r>
          </w:p>
          <w:p w14:paraId="743D96A2">
            <w:pPr>
              <w:pStyle w:val="120"/>
              <w:pageBreakBefore w:val="0"/>
              <w:wordWrap w:val="0"/>
              <w:topLinePunct/>
              <w:bidi w:val="0"/>
              <w:snapToGrid/>
              <w:spacing w:beforeAutospacing="0" w:afterAutospacing="0"/>
              <w:ind w:firstLine="480"/>
              <w:rPr>
                <w:color w:val="auto"/>
                <w:highlight w:val="none"/>
              </w:rPr>
            </w:pPr>
            <w:r>
              <w:rPr>
                <w:color w:val="auto"/>
                <w:highlight w:val="none"/>
              </w:rPr>
              <w:t>根据《环境保护产品技术要求—工业粉尘湿式除尘装置》（HJ/T285-2006）的要求，</w:t>
            </w:r>
            <w:r>
              <w:rPr>
                <w:rFonts w:hint="eastAsia"/>
                <w:color w:val="auto"/>
                <w:highlight w:val="none"/>
                <w:lang w:eastAsia="zh-CN"/>
              </w:rPr>
              <w:t>水帘柜</w:t>
            </w:r>
            <w:r>
              <w:rPr>
                <w:color w:val="auto"/>
                <w:highlight w:val="none"/>
              </w:rPr>
              <w:t>、喷淋塔属于以喷淋、冲激、水膜为原理类的第Ⅰ类湿式除尘装置，处理效率应不低于80%，本次评价取80%。</w:t>
            </w:r>
            <w:r>
              <w:rPr>
                <w:color w:val="auto"/>
                <w:kern w:val="0"/>
                <w:highlight w:val="none"/>
              </w:rPr>
              <w:t>干式过滤</w:t>
            </w:r>
            <w:r>
              <w:rPr>
                <w:color w:val="auto"/>
                <w:highlight w:val="none"/>
              </w:rPr>
              <w:t>采用多层化学纤维过滤棉，去除漆雾，并进行气水分离。根据《广东省表面涂装（汽车制造业）挥发性有机废气治理技术指南》，干式漆雾捕集系统（过滤棉、无纺布、石灰石为滤料、静电漆雾捕集装置）对漆雾的处理效率可达95%以上，本次评价取95%。综上</w:t>
            </w:r>
            <w:r>
              <w:rPr>
                <w:color w:val="auto"/>
                <w:kern w:val="0"/>
                <w:highlight w:val="none"/>
              </w:rPr>
              <w:t>，</w:t>
            </w:r>
            <w:r>
              <w:rPr>
                <w:color w:val="auto"/>
                <w:highlight w:val="none"/>
              </w:rPr>
              <w:t>漆雾的</w:t>
            </w:r>
            <w:r>
              <w:rPr>
                <w:color w:val="auto"/>
                <w:kern w:val="0"/>
                <w:highlight w:val="none"/>
              </w:rPr>
              <w:t>综合治理效率η=1-（1-80%）</w:t>
            </w:r>
            <w:r>
              <w:rPr>
                <w:color w:val="auto"/>
                <w:highlight w:val="none"/>
              </w:rPr>
              <w:t>×</w:t>
            </w:r>
            <w:r>
              <w:rPr>
                <w:color w:val="auto"/>
                <w:kern w:val="0"/>
                <w:highlight w:val="none"/>
              </w:rPr>
              <w:t>（1-80%）</w:t>
            </w:r>
            <w:r>
              <w:rPr>
                <w:color w:val="auto"/>
                <w:highlight w:val="none"/>
              </w:rPr>
              <w:t>×</w:t>
            </w:r>
            <w:r>
              <w:rPr>
                <w:color w:val="auto"/>
                <w:kern w:val="0"/>
                <w:highlight w:val="none"/>
              </w:rPr>
              <w:t>（1-95%）×</w:t>
            </w:r>
            <w:r>
              <w:rPr>
                <w:color w:val="auto"/>
                <w:highlight w:val="none"/>
              </w:rPr>
              <w:t>100%</w:t>
            </w:r>
            <w:r>
              <w:rPr>
                <w:color w:val="auto"/>
                <w:kern w:val="0"/>
                <w:highlight w:val="none"/>
              </w:rPr>
              <w:t>=99.8%</w:t>
            </w:r>
            <w:r>
              <w:rPr>
                <w:rFonts w:hint="eastAsia"/>
                <w:color w:val="auto"/>
                <w:kern w:val="0"/>
                <w:highlight w:val="none"/>
                <w:lang w:eastAsia="zh-CN"/>
              </w:rPr>
              <w:t>，本环评保守取值</w:t>
            </w:r>
            <w:r>
              <w:rPr>
                <w:rFonts w:hint="eastAsia"/>
                <w:color w:val="auto"/>
                <w:kern w:val="0"/>
                <w:highlight w:val="none"/>
                <w:lang w:val="en-US" w:eastAsia="zh-CN"/>
              </w:rPr>
              <w:t>99%</w:t>
            </w:r>
            <w:r>
              <w:rPr>
                <w:color w:val="auto"/>
                <w:kern w:val="0"/>
                <w:highlight w:val="none"/>
              </w:rPr>
              <w:t>。</w:t>
            </w:r>
            <w:r>
              <w:rPr>
                <w:rFonts w:hint="eastAsia"/>
                <w:color w:val="auto"/>
                <w:highlight w:val="none"/>
              </w:rPr>
              <w:t>收集效率取90%</w:t>
            </w:r>
            <w:r>
              <w:rPr>
                <w:color w:val="auto"/>
                <w:highlight w:val="none"/>
              </w:rPr>
              <w:t>。漆雾经以上废气治理设施收集处理后形成漆渣，收集后作为危废处理。</w:t>
            </w:r>
          </w:p>
          <w:p w14:paraId="3AFC1ADD">
            <w:pPr>
              <w:keepNext w:val="0"/>
              <w:keepLines w:val="0"/>
              <w:pageBreakBefore w:val="0"/>
              <w:widowControl w:val="0"/>
              <w:numPr>
                <w:ilvl w:val="0"/>
                <w:numId w:val="10"/>
              </w:numPr>
              <w:kinsoku/>
              <w:wordWrap w:val="0"/>
              <w:overflowPunct/>
              <w:topLinePunct w:val="0"/>
              <w:autoSpaceDE/>
              <w:autoSpaceDN/>
              <w:bidi w:val="0"/>
              <w:adjustRightInd/>
              <w:snapToGrid/>
              <w:spacing w:line="240" w:lineRule="auto"/>
              <w:ind w:left="0" w:leftChars="0" w:hanging="1" w:firstLineChars="0"/>
              <w:jc w:val="center"/>
              <w:textAlignment w:val="auto"/>
              <w:rPr>
                <w:b/>
                <w:bCs/>
                <w:color w:val="auto"/>
                <w:highlight w:val="none"/>
              </w:rPr>
            </w:pPr>
            <w:r>
              <w:rPr>
                <w:rFonts w:hint="default" w:ascii="Times New Roman" w:hAnsi="Times New Roman" w:eastAsia="宋体" w:cs="Times New Roman"/>
                <w:b/>
                <w:color w:val="auto"/>
                <w:sz w:val="21"/>
                <w:szCs w:val="21"/>
                <w:highlight w:val="none"/>
              </w:rPr>
              <w:t>项目漆雾</w:t>
            </w:r>
            <w:r>
              <w:rPr>
                <w:rFonts w:hint="eastAsia" w:ascii="Times New Roman" w:hAnsi="Times New Roman" w:eastAsia="宋体" w:cs="Times New Roman"/>
                <w:b/>
                <w:color w:val="auto"/>
                <w:sz w:val="21"/>
                <w:szCs w:val="21"/>
                <w:highlight w:val="none"/>
              </w:rPr>
              <w:t>产排</w:t>
            </w:r>
            <w:r>
              <w:rPr>
                <w:rFonts w:hint="default" w:ascii="Times New Roman" w:hAnsi="Times New Roman" w:eastAsia="宋体" w:cs="Times New Roman"/>
                <w:b/>
                <w:color w:val="auto"/>
                <w:sz w:val="21"/>
                <w:szCs w:val="21"/>
                <w:highlight w:val="none"/>
              </w:rPr>
              <w:t>核算表</w:t>
            </w:r>
          </w:p>
          <w:tbl>
            <w:tblPr>
              <w:tblStyle w:val="43"/>
              <w:tblW w:w="496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4"/>
              <w:gridCol w:w="797"/>
              <w:gridCol w:w="797"/>
              <w:gridCol w:w="798"/>
              <w:gridCol w:w="878"/>
              <w:gridCol w:w="809"/>
              <w:gridCol w:w="798"/>
              <w:gridCol w:w="798"/>
              <w:gridCol w:w="728"/>
              <w:gridCol w:w="689"/>
            </w:tblGrid>
            <w:tr w14:paraId="4471F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63" w:type="pct"/>
                  <w:tcBorders>
                    <w:top w:val="single" w:color="000000" w:sz="4" w:space="0"/>
                    <w:left w:val="single" w:color="000000" w:sz="4" w:space="0"/>
                    <w:bottom w:val="single" w:color="000000" w:sz="4" w:space="0"/>
                    <w:right w:val="single" w:color="000000" w:sz="4" w:space="0"/>
                  </w:tcBorders>
                  <w:vAlign w:val="center"/>
                </w:tcPr>
                <w:p w14:paraId="0BD0776B">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原料名称</w:t>
                  </w:r>
                </w:p>
              </w:tc>
              <w:tc>
                <w:tcPr>
                  <w:tcW w:w="509" w:type="pct"/>
                  <w:tcBorders>
                    <w:top w:val="single" w:color="000000" w:sz="4" w:space="0"/>
                    <w:left w:val="single" w:color="000000" w:sz="4" w:space="0"/>
                    <w:bottom w:val="single" w:color="000000" w:sz="4" w:space="0"/>
                    <w:right w:val="single" w:color="000000" w:sz="4" w:space="0"/>
                  </w:tcBorders>
                  <w:vAlign w:val="center"/>
                </w:tcPr>
                <w:p w14:paraId="07DA2C5F">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年用量</w:t>
                  </w:r>
                  <w:r>
                    <w:rPr>
                      <w:rFonts w:hint="default" w:ascii="Times New Roman" w:hAnsi="Times New Roman" w:eastAsia="宋体" w:cs="Times New Roman"/>
                      <w:b/>
                      <w:bCs/>
                      <w:i w:val="0"/>
                      <w:iCs w:val="0"/>
                      <w:color w:val="auto"/>
                      <w:kern w:val="0"/>
                      <w:sz w:val="21"/>
                      <w:szCs w:val="21"/>
                      <w:highlight w:val="none"/>
                      <w:u w:val="none"/>
                      <w:lang w:val="en-US" w:eastAsia="zh-CN"/>
                    </w:rPr>
                    <w:t>t/a</w:t>
                  </w:r>
                </w:p>
              </w:tc>
              <w:tc>
                <w:tcPr>
                  <w:tcW w:w="509" w:type="pct"/>
                  <w:tcBorders>
                    <w:top w:val="single" w:color="000000" w:sz="4" w:space="0"/>
                    <w:left w:val="single" w:color="000000" w:sz="4" w:space="0"/>
                    <w:bottom w:val="single" w:color="000000" w:sz="4" w:space="0"/>
                    <w:right w:val="single" w:color="000000" w:sz="4" w:space="0"/>
                  </w:tcBorders>
                  <w:vAlign w:val="center"/>
                </w:tcPr>
                <w:p w14:paraId="2DD63E09">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固含量</w:t>
                  </w:r>
                  <w:r>
                    <w:rPr>
                      <w:rFonts w:hint="default" w:ascii="Times New Roman" w:hAnsi="Times New Roman" w:eastAsia="宋体" w:cs="Times New Roman"/>
                      <w:b/>
                      <w:bCs/>
                      <w:i w:val="0"/>
                      <w:iCs w:val="0"/>
                      <w:color w:val="auto"/>
                      <w:kern w:val="0"/>
                      <w:sz w:val="21"/>
                      <w:szCs w:val="21"/>
                      <w:highlight w:val="none"/>
                      <w:u w:val="none"/>
                      <w:lang w:val="en-US" w:eastAsia="zh-CN"/>
                    </w:rPr>
                    <w:t>%</w:t>
                  </w:r>
                </w:p>
              </w:tc>
              <w:tc>
                <w:tcPr>
                  <w:tcW w:w="510" w:type="pct"/>
                  <w:tcBorders>
                    <w:top w:val="single" w:color="000000" w:sz="4" w:space="0"/>
                    <w:left w:val="single" w:color="000000" w:sz="4" w:space="0"/>
                    <w:bottom w:val="single" w:color="000000" w:sz="4" w:space="0"/>
                    <w:right w:val="single" w:color="000000" w:sz="4" w:space="0"/>
                  </w:tcBorders>
                  <w:vAlign w:val="center"/>
                </w:tcPr>
                <w:p w14:paraId="7EB104BB">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漆料中固体份</w:t>
                  </w:r>
                  <w:r>
                    <w:rPr>
                      <w:rFonts w:hint="default" w:ascii="Times New Roman" w:hAnsi="Times New Roman" w:eastAsia="宋体" w:cs="Times New Roman"/>
                      <w:b/>
                      <w:bCs/>
                      <w:i w:val="0"/>
                      <w:iCs w:val="0"/>
                      <w:color w:val="auto"/>
                      <w:kern w:val="0"/>
                      <w:sz w:val="21"/>
                      <w:szCs w:val="21"/>
                      <w:highlight w:val="none"/>
                      <w:u w:val="none"/>
                      <w:lang w:val="en-US" w:eastAsia="zh-CN"/>
                    </w:rPr>
                    <w:t>t/a</w:t>
                  </w:r>
                </w:p>
              </w:tc>
              <w:tc>
                <w:tcPr>
                  <w:tcW w:w="561" w:type="pct"/>
                  <w:tcBorders>
                    <w:top w:val="single" w:color="000000" w:sz="4" w:space="0"/>
                    <w:left w:val="single" w:color="000000" w:sz="4" w:space="0"/>
                    <w:bottom w:val="single" w:color="000000" w:sz="4" w:space="0"/>
                    <w:right w:val="single" w:color="000000" w:sz="4" w:space="0"/>
                  </w:tcBorders>
                  <w:vAlign w:val="center"/>
                </w:tcPr>
                <w:p w14:paraId="4D6F0BF2">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漆雾占比</w:t>
                  </w:r>
                  <w:r>
                    <w:rPr>
                      <w:rFonts w:hint="default" w:ascii="Times New Roman" w:hAnsi="Times New Roman" w:eastAsia="宋体" w:cs="Times New Roman"/>
                      <w:b/>
                      <w:bCs/>
                      <w:i w:val="0"/>
                      <w:iCs w:val="0"/>
                      <w:color w:val="auto"/>
                      <w:kern w:val="0"/>
                      <w:sz w:val="21"/>
                      <w:szCs w:val="21"/>
                      <w:highlight w:val="none"/>
                      <w:u w:val="none"/>
                      <w:lang w:val="en-US" w:eastAsia="zh-CN"/>
                    </w:rPr>
                    <w:t>%</w:t>
                  </w:r>
                </w:p>
              </w:tc>
              <w:tc>
                <w:tcPr>
                  <w:tcW w:w="517" w:type="pct"/>
                  <w:tcBorders>
                    <w:top w:val="single" w:color="000000" w:sz="4" w:space="0"/>
                    <w:left w:val="single" w:color="000000" w:sz="4" w:space="0"/>
                    <w:bottom w:val="single" w:color="000000" w:sz="4" w:space="0"/>
                    <w:right w:val="single" w:color="000000" w:sz="4" w:space="0"/>
                  </w:tcBorders>
                  <w:vAlign w:val="center"/>
                </w:tcPr>
                <w:p w14:paraId="7FB18E27">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漆雾量</w:t>
                  </w:r>
                  <w:r>
                    <w:rPr>
                      <w:rFonts w:hint="default" w:ascii="Times New Roman" w:hAnsi="Times New Roman" w:eastAsia="宋体" w:cs="Times New Roman"/>
                      <w:b/>
                      <w:bCs/>
                      <w:i w:val="0"/>
                      <w:iCs w:val="0"/>
                      <w:color w:val="auto"/>
                      <w:kern w:val="0"/>
                      <w:sz w:val="21"/>
                      <w:szCs w:val="21"/>
                      <w:highlight w:val="none"/>
                      <w:u w:val="none"/>
                      <w:lang w:val="en-US" w:eastAsia="zh-CN"/>
                    </w:rPr>
                    <w:t>t/a</w:t>
                  </w:r>
                </w:p>
              </w:tc>
              <w:tc>
                <w:tcPr>
                  <w:tcW w:w="510" w:type="pct"/>
                  <w:tcBorders>
                    <w:top w:val="single" w:color="000000" w:sz="4" w:space="0"/>
                    <w:left w:val="single" w:color="000000" w:sz="4" w:space="0"/>
                    <w:bottom w:val="single" w:color="000000" w:sz="4" w:space="0"/>
                    <w:right w:val="single" w:color="000000" w:sz="4" w:space="0"/>
                  </w:tcBorders>
                  <w:vAlign w:val="center"/>
                </w:tcPr>
                <w:p w14:paraId="5F80AFE8">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有组织漆雾产生量t/a</w:t>
                  </w:r>
                </w:p>
              </w:tc>
              <w:tc>
                <w:tcPr>
                  <w:tcW w:w="510" w:type="pct"/>
                  <w:tcBorders>
                    <w:top w:val="single" w:color="000000" w:sz="4" w:space="0"/>
                    <w:left w:val="single" w:color="000000" w:sz="4" w:space="0"/>
                    <w:bottom w:val="single" w:color="000000" w:sz="4" w:space="0"/>
                    <w:right w:val="single" w:color="000000" w:sz="4" w:space="0"/>
                  </w:tcBorders>
                  <w:vAlign w:val="center"/>
                </w:tcPr>
                <w:p w14:paraId="2FC440BC">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有组织漆雾排放量</w:t>
                  </w:r>
                  <w:r>
                    <w:rPr>
                      <w:rFonts w:hint="default" w:ascii="Times New Roman" w:hAnsi="Times New Roman" w:eastAsia="宋体" w:cs="Times New Roman"/>
                      <w:b/>
                      <w:bCs/>
                      <w:i w:val="0"/>
                      <w:iCs w:val="0"/>
                      <w:color w:val="auto"/>
                      <w:kern w:val="0"/>
                      <w:sz w:val="21"/>
                      <w:szCs w:val="21"/>
                      <w:highlight w:val="none"/>
                      <w:u w:val="none"/>
                      <w:lang w:val="en-US" w:eastAsia="zh-CN"/>
                    </w:rPr>
                    <w:t>t/a</w:t>
                  </w:r>
                </w:p>
              </w:tc>
              <w:tc>
                <w:tcPr>
                  <w:tcW w:w="465" w:type="pct"/>
                  <w:tcBorders>
                    <w:top w:val="single" w:color="000000" w:sz="4" w:space="0"/>
                    <w:left w:val="single" w:color="000000" w:sz="4" w:space="0"/>
                    <w:bottom w:val="single" w:color="000000" w:sz="4" w:space="0"/>
                    <w:right w:val="single" w:color="000000" w:sz="4" w:space="0"/>
                  </w:tcBorders>
                  <w:vAlign w:val="center"/>
                </w:tcPr>
                <w:p w14:paraId="749254A9">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漆渣产生量</w:t>
                  </w:r>
                  <w:r>
                    <w:rPr>
                      <w:rFonts w:hint="default" w:ascii="Times New Roman" w:hAnsi="Times New Roman" w:eastAsia="宋体" w:cs="Times New Roman"/>
                      <w:b/>
                      <w:bCs/>
                      <w:i w:val="0"/>
                      <w:iCs w:val="0"/>
                      <w:color w:val="auto"/>
                      <w:kern w:val="0"/>
                      <w:sz w:val="21"/>
                      <w:szCs w:val="21"/>
                      <w:highlight w:val="none"/>
                      <w:u w:val="none"/>
                      <w:lang w:val="en-US" w:eastAsia="zh-CN"/>
                    </w:rPr>
                    <w:t>t/a</w:t>
                  </w:r>
                </w:p>
              </w:tc>
              <w:tc>
                <w:tcPr>
                  <w:tcW w:w="440" w:type="pct"/>
                  <w:tcBorders>
                    <w:top w:val="single" w:color="000000" w:sz="4" w:space="0"/>
                    <w:left w:val="single" w:color="000000" w:sz="4" w:space="0"/>
                    <w:bottom w:val="single" w:color="000000" w:sz="4" w:space="0"/>
                    <w:right w:val="single" w:color="000000" w:sz="4" w:space="0"/>
                  </w:tcBorders>
                  <w:vAlign w:val="center"/>
                </w:tcPr>
                <w:p w14:paraId="6AF26A43">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无组织漆雾产生量</w:t>
                  </w:r>
                  <w:r>
                    <w:rPr>
                      <w:rFonts w:hint="default" w:ascii="Times New Roman" w:hAnsi="Times New Roman" w:eastAsia="宋体" w:cs="Times New Roman"/>
                      <w:b/>
                      <w:bCs/>
                      <w:i w:val="0"/>
                      <w:iCs w:val="0"/>
                      <w:color w:val="auto"/>
                      <w:kern w:val="0"/>
                      <w:sz w:val="21"/>
                      <w:szCs w:val="21"/>
                      <w:highlight w:val="none"/>
                      <w:u w:val="none"/>
                      <w:lang w:val="en-US" w:eastAsia="zh-CN"/>
                    </w:rPr>
                    <w:t>t/a</w:t>
                  </w:r>
                </w:p>
              </w:tc>
            </w:tr>
            <w:tr w14:paraId="78BF4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723" w:type="dxa"/>
                  <w:tcBorders>
                    <w:top w:val="single" w:color="000000" w:sz="4" w:space="0"/>
                    <w:left w:val="single" w:color="000000" w:sz="4" w:space="0"/>
                    <w:bottom w:val="single" w:color="000000" w:sz="4" w:space="0"/>
                    <w:right w:val="single" w:color="000000" w:sz="4" w:space="0"/>
                  </w:tcBorders>
                  <w:vAlign w:val="center"/>
                </w:tcPr>
                <w:p w14:paraId="3D8007A6">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油性漆</w:t>
                  </w:r>
                </w:p>
              </w:tc>
              <w:tc>
                <w:tcPr>
                  <w:tcW w:w="797" w:type="dxa"/>
                  <w:tcBorders>
                    <w:top w:val="single" w:color="000000" w:sz="4" w:space="0"/>
                    <w:left w:val="single" w:color="000000" w:sz="4" w:space="0"/>
                    <w:bottom w:val="single" w:color="000000" w:sz="4" w:space="0"/>
                    <w:right w:val="single" w:color="000000" w:sz="4" w:space="0"/>
                  </w:tcBorders>
                  <w:vAlign w:val="center"/>
                </w:tcPr>
                <w:p w14:paraId="699C8E8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2.924 </w:t>
                  </w:r>
                </w:p>
              </w:tc>
              <w:tc>
                <w:tcPr>
                  <w:tcW w:w="797" w:type="dxa"/>
                  <w:tcBorders>
                    <w:top w:val="single" w:color="000000" w:sz="4" w:space="0"/>
                    <w:left w:val="single" w:color="000000" w:sz="4" w:space="0"/>
                    <w:bottom w:val="single" w:color="000000" w:sz="4" w:space="0"/>
                    <w:right w:val="single" w:color="000000" w:sz="4" w:space="0"/>
                  </w:tcBorders>
                  <w:vAlign w:val="center"/>
                </w:tcPr>
                <w:p w14:paraId="4DEAFDD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77.33 </w:t>
                  </w:r>
                </w:p>
              </w:tc>
              <w:tc>
                <w:tcPr>
                  <w:tcW w:w="798" w:type="dxa"/>
                  <w:tcBorders>
                    <w:top w:val="single" w:color="000000" w:sz="4" w:space="0"/>
                    <w:left w:val="single" w:color="000000" w:sz="4" w:space="0"/>
                    <w:bottom w:val="single" w:color="000000" w:sz="4" w:space="0"/>
                    <w:right w:val="single" w:color="000000" w:sz="4" w:space="0"/>
                  </w:tcBorders>
                  <w:vAlign w:val="center"/>
                </w:tcPr>
                <w:p w14:paraId="043A7BE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2.261 </w:t>
                  </w:r>
                </w:p>
              </w:tc>
              <w:tc>
                <w:tcPr>
                  <w:tcW w:w="878" w:type="dxa"/>
                  <w:tcBorders>
                    <w:top w:val="single" w:color="000000" w:sz="4" w:space="0"/>
                    <w:left w:val="single" w:color="000000" w:sz="4" w:space="0"/>
                    <w:bottom w:val="single" w:color="000000" w:sz="4" w:space="0"/>
                    <w:right w:val="single" w:color="000000" w:sz="4" w:space="0"/>
                  </w:tcBorders>
                  <w:vAlign w:val="center"/>
                </w:tcPr>
                <w:p w14:paraId="174773B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40.00 </w:t>
                  </w:r>
                </w:p>
              </w:tc>
              <w:tc>
                <w:tcPr>
                  <w:tcW w:w="809" w:type="dxa"/>
                  <w:tcBorders>
                    <w:top w:val="single" w:color="000000" w:sz="4" w:space="0"/>
                    <w:left w:val="single" w:color="000000" w:sz="4" w:space="0"/>
                    <w:bottom w:val="single" w:color="000000" w:sz="4" w:space="0"/>
                    <w:right w:val="single" w:color="000000" w:sz="4" w:space="0"/>
                  </w:tcBorders>
                  <w:vAlign w:val="center"/>
                </w:tcPr>
                <w:p w14:paraId="4FF18C2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0.904 </w:t>
                  </w:r>
                </w:p>
              </w:tc>
              <w:tc>
                <w:tcPr>
                  <w:tcW w:w="798" w:type="dxa"/>
                  <w:tcBorders>
                    <w:top w:val="single" w:color="000000" w:sz="4" w:space="0"/>
                    <w:left w:val="single" w:color="000000" w:sz="4" w:space="0"/>
                    <w:bottom w:val="single" w:color="000000" w:sz="4" w:space="0"/>
                    <w:right w:val="single" w:color="000000" w:sz="4" w:space="0"/>
                  </w:tcBorders>
                  <w:noWrap/>
                  <w:vAlign w:val="center"/>
                </w:tcPr>
                <w:p w14:paraId="122778C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0.814 </w:t>
                  </w:r>
                </w:p>
              </w:tc>
              <w:tc>
                <w:tcPr>
                  <w:tcW w:w="798" w:type="dxa"/>
                  <w:tcBorders>
                    <w:top w:val="single" w:color="000000" w:sz="4" w:space="0"/>
                    <w:left w:val="single" w:color="000000" w:sz="4" w:space="0"/>
                    <w:bottom w:val="single" w:color="000000" w:sz="4" w:space="0"/>
                    <w:right w:val="single" w:color="000000" w:sz="4" w:space="0"/>
                  </w:tcBorders>
                  <w:noWrap/>
                  <w:vAlign w:val="center"/>
                </w:tcPr>
                <w:p w14:paraId="165530E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0.008 </w:t>
                  </w:r>
                </w:p>
              </w:tc>
              <w:tc>
                <w:tcPr>
                  <w:tcW w:w="727" w:type="dxa"/>
                  <w:tcBorders>
                    <w:top w:val="single" w:color="000000" w:sz="4" w:space="0"/>
                    <w:left w:val="single" w:color="000000" w:sz="4" w:space="0"/>
                    <w:bottom w:val="single" w:color="000000" w:sz="4" w:space="0"/>
                    <w:right w:val="single" w:color="000000" w:sz="4" w:space="0"/>
                  </w:tcBorders>
                  <w:noWrap/>
                  <w:vAlign w:val="center"/>
                </w:tcPr>
                <w:p w14:paraId="657D125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0.806 </w:t>
                  </w:r>
                </w:p>
              </w:tc>
              <w:tc>
                <w:tcPr>
                  <w:tcW w:w="689" w:type="dxa"/>
                  <w:tcBorders>
                    <w:top w:val="single" w:color="000000" w:sz="4" w:space="0"/>
                    <w:left w:val="single" w:color="000000" w:sz="4" w:space="0"/>
                    <w:bottom w:val="single" w:color="000000" w:sz="4" w:space="0"/>
                    <w:right w:val="single" w:color="000000" w:sz="4" w:space="0"/>
                  </w:tcBorders>
                  <w:noWrap/>
                  <w:vAlign w:val="center"/>
                </w:tcPr>
                <w:p w14:paraId="0047957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0.090 </w:t>
                  </w:r>
                </w:p>
              </w:tc>
            </w:tr>
            <w:tr w14:paraId="2982D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723" w:type="dxa"/>
                  <w:tcBorders>
                    <w:top w:val="single" w:color="000000" w:sz="4" w:space="0"/>
                    <w:left w:val="single" w:color="000000" w:sz="4" w:space="0"/>
                    <w:bottom w:val="single" w:color="000000" w:sz="4" w:space="0"/>
                    <w:right w:val="single" w:color="000000" w:sz="4" w:space="0"/>
                  </w:tcBorders>
                  <w:vAlign w:val="center"/>
                </w:tcPr>
                <w:p w14:paraId="7C27E600">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水性漆</w:t>
                  </w:r>
                </w:p>
              </w:tc>
              <w:tc>
                <w:tcPr>
                  <w:tcW w:w="797" w:type="dxa"/>
                  <w:tcBorders>
                    <w:top w:val="single" w:color="000000" w:sz="4" w:space="0"/>
                    <w:left w:val="single" w:color="000000" w:sz="4" w:space="0"/>
                    <w:bottom w:val="single" w:color="000000" w:sz="4" w:space="0"/>
                    <w:right w:val="single" w:color="000000" w:sz="4" w:space="0"/>
                  </w:tcBorders>
                  <w:vAlign w:val="center"/>
                </w:tcPr>
                <w:p w14:paraId="1ECB9EF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1.004 </w:t>
                  </w:r>
                </w:p>
              </w:tc>
              <w:tc>
                <w:tcPr>
                  <w:tcW w:w="797" w:type="dxa"/>
                  <w:tcBorders>
                    <w:top w:val="single" w:color="000000" w:sz="4" w:space="0"/>
                    <w:left w:val="single" w:color="000000" w:sz="4" w:space="0"/>
                    <w:bottom w:val="single" w:color="000000" w:sz="4" w:space="0"/>
                    <w:right w:val="single" w:color="000000" w:sz="4" w:space="0"/>
                  </w:tcBorders>
                  <w:vAlign w:val="center"/>
                </w:tcPr>
                <w:p w14:paraId="2D09D13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72.67 </w:t>
                  </w:r>
                </w:p>
              </w:tc>
              <w:tc>
                <w:tcPr>
                  <w:tcW w:w="798" w:type="dxa"/>
                  <w:tcBorders>
                    <w:top w:val="single" w:color="000000" w:sz="4" w:space="0"/>
                    <w:left w:val="single" w:color="000000" w:sz="4" w:space="0"/>
                    <w:bottom w:val="single" w:color="000000" w:sz="4" w:space="0"/>
                    <w:right w:val="single" w:color="000000" w:sz="4" w:space="0"/>
                  </w:tcBorders>
                  <w:vAlign w:val="center"/>
                </w:tcPr>
                <w:p w14:paraId="78D0C5B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0.730 </w:t>
                  </w:r>
                </w:p>
              </w:tc>
              <w:tc>
                <w:tcPr>
                  <w:tcW w:w="878" w:type="dxa"/>
                  <w:tcBorders>
                    <w:top w:val="single" w:color="000000" w:sz="4" w:space="0"/>
                    <w:left w:val="single" w:color="000000" w:sz="4" w:space="0"/>
                    <w:bottom w:val="single" w:color="000000" w:sz="4" w:space="0"/>
                    <w:right w:val="single" w:color="000000" w:sz="4" w:space="0"/>
                  </w:tcBorders>
                  <w:vAlign w:val="center"/>
                </w:tcPr>
                <w:p w14:paraId="607376C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40.00 </w:t>
                  </w:r>
                </w:p>
              </w:tc>
              <w:tc>
                <w:tcPr>
                  <w:tcW w:w="809" w:type="dxa"/>
                  <w:tcBorders>
                    <w:top w:val="single" w:color="000000" w:sz="4" w:space="0"/>
                    <w:left w:val="single" w:color="000000" w:sz="4" w:space="0"/>
                    <w:bottom w:val="single" w:color="000000" w:sz="4" w:space="0"/>
                    <w:right w:val="single" w:color="000000" w:sz="4" w:space="0"/>
                  </w:tcBorders>
                  <w:vAlign w:val="center"/>
                </w:tcPr>
                <w:p w14:paraId="5514E12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0.292 </w:t>
                  </w:r>
                </w:p>
              </w:tc>
              <w:tc>
                <w:tcPr>
                  <w:tcW w:w="798" w:type="dxa"/>
                  <w:tcBorders>
                    <w:top w:val="single" w:color="000000" w:sz="4" w:space="0"/>
                    <w:left w:val="single" w:color="000000" w:sz="4" w:space="0"/>
                    <w:bottom w:val="single" w:color="000000" w:sz="4" w:space="0"/>
                    <w:right w:val="single" w:color="000000" w:sz="4" w:space="0"/>
                  </w:tcBorders>
                  <w:noWrap/>
                  <w:vAlign w:val="center"/>
                </w:tcPr>
                <w:p w14:paraId="3374841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0.263 </w:t>
                  </w:r>
                </w:p>
              </w:tc>
              <w:tc>
                <w:tcPr>
                  <w:tcW w:w="798" w:type="dxa"/>
                  <w:tcBorders>
                    <w:top w:val="single" w:color="000000" w:sz="4" w:space="0"/>
                    <w:left w:val="single" w:color="000000" w:sz="4" w:space="0"/>
                    <w:bottom w:val="single" w:color="000000" w:sz="4" w:space="0"/>
                    <w:right w:val="single" w:color="000000" w:sz="4" w:space="0"/>
                  </w:tcBorders>
                  <w:noWrap/>
                  <w:vAlign w:val="center"/>
                </w:tcPr>
                <w:p w14:paraId="62317CE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0.003 </w:t>
                  </w:r>
                </w:p>
              </w:tc>
              <w:tc>
                <w:tcPr>
                  <w:tcW w:w="727" w:type="dxa"/>
                  <w:tcBorders>
                    <w:top w:val="single" w:color="000000" w:sz="4" w:space="0"/>
                    <w:left w:val="single" w:color="000000" w:sz="4" w:space="0"/>
                    <w:bottom w:val="single" w:color="000000" w:sz="4" w:space="0"/>
                    <w:right w:val="single" w:color="000000" w:sz="4" w:space="0"/>
                  </w:tcBorders>
                  <w:noWrap/>
                  <w:vAlign w:val="center"/>
                </w:tcPr>
                <w:p w14:paraId="1DEC2AC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0.260 </w:t>
                  </w:r>
                </w:p>
              </w:tc>
              <w:tc>
                <w:tcPr>
                  <w:tcW w:w="689" w:type="dxa"/>
                  <w:tcBorders>
                    <w:top w:val="single" w:color="000000" w:sz="4" w:space="0"/>
                    <w:left w:val="single" w:color="000000" w:sz="4" w:space="0"/>
                    <w:bottom w:val="single" w:color="000000" w:sz="4" w:space="0"/>
                    <w:right w:val="single" w:color="000000" w:sz="4" w:space="0"/>
                  </w:tcBorders>
                  <w:noWrap/>
                  <w:vAlign w:val="center"/>
                </w:tcPr>
                <w:p w14:paraId="7B47775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0.029 </w:t>
                  </w:r>
                </w:p>
              </w:tc>
            </w:tr>
            <w:tr w14:paraId="32B2C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3995" w:type="dxa"/>
                  <w:gridSpan w:val="5"/>
                  <w:tcBorders>
                    <w:top w:val="single" w:color="000000" w:sz="4" w:space="0"/>
                    <w:left w:val="single" w:color="000000" w:sz="4" w:space="0"/>
                    <w:bottom w:val="single" w:color="000000" w:sz="4" w:space="0"/>
                    <w:right w:val="single" w:color="000000" w:sz="4" w:space="0"/>
                  </w:tcBorders>
                  <w:vAlign w:val="center"/>
                </w:tcPr>
                <w:p w14:paraId="47F01DBC">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合计</w:t>
                  </w:r>
                </w:p>
              </w:tc>
              <w:tc>
                <w:tcPr>
                  <w:tcW w:w="809" w:type="dxa"/>
                  <w:tcBorders>
                    <w:top w:val="single" w:color="000000" w:sz="4" w:space="0"/>
                    <w:left w:val="single" w:color="000000" w:sz="4" w:space="0"/>
                    <w:bottom w:val="single" w:color="000000" w:sz="4" w:space="0"/>
                    <w:right w:val="single" w:color="000000" w:sz="4" w:space="0"/>
                  </w:tcBorders>
                  <w:vAlign w:val="center"/>
                </w:tcPr>
                <w:p w14:paraId="6497C3C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1.196 </w:t>
                  </w:r>
                </w:p>
              </w:tc>
              <w:tc>
                <w:tcPr>
                  <w:tcW w:w="798" w:type="dxa"/>
                  <w:tcBorders>
                    <w:top w:val="single" w:color="000000" w:sz="4" w:space="0"/>
                    <w:left w:val="single" w:color="000000" w:sz="4" w:space="0"/>
                    <w:bottom w:val="single" w:color="000000" w:sz="4" w:space="0"/>
                    <w:right w:val="single" w:color="000000" w:sz="4" w:space="0"/>
                  </w:tcBorders>
                  <w:vAlign w:val="center"/>
                </w:tcPr>
                <w:p w14:paraId="2E56392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1.0766 </w:t>
                  </w:r>
                </w:p>
              </w:tc>
              <w:tc>
                <w:tcPr>
                  <w:tcW w:w="798" w:type="dxa"/>
                  <w:tcBorders>
                    <w:top w:val="single" w:color="000000" w:sz="4" w:space="0"/>
                    <w:left w:val="single" w:color="000000" w:sz="4" w:space="0"/>
                    <w:bottom w:val="single" w:color="000000" w:sz="4" w:space="0"/>
                    <w:right w:val="single" w:color="000000" w:sz="4" w:space="0"/>
                  </w:tcBorders>
                  <w:vAlign w:val="center"/>
                </w:tcPr>
                <w:p w14:paraId="13907FA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0.0108 </w:t>
                  </w:r>
                </w:p>
              </w:tc>
              <w:tc>
                <w:tcPr>
                  <w:tcW w:w="727" w:type="dxa"/>
                  <w:tcBorders>
                    <w:top w:val="single" w:color="000000" w:sz="4" w:space="0"/>
                    <w:left w:val="single" w:color="000000" w:sz="4" w:space="0"/>
                    <w:bottom w:val="single" w:color="000000" w:sz="4" w:space="0"/>
                    <w:right w:val="single" w:color="000000" w:sz="4" w:space="0"/>
                  </w:tcBorders>
                  <w:vAlign w:val="center"/>
                </w:tcPr>
                <w:p w14:paraId="74FFD94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1.066 </w:t>
                  </w:r>
                </w:p>
              </w:tc>
              <w:tc>
                <w:tcPr>
                  <w:tcW w:w="689" w:type="dxa"/>
                  <w:tcBorders>
                    <w:top w:val="single" w:color="000000" w:sz="4" w:space="0"/>
                    <w:left w:val="single" w:color="000000" w:sz="4" w:space="0"/>
                    <w:bottom w:val="single" w:color="000000" w:sz="4" w:space="0"/>
                    <w:right w:val="single" w:color="000000" w:sz="4" w:space="0"/>
                  </w:tcBorders>
                  <w:vAlign w:val="center"/>
                </w:tcPr>
                <w:p w14:paraId="2EBE66B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0.120 </w:t>
                  </w:r>
                </w:p>
              </w:tc>
            </w:tr>
          </w:tbl>
          <w:p w14:paraId="2E31079F">
            <w:pPr>
              <w:pStyle w:val="120"/>
              <w:wordWrap w:val="0"/>
              <w:topLinePunct/>
              <w:snapToGrid/>
              <w:ind w:firstLine="480"/>
              <w:rPr>
                <w:b/>
                <w:bCs/>
                <w:color w:val="auto"/>
                <w:highlight w:val="none"/>
              </w:rPr>
            </w:pPr>
            <w:r>
              <w:rPr>
                <w:rFonts w:hint="eastAsia" w:ascii="宋体" w:hAnsi="宋体" w:cs="宋体"/>
                <w:b/>
                <w:bCs/>
                <w:color w:val="auto"/>
                <w:highlight w:val="none"/>
              </w:rPr>
              <w:t>②</w:t>
            </w:r>
            <w:r>
              <w:rPr>
                <w:rFonts w:hint="eastAsia" w:ascii="宋体" w:hAnsi="宋体" w:cs="宋体"/>
                <w:b/>
                <w:bCs/>
                <w:color w:val="auto"/>
                <w:highlight w:val="none"/>
                <w:lang w:val="en-US" w:eastAsia="zh-CN"/>
              </w:rPr>
              <w:t>喷印</w:t>
            </w:r>
            <w:r>
              <w:rPr>
                <w:rFonts w:hint="eastAsia"/>
                <w:b/>
                <w:bCs/>
                <w:color w:val="auto"/>
                <w:highlight w:val="none"/>
              </w:rPr>
              <w:t>有机废气</w:t>
            </w:r>
          </w:p>
          <w:p w14:paraId="752FF39B">
            <w:pPr>
              <w:pStyle w:val="120"/>
              <w:pageBreakBefore w:val="0"/>
              <w:wordWrap w:val="0"/>
              <w:topLinePunct/>
              <w:bidi w:val="0"/>
              <w:snapToGrid/>
              <w:spacing w:beforeAutospacing="0" w:afterAutospacing="0"/>
              <w:ind w:firstLine="480"/>
              <w:rPr>
                <w:rFonts w:hint="default" w:ascii="Times New Roman" w:hAnsi="Times New Roman" w:cs="Times New Roman"/>
                <w:color w:val="auto"/>
                <w:highlight w:val="none"/>
              </w:rPr>
            </w:pPr>
            <w:r>
              <w:rPr>
                <w:rFonts w:hint="default" w:cs="Times New Roman"/>
                <w:color w:val="auto"/>
                <w:highlight w:val="none"/>
                <w:lang w:val="en-US" w:eastAsia="zh-CN"/>
              </w:rPr>
              <w:t>本项目</w:t>
            </w:r>
            <w:r>
              <w:rPr>
                <w:rFonts w:hint="eastAsia" w:cs="Times New Roman"/>
                <w:color w:val="auto"/>
                <w:highlight w:val="none"/>
                <w:lang w:val="en-US" w:eastAsia="zh-CN"/>
              </w:rPr>
              <w:t>油漆</w:t>
            </w:r>
            <w:r>
              <w:rPr>
                <w:rFonts w:hint="default" w:cs="Times New Roman"/>
                <w:color w:val="auto"/>
                <w:highlight w:val="none"/>
                <w:lang w:val="en-US" w:eastAsia="zh-CN"/>
              </w:rPr>
              <w:t>用</w:t>
            </w:r>
            <w:r>
              <w:rPr>
                <w:rFonts w:hint="eastAsia" w:cs="Times New Roman"/>
                <w:color w:val="auto"/>
                <w:highlight w:val="none"/>
                <w:lang w:val="en-US" w:eastAsia="zh-CN"/>
              </w:rPr>
              <w:t>（含固化剂）</w:t>
            </w:r>
            <w:r>
              <w:rPr>
                <w:rFonts w:hint="default" w:cs="Times New Roman"/>
                <w:color w:val="auto"/>
                <w:highlight w:val="none"/>
                <w:lang w:val="en-US" w:eastAsia="zh-CN"/>
              </w:rPr>
              <w:t>量为</w:t>
            </w:r>
            <w:r>
              <w:rPr>
                <w:rFonts w:hint="eastAsia" w:cs="Times New Roman"/>
                <w:color w:val="auto"/>
                <w:highlight w:val="none"/>
                <w:lang w:val="en-US" w:eastAsia="zh-CN"/>
              </w:rPr>
              <w:t>2.924</w:t>
            </w:r>
            <w:r>
              <w:rPr>
                <w:rFonts w:hint="default" w:cs="Times New Roman"/>
                <w:color w:val="auto"/>
                <w:highlight w:val="none"/>
                <w:lang w:val="en-US" w:eastAsia="zh-CN"/>
              </w:rPr>
              <w:t>t/a</w:t>
            </w:r>
            <w:r>
              <w:rPr>
                <w:rFonts w:hint="eastAsia" w:cs="Times New Roman"/>
                <w:color w:val="auto"/>
                <w:highlight w:val="none"/>
                <w:lang w:val="en-US" w:eastAsia="zh-CN"/>
              </w:rPr>
              <w:t>，根据物料VOCs含量检测报告，VOCs含量为23.37%，则VOCs产生量约为0.6834t/a</w:t>
            </w:r>
            <w:r>
              <w:rPr>
                <w:rFonts w:hint="default" w:ascii="Times New Roman" w:hAnsi="Times New Roman" w:cs="Times New Roman"/>
                <w:color w:val="auto"/>
                <w:highlight w:val="none"/>
              </w:rPr>
              <w:t>。</w:t>
            </w:r>
            <w:r>
              <w:rPr>
                <w:rFonts w:hint="eastAsia" w:cs="Times New Roman"/>
                <w:color w:val="auto"/>
                <w:highlight w:val="none"/>
                <w:lang w:val="en-US" w:eastAsia="zh-CN"/>
              </w:rPr>
              <w:t>水性漆使用量1.004t/a，根据物料VOCs含量检测报告，VOCs含量为2.33%，则VOCs产生量为0.0234t/a。</w:t>
            </w:r>
            <w:r>
              <w:rPr>
                <w:rFonts w:hint="default" w:ascii="Times New Roman" w:hAnsi="Times New Roman" w:cs="Times New Roman"/>
                <w:color w:val="auto"/>
                <w:highlight w:val="none"/>
              </w:rPr>
              <w:t>根据</w:t>
            </w:r>
            <w:r>
              <w:rPr>
                <w:rFonts w:hint="eastAsia" w:ascii="Times New Roman" w:hAnsi="Times New Roman" w:cs="Times New Roman"/>
                <w:color w:val="auto"/>
                <w:highlight w:val="none"/>
                <w:lang w:val="en-US" w:eastAsia="zh-CN"/>
              </w:rPr>
              <w:t>物料</w:t>
            </w:r>
            <w:r>
              <w:rPr>
                <w:rFonts w:hint="default" w:ascii="Times New Roman" w:hAnsi="Times New Roman" w:cs="Times New Roman"/>
                <w:color w:val="auto"/>
                <w:highlight w:val="none"/>
              </w:rPr>
              <w:t>MSDS可知，</w:t>
            </w:r>
            <w:r>
              <w:rPr>
                <w:rFonts w:hint="eastAsia" w:ascii="Times New Roman" w:hAnsi="Times New Roman" w:cs="Times New Roman"/>
                <w:color w:val="auto"/>
                <w:highlight w:val="none"/>
                <w:lang w:val="en-US" w:eastAsia="zh-CN"/>
              </w:rPr>
              <w:t>油性漆和稀释剂</w:t>
            </w:r>
            <w:r>
              <w:rPr>
                <w:rFonts w:hint="default" w:ascii="Times New Roman" w:hAnsi="Times New Roman" w:cs="Times New Roman"/>
                <w:color w:val="auto"/>
                <w:highlight w:val="none"/>
              </w:rPr>
              <w:t>包含二甲苯</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二甲苯成分占比</w:t>
            </w:r>
            <w:r>
              <w:rPr>
                <w:rFonts w:hint="eastAsia" w:ascii="Times New Roman" w:hAnsi="Times New Roman" w:cs="Times New Roman"/>
                <w:color w:val="auto"/>
                <w:highlight w:val="none"/>
                <w:lang w:val="en-US" w:eastAsia="zh-CN"/>
              </w:rPr>
              <w:t>分别取8</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30%，</w:t>
            </w:r>
            <w:r>
              <w:rPr>
                <w:rFonts w:hint="default" w:ascii="Times New Roman" w:hAnsi="Times New Roman" w:cs="Times New Roman"/>
                <w:color w:val="auto"/>
                <w:highlight w:val="none"/>
                <w:lang w:val="en-US" w:eastAsia="zh-CN"/>
              </w:rPr>
              <w:t>对应</w:t>
            </w:r>
            <w:r>
              <w:rPr>
                <w:rFonts w:hint="eastAsia" w:cs="Times New Roman"/>
                <w:color w:val="auto"/>
                <w:highlight w:val="none"/>
                <w:lang w:val="en-US" w:eastAsia="zh-CN"/>
              </w:rPr>
              <w:t>苯系物</w:t>
            </w:r>
            <w:r>
              <w:rPr>
                <w:rFonts w:hint="default" w:ascii="Times New Roman" w:hAnsi="Times New Roman" w:cs="Times New Roman"/>
                <w:color w:val="auto"/>
                <w:highlight w:val="none"/>
              </w:rPr>
              <w:t>二甲苯</w:t>
            </w:r>
            <w:r>
              <w:rPr>
                <w:rFonts w:hint="eastAsia" w:ascii="Times New Roman" w:hAnsi="Times New Roman" w:cs="Times New Roman"/>
                <w:color w:val="auto"/>
                <w:highlight w:val="none"/>
                <w:lang w:val="en-US" w:eastAsia="zh-CN"/>
              </w:rPr>
              <w:t>总</w:t>
            </w:r>
            <w:r>
              <w:rPr>
                <w:rFonts w:hint="default" w:ascii="Times New Roman" w:hAnsi="Times New Roman" w:cs="Times New Roman"/>
                <w:color w:val="auto"/>
                <w:highlight w:val="none"/>
              </w:rPr>
              <w:t>产生量为：</w:t>
            </w:r>
            <w:r>
              <w:rPr>
                <w:rFonts w:hint="eastAsia" w:cs="Times New Roman"/>
                <w:color w:val="auto"/>
                <w:highlight w:val="none"/>
                <w:lang w:val="en-US" w:eastAsia="zh-CN"/>
              </w:rPr>
              <w:t>0.1996</w:t>
            </w:r>
            <w:r>
              <w:rPr>
                <w:rFonts w:hint="default" w:ascii="Times New Roman" w:hAnsi="Times New Roman" w:cs="Times New Roman"/>
                <w:color w:val="auto"/>
                <w:highlight w:val="none"/>
              </w:rPr>
              <w:t>t/a。</w:t>
            </w:r>
          </w:p>
          <w:p w14:paraId="45049E28">
            <w:pPr>
              <w:pStyle w:val="120"/>
              <w:pageBreakBefore w:val="0"/>
              <w:numPr>
                <w:ilvl w:val="0"/>
                <w:numId w:val="0"/>
              </w:numPr>
              <w:wordWrap w:val="0"/>
              <w:topLinePunct/>
              <w:bidi w:val="0"/>
              <w:snapToGrid/>
              <w:spacing w:beforeAutospacing="0" w:afterAutospacing="0"/>
              <w:ind w:firstLine="482"/>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丝印</w:t>
            </w:r>
            <w:r>
              <w:rPr>
                <w:rFonts w:hint="eastAsia" w:ascii="Times New Roman" w:hAnsi="Times New Roman" w:cs="Times New Roman"/>
                <w:color w:val="auto"/>
                <w:highlight w:val="none"/>
                <w:lang w:val="en-US" w:eastAsia="zh-CN"/>
              </w:rPr>
              <w:t>油墨使用量0.1</w:t>
            </w:r>
            <w:r>
              <w:rPr>
                <w:rFonts w:hint="eastAsia" w:cs="Times New Roman"/>
                <w:color w:val="auto"/>
                <w:highlight w:val="none"/>
                <w:lang w:val="en-US" w:eastAsia="zh-CN"/>
              </w:rPr>
              <w:t>05</w:t>
            </w:r>
            <w:r>
              <w:rPr>
                <w:rFonts w:hint="eastAsia" w:ascii="Times New Roman" w:hAnsi="Times New Roman" w:cs="Times New Roman"/>
                <w:color w:val="auto"/>
                <w:highlight w:val="none"/>
                <w:lang w:val="en-US" w:eastAsia="zh-CN"/>
              </w:rPr>
              <w:t>t/a</w:t>
            </w:r>
            <w:r>
              <w:rPr>
                <w:rFonts w:hint="eastAsia" w:cs="Times New Roman"/>
                <w:color w:val="auto"/>
                <w:highlight w:val="none"/>
                <w:lang w:val="en-US" w:eastAsia="zh-CN"/>
              </w:rPr>
              <w:t>，</w:t>
            </w:r>
            <w:r>
              <w:rPr>
                <w:rFonts w:hint="eastAsia" w:ascii="Times New Roman" w:hAnsi="Times New Roman" w:cs="Times New Roman"/>
                <w:color w:val="auto"/>
                <w:highlight w:val="none"/>
                <w:lang w:val="en-US" w:eastAsia="zh-CN"/>
              </w:rPr>
              <w:t>根据物料MSDS可知，项目所使用油墨的VOCs含量为45%，则</w:t>
            </w:r>
            <w:r>
              <w:rPr>
                <w:rFonts w:hint="eastAsia" w:cs="Times New Roman"/>
                <w:color w:val="auto"/>
                <w:highlight w:val="none"/>
                <w:lang w:val="en-US" w:eastAsia="zh-CN"/>
              </w:rPr>
              <w:t>丝印</w:t>
            </w:r>
            <w:r>
              <w:rPr>
                <w:rFonts w:hint="eastAsia" w:ascii="Times New Roman" w:hAnsi="Times New Roman" w:cs="Times New Roman"/>
                <w:color w:val="auto"/>
                <w:highlight w:val="none"/>
                <w:lang w:val="en-US" w:eastAsia="zh-CN"/>
              </w:rPr>
              <w:t>废气非甲烷总烃产生量为0.0</w:t>
            </w:r>
            <w:r>
              <w:rPr>
                <w:rFonts w:hint="eastAsia" w:cs="Times New Roman"/>
                <w:color w:val="auto"/>
                <w:highlight w:val="none"/>
                <w:lang w:val="en-US" w:eastAsia="zh-CN"/>
              </w:rPr>
              <w:t>471</w:t>
            </w:r>
            <w:r>
              <w:rPr>
                <w:rFonts w:hint="eastAsia" w:ascii="Times New Roman" w:hAnsi="Times New Roman" w:cs="Times New Roman"/>
                <w:color w:val="auto"/>
                <w:highlight w:val="none"/>
                <w:lang w:val="en-US" w:eastAsia="zh-CN"/>
              </w:rPr>
              <w:t>t/a。</w:t>
            </w:r>
            <w:r>
              <w:rPr>
                <w:rFonts w:hint="eastAsia" w:cs="Times New Roman"/>
                <w:color w:val="auto"/>
                <w:highlight w:val="none"/>
                <w:lang w:val="en-US" w:eastAsia="zh-CN"/>
              </w:rPr>
              <w:t>丝印前工件需用酒精进行清洁，根据建设单位提供资料，每日用于表面清洁的酒精约950ml/d，酒精使用量为0.2252t/a，保守按全部挥发为VOCs计，则工件表面清洁产生VOCs  0.2252t/a。网版清洁使用半水基清洁剂，年使用量0.15t/a，半水基清洁剂密度取1.11g/cm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，根据检测报告其VOCs含量为85g/L，则网版清洗产生VOCs量为0.0115t/a。</w:t>
            </w:r>
          </w:p>
          <w:p w14:paraId="0A773F2C">
            <w:pPr>
              <w:pStyle w:val="120"/>
              <w:pageBreakBefore w:val="0"/>
              <w:numPr>
                <w:ilvl w:val="0"/>
                <w:numId w:val="0"/>
              </w:numPr>
              <w:wordWrap w:val="0"/>
              <w:topLinePunct/>
              <w:bidi w:val="0"/>
              <w:snapToGrid/>
              <w:spacing w:beforeAutospacing="0" w:afterAutospacing="0"/>
              <w:ind w:firstLine="482"/>
              <w:rPr>
                <w:rFonts w:hint="default" w:ascii="Times New Roman" w:hAnsi="Times New Roman" w:eastAsia="宋体" w:cs="Times New Roman"/>
                <w:color w:val="auto"/>
                <w:spacing w:val="0"/>
                <w:kern w:val="2"/>
                <w:sz w:val="24"/>
                <w:szCs w:val="24"/>
                <w:highlight w:val="none"/>
                <w:lang w:val="en-US" w:eastAsia="zh-CN" w:bidi="ar-SA"/>
              </w:rPr>
            </w:pPr>
            <w:r>
              <w:rPr>
                <w:rFonts w:ascii="Times New Roman" w:hAnsi="Times New Roman" w:eastAsia="宋体" w:cs="Times New Roman"/>
                <w:color w:val="auto"/>
                <w:spacing w:val="0"/>
                <w:kern w:val="2"/>
                <w:sz w:val="24"/>
                <w:szCs w:val="24"/>
                <w:highlight w:val="none"/>
                <w:lang w:val="en-US" w:eastAsia="zh-CN" w:bidi="ar-SA"/>
              </w:rPr>
              <w:t>本项目喷枪需要定期清洗，在流平室进行，拆卸喷枪后放入稀释剂原料桶内，加盖浸泡一段时间后取出，完成清洗。该过程会无组织排放少量有机废气</w:t>
            </w:r>
            <w:r>
              <w:rPr>
                <w:rFonts w:hint="eastAsia" w:cs="Times New Roman"/>
                <w:color w:val="auto"/>
                <w:spacing w:val="0"/>
                <w:kern w:val="2"/>
                <w:sz w:val="24"/>
                <w:szCs w:val="24"/>
                <w:highlight w:val="none"/>
                <w:lang w:val="en-US" w:eastAsia="zh-CN" w:bidi="ar-SA"/>
              </w:rPr>
              <w:t>，以稀释剂用量的50%计</w:t>
            </w:r>
            <w:r>
              <w:rPr>
                <w:rFonts w:ascii="Times New Roman" w:hAnsi="Times New Roman" w:eastAsia="宋体" w:cs="Times New Roman"/>
                <w:color w:val="auto"/>
                <w:spacing w:val="0"/>
                <w:kern w:val="2"/>
                <w:sz w:val="24"/>
                <w:szCs w:val="24"/>
                <w:highlight w:val="none"/>
                <w:lang w:val="en-US" w:eastAsia="zh-CN" w:bidi="ar-SA"/>
              </w:rPr>
              <w:t>，因此喷枪清洗有机废气</w:t>
            </w:r>
            <w:r>
              <w:rPr>
                <w:rFonts w:hint="eastAsia" w:cs="Times New Roman"/>
                <w:color w:val="auto"/>
                <w:spacing w:val="0"/>
                <w:kern w:val="2"/>
                <w:sz w:val="24"/>
                <w:szCs w:val="24"/>
                <w:highlight w:val="none"/>
                <w:lang w:val="en-US" w:eastAsia="zh-CN" w:bidi="ar-SA"/>
              </w:rPr>
              <w:t>产生量为0.0155t/a</w:t>
            </w:r>
            <w:r>
              <w:rPr>
                <w:rFonts w:ascii="Times New Roman" w:hAnsi="Times New Roman" w:eastAsia="宋体" w:cs="Times New Roman"/>
                <w:color w:val="auto"/>
                <w:spacing w:val="0"/>
                <w:kern w:val="2"/>
                <w:sz w:val="24"/>
                <w:szCs w:val="24"/>
                <w:highlight w:val="none"/>
                <w:lang w:val="en-US" w:eastAsia="zh-CN" w:bidi="ar-SA"/>
              </w:rPr>
              <w:t>。</w:t>
            </w:r>
          </w:p>
          <w:p w14:paraId="333472E8">
            <w:pPr>
              <w:pStyle w:val="120"/>
              <w:pageBreakBefore w:val="0"/>
              <w:numPr>
                <w:ilvl w:val="0"/>
                <w:numId w:val="0"/>
              </w:numPr>
              <w:wordWrap w:val="0"/>
              <w:topLinePunct/>
              <w:bidi w:val="0"/>
              <w:snapToGrid/>
              <w:spacing w:beforeAutospacing="0" w:afterAutospacing="0"/>
              <w:ind w:firstLine="482"/>
              <w:rPr>
                <w:rFonts w:hint="eastAsia" w:cs="Times New Roman"/>
                <w:color w:val="auto"/>
                <w:spacing w:val="0"/>
                <w:kern w:val="2"/>
                <w:sz w:val="24"/>
                <w:szCs w:val="24"/>
                <w:highlight w:val="none"/>
                <w:lang w:val="en-US" w:eastAsia="zh-CN" w:bidi="ar-SA"/>
              </w:rPr>
            </w:pPr>
            <w:r>
              <w:rPr>
                <w:rFonts w:hint="eastAsia" w:ascii="Times New Roman" w:hAnsi="Times New Roman" w:eastAsia="宋体" w:cs="Times New Roman"/>
                <w:color w:val="auto"/>
                <w:spacing w:val="0"/>
                <w:kern w:val="2"/>
                <w:sz w:val="24"/>
                <w:szCs w:val="24"/>
                <w:highlight w:val="none"/>
                <w:lang w:val="en-US" w:eastAsia="zh-CN" w:bidi="ar-SA"/>
              </w:rPr>
              <w:t>调漆、在</w:t>
            </w:r>
            <w:r>
              <w:rPr>
                <w:rFonts w:hint="eastAsia" w:cs="Times New Roman"/>
                <w:color w:val="auto"/>
                <w:spacing w:val="0"/>
                <w:kern w:val="2"/>
                <w:sz w:val="24"/>
                <w:szCs w:val="24"/>
                <w:highlight w:val="none"/>
                <w:lang w:val="en-US" w:eastAsia="zh-CN" w:bidi="ar-SA"/>
              </w:rPr>
              <w:t>流平室</w:t>
            </w:r>
            <w:r>
              <w:rPr>
                <w:rFonts w:hint="eastAsia" w:ascii="Times New Roman" w:hAnsi="Times New Roman" w:eastAsia="宋体" w:cs="Times New Roman"/>
                <w:color w:val="auto"/>
                <w:spacing w:val="0"/>
                <w:kern w:val="2"/>
                <w:sz w:val="24"/>
                <w:szCs w:val="24"/>
                <w:highlight w:val="none"/>
                <w:lang w:val="en-US" w:eastAsia="zh-CN" w:bidi="ar-SA"/>
              </w:rPr>
              <w:t>内完成，调墨</w:t>
            </w:r>
            <w:r>
              <w:rPr>
                <w:rFonts w:hint="eastAsia" w:cs="Times New Roman"/>
                <w:color w:val="auto"/>
                <w:spacing w:val="0"/>
                <w:kern w:val="2"/>
                <w:sz w:val="24"/>
                <w:szCs w:val="24"/>
                <w:highlight w:val="none"/>
                <w:lang w:val="en-US" w:eastAsia="zh-CN" w:bidi="ar-SA"/>
              </w:rPr>
              <w:t>、</w:t>
            </w:r>
            <w:r>
              <w:rPr>
                <w:rFonts w:hint="eastAsia" w:ascii="Times New Roman" w:hAnsi="Times New Roman" w:eastAsia="宋体" w:cs="Times New Roman"/>
                <w:color w:val="auto"/>
                <w:spacing w:val="0"/>
                <w:kern w:val="2"/>
                <w:sz w:val="24"/>
                <w:szCs w:val="24"/>
                <w:highlight w:val="none"/>
                <w:lang w:val="en-US" w:eastAsia="zh-CN" w:bidi="ar-SA"/>
              </w:rPr>
              <w:t>网版清洗</w:t>
            </w:r>
            <w:r>
              <w:rPr>
                <w:rFonts w:hint="eastAsia" w:cs="Times New Roman"/>
                <w:color w:val="auto"/>
                <w:spacing w:val="0"/>
                <w:kern w:val="2"/>
                <w:sz w:val="24"/>
                <w:szCs w:val="24"/>
                <w:highlight w:val="none"/>
                <w:lang w:val="en-US" w:eastAsia="zh-CN" w:bidi="ar-SA"/>
              </w:rPr>
              <w:t>、工件表面清洁</w:t>
            </w:r>
            <w:r>
              <w:rPr>
                <w:rFonts w:hint="eastAsia" w:ascii="Times New Roman" w:hAnsi="Times New Roman" w:eastAsia="宋体" w:cs="Times New Roman"/>
                <w:color w:val="auto"/>
                <w:spacing w:val="0"/>
                <w:kern w:val="2"/>
                <w:sz w:val="24"/>
                <w:szCs w:val="24"/>
                <w:highlight w:val="none"/>
                <w:lang w:val="en-US" w:eastAsia="zh-CN" w:bidi="ar-SA"/>
              </w:rPr>
              <w:t>均</w:t>
            </w:r>
            <w:r>
              <w:rPr>
                <w:rFonts w:hint="eastAsia"/>
                <w:color w:val="auto"/>
                <w:highlight w:val="none"/>
                <w:lang w:val="en-US" w:eastAsia="zh-CN"/>
              </w:rPr>
              <w:t>在丝印间内完成，</w:t>
            </w:r>
            <w:r>
              <w:rPr>
                <w:rFonts w:hint="eastAsia" w:cs="Times New Roman"/>
                <w:color w:val="auto"/>
                <w:spacing w:val="0"/>
                <w:kern w:val="2"/>
                <w:sz w:val="24"/>
                <w:szCs w:val="24"/>
                <w:highlight w:val="none"/>
                <w:lang w:val="en-US" w:eastAsia="zh-CN" w:bidi="ar-SA"/>
              </w:rPr>
              <w:t>废气</w:t>
            </w:r>
            <w:r>
              <w:rPr>
                <w:rFonts w:hint="eastAsia" w:ascii="Times New Roman" w:hAnsi="Times New Roman" w:eastAsia="宋体" w:cs="Times New Roman"/>
                <w:color w:val="auto"/>
                <w:spacing w:val="0"/>
                <w:kern w:val="2"/>
                <w:sz w:val="24"/>
                <w:szCs w:val="24"/>
                <w:highlight w:val="none"/>
                <w:lang w:val="en-US" w:eastAsia="zh-CN" w:bidi="ar-SA"/>
              </w:rPr>
              <w:t>一并计入该</w:t>
            </w:r>
            <w:r>
              <w:rPr>
                <w:rFonts w:hint="eastAsia" w:cs="Times New Roman"/>
                <w:color w:val="auto"/>
                <w:spacing w:val="0"/>
                <w:kern w:val="2"/>
                <w:sz w:val="24"/>
                <w:szCs w:val="24"/>
                <w:highlight w:val="none"/>
                <w:lang w:val="en-US" w:eastAsia="zh-CN" w:bidi="ar-SA"/>
              </w:rPr>
              <w:t>喷印废气</w:t>
            </w:r>
            <w:r>
              <w:rPr>
                <w:rFonts w:hint="eastAsia" w:ascii="Times New Roman" w:hAnsi="Times New Roman" w:eastAsia="宋体" w:cs="Times New Roman"/>
                <w:color w:val="auto"/>
                <w:spacing w:val="0"/>
                <w:kern w:val="2"/>
                <w:sz w:val="24"/>
                <w:szCs w:val="24"/>
                <w:highlight w:val="none"/>
                <w:lang w:val="en-US" w:eastAsia="zh-CN" w:bidi="ar-SA"/>
              </w:rPr>
              <w:t>收集系统</w:t>
            </w:r>
            <w:r>
              <w:rPr>
                <w:rFonts w:hint="eastAsia" w:cs="Times New Roman"/>
                <w:color w:val="auto"/>
                <w:spacing w:val="0"/>
                <w:kern w:val="2"/>
                <w:sz w:val="24"/>
                <w:szCs w:val="24"/>
                <w:highlight w:val="none"/>
                <w:lang w:val="en-US" w:eastAsia="zh-CN" w:bidi="ar-SA"/>
              </w:rPr>
              <w:t>。</w:t>
            </w:r>
          </w:p>
          <w:p w14:paraId="4488FE99">
            <w:pPr>
              <w:pStyle w:val="120"/>
              <w:pageBreakBefore w:val="0"/>
              <w:numPr>
                <w:ilvl w:val="0"/>
                <w:numId w:val="0"/>
              </w:numPr>
              <w:wordWrap w:val="0"/>
              <w:topLinePunct/>
              <w:bidi w:val="0"/>
              <w:snapToGrid/>
              <w:spacing w:beforeAutospacing="0" w:afterAutospacing="0"/>
              <w:ind w:firstLine="482"/>
              <w:rPr>
                <w:rFonts w:hint="default" w:cs="Times New Roman"/>
                <w:color w:val="auto"/>
                <w:spacing w:val="0"/>
                <w:kern w:val="2"/>
                <w:sz w:val="24"/>
                <w:szCs w:val="24"/>
                <w:highlight w:val="none"/>
                <w:lang w:val="en-US" w:eastAsia="zh-CN" w:bidi="ar-SA"/>
              </w:rPr>
            </w:pPr>
            <w:r>
              <w:rPr>
                <w:rFonts w:hint="eastAsia" w:cs="Times New Roman"/>
                <w:color w:val="auto"/>
                <w:spacing w:val="0"/>
                <w:kern w:val="2"/>
                <w:sz w:val="24"/>
                <w:szCs w:val="24"/>
                <w:highlight w:val="none"/>
                <w:lang w:val="en-US" w:eastAsia="zh-CN" w:bidi="ar-SA"/>
              </w:rPr>
              <w:t>综上，喷印废气VOCs产生量为0.6834+0.0234+0.0471+0.0137+0.2252+0.0157+0.0115=1.020t/a，苯系物（二甲苯）产生量为2.437*0.08+0.031*0.3*0.5=0.1996t/a。</w:t>
            </w:r>
            <w:r>
              <w:rPr>
                <w:rFonts w:hint="eastAsia" w:cs="Times New Roman"/>
                <w:color w:val="auto"/>
                <w:highlight w:val="none"/>
                <w:lang w:val="en-US" w:eastAsia="zh-CN"/>
              </w:rPr>
              <w:t>参照《污染源源强核算技术指南 汽车制造》（HJ 1097-2020）中附录E（资料性附录）-溶剂型涂料喷涂-空气喷涂-零部件喷涂-物料中挥发性有机物挥发量占比-喷涂75%、流平15%、烘干10%，本项目油漆喷漆、流平、丝印工序的挥发性有机物含量（合计为90%）收集效率按90%计，油漆、油墨中挥发性有机物含量10%进入固化工序收集效率按95%计。</w:t>
            </w:r>
          </w:p>
          <w:p w14:paraId="451E2A06">
            <w:pPr>
              <w:keepNext w:val="0"/>
              <w:keepLines w:val="0"/>
              <w:pageBreakBefore w:val="0"/>
              <w:widowControl w:val="0"/>
              <w:numPr>
                <w:ilvl w:val="0"/>
                <w:numId w:val="10"/>
              </w:numPr>
              <w:kinsoku/>
              <w:wordWrap w:val="0"/>
              <w:overflowPunct/>
              <w:topLinePunct w:val="0"/>
              <w:autoSpaceDE/>
              <w:autoSpaceDN/>
              <w:bidi w:val="0"/>
              <w:adjustRightInd/>
              <w:snapToGrid/>
              <w:spacing w:line="240" w:lineRule="auto"/>
              <w:ind w:left="0" w:leftChars="0" w:hanging="1" w:firstLineChars="0"/>
              <w:jc w:val="center"/>
              <w:textAlignment w:val="auto"/>
              <w:rPr>
                <w:b/>
                <w:bCs/>
                <w:color w:val="auto"/>
                <w:highlight w:val="none"/>
              </w:rPr>
            </w:pPr>
            <w:r>
              <w:rPr>
                <w:rFonts w:hint="default" w:ascii="Times New Roman" w:hAnsi="Times New Roman" w:eastAsia="宋体" w:cs="Times New Roman"/>
                <w:b/>
                <w:color w:val="auto"/>
                <w:sz w:val="21"/>
                <w:szCs w:val="21"/>
                <w:highlight w:val="none"/>
              </w:rPr>
              <w:t>项目</w:t>
            </w:r>
            <w:r>
              <w:rPr>
                <w:rFonts w:hint="eastAsia" w:cs="Times New Roman"/>
                <w:b/>
                <w:color w:val="auto"/>
                <w:sz w:val="21"/>
                <w:szCs w:val="21"/>
                <w:highlight w:val="none"/>
                <w:lang w:val="en-US" w:eastAsia="zh-CN"/>
              </w:rPr>
              <w:t>VOCs</w:t>
            </w:r>
            <w:r>
              <w:rPr>
                <w:rFonts w:hint="eastAsia" w:ascii="Times New Roman" w:hAnsi="Times New Roman" w:eastAsia="宋体" w:cs="Times New Roman"/>
                <w:b/>
                <w:color w:val="auto"/>
                <w:sz w:val="21"/>
                <w:szCs w:val="21"/>
                <w:highlight w:val="none"/>
              </w:rPr>
              <w:t>产</w:t>
            </w:r>
            <w:r>
              <w:rPr>
                <w:rFonts w:hint="eastAsia" w:cs="Times New Roman"/>
                <w:b/>
                <w:color w:val="auto"/>
                <w:sz w:val="21"/>
                <w:szCs w:val="21"/>
                <w:highlight w:val="none"/>
                <w:lang w:val="en-US" w:eastAsia="zh-CN"/>
              </w:rPr>
              <w:t>生情况一览</w:t>
            </w:r>
            <w:r>
              <w:rPr>
                <w:rFonts w:hint="default" w:ascii="Times New Roman" w:hAnsi="Times New Roman" w:eastAsia="宋体" w:cs="Times New Roman"/>
                <w:b/>
                <w:color w:val="auto"/>
                <w:sz w:val="21"/>
                <w:szCs w:val="21"/>
                <w:highlight w:val="none"/>
              </w:rPr>
              <w:t>表</w:t>
            </w:r>
          </w:p>
          <w:tbl>
            <w:tblPr>
              <w:tblStyle w:val="4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7"/>
              <w:gridCol w:w="846"/>
              <w:gridCol w:w="849"/>
              <w:gridCol w:w="849"/>
              <w:gridCol w:w="884"/>
              <w:gridCol w:w="1024"/>
              <w:gridCol w:w="830"/>
              <w:gridCol w:w="868"/>
              <w:gridCol w:w="829"/>
            </w:tblGrid>
            <w:tr w14:paraId="223CE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899" w:type="dxa"/>
                  <w:tcBorders>
                    <w:top w:val="single" w:color="auto" w:sz="4" w:space="0"/>
                    <w:left w:val="single" w:color="000000" w:sz="4" w:space="0"/>
                    <w:bottom w:val="single" w:color="auto" w:sz="4" w:space="0"/>
                    <w:right w:val="single" w:color="auto" w:sz="4" w:space="0"/>
                  </w:tcBorders>
                  <w:shd w:val="clear" w:color="auto" w:fill="auto"/>
                  <w:vAlign w:val="center"/>
                </w:tcPr>
                <w:p w14:paraId="64344134">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漆种类</w:t>
                  </w:r>
                </w:p>
              </w:tc>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14:paraId="7C4F74D0">
                  <w:pPr>
                    <w:keepNext w:val="0"/>
                    <w:keepLines w:val="0"/>
                    <w:widowControl/>
                    <w:suppressLineNumbers w:val="0"/>
                    <w:spacing w:line="240" w:lineRule="auto"/>
                    <w:jc w:val="center"/>
                    <w:textAlignment w:val="center"/>
                    <w:rPr>
                      <w:rFonts w:hint="default" w:ascii="宋体" w:hAnsi="宋体" w:eastAsia="宋体" w:cs="宋体"/>
                      <w:b/>
                      <w:bCs/>
                      <w:i w:val="0"/>
                      <w:iCs w:val="0"/>
                      <w:color w:val="auto"/>
                      <w:sz w:val="21"/>
                      <w:szCs w:val="21"/>
                      <w:highlight w:val="none"/>
                      <w:u w:val="none"/>
                      <w:lang w:val="en-US"/>
                    </w:rPr>
                  </w:pPr>
                  <w:r>
                    <w:rPr>
                      <w:rFonts w:hint="eastAsia" w:ascii="宋体" w:hAnsi="宋体" w:eastAsia="宋体" w:cs="宋体"/>
                      <w:b/>
                      <w:bCs/>
                      <w:i w:val="0"/>
                      <w:iCs w:val="0"/>
                      <w:color w:val="auto"/>
                      <w:kern w:val="0"/>
                      <w:sz w:val="21"/>
                      <w:szCs w:val="21"/>
                      <w:highlight w:val="none"/>
                      <w:u w:val="none"/>
                      <w:lang w:val="en-US" w:eastAsia="zh-CN" w:bidi="ar"/>
                    </w:rPr>
                    <w:t>油性漆主漆</w:t>
                  </w:r>
                </w:p>
              </w:tc>
              <w:tc>
                <w:tcPr>
                  <w:tcW w:w="84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67865E">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固化剂</w:t>
                  </w:r>
                </w:p>
              </w:tc>
              <w:tc>
                <w:tcPr>
                  <w:tcW w:w="84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F1D59B">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稀释剂</w:t>
                  </w:r>
                </w:p>
              </w:tc>
              <w:tc>
                <w:tcPr>
                  <w:tcW w:w="892" w:type="dxa"/>
                  <w:tcBorders>
                    <w:top w:val="single" w:color="auto" w:sz="4" w:space="0"/>
                    <w:left w:val="single" w:color="auto" w:sz="4" w:space="0"/>
                    <w:bottom w:val="single" w:color="auto" w:sz="4" w:space="0"/>
                    <w:right w:val="single" w:color="auto" w:sz="4" w:space="0"/>
                  </w:tcBorders>
                  <w:shd w:val="clear" w:color="auto" w:fill="auto"/>
                  <w:vAlign w:val="center"/>
                </w:tcPr>
                <w:p w14:paraId="5F56DF19">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水性漆</w:t>
                  </w:r>
                </w:p>
              </w:tc>
              <w:tc>
                <w:tcPr>
                  <w:tcW w:w="1037" w:type="dxa"/>
                  <w:tcBorders>
                    <w:top w:val="single" w:color="auto" w:sz="4" w:space="0"/>
                    <w:left w:val="single" w:color="auto" w:sz="4" w:space="0"/>
                    <w:bottom w:val="single" w:color="auto" w:sz="4" w:space="0"/>
                    <w:right w:val="single" w:color="auto" w:sz="4" w:space="0"/>
                  </w:tcBorders>
                  <w:shd w:val="clear" w:color="auto" w:fill="auto"/>
                  <w:vAlign w:val="center"/>
                </w:tcPr>
                <w:p w14:paraId="0DC4403B">
                  <w:pPr>
                    <w:keepNext w:val="0"/>
                    <w:keepLines w:val="0"/>
                    <w:widowControl/>
                    <w:suppressLineNumbers w:val="0"/>
                    <w:spacing w:line="240" w:lineRule="auto"/>
                    <w:jc w:val="center"/>
                    <w:textAlignment w:val="center"/>
                    <w:rPr>
                      <w:rFonts w:hint="default" w:ascii="宋体" w:hAnsi="宋体" w:eastAsia="宋体" w:cs="宋体"/>
                      <w:b/>
                      <w:bCs/>
                      <w:i w:val="0"/>
                      <w:iCs w:val="0"/>
                      <w:color w:val="auto"/>
                      <w:kern w:val="0"/>
                      <w:sz w:val="21"/>
                      <w:szCs w:val="21"/>
                      <w:highlight w:val="none"/>
                      <w:u w:val="none"/>
                      <w:lang w:val="en-US" w:eastAsia="zh-CN"/>
                    </w:rPr>
                  </w:pPr>
                  <w:r>
                    <w:rPr>
                      <w:rFonts w:hint="eastAsia" w:ascii="宋体" w:hAnsi="宋体" w:eastAsia="宋体" w:cs="宋体"/>
                      <w:b/>
                      <w:bCs/>
                      <w:i w:val="0"/>
                      <w:iCs w:val="0"/>
                      <w:color w:val="auto"/>
                      <w:kern w:val="0"/>
                      <w:sz w:val="21"/>
                      <w:szCs w:val="21"/>
                      <w:highlight w:val="none"/>
                      <w:u w:val="none"/>
                      <w:lang w:val="en-US" w:eastAsia="zh-CN" w:bidi="ar"/>
                    </w:rPr>
                    <w:t>油墨</w:t>
                  </w:r>
                </w:p>
              </w:tc>
              <w:tc>
                <w:tcPr>
                  <w:tcW w:w="832" w:type="dxa"/>
                  <w:tcBorders>
                    <w:top w:val="single" w:color="auto" w:sz="4" w:space="0"/>
                    <w:left w:val="single" w:color="auto" w:sz="4" w:space="0"/>
                    <w:bottom w:val="single" w:color="auto" w:sz="4" w:space="0"/>
                    <w:right w:val="single" w:color="auto" w:sz="4" w:space="0"/>
                  </w:tcBorders>
                  <w:shd w:val="clear" w:color="auto" w:fill="auto"/>
                  <w:vAlign w:val="center"/>
                </w:tcPr>
                <w:p w14:paraId="468BA304">
                  <w:pPr>
                    <w:keepNext w:val="0"/>
                    <w:keepLines w:val="0"/>
                    <w:widowControl/>
                    <w:suppressLineNumbers w:val="0"/>
                    <w:spacing w:line="240" w:lineRule="auto"/>
                    <w:jc w:val="center"/>
                    <w:textAlignment w:val="center"/>
                    <w:rPr>
                      <w:rFonts w:hint="default" w:ascii="宋体" w:hAnsi="宋体" w:eastAsia="宋体" w:cs="宋体"/>
                      <w:b/>
                      <w:bCs/>
                      <w:i w:val="0"/>
                      <w:iCs w:val="0"/>
                      <w:color w:val="auto"/>
                      <w:kern w:val="0"/>
                      <w:sz w:val="21"/>
                      <w:szCs w:val="21"/>
                      <w:highlight w:val="none"/>
                      <w:u w:val="none"/>
                      <w:lang w:val="en-US" w:eastAsia="zh-CN"/>
                    </w:rPr>
                  </w:pPr>
                  <w:r>
                    <w:rPr>
                      <w:rFonts w:hint="eastAsia" w:ascii="宋体" w:hAnsi="宋体" w:eastAsia="宋体" w:cs="宋体"/>
                      <w:b/>
                      <w:bCs/>
                      <w:i w:val="0"/>
                      <w:iCs w:val="0"/>
                      <w:color w:val="auto"/>
                      <w:kern w:val="0"/>
                      <w:sz w:val="21"/>
                      <w:szCs w:val="21"/>
                      <w:highlight w:val="none"/>
                      <w:u w:val="none"/>
                      <w:lang w:val="en-US" w:eastAsia="zh-CN" w:bidi="ar"/>
                    </w:rPr>
                    <w:t>静电粉末</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14:paraId="53DF12DA">
                  <w:pPr>
                    <w:keepNext w:val="0"/>
                    <w:keepLines w:val="0"/>
                    <w:widowControl/>
                    <w:suppressLineNumbers w:val="0"/>
                    <w:spacing w:line="240" w:lineRule="auto"/>
                    <w:jc w:val="center"/>
                    <w:textAlignment w:val="center"/>
                    <w:rPr>
                      <w:rFonts w:hint="default" w:ascii="宋体" w:hAnsi="宋体" w:eastAsia="宋体" w:cs="宋体"/>
                      <w:b/>
                      <w:bCs/>
                      <w:i w:val="0"/>
                      <w:iCs w:val="0"/>
                      <w:color w:val="auto"/>
                      <w:kern w:val="0"/>
                      <w:sz w:val="21"/>
                      <w:szCs w:val="21"/>
                      <w:highlight w:val="none"/>
                      <w:u w:val="none"/>
                      <w:lang w:val="en-US" w:eastAsia="zh-CN"/>
                    </w:rPr>
                  </w:pPr>
                  <w:r>
                    <w:rPr>
                      <w:rFonts w:hint="eastAsia" w:ascii="宋体" w:hAnsi="宋体" w:eastAsia="宋体" w:cs="宋体"/>
                      <w:b/>
                      <w:bCs/>
                      <w:i w:val="0"/>
                      <w:iCs w:val="0"/>
                      <w:color w:val="auto"/>
                      <w:kern w:val="0"/>
                      <w:sz w:val="21"/>
                      <w:szCs w:val="21"/>
                      <w:highlight w:val="none"/>
                      <w:u w:val="none"/>
                      <w:lang w:val="en-US" w:eastAsia="zh-CN" w:bidi="ar"/>
                    </w:rPr>
                    <w:t>酒精</w:t>
                  </w:r>
                </w:p>
              </w:tc>
              <w:tc>
                <w:tcPr>
                  <w:tcW w:w="832" w:type="dxa"/>
                  <w:tcBorders>
                    <w:top w:val="single" w:color="auto" w:sz="4" w:space="0"/>
                    <w:left w:val="single" w:color="auto" w:sz="4" w:space="0"/>
                    <w:bottom w:val="single" w:color="auto" w:sz="4" w:space="0"/>
                    <w:right w:val="single" w:color="auto" w:sz="4" w:space="0"/>
                  </w:tcBorders>
                  <w:shd w:val="clear" w:color="auto" w:fill="auto"/>
                  <w:vAlign w:val="center"/>
                </w:tcPr>
                <w:p w14:paraId="452BD01B">
                  <w:pPr>
                    <w:keepNext w:val="0"/>
                    <w:keepLines w:val="0"/>
                    <w:widowControl/>
                    <w:suppressLineNumbers w:val="0"/>
                    <w:spacing w:line="240" w:lineRule="auto"/>
                    <w:jc w:val="center"/>
                    <w:textAlignment w:val="center"/>
                    <w:rPr>
                      <w:rFonts w:hint="default" w:ascii="宋体" w:hAnsi="宋体" w:cs="宋体"/>
                      <w:b/>
                      <w:bCs/>
                      <w:i w:val="0"/>
                      <w:iCs w:val="0"/>
                      <w:color w:val="auto"/>
                      <w:kern w:val="0"/>
                      <w:sz w:val="21"/>
                      <w:szCs w:val="21"/>
                      <w:highlight w:val="none"/>
                      <w:u w:val="none"/>
                      <w:lang w:val="en-US" w:eastAsia="zh-CN"/>
                    </w:rPr>
                  </w:pPr>
                  <w:r>
                    <w:rPr>
                      <w:rFonts w:hint="eastAsia" w:ascii="宋体" w:hAnsi="宋体" w:eastAsia="宋体" w:cs="宋体"/>
                      <w:b/>
                      <w:bCs/>
                      <w:i w:val="0"/>
                      <w:iCs w:val="0"/>
                      <w:color w:val="auto"/>
                      <w:kern w:val="0"/>
                      <w:sz w:val="21"/>
                      <w:szCs w:val="21"/>
                      <w:highlight w:val="none"/>
                      <w:u w:val="none"/>
                      <w:lang w:val="en-US" w:eastAsia="zh-CN" w:bidi="ar"/>
                    </w:rPr>
                    <w:t>网版清洗</w:t>
                  </w:r>
                </w:p>
              </w:tc>
            </w:tr>
            <w:tr w14:paraId="3AAD7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14:paraId="7884331D">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用量</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14:paraId="2194041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2.437 </w:t>
                  </w:r>
                </w:p>
              </w:tc>
              <w:tc>
                <w:tcPr>
                  <w:tcW w:w="84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8783E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0.487 </w:t>
                  </w:r>
                </w:p>
              </w:tc>
              <w:tc>
                <w:tcPr>
                  <w:tcW w:w="84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1638F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0.031 </w:t>
                  </w:r>
                </w:p>
              </w:tc>
              <w:tc>
                <w:tcPr>
                  <w:tcW w:w="892" w:type="dxa"/>
                  <w:tcBorders>
                    <w:top w:val="single" w:color="auto" w:sz="4" w:space="0"/>
                    <w:left w:val="single" w:color="auto" w:sz="4" w:space="0"/>
                    <w:bottom w:val="single" w:color="auto" w:sz="4" w:space="0"/>
                    <w:right w:val="single" w:color="auto" w:sz="4" w:space="0"/>
                  </w:tcBorders>
                  <w:shd w:val="clear" w:color="auto" w:fill="auto"/>
                  <w:vAlign w:val="center"/>
                </w:tcPr>
                <w:p w14:paraId="399CBE1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1.004 </w:t>
                  </w:r>
                </w:p>
              </w:tc>
              <w:tc>
                <w:tcPr>
                  <w:tcW w:w="1037" w:type="dxa"/>
                  <w:tcBorders>
                    <w:top w:val="single" w:color="auto" w:sz="4" w:space="0"/>
                    <w:left w:val="single" w:color="auto" w:sz="4" w:space="0"/>
                    <w:bottom w:val="single" w:color="auto" w:sz="4" w:space="0"/>
                    <w:right w:val="single" w:color="auto" w:sz="4" w:space="0"/>
                  </w:tcBorders>
                  <w:shd w:val="clear" w:color="auto" w:fill="auto"/>
                  <w:vAlign w:val="center"/>
                </w:tcPr>
                <w:p w14:paraId="031DD0A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0.105 </w:t>
                  </w:r>
                </w:p>
              </w:tc>
              <w:tc>
                <w:tcPr>
                  <w:tcW w:w="832" w:type="dxa"/>
                  <w:tcBorders>
                    <w:top w:val="single" w:color="auto" w:sz="4" w:space="0"/>
                    <w:left w:val="single" w:color="auto" w:sz="4" w:space="0"/>
                    <w:bottom w:val="single" w:color="auto" w:sz="4" w:space="0"/>
                    <w:right w:val="single" w:color="auto" w:sz="4" w:space="0"/>
                  </w:tcBorders>
                  <w:shd w:val="clear" w:color="auto" w:fill="auto"/>
                  <w:vAlign w:val="center"/>
                </w:tcPr>
                <w:p w14:paraId="4FA665D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11.455 </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14:paraId="2496585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0.2252 </w:t>
                  </w:r>
                </w:p>
              </w:tc>
              <w:tc>
                <w:tcPr>
                  <w:tcW w:w="832" w:type="dxa"/>
                  <w:tcBorders>
                    <w:top w:val="single" w:color="auto" w:sz="4" w:space="0"/>
                    <w:left w:val="single" w:color="auto" w:sz="4" w:space="0"/>
                    <w:bottom w:val="single" w:color="auto" w:sz="4" w:space="0"/>
                    <w:right w:val="single" w:color="auto" w:sz="4" w:space="0"/>
                  </w:tcBorders>
                  <w:shd w:val="clear" w:color="auto" w:fill="auto"/>
                  <w:vAlign w:val="center"/>
                </w:tcPr>
                <w:p w14:paraId="4E6831D9">
                  <w:pPr>
                    <w:keepNext w:val="0"/>
                    <w:keepLines w:val="0"/>
                    <w:widowControl/>
                    <w:suppressLineNumbers w:val="0"/>
                    <w:spacing w:line="240" w:lineRule="auto"/>
                    <w:jc w:val="center"/>
                    <w:textAlignment w:val="center"/>
                    <w:rPr>
                      <w:rFonts w:hint="default"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0.1499 </w:t>
                  </w:r>
                </w:p>
              </w:tc>
            </w:tr>
            <w:tr w14:paraId="12D60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4" w:hRule="atLeast"/>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14:paraId="7AFB3D3F">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3"/>
                      <w:kern w:val="2"/>
                      <w:sz w:val="21"/>
                      <w:szCs w:val="21"/>
                      <w:highlight w:val="none"/>
                      <w:lang w:val="en-US" w:eastAsia="zh-CN" w:bidi="ar-SA"/>
                    </w:rPr>
                  </w:pPr>
                  <w:r>
                    <w:rPr>
                      <w:rFonts w:hint="default" w:ascii="Times New Roman" w:hAnsi="Times New Roman" w:eastAsia="宋体" w:cs="Times New Roman"/>
                      <w:b w:val="0"/>
                      <w:bCs w:val="0"/>
                      <w:color w:val="auto"/>
                      <w:spacing w:val="-3"/>
                      <w:kern w:val="2"/>
                      <w:sz w:val="21"/>
                      <w:szCs w:val="21"/>
                      <w:highlight w:val="none"/>
                      <w:lang w:val="en-US" w:eastAsia="zh-CN" w:bidi="ar-SA"/>
                    </w:rPr>
                    <w:t>VOCs</w:t>
                  </w:r>
                  <w:r>
                    <w:rPr>
                      <w:rFonts w:hint="eastAsia" w:ascii="Times New Roman" w:hAnsi="Times New Roman" w:eastAsia="宋体" w:cs="Times New Roman"/>
                      <w:b w:val="0"/>
                      <w:bCs w:val="0"/>
                      <w:color w:val="auto"/>
                      <w:spacing w:val="-3"/>
                      <w:kern w:val="2"/>
                      <w:sz w:val="21"/>
                      <w:szCs w:val="21"/>
                      <w:highlight w:val="none"/>
                      <w:lang w:val="en-US" w:eastAsia="zh-CN" w:bidi="ar-SA"/>
                    </w:rPr>
                    <w:t>含量</w:t>
                  </w:r>
                </w:p>
              </w:tc>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14:paraId="79A6C0D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pacing w:val="-3"/>
                      <w:kern w:val="2"/>
                      <w:sz w:val="21"/>
                      <w:szCs w:val="21"/>
                      <w:highlight w:val="none"/>
                      <w:lang w:val="en-US" w:eastAsia="zh-CN" w:bidi="ar-SA"/>
                    </w:rPr>
                  </w:pPr>
                  <w:r>
                    <w:rPr>
                      <w:rFonts w:hint="default" w:ascii="Times New Roman" w:hAnsi="Times New Roman" w:eastAsia="宋体" w:cs="Times New Roman"/>
                      <w:b w:val="0"/>
                      <w:bCs w:val="0"/>
                      <w:color w:val="auto"/>
                      <w:spacing w:val="-3"/>
                      <w:kern w:val="2"/>
                      <w:sz w:val="21"/>
                      <w:szCs w:val="21"/>
                      <w:highlight w:val="none"/>
                      <w:lang w:val="en-US" w:eastAsia="zh-CN" w:bidi="ar-SA"/>
                    </w:rPr>
                    <w:t>23.37%</w:t>
                  </w:r>
                </w:p>
              </w:tc>
              <w:tc>
                <w:tcPr>
                  <w:tcW w:w="849" w:type="dxa"/>
                  <w:tcBorders>
                    <w:top w:val="single" w:color="auto" w:sz="4" w:space="0"/>
                    <w:left w:val="single" w:color="auto" w:sz="4" w:space="0"/>
                    <w:bottom w:val="single" w:color="auto" w:sz="4" w:space="0"/>
                    <w:right w:val="single" w:color="auto" w:sz="4" w:space="0"/>
                  </w:tcBorders>
                  <w:shd w:val="clear" w:color="auto" w:fill="auto"/>
                  <w:vAlign w:val="center"/>
                </w:tcPr>
                <w:p w14:paraId="3826FC19">
                  <w:pPr>
                    <w:keepNext w:val="0"/>
                    <w:keepLines w:val="0"/>
                    <w:widowControl/>
                    <w:suppressLineNumbers w:val="0"/>
                    <w:spacing w:line="240" w:lineRule="auto"/>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4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AF981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以</w:t>
                  </w:r>
                  <w:r>
                    <w:rPr>
                      <w:rFonts w:hint="default" w:ascii="Times New Roman" w:hAnsi="Times New Roman" w:eastAsia="宋体" w:cs="Times New Roman"/>
                      <w:i w:val="0"/>
                      <w:iCs w:val="0"/>
                      <w:color w:val="auto"/>
                      <w:kern w:val="0"/>
                      <w:sz w:val="21"/>
                      <w:szCs w:val="21"/>
                      <w:highlight w:val="none"/>
                      <w:u w:val="none"/>
                      <w:lang w:val="en-US" w:eastAsia="zh-CN" w:bidi="ar"/>
                    </w:rPr>
                    <w:t>50%</w:t>
                  </w:r>
                  <w:r>
                    <w:rPr>
                      <w:rFonts w:hint="eastAsia" w:ascii="宋体" w:hAnsi="宋体" w:eastAsia="宋体" w:cs="宋体"/>
                      <w:i w:val="0"/>
                      <w:iCs w:val="0"/>
                      <w:color w:val="auto"/>
                      <w:kern w:val="0"/>
                      <w:sz w:val="21"/>
                      <w:szCs w:val="21"/>
                      <w:highlight w:val="none"/>
                      <w:u w:val="none"/>
                      <w:lang w:val="en-US" w:eastAsia="zh-CN" w:bidi="ar"/>
                    </w:rPr>
                    <w:t>挥发计</w:t>
                  </w:r>
                </w:p>
              </w:tc>
              <w:tc>
                <w:tcPr>
                  <w:tcW w:w="892" w:type="dxa"/>
                  <w:tcBorders>
                    <w:top w:val="single" w:color="auto" w:sz="4" w:space="0"/>
                    <w:left w:val="single" w:color="auto" w:sz="4" w:space="0"/>
                    <w:bottom w:val="single" w:color="auto" w:sz="4" w:space="0"/>
                    <w:right w:val="single" w:color="auto" w:sz="4" w:space="0"/>
                  </w:tcBorders>
                  <w:shd w:val="clear" w:color="auto" w:fill="auto"/>
                  <w:vAlign w:val="center"/>
                </w:tcPr>
                <w:p w14:paraId="172F87C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2.33%</w:t>
                  </w:r>
                </w:p>
              </w:tc>
              <w:tc>
                <w:tcPr>
                  <w:tcW w:w="1037" w:type="dxa"/>
                  <w:tcBorders>
                    <w:top w:val="single" w:color="auto" w:sz="4" w:space="0"/>
                    <w:left w:val="single" w:color="auto" w:sz="4" w:space="0"/>
                    <w:bottom w:val="single" w:color="auto" w:sz="4" w:space="0"/>
                    <w:right w:val="single" w:color="auto" w:sz="4" w:space="0"/>
                  </w:tcBorders>
                  <w:shd w:val="clear" w:color="auto" w:fill="auto"/>
                  <w:vAlign w:val="center"/>
                </w:tcPr>
                <w:p w14:paraId="091017D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45.00%</w:t>
                  </w:r>
                </w:p>
              </w:tc>
              <w:tc>
                <w:tcPr>
                  <w:tcW w:w="832" w:type="dxa"/>
                  <w:tcBorders>
                    <w:top w:val="single" w:color="auto" w:sz="4" w:space="0"/>
                    <w:left w:val="single" w:color="auto" w:sz="4" w:space="0"/>
                    <w:bottom w:val="single" w:color="auto" w:sz="4" w:space="0"/>
                    <w:right w:val="single" w:color="auto" w:sz="4" w:space="0"/>
                  </w:tcBorders>
                  <w:shd w:val="clear" w:color="auto" w:fill="auto"/>
                  <w:vAlign w:val="center"/>
                </w:tcPr>
                <w:p w14:paraId="39D86CE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1.2kg/t</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14:paraId="38C8E05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832" w:type="dxa"/>
                  <w:tcBorders>
                    <w:top w:val="single" w:color="auto" w:sz="4" w:space="0"/>
                    <w:left w:val="single" w:color="auto" w:sz="4" w:space="0"/>
                    <w:bottom w:val="single" w:color="auto" w:sz="4" w:space="0"/>
                    <w:right w:val="single" w:color="auto" w:sz="4" w:space="0"/>
                  </w:tcBorders>
                  <w:shd w:val="clear" w:color="auto" w:fill="auto"/>
                  <w:vAlign w:val="center"/>
                </w:tcPr>
                <w:p w14:paraId="5B764569">
                  <w:pPr>
                    <w:keepNext w:val="0"/>
                    <w:keepLines w:val="0"/>
                    <w:widowControl/>
                    <w:suppressLineNumbers w:val="0"/>
                    <w:spacing w:line="240" w:lineRule="auto"/>
                    <w:jc w:val="center"/>
                    <w:textAlignment w:val="center"/>
                    <w:rPr>
                      <w:rFonts w:hint="default"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7.66%</w:t>
                  </w:r>
                </w:p>
              </w:tc>
            </w:tr>
            <w:tr w14:paraId="14635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3" w:hRule="atLeast"/>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14:paraId="18240B2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VOCs</w:t>
                  </w:r>
                  <w:r>
                    <w:rPr>
                      <w:rFonts w:hint="eastAsia" w:ascii="宋体" w:hAnsi="宋体" w:eastAsia="宋体" w:cs="宋体"/>
                      <w:i w:val="0"/>
                      <w:iCs w:val="0"/>
                      <w:color w:val="auto"/>
                      <w:kern w:val="0"/>
                      <w:sz w:val="21"/>
                      <w:szCs w:val="21"/>
                      <w:highlight w:val="none"/>
                      <w:u w:val="none"/>
                      <w:lang w:val="en-US" w:eastAsia="zh-CN" w:bidi="ar"/>
                    </w:rPr>
                    <w:t>产生量</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65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E58445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0.6834 </w:t>
                  </w:r>
                </w:p>
              </w:tc>
              <w:tc>
                <w:tcPr>
                  <w:tcW w:w="84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70865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0.0157 </w:t>
                  </w:r>
                </w:p>
              </w:tc>
              <w:tc>
                <w:tcPr>
                  <w:tcW w:w="892" w:type="dxa"/>
                  <w:tcBorders>
                    <w:top w:val="single" w:color="auto" w:sz="4" w:space="0"/>
                    <w:left w:val="single" w:color="auto" w:sz="4" w:space="0"/>
                    <w:bottom w:val="single" w:color="auto" w:sz="4" w:space="0"/>
                    <w:right w:val="single" w:color="auto" w:sz="4" w:space="0"/>
                  </w:tcBorders>
                  <w:shd w:val="clear" w:color="auto" w:fill="auto"/>
                  <w:vAlign w:val="center"/>
                </w:tcPr>
                <w:p w14:paraId="0AFBF57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0.0234 </w:t>
                  </w:r>
                </w:p>
              </w:tc>
              <w:tc>
                <w:tcPr>
                  <w:tcW w:w="1037" w:type="dxa"/>
                  <w:tcBorders>
                    <w:top w:val="single" w:color="auto" w:sz="4" w:space="0"/>
                    <w:left w:val="single" w:color="auto" w:sz="4" w:space="0"/>
                    <w:bottom w:val="single" w:color="auto" w:sz="4" w:space="0"/>
                    <w:right w:val="single" w:color="auto" w:sz="4" w:space="0"/>
                  </w:tcBorders>
                  <w:shd w:val="clear" w:color="auto" w:fill="auto"/>
                  <w:vAlign w:val="center"/>
                </w:tcPr>
                <w:p w14:paraId="748D6B5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0.0471 </w:t>
                  </w:r>
                </w:p>
              </w:tc>
              <w:tc>
                <w:tcPr>
                  <w:tcW w:w="832" w:type="dxa"/>
                  <w:tcBorders>
                    <w:top w:val="single" w:color="auto" w:sz="4" w:space="0"/>
                    <w:left w:val="single" w:color="auto" w:sz="4" w:space="0"/>
                    <w:bottom w:val="single" w:color="auto" w:sz="4" w:space="0"/>
                    <w:right w:val="single" w:color="auto" w:sz="4" w:space="0"/>
                  </w:tcBorders>
                  <w:shd w:val="clear" w:color="auto" w:fill="auto"/>
                  <w:vAlign w:val="center"/>
                </w:tcPr>
                <w:p w14:paraId="5E75009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0.0137 </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14:paraId="67964D8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0.2252 </w:t>
                  </w:r>
                </w:p>
              </w:tc>
              <w:tc>
                <w:tcPr>
                  <w:tcW w:w="832" w:type="dxa"/>
                  <w:tcBorders>
                    <w:top w:val="single" w:color="auto" w:sz="4" w:space="0"/>
                    <w:left w:val="single" w:color="auto" w:sz="4" w:space="0"/>
                    <w:bottom w:val="single" w:color="auto" w:sz="4" w:space="0"/>
                    <w:right w:val="single" w:color="auto" w:sz="4" w:space="0"/>
                  </w:tcBorders>
                  <w:shd w:val="clear" w:color="auto" w:fill="auto"/>
                  <w:vAlign w:val="center"/>
                </w:tcPr>
                <w:p w14:paraId="08D43869">
                  <w:pPr>
                    <w:keepNext w:val="0"/>
                    <w:keepLines w:val="0"/>
                    <w:widowControl/>
                    <w:suppressLineNumbers w:val="0"/>
                    <w:spacing w:line="240" w:lineRule="auto"/>
                    <w:jc w:val="center"/>
                    <w:textAlignment w:val="center"/>
                    <w:rPr>
                      <w:rFonts w:hint="default"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0.0115 </w:t>
                  </w:r>
                </w:p>
              </w:tc>
            </w:tr>
            <w:tr w14:paraId="72569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3" w:hRule="atLeast"/>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14:paraId="79348E23">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苯系物含量</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14:paraId="5FED27C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849" w:type="dxa"/>
                  <w:tcBorders>
                    <w:top w:val="single" w:color="auto" w:sz="4" w:space="0"/>
                    <w:left w:val="single" w:color="auto" w:sz="4" w:space="0"/>
                    <w:bottom w:val="single" w:color="auto" w:sz="4" w:space="0"/>
                    <w:right w:val="single" w:color="auto" w:sz="4" w:space="0"/>
                  </w:tcBorders>
                  <w:shd w:val="clear" w:color="auto" w:fill="auto"/>
                  <w:vAlign w:val="center"/>
                </w:tcPr>
                <w:p w14:paraId="58D76FD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4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CF81F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892" w:type="dxa"/>
                  <w:tcBorders>
                    <w:top w:val="single" w:color="auto" w:sz="4" w:space="0"/>
                    <w:left w:val="single" w:color="auto" w:sz="4" w:space="0"/>
                    <w:bottom w:val="single" w:color="auto" w:sz="4" w:space="0"/>
                    <w:right w:val="single" w:color="auto" w:sz="4" w:space="0"/>
                  </w:tcBorders>
                  <w:shd w:val="clear" w:color="auto" w:fill="auto"/>
                  <w:vAlign w:val="center"/>
                </w:tcPr>
                <w:p w14:paraId="3B255A2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037" w:type="dxa"/>
                  <w:tcBorders>
                    <w:top w:val="single" w:color="auto" w:sz="4" w:space="0"/>
                    <w:left w:val="single" w:color="auto" w:sz="4" w:space="0"/>
                    <w:bottom w:val="single" w:color="auto" w:sz="4" w:space="0"/>
                    <w:right w:val="single" w:color="auto" w:sz="4" w:space="0"/>
                  </w:tcBorders>
                  <w:shd w:val="clear" w:color="auto" w:fill="auto"/>
                  <w:vAlign w:val="center"/>
                </w:tcPr>
                <w:p w14:paraId="1BB4FE05">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32" w:type="dxa"/>
                  <w:tcBorders>
                    <w:top w:val="single" w:color="auto" w:sz="4" w:space="0"/>
                    <w:left w:val="single" w:color="auto" w:sz="4" w:space="0"/>
                    <w:bottom w:val="single" w:color="auto" w:sz="4" w:space="0"/>
                    <w:right w:val="single" w:color="auto" w:sz="4" w:space="0"/>
                  </w:tcBorders>
                  <w:shd w:val="clear" w:color="auto" w:fill="auto"/>
                  <w:vAlign w:val="center"/>
                </w:tcPr>
                <w:p w14:paraId="6D1C128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14:paraId="1A824260">
                  <w:pPr>
                    <w:keepNext w:val="0"/>
                    <w:keepLines w:val="0"/>
                    <w:widowControl/>
                    <w:suppressLineNumbers w:val="0"/>
                    <w:spacing w:line="240" w:lineRule="auto"/>
                    <w:jc w:val="center"/>
                    <w:textAlignment w:val="center"/>
                    <w:rPr>
                      <w:rFonts w:hint="default"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32" w:type="dxa"/>
                  <w:tcBorders>
                    <w:top w:val="single" w:color="auto" w:sz="4" w:space="0"/>
                    <w:left w:val="single" w:color="auto" w:sz="4" w:space="0"/>
                    <w:bottom w:val="single" w:color="auto" w:sz="4" w:space="0"/>
                    <w:right w:val="single" w:color="auto" w:sz="4" w:space="0"/>
                  </w:tcBorders>
                  <w:shd w:val="clear" w:color="auto" w:fill="auto"/>
                  <w:vAlign w:val="center"/>
                </w:tcPr>
                <w:p w14:paraId="2706A2B1">
                  <w:pPr>
                    <w:keepNext w:val="0"/>
                    <w:keepLines w:val="0"/>
                    <w:widowControl/>
                    <w:suppressLineNumbers w:val="0"/>
                    <w:spacing w:line="240" w:lineRule="auto"/>
                    <w:jc w:val="center"/>
                    <w:textAlignment w:val="center"/>
                    <w:rPr>
                      <w:rFonts w:hint="eastAsia"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37D6F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3" w:hRule="atLeast"/>
              </w:trPr>
              <w:tc>
                <w:tcPr>
                  <w:tcW w:w="899" w:type="dxa"/>
                  <w:tcBorders>
                    <w:top w:val="single" w:color="auto" w:sz="4" w:space="0"/>
                    <w:left w:val="single" w:color="auto" w:sz="4" w:space="0"/>
                    <w:bottom w:val="single" w:color="auto" w:sz="4" w:space="0"/>
                    <w:right w:val="single" w:color="auto" w:sz="4" w:space="0"/>
                  </w:tcBorders>
                  <w:shd w:val="clear" w:color="auto" w:fill="auto"/>
                  <w:vAlign w:val="center"/>
                </w:tcPr>
                <w:p w14:paraId="0787389F">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苯系物产生量t/a</w:t>
                  </w:r>
                </w:p>
              </w:tc>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14:paraId="5C1FD05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0.1949 </w:t>
                  </w:r>
                </w:p>
              </w:tc>
              <w:tc>
                <w:tcPr>
                  <w:tcW w:w="849" w:type="dxa"/>
                  <w:tcBorders>
                    <w:top w:val="single" w:color="auto" w:sz="4" w:space="0"/>
                    <w:left w:val="single" w:color="auto" w:sz="4" w:space="0"/>
                    <w:bottom w:val="single" w:color="auto" w:sz="4" w:space="0"/>
                    <w:right w:val="single" w:color="auto" w:sz="4" w:space="0"/>
                  </w:tcBorders>
                  <w:shd w:val="clear" w:color="auto" w:fill="auto"/>
                  <w:vAlign w:val="center"/>
                </w:tcPr>
                <w:p w14:paraId="719A0CE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4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439B4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0.0047 </w:t>
                  </w:r>
                </w:p>
              </w:tc>
              <w:tc>
                <w:tcPr>
                  <w:tcW w:w="892" w:type="dxa"/>
                  <w:tcBorders>
                    <w:top w:val="single" w:color="auto" w:sz="4" w:space="0"/>
                    <w:left w:val="single" w:color="auto" w:sz="4" w:space="0"/>
                    <w:bottom w:val="single" w:color="auto" w:sz="4" w:space="0"/>
                    <w:right w:val="single" w:color="auto" w:sz="4" w:space="0"/>
                  </w:tcBorders>
                  <w:shd w:val="clear" w:color="auto" w:fill="auto"/>
                  <w:vAlign w:val="center"/>
                </w:tcPr>
                <w:p w14:paraId="41DC539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037" w:type="dxa"/>
                  <w:tcBorders>
                    <w:top w:val="single" w:color="auto" w:sz="4" w:space="0"/>
                    <w:left w:val="single" w:color="auto" w:sz="4" w:space="0"/>
                    <w:bottom w:val="single" w:color="auto" w:sz="4" w:space="0"/>
                    <w:right w:val="single" w:color="auto" w:sz="4" w:space="0"/>
                  </w:tcBorders>
                  <w:shd w:val="clear" w:color="auto" w:fill="auto"/>
                  <w:vAlign w:val="center"/>
                </w:tcPr>
                <w:p w14:paraId="71473C4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32" w:type="dxa"/>
                  <w:tcBorders>
                    <w:top w:val="single" w:color="auto" w:sz="4" w:space="0"/>
                    <w:left w:val="single" w:color="auto" w:sz="4" w:space="0"/>
                    <w:bottom w:val="single" w:color="auto" w:sz="4" w:space="0"/>
                    <w:right w:val="single" w:color="auto" w:sz="4" w:space="0"/>
                  </w:tcBorders>
                  <w:shd w:val="clear" w:color="auto" w:fill="auto"/>
                  <w:vAlign w:val="center"/>
                </w:tcPr>
                <w:p w14:paraId="27712227">
                  <w:pPr>
                    <w:keepNext w:val="0"/>
                    <w:keepLines w:val="0"/>
                    <w:widowControl/>
                    <w:suppressLineNumbers w:val="0"/>
                    <w:spacing w:line="240" w:lineRule="auto"/>
                    <w:jc w:val="center"/>
                    <w:textAlignment w:val="center"/>
                    <w:rPr>
                      <w:rFonts w:hint="default"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74" w:type="dxa"/>
                  <w:tcBorders>
                    <w:top w:val="single" w:color="auto" w:sz="4" w:space="0"/>
                    <w:left w:val="single" w:color="auto" w:sz="4" w:space="0"/>
                    <w:bottom w:val="single" w:color="auto" w:sz="4" w:space="0"/>
                    <w:right w:val="single" w:color="auto" w:sz="4" w:space="0"/>
                  </w:tcBorders>
                  <w:shd w:val="clear" w:color="auto" w:fill="auto"/>
                  <w:vAlign w:val="center"/>
                </w:tcPr>
                <w:p w14:paraId="4E22FFBD">
                  <w:pPr>
                    <w:keepNext w:val="0"/>
                    <w:keepLines w:val="0"/>
                    <w:widowControl/>
                    <w:suppressLineNumbers w:val="0"/>
                    <w:spacing w:line="240" w:lineRule="auto"/>
                    <w:jc w:val="center"/>
                    <w:textAlignment w:val="center"/>
                    <w:rPr>
                      <w:rFonts w:hint="default"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32" w:type="dxa"/>
                  <w:tcBorders>
                    <w:top w:val="single" w:color="auto" w:sz="4" w:space="0"/>
                    <w:left w:val="single" w:color="auto" w:sz="4" w:space="0"/>
                    <w:bottom w:val="single" w:color="auto" w:sz="4" w:space="0"/>
                    <w:right w:val="single" w:color="auto" w:sz="4" w:space="0"/>
                  </w:tcBorders>
                  <w:shd w:val="clear" w:color="auto" w:fill="auto"/>
                  <w:vAlign w:val="center"/>
                </w:tcPr>
                <w:p w14:paraId="4082E356">
                  <w:pPr>
                    <w:keepNext w:val="0"/>
                    <w:keepLines w:val="0"/>
                    <w:widowControl/>
                    <w:suppressLineNumbers w:val="0"/>
                    <w:spacing w:line="240" w:lineRule="auto"/>
                    <w:jc w:val="center"/>
                    <w:textAlignment w:val="center"/>
                    <w:rPr>
                      <w:rFonts w:hint="eastAsia"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bl>
          <w:p w14:paraId="31FDEFDD">
            <w:pPr>
              <w:pStyle w:val="120"/>
              <w:pageBreakBefore w:val="0"/>
              <w:numPr>
                <w:ilvl w:val="0"/>
                <w:numId w:val="0"/>
              </w:numPr>
              <w:wordWrap w:val="0"/>
              <w:topLinePunct/>
              <w:bidi w:val="0"/>
              <w:snapToGrid/>
              <w:spacing w:beforeAutospacing="0" w:afterAutospacing="0"/>
              <w:ind w:firstLine="482"/>
              <w:jc w:val="center"/>
              <w:rPr>
                <w:rFonts w:hint="eastAsia" w:cs="Times New Roman"/>
                <w:b/>
                <w:bCs/>
                <w:color w:val="auto"/>
                <w:spacing w:val="-3"/>
                <w:sz w:val="24"/>
                <w:szCs w:val="24"/>
                <w:highlight w:val="none"/>
                <w:lang w:val="en-US" w:eastAsia="zh-CN"/>
              </w:rPr>
            </w:pPr>
            <w:r>
              <w:rPr>
                <w:color w:val="auto"/>
                <w:sz w:val="24"/>
                <w:highlight w:val="none"/>
              </w:rPr>
              <mc:AlternateContent>
                <mc:Choice Requires="wps">
                  <w:drawing>
                    <wp:anchor distT="0" distB="0" distL="114300" distR="114300" simplePos="0" relativeHeight="251662336" behindDoc="0" locked="0" layoutInCell="1" allowOverlap="1">
                      <wp:simplePos x="0" y="0"/>
                      <wp:positionH relativeFrom="column">
                        <wp:posOffset>911860</wp:posOffset>
                      </wp:positionH>
                      <wp:positionV relativeFrom="paragraph">
                        <wp:posOffset>1249680</wp:posOffset>
                      </wp:positionV>
                      <wp:extent cx="490855" cy="274955"/>
                      <wp:effectExtent l="0" t="0" r="4445" b="10795"/>
                      <wp:wrapNone/>
                      <wp:docPr id="4" name="文本框 4"/>
                      <wp:cNvGraphicFramePr/>
                      <a:graphic xmlns:a="http://schemas.openxmlformats.org/drawingml/2006/main">
                        <a:graphicData uri="http://schemas.microsoft.com/office/word/2010/wordprocessingShape">
                          <wps:wsp>
                            <wps:cNvSpPr txBox="1"/>
                            <wps:spPr>
                              <a:xfrm>
                                <a:off x="0" y="0"/>
                                <a:ext cx="490855" cy="2749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55D3D1D">
                                  <w:pPr>
                                    <w:rPr>
                                      <w:rFonts w:hint="default"/>
                                      <w:sz w:val="18"/>
                                      <w:szCs w:val="18"/>
                                      <w:lang w:val="en-US" w:eastAsia="zh-CN"/>
                                    </w:rPr>
                                  </w:pPr>
                                  <w:r>
                                    <w:rPr>
                                      <w:rFonts w:hint="eastAsia"/>
                                      <w:sz w:val="18"/>
                                      <w:szCs w:val="18"/>
                                      <w:lang w:val="en-US" w:eastAsia="zh-CN"/>
                                    </w:rPr>
                                    <w:t>0.6785/a</w:t>
                                  </w:r>
                                </w:p>
                              </w:txbxContent>
                            </wps:txbx>
                            <wps:bodyPr rot="0" spcFirstLastPara="0" vertOverflow="overflow" horzOverflow="overflow" vert="horz" wrap="square" lIns="0" tIns="0" rIns="3600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71.8pt;margin-top:98.4pt;height:21.65pt;width:38.65pt;z-index:251662336;mso-width-relative:page;mso-height-relative:page;" fillcolor="#FFFFFF [3201]" filled="t" stroked="f" coordsize="21600,21600" o:gfxdata="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jx0YzXAAAACwEAAA8AAAAAAAAA&#10;AQAgAAAAIgAAAGRycy9kb3ducmV2LnhtbFBLAQIUABQAAAAIAIdO4kDX3C4nSwIAAIIEAAAOAAAA&#10;AAAAAAEAIAAAACYBAABkcnMvZTJvRG9jLnhtbFBLBQYAAAAABgAGAFkBAADjBQAAAAA=&#10;">
                      <v:fill on="t" focussize="0,0"/>
                      <v:stroke on="f" weight="0.5pt"/>
                      <v:imagedata o:title=""/>
                      <o:lock v:ext="edit" aspectratio="f"/>
                      <v:textbox inset="0mm,0mm,1mm,0mm">
                        <w:txbxContent>
                          <w:p w14:paraId="255D3D1D">
                            <w:pPr>
                              <w:rPr>
                                <w:rFonts w:hint="default"/>
                                <w:sz w:val="18"/>
                                <w:szCs w:val="18"/>
                                <w:lang w:val="en-US" w:eastAsia="zh-CN"/>
                              </w:rPr>
                            </w:pPr>
                            <w:r>
                              <w:rPr>
                                <w:rFonts w:hint="eastAsia"/>
                                <w:sz w:val="18"/>
                                <w:szCs w:val="18"/>
                                <w:lang w:val="en-US" w:eastAsia="zh-CN"/>
                              </w:rPr>
                              <w:t>0.6785/a</w:t>
                            </w:r>
                          </w:p>
                        </w:txbxContent>
                      </v:textbox>
                    </v:shape>
                  </w:pict>
                </mc:Fallback>
              </mc:AlternateContent>
            </w:r>
            <w:r>
              <w:rPr>
                <w:rFonts w:hint="eastAsia"/>
                <w:color w:val="auto"/>
                <w:highlight w:val="none"/>
                <w:lang w:val="en-US" w:eastAsia="zh-CN"/>
              </w:rPr>
              <w:object>
                <v:shape id="_x0000_i1028" o:spt="75" type="#_x0000_t75" style="height:417pt;width:351pt;" o:ole="t" filled="f" o:preferrelative="t" stroked="f" coordsize="21600,21600">
                  <v:path/>
                  <v:fill on="f" focussize="0,0"/>
                  <v:stroke on="f"/>
                  <v:imagedata r:id="rId19" o:title=""/>
                  <o:lock v:ext="edit" aspectratio="f"/>
                  <w10:wrap type="none"/>
                  <w10:anchorlock/>
                </v:shape>
                <o:OLEObject Type="Embed" ProgID="Visio.Drawing.15" ShapeID="_x0000_i1028" DrawAspect="Content" ObjectID="_1468075728" r:id="rId18">
                  <o:LockedField>false</o:LockedField>
                </o:OLEObject>
              </w:object>
            </w:r>
            <w:r>
              <w:rPr>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2254885</wp:posOffset>
                      </wp:positionH>
                      <wp:positionV relativeFrom="paragraph">
                        <wp:posOffset>4490085</wp:posOffset>
                      </wp:positionV>
                      <wp:extent cx="490855" cy="274955"/>
                      <wp:effectExtent l="0" t="0" r="4445" b="10795"/>
                      <wp:wrapNone/>
                      <wp:docPr id="3" name="文本框 3"/>
                      <wp:cNvGraphicFramePr/>
                      <a:graphic xmlns:a="http://schemas.openxmlformats.org/drawingml/2006/main">
                        <a:graphicData uri="http://schemas.microsoft.com/office/word/2010/wordprocessingShape">
                          <wps:wsp>
                            <wps:cNvSpPr txBox="1"/>
                            <wps:spPr>
                              <a:xfrm>
                                <a:off x="3634105" y="5410835"/>
                                <a:ext cx="490855" cy="2749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0F402B2">
                                  <w:pPr>
                                    <w:rPr>
                                      <w:rFonts w:hint="default"/>
                                      <w:sz w:val="18"/>
                                      <w:szCs w:val="18"/>
                                      <w:lang w:val="en-US" w:eastAsia="zh-CN"/>
                                    </w:rPr>
                                  </w:pPr>
                                  <w:r>
                                    <w:rPr>
                                      <w:rFonts w:hint="eastAsia"/>
                                      <w:sz w:val="18"/>
                                      <w:szCs w:val="18"/>
                                      <w:lang w:val="en-US" w:eastAsia="zh-CN"/>
                                    </w:rPr>
                                    <w:t>0.0846t/a</w:t>
                                  </w:r>
                                </w:p>
                              </w:txbxContent>
                            </wps:txbx>
                            <wps:bodyPr rot="0" spcFirstLastPara="0" vertOverflow="overflow" horzOverflow="overflow" vert="horz" wrap="square" lIns="0" tIns="0" rIns="3600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77.55pt;margin-top:353.55pt;height:21.65pt;width:38.65pt;z-index:251661312;mso-width-relative:page;mso-height-relative:page;" fillcolor="#FFFFFF [3201]" filled="t" stroked="f" coordsize="21600,21600" o:gfxdata="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b9FZPYAAAA&#10;CwEAAA8AAAAAAAAAAQAgAAAAIgAAAGRycy9kb3ducmV2LnhtbFBLAQIUABQAAAAIAIdO4kAQt1Pm&#10;VgIAAI4EAAAOAAAAAAAAAAEAIAAAACcBAABkcnMvZTJvRG9jLnhtbFBLBQYAAAAABgAGAFkBAADv&#10;BQAAAAA=&#10;">
                      <v:fill on="t" focussize="0,0"/>
                      <v:stroke on="f" weight="0.5pt"/>
                      <v:imagedata o:title=""/>
                      <o:lock v:ext="edit" aspectratio="f"/>
                      <v:textbox inset="0mm,0mm,1mm,0mm">
                        <w:txbxContent>
                          <w:p w14:paraId="10F402B2">
                            <w:pPr>
                              <w:rPr>
                                <w:rFonts w:hint="default"/>
                                <w:sz w:val="18"/>
                                <w:szCs w:val="18"/>
                                <w:lang w:val="en-US" w:eastAsia="zh-CN"/>
                              </w:rPr>
                            </w:pPr>
                            <w:r>
                              <w:rPr>
                                <w:rFonts w:hint="eastAsia"/>
                                <w:sz w:val="18"/>
                                <w:szCs w:val="18"/>
                                <w:lang w:val="en-US" w:eastAsia="zh-CN"/>
                              </w:rPr>
                              <w:t>0.0846t/a</w:t>
                            </w:r>
                          </w:p>
                        </w:txbxContent>
                      </v:textbox>
                    </v:shape>
                  </w:pict>
                </mc:Fallback>
              </mc:AlternateContent>
            </w:r>
          </w:p>
          <w:p w14:paraId="0F540B7A">
            <w:pPr>
              <w:pStyle w:val="120"/>
              <w:pageBreakBefore w:val="0"/>
              <w:numPr>
                <w:ilvl w:val="0"/>
                <w:numId w:val="0"/>
              </w:numPr>
              <w:wordWrap w:val="0"/>
              <w:topLinePunct/>
              <w:bidi w:val="0"/>
              <w:snapToGrid/>
              <w:spacing w:beforeAutospacing="0" w:afterAutospacing="0"/>
              <w:ind w:firstLine="482"/>
              <w:jc w:val="center"/>
              <w:rPr>
                <w:rFonts w:hint="default" w:cs="Times New Roman"/>
                <w:b/>
                <w:bCs/>
                <w:color w:val="auto"/>
                <w:spacing w:val="-3"/>
                <w:sz w:val="24"/>
                <w:szCs w:val="24"/>
                <w:highlight w:val="none"/>
                <w:lang w:val="en-US" w:eastAsia="zh-CN"/>
              </w:rPr>
            </w:pPr>
            <w:r>
              <w:rPr>
                <w:rFonts w:hint="eastAsia" w:cs="Times New Roman"/>
                <w:b/>
                <w:bCs/>
                <w:color w:val="auto"/>
                <w:spacing w:val="-3"/>
                <w:sz w:val="24"/>
                <w:szCs w:val="24"/>
                <w:highlight w:val="none"/>
                <w:lang w:val="en-US" w:eastAsia="zh-CN"/>
              </w:rPr>
              <w:t>图4-2  VOCs平衡图</w:t>
            </w:r>
          </w:p>
          <w:p w14:paraId="41FE7209">
            <w:pPr>
              <w:pStyle w:val="120"/>
              <w:pageBreakBefore w:val="0"/>
              <w:numPr>
                <w:ilvl w:val="0"/>
                <w:numId w:val="0"/>
              </w:numPr>
              <w:wordWrap w:val="0"/>
              <w:topLinePunct/>
              <w:bidi w:val="0"/>
              <w:snapToGrid/>
              <w:spacing w:beforeAutospacing="0" w:afterAutospacing="0"/>
              <w:ind w:firstLine="482"/>
              <w:rPr>
                <w:rFonts w:hint="eastAsia" w:ascii="Times New Roman" w:hAnsi="Times New Roman" w:cs="Times New Roman"/>
                <w:b w:val="0"/>
                <w:bCs w:val="0"/>
                <w:color w:val="auto"/>
                <w:spacing w:val="-3"/>
                <w:sz w:val="24"/>
                <w:szCs w:val="24"/>
                <w:highlight w:val="none"/>
                <w:lang w:val="en-US" w:eastAsia="zh-CN"/>
              </w:rPr>
            </w:pPr>
            <w:r>
              <w:rPr>
                <w:rFonts w:hint="eastAsia" w:cs="Times New Roman"/>
                <w:b/>
                <w:bCs/>
                <w:color w:val="auto"/>
                <w:spacing w:val="-3"/>
                <w:sz w:val="24"/>
                <w:szCs w:val="24"/>
                <w:highlight w:val="none"/>
                <w:lang w:val="en-US" w:eastAsia="zh-CN"/>
              </w:rPr>
              <w:t>③天然气燃烧废气</w:t>
            </w:r>
            <w:r>
              <w:rPr>
                <w:rFonts w:hint="eastAsia" w:cs="Times New Roman"/>
                <w:b w:val="0"/>
                <w:bCs w:val="0"/>
                <w:color w:val="auto"/>
                <w:spacing w:val="-3"/>
                <w:sz w:val="24"/>
                <w:szCs w:val="24"/>
                <w:highlight w:val="none"/>
                <w:lang w:val="en-US" w:eastAsia="zh-CN"/>
              </w:rPr>
              <w:t>：</w:t>
            </w:r>
            <w:r>
              <w:rPr>
                <w:rFonts w:hint="default" w:ascii="Times New Roman" w:hAnsi="Times New Roman" w:cs="Times New Roman"/>
                <w:b w:val="0"/>
                <w:bCs w:val="0"/>
                <w:color w:val="auto"/>
                <w:spacing w:val="-3"/>
                <w:sz w:val="24"/>
                <w:szCs w:val="24"/>
                <w:highlight w:val="none"/>
                <w:lang w:val="en-US" w:eastAsia="zh-CN"/>
              </w:rPr>
              <w:t>固化炉采用天然气热风循环供热，</w:t>
            </w:r>
            <w:r>
              <w:rPr>
                <w:rFonts w:hint="eastAsia" w:ascii="Times New Roman" w:hAnsi="Times New Roman" w:cs="Times New Roman"/>
                <w:b w:val="0"/>
                <w:bCs w:val="0"/>
                <w:color w:val="auto"/>
                <w:spacing w:val="-3"/>
                <w:sz w:val="24"/>
                <w:szCs w:val="24"/>
                <w:highlight w:val="none"/>
                <w:lang w:val="en-US" w:eastAsia="zh-CN"/>
              </w:rPr>
              <w:t>天然气燃烧废气产生排放情况见表4-1</w:t>
            </w:r>
            <w:r>
              <w:rPr>
                <w:rFonts w:hint="eastAsia" w:cs="Times New Roman"/>
                <w:b w:val="0"/>
                <w:bCs w:val="0"/>
                <w:color w:val="auto"/>
                <w:spacing w:val="-3"/>
                <w:sz w:val="24"/>
                <w:szCs w:val="24"/>
                <w:highlight w:val="none"/>
                <w:lang w:val="en-US" w:eastAsia="zh-CN"/>
              </w:rPr>
              <w:t>5</w:t>
            </w:r>
            <w:r>
              <w:rPr>
                <w:rFonts w:hint="eastAsia" w:ascii="Times New Roman" w:hAnsi="Times New Roman" w:cs="Times New Roman"/>
                <w:b w:val="0"/>
                <w:bCs w:val="0"/>
                <w:color w:val="auto"/>
                <w:spacing w:val="-3"/>
                <w:sz w:val="24"/>
                <w:szCs w:val="24"/>
                <w:highlight w:val="none"/>
                <w:lang w:val="en-US" w:eastAsia="zh-CN"/>
              </w:rPr>
              <w:t>。</w:t>
            </w:r>
          </w:p>
          <w:p w14:paraId="1BF5DBF6">
            <w:pPr>
              <w:pStyle w:val="120"/>
              <w:pageBreakBefore w:val="0"/>
              <w:numPr>
                <w:ilvl w:val="0"/>
                <w:numId w:val="0"/>
              </w:numPr>
              <w:wordWrap w:val="0"/>
              <w:topLinePunct/>
              <w:bidi w:val="0"/>
              <w:snapToGrid/>
              <w:spacing w:beforeAutospacing="0" w:afterAutospacing="0"/>
              <w:ind w:firstLine="482"/>
              <w:rPr>
                <w:rFonts w:hint="eastAsia"/>
                <w:b/>
                <w:bCs/>
                <w:color w:val="auto"/>
                <w:highlight w:val="none"/>
                <w:lang w:val="en-US" w:eastAsia="zh-CN"/>
              </w:rPr>
            </w:pPr>
            <w:r>
              <w:rPr>
                <w:rFonts w:hint="eastAsia"/>
                <w:b/>
                <w:bCs/>
                <w:color w:val="auto"/>
                <w:highlight w:val="none"/>
                <w:lang w:val="en-US" w:eastAsia="zh-CN"/>
              </w:rPr>
              <w:t>④废气处理设施收集效率、风量、处理效率设计</w:t>
            </w:r>
          </w:p>
          <w:p w14:paraId="28FA35B3">
            <w:pPr>
              <w:pStyle w:val="120"/>
              <w:pageBreakBefore w:val="0"/>
              <w:numPr>
                <w:ilvl w:val="0"/>
                <w:numId w:val="0"/>
              </w:numPr>
              <w:wordWrap w:val="0"/>
              <w:topLinePunct/>
              <w:bidi w:val="0"/>
              <w:snapToGrid/>
              <w:spacing w:beforeAutospacing="0" w:afterAutospacing="0"/>
              <w:ind w:firstLine="482"/>
              <w:rPr>
                <w:rFonts w:hint="eastAsia" w:ascii="Times New Roman" w:hAnsi="Times New Roman" w:cs="Times New Roman"/>
                <w:color w:val="auto"/>
                <w:highlight w:val="none"/>
                <w:lang w:val="en-US" w:eastAsia="zh-CN"/>
              </w:rPr>
            </w:pPr>
            <w:r>
              <w:rPr>
                <w:rFonts w:hint="eastAsia"/>
                <w:b/>
                <w:bCs/>
                <w:color w:val="auto"/>
                <w:highlight w:val="none"/>
                <w:lang w:val="en-US" w:eastAsia="zh-CN"/>
              </w:rPr>
              <w:t>收集效率：</w:t>
            </w:r>
            <w:r>
              <w:rPr>
                <w:color w:val="auto"/>
                <w:highlight w:val="none"/>
              </w:rPr>
              <w:t>根据《广东省工业源挥发性有机物减排量核算方法（2023年修订版）》（粤环函〔2023〕538 号）中“表3.3-2 废气收集集气效率参考值”的说明</w:t>
            </w:r>
            <w:r>
              <w:rPr>
                <w:rFonts w:hint="eastAsia"/>
                <w:color w:val="auto"/>
                <w:highlight w:val="none"/>
                <w:lang w:eastAsia="zh-CN"/>
              </w:rPr>
              <w:t>，</w:t>
            </w:r>
            <w:r>
              <w:rPr>
                <w:rFonts w:hint="eastAsia"/>
                <w:color w:val="auto"/>
                <w:highlight w:val="none"/>
                <w:lang w:val="en-US" w:eastAsia="zh-CN"/>
              </w:rPr>
              <w:t>②</w:t>
            </w:r>
            <w:r>
              <w:rPr>
                <w:color w:val="auto"/>
                <w:highlight w:val="none"/>
              </w:rPr>
              <w:t>当废气收集类型为“全密封设备/空间”，废气收集方式为“单层密闭负压”，收集情况为“VOCs产生源设置在密闭车间、密闭设备（含反应釜）、密闭管道内，所有开口处，包括人员或物料进出口处呈负压”，此时收集效率可取90%</w:t>
            </w:r>
            <w:r>
              <w:rPr>
                <w:rFonts w:hint="eastAsia"/>
                <w:color w:val="auto"/>
                <w:highlight w:val="none"/>
                <w:lang w:eastAsia="zh-CN"/>
              </w:rPr>
              <w:t>。</w:t>
            </w:r>
            <w:r>
              <w:rPr>
                <w:rFonts w:hint="eastAsia" w:ascii="Times New Roman" w:hAnsi="Times New Roman" w:cs="Times New Roman"/>
                <w:color w:val="auto"/>
                <w:highlight w:val="none"/>
                <w:lang w:val="en-US" w:eastAsia="zh-CN"/>
              </w:rPr>
              <w:t>项目喷漆房</w:t>
            </w:r>
            <w:r>
              <w:rPr>
                <w:rFonts w:hint="eastAsia" w:cs="Times New Roman"/>
                <w:color w:val="auto"/>
                <w:highlight w:val="none"/>
                <w:lang w:val="en-US" w:eastAsia="zh-CN"/>
              </w:rPr>
              <w:t>、丝印</w:t>
            </w:r>
            <w:r>
              <w:rPr>
                <w:rFonts w:hint="eastAsia" w:ascii="Times New Roman" w:hAnsi="Times New Roman" w:cs="Times New Roman"/>
                <w:color w:val="auto"/>
                <w:highlight w:val="none"/>
                <w:lang w:val="en-US" w:eastAsia="zh-CN"/>
              </w:rPr>
              <w:t>间采用单层密闭负压空间</w:t>
            </w:r>
            <w:r>
              <w:rPr>
                <w:rFonts w:hint="eastAsia" w:cs="Times New Roman"/>
                <w:color w:val="auto"/>
                <w:highlight w:val="none"/>
                <w:lang w:val="en-US" w:eastAsia="zh-CN"/>
              </w:rPr>
              <w:t>，调漆、调墨和网版清洗均在密闭负压空间内操作</w:t>
            </w:r>
            <w:r>
              <w:rPr>
                <w:rFonts w:hint="eastAsia" w:ascii="Times New Roman" w:hAnsi="Times New Roman" w:cs="Times New Roman"/>
                <w:color w:val="auto"/>
                <w:highlight w:val="none"/>
                <w:lang w:val="en-US" w:eastAsia="zh-CN"/>
              </w:rPr>
              <w:t>，收集效率为90%。</w:t>
            </w:r>
          </w:p>
          <w:p w14:paraId="2392BCA5">
            <w:pPr>
              <w:pageBreakBefore w:val="0"/>
              <w:kinsoku/>
              <w:wordWrap w:val="0"/>
              <w:overflowPunct/>
              <w:topLinePunct w:val="0"/>
              <w:bidi w:val="0"/>
              <w:spacing w:line="360" w:lineRule="auto"/>
              <w:ind w:firstLine="468" w:firstLineChars="200"/>
              <w:rPr>
                <w:rFonts w:hint="default" w:ascii="Times New Roman" w:hAnsi="Times New Roman" w:eastAsia="宋体" w:cs="Times New Roman"/>
                <w:color w:val="auto"/>
                <w:sz w:val="24"/>
                <w:highlight w:val="none"/>
              </w:rPr>
            </w:pPr>
            <w:r>
              <w:rPr>
                <w:rFonts w:hint="eastAsia" w:ascii="Times New Roman" w:hAnsi="Times New Roman" w:cs="Times New Roman"/>
                <w:b w:val="0"/>
                <w:bCs w:val="0"/>
                <w:color w:val="auto"/>
                <w:spacing w:val="-3"/>
                <w:sz w:val="24"/>
                <w:szCs w:val="24"/>
                <w:highlight w:val="none"/>
                <w:lang w:val="en-US" w:eastAsia="zh-CN"/>
              </w:rPr>
              <w:t>固化通道为全密封空间，设备有固定排放管直接与风管连接，通道尾端设置送风风机，</w:t>
            </w:r>
            <w:r>
              <w:rPr>
                <w:color w:val="auto"/>
                <w:highlight w:val="none"/>
              </w:rPr>
              <w:t>根据《广东省工业源挥发性有机物减排量核算方法（2023年修订版）》（粤环函〔2023〕538 号）中“表3.3-2 废气收集集气效率参考值”的说明：</w:t>
            </w:r>
            <w:r>
              <w:rPr>
                <w:rFonts w:hint="eastAsia"/>
                <w:color w:val="auto"/>
                <w:highlight w:val="none"/>
                <w:lang w:val="en-US" w:eastAsia="zh-CN"/>
              </w:rPr>
              <w:t>③</w:t>
            </w:r>
            <w:r>
              <w:rPr>
                <w:color w:val="auto"/>
                <w:highlight w:val="none"/>
              </w:rPr>
              <w:t>当废气收集类型为“全密封设备/空间”，废气收集方式为“设备废气排口直连”，收集情况为“设备有固定排放管（或口）直接与风管连接，设备整体密闭只留产品进出口，且进出口处有废气收集措施，收集系统运行时周边基本无VOCs散发。”，此时收集效率可取95%</w:t>
            </w:r>
            <w:r>
              <w:rPr>
                <w:rFonts w:hint="eastAsia"/>
                <w:color w:val="auto"/>
                <w:highlight w:val="none"/>
                <w:lang w:eastAsia="zh-CN"/>
              </w:rPr>
              <w:t>。</w:t>
            </w:r>
            <w:r>
              <w:rPr>
                <w:rFonts w:hint="eastAsia"/>
                <w:color w:val="auto"/>
                <w:highlight w:val="none"/>
                <w:lang w:val="en-US" w:eastAsia="zh-CN"/>
              </w:rPr>
              <w:t>因此固化废气</w:t>
            </w:r>
            <w:r>
              <w:rPr>
                <w:rFonts w:hint="eastAsia" w:ascii="Times New Roman" w:hAnsi="Times New Roman" w:cs="Times New Roman"/>
                <w:b w:val="0"/>
                <w:bCs w:val="0"/>
                <w:color w:val="auto"/>
                <w:spacing w:val="-3"/>
                <w:sz w:val="24"/>
                <w:szCs w:val="24"/>
                <w:highlight w:val="none"/>
                <w:lang w:val="en-US" w:eastAsia="zh-CN"/>
              </w:rPr>
              <w:t>集气效率取95%。</w:t>
            </w:r>
            <w:r>
              <w:rPr>
                <w:rFonts w:hint="default" w:ascii="Times New Roman" w:hAnsi="Times New Roman" w:eastAsia="宋体" w:cs="Times New Roman"/>
                <w:color w:val="auto"/>
                <w:sz w:val="24"/>
                <w:highlight w:val="none"/>
              </w:rPr>
              <w:t>参考《广东省生态环境厅关于印发</w:t>
            </w:r>
            <w:r>
              <w:rPr>
                <w:rFonts w:hint="eastAsia" w:ascii="Times New Roman" w:hAnsi="Times New Roman" w:eastAsia="宋体" w:cs="Times New Roman"/>
                <w:color w:val="auto"/>
                <w:sz w:val="24"/>
                <w:highlight w:val="none"/>
                <w:lang w:val="en-US" w:eastAsia="zh-CN"/>
              </w:rPr>
              <w:t>&lt;</w:t>
            </w:r>
            <w:r>
              <w:rPr>
                <w:rFonts w:hint="default" w:ascii="Times New Roman" w:hAnsi="Times New Roman" w:eastAsia="宋体" w:cs="Times New Roman"/>
                <w:color w:val="auto"/>
                <w:sz w:val="24"/>
                <w:highlight w:val="none"/>
              </w:rPr>
              <w:t>工业源挥发性有机物和氮氧化物减排量核算方法</w:t>
            </w:r>
            <w:r>
              <w:rPr>
                <w:rFonts w:hint="eastAsia" w:ascii="Times New Roman" w:hAnsi="Times New Roman" w:eastAsia="宋体" w:cs="Times New Roman"/>
                <w:color w:val="auto"/>
                <w:sz w:val="24"/>
                <w:highlight w:val="none"/>
                <w:lang w:val="en-US" w:eastAsia="zh-CN"/>
              </w:rPr>
              <w:t>&gt;</w:t>
            </w:r>
            <w:r>
              <w:rPr>
                <w:rFonts w:hint="default" w:ascii="Times New Roman" w:hAnsi="Times New Roman" w:eastAsia="宋体" w:cs="Times New Roman"/>
                <w:color w:val="auto"/>
                <w:sz w:val="24"/>
                <w:highlight w:val="none"/>
              </w:rPr>
              <w:t>的通知》（粤环函〔2023〕538号），VOCs收集效率见下表：</w:t>
            </w:r>
          </w:p>
          <w:p w14:paraId="4E0AE87B">
            <w:pPr>
              <w:keepNext w:val="0"/>
              <w:keepLines w:val="0"/>
              <w:pageBreakBefore w:val="0"/>
              <w:widowControl w:val="0"/>
              <w:numPr>
                <w:ilvl w:val="0"/>
                <w:numId w:val="10"/>
              </w:numPr>
              <w:kinsoku/>
              <w:wordWrap w:val="0"/>
              <w:overflowPunct/>
              <w:topLinePunct w:val="0"/>
              <w:autoSpaceDE/>
              <w:autoSpaceDN/>
              <w:bidi w:val="0"/>
              <w:adjustRightInd/>
              <w:snapToGrid/>
              <w:spacing w:line="240" w:lineRule="auto"/>
              <w:ind w:left="0" w:leftChars="0" w:hanging="1"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color w:val="auto"/>
                <w:sz w:val="21"/>
                <w:szCs w:val="21"/>
                <w:highlight w:val="none"/>
              </w:rPr>
              <w:t>VOCs认定收集效率表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99"/>
              <w:gridCol w:w="2538"/>
              <w:gridCol w:w="3431"/>
              <w:gridCol w:w="1193"/>
            </w:tblGrid>
            <w:tr w14:paraId="3BD89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45" w:type="pct"/>
                  <w:tcBorders>
                    <w:tl2br w:val="nil"/>
                    <w:tr2bl w:val="nil"/>
                  </w:tcBorders>
                  <w:vAlign w:val="center"/>
                </w:tcPr>
                <w:p w14:paraId="2106375B">
                  <w:pPr>
                    <w:pageBreakBefore w:val="0"/>
                    <w:kinsoku/>
                    <w:wordWrap w:val="0"/>
                    <w:overflowPunct/>
                    <w:topLinePunct w:val="0"/>
                    <w:bidi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废气收集类型</w:t>
                  </w:r>
                </w:p>
              </w:tc>
              <w:tc>
                <w:tcPr>
                  <w:tcW w:w="1614" w:type="pct"/>
                  <w:tcBorders>
                    <w:tl2br w:val="nil"/>
                    <w:tr2bl w:val="nil"/>
                  </w:tcBorders>
                  <w:vAlign w:val="center"/>
                </w:tcPr>
                <w:p w14:paraId="265EB250">
                  <w:pPr>
                    <w:pageBreakBefore w:val="0"/>
                    <w:kinsoku/>
                    <w:wordWrap w:val="0"/>
                    <w:overflowPunct/>
                    <w:topLinePunct w:val="0"/>
                    <w:bidi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废气收集方式</w:t>
                  </w:r>
                </w:p>
              </w:tc>
              <w:tc>
                <w:tcPr>
                  <w:tcW w:w="2182" w:type="pct"/>
                  <w:tcBorders>
                    <w:tl2br w:val="nil"/>
                    <w:tr2bl w:val="nil"/>
                  </w:tcBorders>
                  <w:vAlign w:val="center"/>
                </w:tcPr>
                <w:p w14:paraId="1ED7F4CB">
                  <w:pPr>
                    <w:pageBreakBefore w:val="0"/>
                    <w:kinsoku/>
                    <w:wordWrap w:val="0"/>
                    <w:overflowPunct/>
                    <w:topLinePunct w:val="0"/>
                    <w:bidi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情况说明</w:t>
                  </w:r>
                </w:p>
              </w:tc>
              <w:tc>
                <w:tcPr>
                  <w:tcW w:w="758" w:type="pct"/>
                  <w:tcBorders>
                    <w:tl2br w:val="nil"/>
                    <w:tr2bl w:val="nil"/>
                  </w:tcBorders>
                  <w:vAlign w:val="center"/>
                </w:tcPr>
                <w:p w14:paraId="231553E6">
                  <w:pPr>
                    <w:pageBreakBefore w:val="0"/>
                    <w:kinsoku/>
                    <w:wordWrap w:val="0"/>
                    <w:overflowPunct/>
                    <w:topLinePunct w:val="0"/>
                    <w:bidi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收集效率%</w:t>
                  </w:r>
                </w:p>
              </w:tc>
            </w:tr>
            <w:tr w14:paraId="5305D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445" w:type="pct"/>
                  <w:vMerge w:val="restart"/>
                  <w:tcBorders>
                    <w:tl2br w:val="nil"/>
                    <w:tr2bl w:val="nil"/>
                  </w:tcBorders>
                  <w:vAlign w:val="center"/>
                </w:tcPr>
                <w:p w14:paraId="3A2876EA">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全密封设备/空间</w:t>
                  </w:r>
                </w:p>
              </w:tc>
              <w:tc>
                <w:tcPr>
                  <w:tcW w:w="1614" w:type="pct"/>
                  <w:tcBorders>
                    <w:tl2br w:val="nil"/>
                    <w:tr2bl w:val="nil"/>
                  </w:tcBorders>
                  <w:vAlign w:val="center"/>
                </w:tcPr>
                <w:p w14:paraId="470AD70F">
                  <w:pPr>
                    <w:pageBreakBefore w:val="0"/>
                    <w:kinsoku/>
                    <w:wordWrap w:val="0"/>
                    <w:overflowPunct/>
                    <w:topLinePunct w:val="0"/>
                    <w:bidi w:val="0"/>
                    <w:spacing w:line="240" w:lineRule="auto"/>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单层密闭负压</w:t>
                  </w:r>
                </w:p>
              </w:tc>
              <w:tc>
                <w:tcPr>
                  <w:tcW w:w="2182" w:type="pct"/>
                  <w:tcBorders>
                    <w:tl2br w:val="nil"/>
                    <w:tr2bl w:val="nil"/>
                  </w:tcBorders>
                  <w:vAlign w:val="center"/>
                </w:tcPr>
                <w:p w14:paraId="7F1AA2B5">
                  <w:pPr>
                    <w:pageBreakBefore w:val="0"/>
                    <w:kinsoku/>
                    <w:wordWrap w:val="0"/>
                    <w:overflowPunct/>
                    <w:topLinePunct w:val="0"/>
                    <w:bidi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VOCs产生源设置在密闭车间、密闭设备（含反应釜）、密闭管道内，所有开口处，包括人员或物料进出口处呈负压</w:t>
                  </w:r>
                </w:p>
              </w:tc>
              <w:tc>
                <w:tcPr>
                  <w:tcW w:w="758" w:type="pct"/>
                  <w:tcBorders>
                    <w:tl2br w:val="nil"/>
                    <w:tr2bl w:val="nil"/>
                  </w:tcBorders>
                  <w:vAlign w:val="center"/>
                </w:tcPr>
                <w:p w14:paraId="1D8ECA56">
                  <w:pPr>
                    <w:pageBreakBefore w:val="0"/>
                    <w:kinsoku/>
                    <w:wordWrap w:val="0"/>
                    <w:overflowPunct/>
                    <w:topLinePunct w:val="0"/>
                    <w:bidi w:val="0"/>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9</w:t>
                  </w:r>
                  <w:r>
                    <w:rPr>
                      <w:rFonts w:hint="eastAsia" w:ascii="Times New Roman" w:hAnsi="Times New Roman" w:eastAsia="宋体" w:cs="Times New Roman"/>
                      <w:b/>
                      <w:bCs/>
                      <w:color w:val="auto"/>
                      <w:sz w:val="21"/>
                      <w:szCs w:val="21"/>
                      <w:highlight w:val="none"/>
                      <w:lang w:val="en-US" w:eastAsia="zh-CN"/>
                    </w:rPr>
                    <w:t>0</w:t>
                  </w:r>
                </w:p>
              </w:tc>
            </w:tr>
            <w:tr w14:paraId="4B0E8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45" w:type="pct"/>
                  <w:vMerge w:val="continue"/>
                  <w:tcBorders>
                    <w:tl2br w:val="nil"/>
                    <w:tr2bl w:val="nil"/>
                  </w:tcBorders>
                  <w:vAlign w:val="center"/>
                </w:tcPr>
                <w:p w14:paraId="6FBC0EF0">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rPr>
                  </w:pPr>
                </w:p>
              </w:tc>
              <w:tc>
                <w:tcPr>
                  <w:tcW w:w="1614" w:type="pct"/>
                  <w:tcBorders>
                    <w:tl2br w:val="nil"/>
                    <w:tr2bl w:val="nil"/>
                  </w:tcBorders>
                  <w:vAlign w:val="center"/>
                </w:tcPr>
                <w:p w14:paraId="7AC68087">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单层密闭正压</w:t>
                  </w:r>
                </w:p>
              </w:tc>
              <w:tc>
                <w:tcPr>
                  <w:tcW w:w="2182" w:type="pct"/>
                  <w:tcBorders>
                    <w:tl2br w:val="nil"/>
                    <w:tr2bl w:val="nil"/>
                  </w:tcBorders>
                  <w:vAlign w:val="center"/>
                </w:tcPr>
                <w:p w14:paraId="48A08459">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VOCs 产生源设置在密闭车间内，所有开口处，包括人员或物料进出口处呈正压，且无明显泄漏点</w:t>
                  </w:r>
                </w:p>
              </w:tc>
              <w:tc>
                <w:tcPr>
                  <w:tcW w:w="758" w:type="pct"/>
                  <w:tcBorders>
                    <w:tl2br w:val="nil"/>
                    <w:tr2bl w:val="nil"/>
                  </w:tcBorders>
                  <w:vAlign w:val="center"/>
                </w:tcPr>
                <w:p w14:paraId="0B00C4AE">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r>
                    <w:rPr>
                      <w:rFonts w:hint="eastAsia" w:ascii="Times New Roman" w:hAnsi="Times New Roman" w:eastAsia="宋体" w:cs="Times New Roman"/>
                      <w:color w:val="auto"/>
                      <w:sz w:val="21"/>
                      <w:szCs w:val="21"/>
                      <w:highlight w:val="none"/>
                      <w:lang w:val="en-US" w:eastAsia="zh-CN"/>
                    </w:rPr>
                    <w:t>0</w:t>
                  </w:r>
                </w:p>
              </w:tc>
            </w:tr>
            <w:tr w14:paraId="79121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45" w:type="pct"/>
                  <w:vMerge w:val="continue"/>
                  <w:tcBorders>
                    <w:tl2br w:val="nil"/>
                    <w:tr2bl w:val="nil"/>
                  </w:tcBorders>
                  <w:vAlign w:val="center"/>
                </w:tcPr>
                <w:p w14:paraId="716A9B99">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rPr>
                  </w:pPr>
                </w:p>
              </w:tc>
              <w:tc>
                <w:tcPr>
                  <w:tcW w:w="1614" w:type="pct"/>
                  <w:tcBorders>
                    <w:tl2br w:val="nil"/>
                    <w:tr2bl w:val="nil"/>
                  </w:tcBorders>
                  <w:vAlign w:val="center"/>
                </w:tcPr>
                <w:p w14:paraId="69B04FCB">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双层密闭空间</w:t>
                  </w:r>
                </w:p>
              </w:tc>
              <w:tc>
                <w:tcPr>
                  <w:tcW w:w="2182" w:type="pct"/>
                  <w:tcBorders>
                    <w:tl2br w:val="nil"/>
                    <w:tr2bl w:val="nil"/>
                  </w:tcBorders>
                  <w:vAlign w:val="center"/>
                </w:tcPr>
                <w:p w14:paraId="3830A047">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内层空间密闭正压、外层空间密闭负压</w:t>
                  </w:r>
                </w:p>
              </w:tc>
              <w:tc>
                <w:tcPr>
                  <w:tcW w:w="758" w:type="pct"/>
                  <w:tcBorders>
                    <w:tl2br w:val="nil"/>
                    <w:tr2bl w:val="nil"/>
                  </w:tcBorders>
                  <w:vAlign w:val="center"/>
                </w:tcPr>
                <w:p w14:paraId="421A3CA5">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98</w:t>
                  </w:r>
                </w:p>
              </w:tc>
            </w:tr>
            <w:tr w14:paraId="3CD40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45" w:type="pct"/>
                  <w:vMerge w:val="continue"/>
                  <w:tcBorders>
                    <w:tl2br w:val="nil"/>
                    <w:tr2bl w:val="nil"/>
                  </w:tcBorders>
                  <w:vAlign w:val="center"/>
                </w:tcPr>
                <w:p w14:paraId="75826647">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rPr>
                  </w:pPr>
                </w:p>
              </w:tc>
              <w:tc>
                <w:tcPr>
                  <w:tcW w:w="1614" w:type="pct"/>
                  <w:tcBorders>
                    <w:tl2br w:val="nil"/>
                    <w:tr2bl w:val="nil"/>
                  </w:tcBorders>
                  <w:vAlign w:val="center"/>
                </w:tcPr>
                <w:p w14:paraId="4125827C">
                  <w:pPr>
                    <w:pageBreakBefore w:val="0"/>
                    <w:kinsoku/>
                    <w:wordWrap w:val="0"/>
                    <w:overflowPunct/>
                    <w:topLinePunct w:val="0"/>
                    <w:bidi w:val="0"/>
                    <w:spacing w:line="240" w:lineRule="auto"/>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设备排放口直连</w:t>
                  </w:r>
                </w:p>
              </w:tc>
              <w:tc>
                <w:tcPr>
                  <w:tcW w:w="2182" w:type="pct"/>
                  <w:tcBorders>
                    <w:tl2br w:val="nil"/>
                    <w:tr2bl w:val="nil"/>
                  </w:tcBorders>
                  <w:vAlign w:val="center"/>
                </w:tcPr>
                <w:p w14:paraId="1F8F6EDB">
                  <w:pPr>
                    <w:pageBreakBefore w:val="0"/>
                    <w:kinsoku/>
                    <w:wordWrap w:val="0"/>
                    <w:overflowPunct/>
                    <w:topLinePunct w:val="0"/>
                    <w:bidi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设备有固定排放管（或口）直接与风管连接，设备整体密闭只留产品进出口，且进出口处有废气收集措施，收集系统运行时周边基本无VOCs散发</w:t>
                  </w:r>
                </w:p>
              </w:tc>
              <w:tc>
                <w:tcPr>
                  <w:tcW w:w="758" w:type="pct"/>
                  <w:tcBorders>
                    <w:tl2br w:val="nil"/>
                    <w:tr2bl w:val="nil"/>
                  </w:tcBorders>
                  <w:vAlign w:val="center"/>
                </w:tcPr>
                <w:p w14:paraId="725BE7BE">
                  <w:pPr>
                    <w:pageBreakBefore w:val="0"/>
                    <w:kinsoku/>
                    <w:wordWrap w:val="0"/>
                    <w:overflowPunct/>
                    <w:topLinePunct w:val="0"/>
                    <w:bidi w:val="0"/>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95</w:t>
                  </w:r>
                </w:p>
              </w:tc>
            </w:tr>
            <w:tr w14:paraId="488AE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45" w:type="pct"/>
                  <w:vMerge w:val="restart"/>
                  <w:tcBorders>
                    <w:tl2br w:val="nil"/>
                    <w:tr2bl w:val="nil"/>
                  </w:tcBorders>
                  <w:vAlign w:val="center"/>
                </w:tcPr>
                <w:p w14:paraId="2382580F">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半密闭型集气设备（含排气柜）</w:t>
                  </w:r>
                </w:p>
              </w:tc>
              <w:tc>
                <w:tcPr>
                  <w:tcW w:w="1614" w:type="pct"/>
                  <w:vMerge w:val="restart"/>
                  <w:tcBorders>
                    <w:tl2br w:val="nil"/>
                    <w:tr2bl w:val="nil"/>
                  </w:tcBorders>
                  <w:vAlign w:val="center"/>
                </w:tcPr>
                <w:p w14:paraId="5C7FAAFA">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污染物产生点（或生产设施）四周及上下有围挡设施，符合</w:t>
                  </w:r>
                  <w:r>
                    <w:rPr>
                      <w:rFonts w:hint="eastAsia" w:cs="Times New Roman"/>
                      <w:color w:val="auto"/>
                      <w:sz w:val="21"/>
                      <w:szCs w:val="21"/>
                      <w:highlight w:val="none"/>
                      <w:lang w:eastAsia="zh-CN"/>
                    </w:rPr>
                    <w:t>以下</w:t>
                  </w:r>
                  <w:r>
                    <w:rPr>
                      <w:rFonts w:hint="default" w:ascii="Times New Roman" w:hAnsi="Times New Roman" w:eastAsia="宋体" w:cs="Times New Roman"/>
                      <w:color w:val="auto"/>
                      <w:sz w:val="21"/>
                      <w:szCs w:val="21"/>
                      <w:highlight w:val="none"/>
                      <w:lang w:eastAsia="zh-CN"/>
                    </w:rPr>
                    <w:t>三种情况：</w:t>
                  </w:r>
                </w:p>
                <w:p w14:paraId="0618C40F">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1、仅保留一个操作工位面；</w:t>
                  </w:r>
                </w:p>
                <w:p w14:paraId="323B6B9C">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2、仅保留物料进出通道，通道敞开面小于1个操作工位面</w:t>
                  </w:r>
                  <w:r>
                    <w:rPr>
                      <w:rFonts w:hint="eastAsia" w:ascii="Times New Roman" w:hAnsi="Times New Roman" w:eastAsia="宋体" w:cs="Times New Roman"/>
                      <w:color w:val="auto"/>
                      <w:sz w:val="21"/>
                      <w:szCs w:val="21"/>
                      <w:highlight w:val="none"/>
                      <w:lang w:eastAsia="zh-CN"/>
                    </w:rPr>
                    <w:t>。</w:t>
                  </w:r>
                </w:p>
              </w:tc>
              <w:tc>
                <w:tcPr>
                  <w:tcW w:w="2182" w:type="pct"/>
                  <w:tcBorders>
                    <w:tl2br w:val="nil"/>
                    <w:tr2bl w:val="nil"/>
                  </w:tcBorders>
                  <w:vAlign w:val="center"/>
                </w:tcPr>
                <w:p w14:paraId="6C0B9F42">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敞开面控制风速不小于0.</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m/s；</w:t>
                  </w:r>
                </w:p>
              </w:tc>
              <w:tc>
                <w:tcPr>
                  <w:tcW w:w="758" w:type="pct"/>
                  <w:tcBorders>
                    <w:tl2br w:val="nil"/>
                    <w:tr2bl w:val="nil"/>
                  </w:tcBorders>
                  <w:vAlign w:val="center"/>
                </w:tcPr>
                <w:p w14:paraId="62961E03">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65</w:t>
                  </w:r>
                </w:p>
              </w:tc>
            </w:tr>
            <w:tr w14:paraId="7F1D9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45" w:type="pct"/>
                  <w:vMerge w:val="continue"/>
                  <w:tcBorders>
                    <w:tl2br w:val="nil"/>
                    <w:tr2bl w:val="nil"/>
                  </w:tcBorders>
                  <w:vAlign w:val="center"/>
                </w:tcPr>
                <w:p w14:paraId="18A2B512">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rPr>
                  </w:pPr>
                </w:p>
              </w:tc>
              <w:tc>
                <w:tcPr>
                  <w:tcW w:w="1614" w:type="pct"/>
                  <w:vMerge w:val="continue"/>
                  <w:tcBorders>
                    <w:tl2br w:val="nil"/>
                    <w:tr2bl w:val="nil"/>
                  </w:tcBorders>
                  <w:vAlign w:val="center"/>
                </w:tcPr>
                <w:p w14:paraId="478882F3">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lang w:eastAsia="zh-CN"/>
                    </w:rPr>
                  </w:pPr>
                </w:p>
              </w:tc>
              <w:tc>
                <w:tcPr>
                  <w:tcW w:w="2182" w:type="pct"/>
                  <w:tcBorders>
                    <w:tl2br w:val="nil"/>
                    <w:tr2bl w:val="nil"/>
                  </w:tcBorders>
                  <w:vAlign w:val="center"/>
                </w:tcPr>
                <w:p w14:paraId="3234FB98">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敞开面控制风速小于0.3m/s；</w:t>
                  </w:r>
                </w:p>
              </w:tc>
              <w:tc>
                <w:tcPr>
                  <w:tcW w:w="758" w:type="pct"/>
                  <w:tcBorders>
                    <w:tl2br w:val="nil"/>
                    <w:tr2bl w:val="nil"/>
                  </w:tcBorders>
                  <w:vAlign w:val="center"/>
                </w:tcPr>
                <w:p w14:paraId="7E5D9028">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14:paraId="27990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45" w:type="pct"/>
                  <w:vMerge w:val="restart"/>
                  <w:tcBorders>
                    <w:tl2br w:val="nil"/>
                    <w:tr2bl w:val="nil"/>
                  </w:tcBorders>
                  <w:vAlign w:val="center"/>
                </w:tcPr>
                <w:p w14:paraId="6FAB7F6A">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包围型集气设备</w:t>
                  </w:r>
                </w:p>
              </w:tc>
              <w:tc>
                <w:tcPr>
                  <w:tcW w:w="1614" w:type="pct"/>
                  <w:vMerge w:val="restart"/>
                  <w:tcBorders>
                    <w:tl2br w:val="nil"/>
                    <w:tr2bl w:val="nil"/>
                  </w:tcBorders>
                  <w:vAlign w:val="center"/>
                </w:tcPr>
                <w:p w14:paraId="46AA754E">
                  <w:pPr>
                    <w:pageBreakBefore w:val="0"/>
                    <w:kinsoku/>
                    <w:wordWrap w:val="0"/>
                    <w:overflowPunct/>
                    <w:topLinePunct w:val="0"/>
                    <w:bidi w:val="0"/>
                    <w:spacing w:line="240" w:lineRule="auto"/>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通过软质垂帘四周围挡（偶有部分敞开）</w:t>
                  </w:r>
                </w:p>
              </w:tc>
              <w:tc>
                <w:tcPr>
                  <w:tcW w:w="2182" w:type="pct"/>
                  <w:tcBorders>
                    <w:tl2br w:val="nil"/>
                    <w:tr2bl w:val="nil"/>
                  </w:tcBorders>
                  <w:vAlign w:val="center"/>
                </w:tcPr>
                <w:p w14:paraId="595F270D">
                  <w:pPr>
                    <w:pageBreakBefore w:val="0"/>
                    <w:kinsoku/>
                    <w:wordWrap w:val="0"/>
                    <w:overflowPunct/>
                    <w:topLinePunct w:val="0"/>
                    <w:bidi w:val="0"/>
                    <w:spacing w:line="240" w:lineRule="auto"/>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敞开面控制风速不小于0.</w:t>
                  </w:r>
                  <w:r>
                    <w:rPr>
                      <w:rFonts w:hint="eastAsia" w:ascii="Times New Roman" w:hAnsi="Times New Roman" w:eastAsia="宋体"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rPr>
                    <w:t>m/s；</w:t>
                  </w:r>
                </w:p>
              </w:tc>
              <w:tc>
                <w:tcPr>
                  <w:tcW w:w="758" w:type="pct"/>
                  <w:tcBorders>
                    <w:tl2br w:val="nil"/>
                    <w:tr2bl w:val="nil"/>
                  </w:tcBorders>
                  <w:vAlign w:val="center"/>
                </w:tcPr>
                <w:p w14:paraId="6D967307">
                  <w:pPr>
                    <w:pageBreakBefore w:val="0"/>
                    <w:kinsoku/>
                    <w:wordWrap w:val="0"/>
                    <w:overflowPunct/>
                    <w:topLinePunct w:val="0"/>
                    <w:bidi w:val="0"/>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lang w:val="en-US" w:eastAsia="zh-CN"/>
                    </w:rPr>
                    <w:t>0</w:t>
                  </w:r>
                </w:p>
              </w:tc>
            </w:tr>
            <w:tr w14:paraId="21830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45" w:type="pct"/>
                  <w:vMerge w:val="continue"/>
                  <w:tcBorders>
                    <w:tl2br w:val="nil"/>
                    <w:tr2bl w:val="nil"/>
                  </w:tcBorders>
                  <w:vAlign w:val="center"/>
                </w:tcPr>
                <w:p w14:paraId="69E3209E">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rPr>
                  </w:pPr>
                </w:p>
              </w:tc>
              <w:tc>
                <w:tcPr>
                  <w:tcW w:w="1614" w:type="pct"/>
                  <w:vMerge w:val="continue"/>
                  <w:tcBorders>
                    <w:tl2br w:val="nil"/>
                    <w:tr2bl w:val="nil"/>
                  </w:tcBorders>
                  <w:vAlign w:val="center"/>
                </w:tcPr>
                <w:p w14:paraId="364C47E6">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lang w:eastAsia="zh-CN"/>
                    </w:rPr>
                  </w:pPr>
                </w:p>
              </w:tc>
              <w:tc>
                <w:tcPr>
                  <w:tcW w:w="2182" w:type="pct"/>
                  <w:tcBorders>
                    <w:tl2br w:val="nil"/>
                    <w:tr2bl w:val="nil"/>
                  </w:tcBorders>
                  <w:vAlign w:val="center"/>
                </w:tcPr>
                <w:p w14:paraId="6F06C3A3">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敞开面控制风速小于0.3m/s；</w:t>
                  </w:r>
                </w:p>
              </w:tc>
              <w:tc>
                <w:tcPr>
                  <w:tcW w:w="758" w:type="pct"/>
                  <w:tcBorders>
                    <w:tl2br w:val="nil"/>
                    <w:tr2bl w:val="nil"/>
                  </w:tcBorders>
                  <w:vAlign w:val="center"/>
                </w:tcPr>
                <w:p w14:paraId="52FB6AC7">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14:paraId="5B9ED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45" w:type="pct"/>
                  <w:vMerge w:val="restart"/>
                  <w:tcBorders>
                    <w:tl2br w:val="nil"/>
                    <w:tr2bl w:val="nil"/>
                  </w:tcBorders>
                  <w:vAlign w:val="center"/>
                </w:tcPr>
                <w:p w14:paraId="206F0A7F">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外部型集气设备</w:t>
                  </w:r>
                </w:p>
              </w:tc>
              <w:tc>
                <w:tcPr>
                  <w:tcW w:w="1614" w:type="pct"/>
                  <w:vMerge w:val="restart"/>
                  <w:tcBorders>
                    <w:tl2br w:val="nil"/>
                    <w:tr2bl w:val="nil"/>
                  </w:tcBorders>
                  <w:vAlign w:val="center"/>
                </w:tcPr>
                <w:p w14:paraId="5CE96439">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w:t>
                  </w:r>
                </w:p>
              </w:tc>
              <w:tc>
                <w:tcPr>
                  <w:tcW w:w="2182" w:type="pct"/>
                  <w:tcBorders>
                    <w:tl2br w:val="nil"/>
                    <w:tr2bl w:val="nil"/>
                  </w:tcBorders>
                  <w:vAlign w:val="center"/>
                </w:tcPr>
                <w:p w14:paraId="11C2A4AB">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相应工位所有VOCs逸散点控制风速不小于0.</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m/s</w:t>
                  </w:r>
                </w:p>
              </w:tc>
              <w:tc>
                <w:tcPr>
                  <w:tcW w:w="758" w:type="pct"/>
                  <w:tcBorders>
                    <w:tl2br w:val="nil"/>
                    <w:tr2bl w:val="nil"/>
                  </w:tcBorders>
                  <w:vAlign w:val="center"/>
                </w:tcPr>
                <w:p w14:paraId="12ABFB36">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w:t>
                  </w:r>
                </w:p>
              </w:tc>
            </w:tr>
            <w:tr w14:paraId="044A5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45" w:type="pct"/>
                  <w:vMerge w:val="continue"/>
                  <w:tcBorders>
                    <w:tl2br w:val="nil"/>
                    <w:tr2bl w:val="nil"/>
                  </w:tcBorders>
                  <w:vAlign w:val="center"/>
                </w:tcPr>
                <w:p w14:paraId="238BC0D7">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rPr>
                  </w:pPr>
                </w:p>
              </w:tc>
              <w:tc>
                <w:tcPr>
                  <w:tcW w:w="1614" w:type="pct"/>
                  <w:vMerge w:val="continue"/>
                  <w:tcBorders>
                    <w:tl2br w:val="nil"/>
                    <w:tr2bl w:val="nil"/>
                  </w:tcBorders>
                  <w:vAlign w:val="center"/>
                </w:tcPr>
                <w:p w14:paraId="7728612F">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lang w:eastAsia="zh-CN"/>
                    </w:rPr>
                  </w:pPr>
                </w:p>
              </w:tc>
              <w:tc>
                <w:tcPr>
                  <w:tcW w:w="2182" w:type="pct"/>
                  <w:tcBorders>
                    <w:tl2br w:val="nil"/>
                    <w:tr2bl w:val="nil"/>
                  </w:tcBorders>
                  <w:vAlign w:val="center"/>
                </w:tcPr>
                <w:p w14:paraId="1C280BC3">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相应工位所有VOCs逸散点控制风速小于0.3m/s，或存在强对流干扰</w:t>
                  </w:r>
                </w:p>
              </w:tc>
              <w:tc>
                <w:tcPr>
                  <w:tcW w:w="758" w:type="pct"/>
                  <w:tcBorders>
                    <w:tl2br w:val="nil"/>
                    <w:tr2bl w:val="nil"/>
                  </w:tcBorders>
                  <w:vAlign w:val="center"/>
                </w:tcPr>
                <w:p w14:paraId="48BAC3A9">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14:paraId="56B5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45" w:type="pct"/>
                  <w:tcBorders>
                    <w:tl2br w:val="nil"/>
                    <w:tr2bl w:val="nil"/>
                  </w:tcBorders>
                  <w:vAlign w:val="center"/>
                </w:tcPr>
                <w:p w14:paraId="1CD0F7DD">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无集气设施</w:t>
                  </w:r>
                </w:p>
              </w:tc>
              <w:tc>
                <w:tcPr>
                  <w:tcW w:w="1614" w:type="pct"/>
                  <w:tcBorders>
                    <w:tl2br w:val="nil"/>
                    <w:tr2bl w:val="nil"/>
                  </w:tcBorders>
                  <w:vAlign w:val="center"/>
                </w:tcPr>
                <w:p w14:paraId="58870A30">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2182" w:type="pct"/>
                  <w:tcBorders>
                    <w:tl2br w:val="nil"/>
                    <w:tr2bl w:val="nil"/>
                  </w:tcBorders>
                  <w:vAlign w:val="center"/>
                </w:tcPr>
                <w:p w14:paraId="6D827925">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1、无集气设施；2、集气设施运行不正常</w:t>
                  </w:r>
                </w:p>
              </w:tc>
              <w:tc>
                <w:tcPr>
                  <w:tcW w:w="758" w:type="pct"/>
                  <w:tcBorders>
                    <w:tl2br w:val="nil"/>
                    <w:tr2bl w:val="nil"/>
                  </w:tcBorders>
                  <w:vAlign w:val="center"/>
                </w:tcPr>
                <w:p w14:paraId="70106ED0">
                  <w:pPr>
                    <w:pageBreakBefore w:val="0"/>
                    <w:kinsoku/>
                    <w:wordWrap w:val="0"/>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14:paraId="222C5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000" w:type="pct"/>
                  <w:gridSpan w:val="4"/>
                  <w:tcBorders>
                    <w:tl2br w:val="nil"/>
                    <w:tr2bl w:val="nil"/>
                  </w:tcBorders>
                  <w:vAlign w:val="center"/>
                </w:tcPr>
                <w:p w14:paraId="106F66BF">
                  <w:pPr>
                    <w:pageBreakBefore w:val="0"/>
                    <w:kinsoku/>
                    <w:wordWrap w:val="0"/>
                    <w:overflowPunct/>
                    <w:topLinePunct w:val="0"/>
                    <w:bidi w:val="0"/>
                    <w:spacing w:line="240" w:lineRule="auto"/>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备注：同一工序具有多种废气收集类型的，该工序按照废气收集效率最高的类型取值。</w:t>
                  </w:r>
                </w:p>
              </w:tc>
            </w:tr>
          </w:tbl>
          <w:p w14:paraId="3750AE69">
            <w:pPr>
              <w:pageBreakBefore w:val="0"/>
              <w:kinsoku/>
              <w:wordWrap w:val="0"/>
              <w:overflowPunct/>
              <w:topLinePunct w:val="0"/>
              <w:bidi w:val="0"/>
              <w:spacing w:line="360" w:lineRule="auto"/>
              <w:ind w:firstLine="480" w:firstLineChars="200"/>
              <w:rPr>
                <w:rFonts w:hint="default"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由上表可知</w:t>
            </w:r>
            <w:r>
              <w:rPr>
                <w:rFonts w:hint="eastAsia"/>
                <w:color w:val="auto"/>
                <w:highlight w:val="none"/>
                <w:lang w:eastAsia="zh-CN"/>
              </w:rPr>
              <w:t>，</w:t>
            </w:r>
            <w:r>
              <w:rPr>
                <w:rFonts w:hint="eastAsia" w:ascii="Times New Roman" w:hAnsi="Times New Roman" w:eastAsia="宋体" w:cs="Times New Roman"/>
                <w:color w:val="auto"/>
                <w:sz w:val="24"/>
                <w:highlight w:val="none"/>
                <w:lang w:val="en-US" w:eastAsia="zh-CN"/>
              </w:rPr>
              <w:t>本项目喷涂工序收集情况属于“全密封设备/空间-单层密闭负压”</w:t>
            </w:r>
            <w:r>
              <w:rPr>
                <w:rFonts w:hint="default" w:ascii="Times New Roman" w:hAnsi="Times New Roman" w:eastAsia="宋体" w:cs="Times New Roman"/>
                <w:color w:val="auto"/>
                <w:sz w:val="24"/>
                <w:highlight w:val="none"/>
                <w:lang w:eastAsia="zh-CN"/>
              </w:rPr>
              <w:t>废气收集效率</w:t>
            </w:r>
            <w:r>
              <w:rPr>
                <w:rFonts w:hint="eastAsia" w:ascii="Times New Roman" w:hAnsi="Times New Roman" w:eastAsia="宋体" w:cs="Times New Roman"/>
                <w:color w:val="auto"/>
                <w:sz w:val="24"/>
                <w:highlight w:val="none"/>
                <w:lang w:val="en-US" w:eastAsia="zh-CN"/>
              </w:rPr>
              <w:t>取90%</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固化炉为设备排放口直连，废气处理效率取95%</w:t>
            </w:r>
            <w:r>
              <w:rPr>
                <w:rFonts w:hint="eastAsia" w:cs="Times New Roman"/>
                <w:color w:val="auto"/>
                <w:sz w:val="24"/>
                <w:highlight w:val="none"/>
                <w:lang w:val="en-US" w:eastAsia="zh-CN"/>
              </w:rPr>
              <w:t>是符合规定的。</w:t>
            </w:r>
          </w:p>
          <w:p w14:paraId="493CF764">
            <w:pPr>
              <w:pStyle w:val="120"/>
              <w:pageBreakBefore w:val="0"/>
              <w:wordWrap w:val="0"/>
              <w:topLinePunct/>
              <w:bidi w:val="0"/>
              <w:snapToGrid/>
              <w:spacing w:beforeAutospacing="0" w:afterAutospacing="0"/>
              <w:ind w:firstLine="480"/>
              <w:rPr>
                <w:color w:val="auto"/>
                <w:highlight w:val="none"/>
              </w:rPr>
            </w:pPr>
            <w:r>
              <w:rPr>
                <w:rFonts w:hint="eastAsia" w:cs="Times New Roman"/>
                <w:b/>
                <w:bCs/>
                <w:i w:val="0"/>
                <w:iCs w:val="0"/>
                <w:color w:val="auto"/>
                <w:kern w:val="0"/>
                <w:sz w:val="24"/>
                <w:szCs w:val="24"/>
                <w:highlight w:val="none"/>
                <w:u w:val="none"/>
                <w:lang w:val="en-US" w:eastAsia="zh-CN"/>
              </w:rPr>
              <w:t>设计风量：</w:t>
            </w:r>
            <w:r>
              <w:rPr>
                <w:rFonts w:hint="eastAsia" w:cs="Times New Roman"/>
                <w:i w:val="0"/>
                <w:iCs w:val="0"/>
                <w:color w:val="auto"/>
                <w:kern w:val="0"/>
                <w:sz w:val="24"/>
                <w:szCs w:val="24"/>
                <w:highlight w:val="none"/>
                <w:u w:val="none"/>
                <w:lang w:val="en-US" w:eastAsia="zh-CN"/>
              </w:rPr>
              <w:t>参考</w:t>
            </w:r>
            <w:r>
              <w:rPr>
                <w:color w:val="auto"/>
                <w:kern w:val="0"/>
                <w:highlight w:val="none"/>
              </w:rPr>
              <w:t>《广东省表面涂装（汽车制造业）挥发性有机废气治理技术指南》，废气捕集率评价方法：按照车间空间体积和60次/小时换气次数计算新风量</w:t>
            </w:r>
            <w:r>
              <w:rPr>
                <w:rFonts w:hint="eastAsia"/>
                <w:color w:val="auto"/>
                <w:highlight w:val="none"/>
                <w:lang w:eastAsia="zh-CN"/>
              </w:rPr>
              <w:t>；</w:t>
            </w:r>
            <w:r>
              <w:rPr>
                <w:color w:val="auto"/>
                <w:highlight w:val="none"/>
              </w:rPr>
              <w:t>其余生产车间</w:t>
            </w:r>
            <w:r>
              <w:rPr>
                <w:rFonts w:hint="eastAsia"/>
                <w:color w:val="auto"/>
                <w:highlight w:val="none"/>
                <w:lang w:val="en-US" w:eastAsia="zh-CN"/>
              </w:rPr>
              <w:t>区域</w:t>
            </w:r>
            <w:r>
              <w:rPr>
                <w:color w:val="auto"/>
                <w:highlight w:val="none"/>
              </w:rPr>
              <w:t>按需设置集气罩，</w:t>
            </w:r>
            <w:r>
              <w:rPr>
                <w:rFonts w:hint="eastAsia"/>
                <w:color w:val="auto"/>
                <w:highlight w:val="none"/>
                <w:lang w:val="en-US" w:eastAsia="zh-CN"/>
              </w:rPr>
              <w:t>调漆间位于喷漆房内</w:t>
            </w:r>
            <w:r>
              <w:rPr>
                <w:rFonts w:hint="eastAsia"/>
                <w:color w:val="auto"/>
                <w:highlight w:val="none"/>
                <w:lang w:eastAsia="zh-CN"/>
              </w:rPr>
              <w:t>。</w:t>
            </w:r>
            <w:r>
              <w:rPr>
                <w:rFonts w:hint="eastAsia"/>
                <w:color w:val="auto"/>
                <w:highlight w:val="none"/>
                <w:lang w:val="en-US" w:eastAsia="zh-CN"/>
              </w:rPr>
              <w:t xml:space="preserve">       A.</w:t>
            </w:r>
            <w:r>
              <w:rPr>
                <w:color w:val="auto"/>
                <w:highlight w:val="none"/>
              </w:rPr>
              <w:t>矩形集气罩风量计算</w:t>
            </w:r>
          </w:p>
          <w:p w14:paraId="00481ADA">
            <w:pPr>
              <w:pStyle w:val="120"/>
              <w:pageBreakBefore w:val="0"/>
              <w:wordWrap w:val="0"/>
              <w:topLinePunct/>
              <w:bidi w:val="0"/>
              <w:snapToGrid/>
              <w:spacing w:beforeAutospacing="0" w:afterAutospacing="0"/>
              <w:ind w:firstLine="480"/>
              <w:rPr>
                <w:color w:val="auto"/>
                <w:highlight w:val="none"/>
              </w:rPr>
            </w:pPr>
            <w:r>
              <w:rPr>
                <w:color w:val="auto"/>
                <w:highlight w:val="none"/>
              </w:rPr>
              <w:t>参考《简明通风设计手册》（主编：孙一坚）中矩形排风罩四周无边的排风量计算公式：</w:t>
            </w:r>
          </w:p>
          <w:p w14:paraId="12B0F900">
            <w:pPr>
              <w:pStyle w:val="120"/>
              <w:pageBreakBefore w:val="0"/>
              <w:wordWrap w:val="0"/>
              <w:topLinePunct/>
              <w:bidi w:val="0"/>
              <w:snapToGrid/>
              <w:spacing w:beforeAutospacing="0" w:afterAutospacing="0"/>
              <w:ind w:firstLine="0" w:firstLineChars="0"/>
              <w:jc w:val="center"/>
              <w:rPr>
                <w:color w:val="auto"/>
                <w:highlight w:val="none"/>
              </w:rPr>
            </w:pPr>
            <w:r>
              <w:rPr>
                <w:color w:val="auto"/>
                <w:highlight w:val="none"/>
              </w:rPr>
              <w:t>Q=KPHVx</w:t>
            </w:r>
          </w:p>
          <w:p w14:paraId="50C386CF">
            <w:pPr>
              <w:pStyle w:val="120"/>
              <w:pageBreakBefore w:val="0"/>
              <w:wordWrap w:val="0"/>
              <w:topLinePunct/>
              <w:bidi w:val="0"/>
              <w:snapToGrid/>
              <w:spacing w:beforeAutospacing="0" w:afterAutospacing="0"/>
              <w:ind w:firstLine="480"/>
              <w:rPr>
                <w:color w:val="auto"/>
                <w:highlight w:val="none"/>
              </w:rPr>
            </w:pPr>
            <w:r>
              <w:rPr>
                <w:color w:val="auto"/>
                <w:highlight w:val="none"/>
              </w:rPr>
              <w:t>式中：Q---集气罩排风量，m</w:t>
            </w:r>
            <w:r>
              <w:rPr>
                <w:color w:val="auto"/>
                <w:highlight w:val="none"/>
                <w:vertAlign w:val="superscript"/>
              </w:rPr>
              <w:t>3</w:t>
            </w:r>
            <w:r>
              <w:rPr>
                <w:color w:val="auto"/>
                <w:highlight w:val="none"/>
              </w:rPr>
              <w:t>/s；</w:t>
            </w:r>
          </w:p>
          <w:p w14:paraId="14BD8C7D">
            <w:pPr>
              <w:pStyle w:val="120"/>
              <w:pageBreakBefore w:val="0"/>
              <w:wordWrap w:val="0"/>
              <w:topLinePunct/>
              <w:bidi w:val="0"/>
              <w:snapToGrid/>
              <w:spacing w:beforeAutospacing="0" w:afterAutospacing="0"/>
              <w:ind w:firstLine="1200" w:firstLineChars="500"/>
              <w:rPr>
                <w:color w:val="auto"/>
                <w:highlight w:val="none"/>
              </w:rPr>
            </w:pPr>
            <w:r>
              <w:rPr>
                <w:color w:val="auto"/>
                <w:highlight w:val="none"/>
              </w:rPr>
              <w:t>P---罩口的周长，m；</w:t>
            </w:r>
          </w:p>
          <w:p w14:paraId="44B6A6BB">
            <w:pPr>
              <w:pStyle w:val="120"/>
              <w:pageBreakBefore w:val="0"/>
              <w:wordWrap w:val="0"/>
              <w:topLinePunct/>
              <w:bidi w:val="0"/>
              <w:snapToGrid/>
              <w:spacing w:beforeAutospacing="0" w:afterAutospacing="0"/>
              <w:ind w:firstLine="1200" w:firstLineChars="500"/>
              <w:rPr>
                <w:color w:val="auto"/>
                <w:highlight w:val="none"/>
              </w:rPr>
            </w:pPr>
            <w:r>
              <w:rPr>
                <w:color w:val="auto"/>
                <w:highlight w:val="none"/>
              </w:rPr>
              <w:t>H---控制点至吸气口的距离，取0.5m；</w:t>
            </w:r>
          </w:p>
          <w:p w14:paraId="1F6DAA42">
            <w:pPr>
              <w:pStyle w:val="120"/>
              <w:pageBreakBefore w:val="0"/>
              <w:wordWrap w:val="0"/>
              <w:topLinePunct/>
              <w:bidi w:val="0"/>
              <w:snapToGrid/>
              <w:spacing w:beforeAutospacing="0" w:afterAutospacing="0"/>
              <w:ind w:firstLine="1200" w:firstLineChars="500"/>
              <w:rPr>
                <w:color w:val="auto"/>
                <w:highlight w:val="none"/>
              </w:rPr>
            </w:pPr>
            <w:r>
              <w:rPr>
                <w:color w:val="auto"/>
                <w:highlight w:val="none"/>
              </w:rPr>
              <w:t>V</w:t>
            </w:r>
            <w:r>
              <w:rPr>
                <w:color w:val="auto"/>
                <w:highlight w:val="none"/>
                <w:vertAlign w:val="subscript"/>
              </w:rPr>
              <w:t>x</w:t>
            </w:r>
            <w:r>
              <w:rPr>
                <w:color w:val="auto"/>
                <w:highlight w:val="none"/>
              </w:rPr>
              <w:t>---最小控制风速，m/s（项目污染物放散情况以缓慢的速度放散至平静的空气中，一般取0.25～0.5m/s，为保证收集效率，本项目最小控制风速取0.5m/s）；</w:t>
            </w:r>
          </w:p>
          <w:p w14:paraId="7D0922DB">
            <w:pPr>
              <w:pStyle w:val="120"/>
              <w:pageBreakBefore w:val="0"/>
              <w:wordWrap w:val="0"/>
              <w:topLinePunct/>
              <w:bidi w:val="0"/>
              <w:snapToGrid/>
              <w:spacing w:beforeAutospacing="0" w:afterAutospacing="0"/>
              <w:ind w:firstLine="1200" w:firstLineChars="500"/>
              <w:rPr>
                <w:color w:val="auto"/>
                <w:highlight w:val="none"/>
              </w:rPr>
            </w:pPr>
            <w:r>
              <w:rPr>
                <w:color w:val="auto"/>
                <w:highlight w:val="none"/>
              </w:rPr>
              <w:t>K---考虑沿高度分布不均匀的安全系数，通常取K=1.4。</w:t>
            </w:r>
          </w:p>
          <w:p w14:paraId="46B3335C">
            <w:pPr>
              <w:pStyle w:val="120"/>
              <w:pageBreakBefore w:val="0"/>
              <w:wordWrap w:val="0"/>
              <w:topLinePunct/>
              <w:bidi w:val="0"/>
              <w:snapToGrid/>
              <w:spacing w:beforeAutospacing="0" w:afterAutospacing="0"/>
              <w:ind w:firstLine="480"/>
              <w:rPr>
                <w:color w:val="auto"/>
                <w:highlight w:val="none"/>
              </w:rPr>
            </w:pPr>
            <w:r>
              <w:rPr>
                <w:rFonts w:hint="eastAsia"/>
                <w:color w:val="auto"/>
                <w:highlight w:val="none"/>
                <w:lang w:val="en-US" w:eastAsia="zh-CN"/>
              </w:rPr>
              <w:t>B.</w:t>
            </w:r>
            <w:r>
              <w:rPr>
                <w:color w:val="auto"/>
                <w:highlight w:val="none"/>
              </w:rPr>
              <w:t>圆形排风管风量计算</w:t>
            </w:r>
          </w:p>
          <w:p w14:paraId="4ACF8624">
            <w:pPr>
              <w:pStyle w:val="120"/>
              <w:pageBreakBefore w:val="0"/>
              <w:wordWrap w:val="0"/>
              <w:topLinePunct/>
              <w:bidi w:val="0"/>
              <w:snapToGrid/>
              <w:spacing w:beforeAutospacing="0" w:afterAutospacing="0"/>
              <w:ind w:firstLine="480"/>
              <w:rPr>
                <w:color w:val="auto"/>
                <w:highlight w:val="none"/>
              </w:rPr>
            </w:pPr>
            <w:r>
              <w:rPr>
                <w:color w:val="auto"/>
                <w:highlight w:val="none"/>
              </w:rPr>
              <w:t>参考《环境工程设计手册》中圆形分管的风量计算公式：</w:t>
            </w:r>
          </w:p>
          <w:p w14:paraId="36942420">
            <w:pPr>
              <w:pStyle w:val="120"/>
              <w:pageBreakBefore w:val="0"/>
              <w:wordWrap w:val="0"/>
              <w:topLinePunct/>
              <w:bidi w:val="0"/>
              <w:snapToGrid/>
              <w:spacing w:beforeAutospacing="0" w:afterAutospacing="0"/>
              <w:ind w:firstLine="480"/>
              <w:jc w:val="center"/>
              <w:rPr>
                <w:color w:val="auto"/>
                <w:highlight w:val="none"/>
              </w:rPr>
            </w:pPr>
            <w:r>
              <w:rPr>
                <w:color w:val="auto"/>
                <w:highlight w:val="none"/>
              </w:rPr>
              <w:drawing>
                <wp:inline distT="0" distB="0" distL="0" distR="0">
                  <wp:extent cx="1826895" cy="391795"/>
                  <wp:effectExtent l="0" t="0" r="1270" b="8255"/>
                  <wp:docPr id="1054" name="图片 50"/>
                  <wp:cNvGraphicFramePr/>
                  <a:graphic xmlns:a="http://schemas.openxmlformats.org/drawingml/2006/main">
                    <a:graphicData uri="http://schemas.openxmlformats.org/drawingml/2006/picture">
                      <pic:pic xmlns:pic="http://schemas.openxmlformats.org/drawingml/2006/picture">
                        <pic:nvPicPr>
                          <pic:cNvPr id="1054" name="图片 50"/>
                          <pic:cNvPicPr/>
                        </pic:nvPicPr>
                        <pic:blipFill>
                          <a:blip r:embed="rId20" cstate="print"/>
                          <a:srcRect/>
                          <a:stretch>
                            <a:fillRect/>
                          </a:stretch>
                        </pic:blipFill>
                        <pic:spPr>
                          <a:xfrm>
                            <a:off x="0" y="0"/>
                            <a:ext cx="1826895" cy="391795"/>
                          </a:xfrm>
                          <a:prstGeom prst="rect">
                            <a:avLst/>
                          </a:prstGeom>
                          <a:ln>
                            <a:noFill/>
                          </a:ln>
                        </pic:spPr>
                      </pic:pic>
                    </a:graphicData>
                  </a:graphic>
                </wp:inline>
              </w:drawing>
            </w:r>
          </w:p>
          <w:p w14:paraId="6879FEBD">
            <w:pPr>
              <w:pStyle w:val="120"/>
              <w:pageBreakBefore w:val="0"/>
              <w:wordWrap w:val="0"/>
              <w:topLinePunct/>
              <w:bidi w:val="0"/>
              <w:snapToGrid/>
              <w:spacing w:beforeAutospacing="0" w:afterAutospacing="0"/>
              <w:ind w:firstLine="480"/>
              <w:rPr>
                <w:color w:val="auto"/>
                <w:highlight w:val="none"/>
              </w:rPr>
            </w:pPr>
            <w:r>
              <w:rPr>
                <w:color w:val="auto"/>
                <w:highlight w:val="none"/>
              </w:rPr>
              <w:t>式中：L---集气罩排风量，m</w:t>
            </w:r>
            <w:r>
              <w:rPr>
                <w:color w:val="auto"/>
                <w:highlight w:val="none"/>
                <w:vertAlign w:val="superscript"/>
              </w:rPr>
              <w:t>3</w:t>
            </w:r>
            <w:r>
              <w:rPr>
                <w:color w:val="auto"/>
                <w:highlight w:val="none"/>
              </w:rPr>
              <w:t>/h；</w:t>
            </w:r>
          </w:p>
          <w:p w14:paraId="62F8E2C0">
            <w:pPr>
              <w:pStyle w:val="120"/>
              <w:pageBreakBefore w:val="0"/>
              <w:wordWrap w:val="0"/>
              <w:topLinePunct/>
              <w:bidi w:val="0"/>
              <w:snapToGrid/>
              <w:spacing w:beforeAutospacing="0" w:afterAutospacing="0"/>
              <w:ind w:firstLine="1200" w:firstLineChars="500"/>
              <w:rPr>
                <w:color w:val="auto"/>
                <w:highlight w:val="none"/>
              </w:rPr>
            </w:pPr>
            <w:r>
              <w:rPr>
                <w:color w:val="auto"/>
                <w:highlight w:val="none"/>
              </w:rPr>
              <w:t>D---分管直径，m；</w:t>
            </w:r>
          </w:p>
          <w:p w14:paraId="3917097B">
            <w:pPr>
              <w:pStyle w:val="120"/>
              <w:pageBreakBefore w:val="0"/>
              <w:wordWrap w:val="0"/>
              <w:topLinePunct/>
              <w:bidi w:val="0"/>
              <w:snapToGrid/>
              <w:spacing w:beforeAutospacing="0" w:afterAutospacing="0"/>
              <w:ind w:firstLine="1200" w:firstLineChars="500"/>
              <w:rPr>
                <w:color w:val="auto"/>
                <w:highlight w:val="none"/>
              </w:rPr>
            </w:pPr>
            <w:r>
              <w:rPr>
                <w:color w:val="auto"/>
                <w:highlight w:val="none"/>
              </w:rPr>
              <w:t>V---断面平均风速，m/s，本项目断面平均风速取5.34m/s。</w:t>
            </w:r>
          </w:p>
          <w:p w14:paraId="5F22A0D0">
            <w:pPr>
              <w:pStyle w:val="120"/>
              <w:pageBreakBefore w:val="0"/>
              <w:numPr>
                <w:ilvl w:val="0"/>
                <w:numId w:val="0"/>
              </w:numPr>
              <w:wordWrap w:val="0"/>
              <w:topLinePunct/>
              <w:bidi w:val="0"/>
              <w:snapToGrid/>
              <w:spacing w:beforeAutospacing="0" w:afterAutospacing="0"/>
              <w:ind w:firstLine="482"/>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i w:val="0"/>
                <w:iCs w:val="0"/>
                <w:color w:val="auto"/>
                <w:kern w:val="0"/>
                <w:sz w:val="24"/>
                <w:szCs w:val="24"/>
                <w:highlight w:val="none"/>
                <w:u w:val="none"/>
                <w:lang w:val="en-US" w:eastAsia="zh-CN"/>
              </w:rPr>
              <w:t>喷漆废气集气设备设计参数见下表。</w:t>
            </w:r>
          </w:p>
          <w:p w14:paraId="38285315">
            <w:pPr>
              <w:keepNext w:val="0"/>
              <w:keepLines w:val="0"/>
              <w:pageBreakBefore w:val="0"/>
              <w:widowControl w:val="0"/>
              <w:numPr>
                <w:ilvl w:val="0"/>
                <w:numId w:val="10"/>
              </w:numPr>
              <w:kinsoku/>
              <w:wordWrap w:val="0"/>
              <w:overflowPunct/>
              <w:topLinePunct w:val="0"/>
              <w:autoSpaceDE/>
              <w:autoSpaceDN/>
              <w:bidi w:val="0"/>
              <w:adjustRightInd/>
              <w:snapToGrid/>
              <w:spacing w:line="240" w:lineRule="auto"/>
              <w:ind w:left="0" w:leftChars="0" w:hanging="1" w:firstLineChars="0"/>
              <w:jc w:val="center"/>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color w:val="auto"/>
                <w:sz w:val="21"/>
                <w:szCs w:val="21"/>
                <w:highlight w:val="none"/>
                <w:lang w:val="en-US" w:eastAsia="zh-CN"/>
              </w:rPr>
              <w:t xml:space="preserve"> 集气设备设计参数</w:t>
            </w:r>
          </w:p>
          <w:tbl>
            <w:tblPr>
              <w:tblStyle w:val="43"/>
              <w:tblW w:w="777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54"/>
              <w:gridCol w:w="1614"/>
              <w:gridCol w:w="881"/>
              <w:gridCol w:w="956"/>
              <w:gridCol w:w="934"/>
              <w:gridCol w:w="1056"/>
              <w:gridCol w:w="1178"/>
            </w:tblGrid>
            <w:tr w14:paraId="1FAE8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40" w:hRule="atLeast"/>
              </w:trPr>
              <w:tc>
                <w:tcPr>
                  <w:tcW w:w="1172" w:type="dxa"/>
                  <w:tcBorders>
                    <w:top w:val="single" w:color="000000" w:sz="4" w:space="0"/>
                    <w:left w:val="single" w:color="000000" w:sz="4" w:space="0"/>
                    <w:bottom w:val="single" w:color="000000" w:sz="4" w:space="0"/>
                    <w:right w:val="single" w:color="000000" w:sz="4" w:space="0"/>
                  </w:tcBorders>
                  <w:vAlign w:val="center"/>
                </w:tcPr>
                <w:p w14:paraId="3B077820">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工序</w:t>
                  </w:r>
                </w:p>
              </w:tc>
              <w:tc>
                <w:tcPr>
                  <w:tcW w:w="1614" w:type="dxa"/>
                  <w:tcBorders>
                    <w:top w:val="single" w:color="000000" w:sz="4" w:space="0"/>
                    <w:left w:val="single" w:color="000000" w:sz="4" w:space="0"/>
                    <w:bottom w:val="single" w:color="000000" w:sz="4" w:space="0"/>
                    <w:right w:val="single" w:color="000000" w:sz="4" w:space="0"/>
                  </w:tcBorders>
                  <w:vAlign w:val="center"/>
                </w:tcPr>
                <w:p w14:paraId="664A4CB5">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尺寸</w:t>
                  </w:r>
                </w:p>
              </w:tc>
              <w:tc>
                <w:tcPr>
                  <w:tcW w:w="863" w:type="dxa"/>
                  <w:tcBorders>
                    <w:top w:val="single" w:color="000000" w:sz="4" w:space="0"/>
                    <w:left w:val="single" w:color="000000" w:sz="4" w:space="0"/>
                    <w:bottom w:val="single" w:color="000000" w:sz="4" w:space="0"/>
                    <w:right w:val="single" w:color="000000" w:sz="4" w:space="0"/>
                  </w:tcBorders>
                  <w:vAlign w:val="center"/>
                </w:tcPr>
                <w:p w14:paraId="2FA066C6">
                  <w:pPr>
                    <w:keepNext w:val="0"/>
                    <w:keepLines w:val="0"/>
                    <w:widowControl/>
                    <w:suppressLineNumbers w:val="0"/>
                    <w:spacing w:line="240" w:lineRule="auto"/>
                    <w:jc w:val="center"/>
                    <w:textAlignment w:val="center"/>
                    <w:rPr>
                      <w:rFonts w:hint="eastAsia" w:ascii="宋体" w:hAnsi="宋体" w:eastAsia="宋体" w:cs="宋体"/>
                      <w:b/>
                      <w:bCs/>
                      <w:i w:val="0"/>
                      <w:iCs w:val="0"/>
                      <w:color w:val="auto"/>
                      <w:kern w:val="2"/>
                      <w:sz w:val="21"/>
                      <w:szCs w:val="21"/>
                      <w:highlight w:val="none"/>
                      <w:u w:val="none"/>
                      <w:lang w:val="en-US" w:eastAsia="zh-CN" w:bidi="ar-SA"/>
                    </w:rPr>
                  </w:pPr>
                  <w:r>
                    <w:rPr>
                      <w:rFonts w:hint="eastAsia" w:ascii="宋体" w:hAnsi="宋体" w:eastAsia="宋体" w:cs="宋体"/>
                      <w:b/>
                      <w:bCs/>
                      <w:i w:val="0"/>
                      <w:iCs w:val="0"/>
                      <w:color w:val="auto"/>
                      <w:kern w:val="0"/>
                      <w:sz w:val="21"/>
                      <w:szCs w:val="21"/>
                      <w:highlight w:val="none"/>
                      <w:u w:val="none"/>
                      <w:lang w:val="en-US" w:eastAsia="zh-CN"/>
                    </w:rPr>
                    <w:t>体积（</w:t>
                  </w:r>
                  <w:r>
                    <w:rPr>
                      <w:rFonts w:hint="default" w:ascii="Times New Roman" w:hAnsi="Times New Roman" w:eastAsia="宋体" w:cs="Times New Roman"/>
                      <w:b/>
                      <w:bCs/>
                      <w:i w:val="0"/>
                      <w:iCs w:val="0"/>
                      <w:color w:val="auto"/>
                      <w:kern w:val="0"/>
                      <w:sz w:val="21"/>
                      <w:szCs w:val="21"/>
                      <w:highlight w:val="none"/>
                      <w:u w:val="none"/>
                      <w:lang w:val="en-US" w:eastAsia="zh-CN"/>
                    </w:rPr>
                    <w:t>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rPr>
                    <w:t>3</w:t>
                  </w:r>
                  <w:r>
                    <w:rPr>
                      <w:rFonts w:hint="eastAsia" w:ascii="宋体" w:hAnsi="宋体" w:eastAsia="宋体" w:cs="宋体"/>
                      <w:b/>
                      <w:bCs/>
                      <w:i w:val="0"/>
                      <w:iCs w:val="0"/>
                      <w:color w:val="auto"/>
                      <w:kern w:val="0"/>
                      <w:sz w:val="21"/>
                      <w:szCs w:val="21"/>
                      <w:highlight w:val="none"/>
                      <w:u w:val="none"/>
                      <w:lang w:val="en-US" w:eastAsia="zh-CN"/>
                    </w:rPr>
                    <w:t>）</w:t>
                  </w:r>
                </w:p>
              </w:tc>
              <w:tc>
                <w:tcPr>
                  <w:tcW w:w="956" w:type="dxa"/>
                  <w:tcBorders>
                    <w:top w:val="single" w:color="000000" w:sz="4" w:space="0"/>
                    <w:left w:val="single" w:color="000000" w:sz="4" w:space="0"/>
                    <w:bottom w:val="single" w:color="000000" w:sz="4" w:space="0"/>
                    <w:right w:val="single" w:color="000000" w:sz="4" w:space="0"/>
                  </w:tcBorders>
                  <w:vAlign w:val="center"/>
                </w:tcPr>
                <w:p w14:paraId="7B861812">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换气常数（次</w:t>
                  </w:r>
                  <w:r>
                    <w:rPr>
                      <w:rFonts w:hint="default" w:ascii="Times New Roman" w:hAnsi="Times New Roman" w:eastAsia="宋体" w:cs="Times New Roman"/>
                      <w:b/>
                      <w:bCs/>
                      <w:i w:val="0"/>
                      <w:iCs w:val="0"/>
                      <w:color w:val="auto"/>
                      <w:kern w:val="0"/>
                      <w:sz w:val="21"/>
                      <w:szCs w:val="21"/>
                      <w:highlight w:val="none"/>
                      <w:u w:val="none"/>
                      <w:lang w:val="en-US" w:eastAsia="zh-CN"/>
                    </w:rPr>
                    <w:t>/h</w:t>
                  </w:r>
                  <w:r>
                    <w:rPr>
                      <w:rFonts w:hint="eastAsia" w:ascii="宋体" w:hAnsi="宋体" w:eastAsia="宋体" w:cs="宋体"/>
                      <w:b/>
                      <w:bCs/>
                      <w:i w:val="0"/>
                      <w:iCs w:val="0"/>
                      <w:color w:val="auto"/>
                      <w:kern w:val="0"/>
                      <w:sz w:val="21"/>
                      <w:szCs w:val="21"/>
                      <w:highlight w:val="none"/>
                      <w:u w:val="none"/>
                      <w:lang w:val="en-US" w:eastAsia="zh-CN"/>
                    </w:rPr>
                    <w:t>）</w:t>
                  </w:r>
                </w:p>
              </w:tc>
              <w:tc>
                <w:tcPr>
                  <w:tcW w:w="956" w:type="dxa"/>
                  <w:tcBorders>
                    <w:top w:val="single" w:color="000000" w:sz="4" w:space="0"/>
                    <w:left w:val="single" w:color="000000" w:sz="4" w:space="0"/>
                    <w:bottom w:val="single" w:color="000000" w:sz="4" w:space="0"/>
                    <w:right w:val="single" w:color="000000" w:sz="4" w:space="0"/>
                  </w:tcBorders>
                  <w:vAlign w:val="center"/>
                </w:tcPr>
                <w:p w14:paraId="4B7B9E08">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数量</w:t>
                  </w:r>
                </w:p>
              </w:tc>
              <w:tc>
                <w:tcPr>
                  <w:tcW w:w="1034" w:type="dxa"/>
                  <w:tcBorders>
                    <w:top w:val="single" w:color="000000" w:sz="4" w:space="0"/>
                    <w:left w:val="single" w:color="000000" w:sz="4" w:space="0"/>
                    <w:bottom w:val="single" w:color="000000" w:sz="4" w:space="0"/>
                    <w:right w:val="single" w:color="000000" w:sz="4" w:space="0"/>
                  </w:tcBorders>
                  <w:vAlign w:val="center"/>
                </w:tcPr>
                <w:p w14:paraId="7C3B6ED2">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单个所需风量（</w:t>
                  </w:r>
                  <w:r>
                    <w:rPr>
                      <w:rFonts w:hint="default" w:ascii="Times New Roman" w:hAnsi="Times New Roman" w:eastAsia="宋体" w:cs="Times New Roman"/>
                      <w:b/>
                      <w:bCs/>
                      <w:i w:val="0"/>
                      <w:iCs w:val="0"/>
                      <w:color w:val="auto"/>
                      <w:kern w:val="0"/>
                      <w:sz w:val="21"/>
                      <w:szCs w:val="21"/>
                      <w:highlight w:val="none"/>
                      <w:u w:val="none"/>
                      <w:lang w:val="en-US" w:eastAsia="zh-CN"/>
                    </w:rPr>
                    <w:t>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rPr>
                    <w:t>3</w:t>
                  </w:r>
                  <w:r>
                    <w:rPr>
                      <w:rFonts w:hint="default" w:ascii="Times New Roman" w:hAnsi="Times New Roman" w:eastAsia="宋体" w:cs="Times New Roman"/>
                      <w:b/>
                      <w:bCs/>
                      <w:i w:val="0"/>
                      <w:iCs w:val="0"/>
                      <w:color w:val="auto"/>
                      <w:kern w:val="0"/>
                      <w:sz w:val="21"/>
                      <w:szCs w:val="21"/>
                      <w:highlight w:val="none"/>
                      <w:u w:val="none"/>
                      <w:lang w:val="en-US" w:eastAsia="zh-CN"/>
                    </w:rPr>
                    <w:t>/h</w:t>
                  </w:r>
                  <w:r>
                    <w:rPr>
                      <w:rFonts w:hint="eastAsia" w:ascii="宋体" w:hAnsi="宋体" w:eastAsia="宋体" w:cs="宋体"/>
                      <w:b/>
                      <w:bCs/>
                      <w:i w:val="0"/>
                      <w:iCs w:val="0"/>
                      <w:color w:val="auto"/>
                      <w:kern w:val="0"/>
                      <w:sz w:val="21"/>
                      <w:szCs w:val="21"/>
                      <w:highlight w:val="none"/>
                      <w:u w:val="none"/>
                      <w:lang w:val="en-US" w:eastAsia="zh-CN"/>
                    </w:rPr>
                    <w:t>）</w:t>
                  </w:r>
                </w:p>
              </w:tc>
              <w:tc>
                <w:tcPr>
                  <w:tcW w:w="1178" w:type="dxa"/>
                  <w:tcBorders>
                    <w:top w:val="single" w:color="000000" w:sz="4" w:space="0"/>
                    <w:left w:val="single" w:color="000000" w:sz="4" w:space="0"/>
                    <w:bottom w:val="single" w:color="000000" w:sz="4" w:space="0"/>
                    <w:right w:val="single" w:color="000000" w:sz="4" w:space="0"/>
                  </w:tcBorders>
                  <w:vAlign w:val="center"/>
                </w:tcPr>
                <w:p w14:paraId="7BB59724">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整体所需风量（</w:t>
                  </w:r>
                  <w:r>
                    <w:rPr>
                      <w:rFonts w:hint="default" w:ascii="Times New Roman" w:hAnsi="Times New Roman" w:eastAsia="宋体" w:cs="Times New Roman"/>
                      <w:b/>
                      <w:bCs/>
                      <w:i w:val="0"/>
                      <w:iCs w:val="0"/>
                      <w:color w:val="auto"/>
                      <w:kern w:val="0"/>
                      <w:sz w:val="21"/>
                      <w:szCs w:val="21"/>
                      <w:highlight w:val="none"/>
                      <w:u w:val="none"/>
                      <w:lang w:val="en-US" w:eastAsia="zh-CN"/>
                    </w:rPr>
                    <w:t>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rPr>
                    <w:t>3</w:t>
                  </w:r>
                  <w:r>
                    <w:rPr>
                      <w:rFonts w:hint="default" w:ascii="Times New Roman" w:hAnsi="Times New Roman" w:eastAsia="宋体" w:cs="Times New Roman"/>
                      <w:b/>
                      <w:bCs/>
                      <w:i w:val="0"/>
                      <w:iCs w:val="0"/>
                      <w:color w:val="auto"/>
                      <w:kern w:val="0"/>
                      <w:sz w:val="21"/>
                      <w:szCs w:val="21"/>
                      <w:highlight w:val="none"/>
                      <w:u w:val="none"/>
                      <w:lang w:val="en-US" w:eastAsia="zh-CN"/>
                    </w:rPr>
                    <w:t>/h</w:t>
                  </w:r>
                  <w:r>
                    <w:rPr>
                      <w:rFonts w:hint="eastAsia" w:ascii="宋体" w:hAnsi="宋体" w:eastAsia="宋体" w:cs="宋体"/>
                      <w:b/>
                      <w:bCs/>
                      <w:i w:val="0"/>
                      <w:iCs w:val="0"/>
                      <w:color w:val="auto"/>
                      <w:kern w:val="0"/>
                      <w:sz w:val="21"/>
                      <w:szCs w:val="21"/>
                      <w:highlight w:val="none"/>
                      <w:u w:val="none"/>
                      <w:lang w:val="en-US" w:eastAsia="zh-CN"/>
                    </w:rPr>
                    <w:t>）</w:t>
                  </w:r>
                </w:p>
              </w:tc>
            </w:tr>
            <w:tr w14:paraId="38B5C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72" w:type="dxa"/>
                  <w:tcBorders>
                    <w:top w:val="single" w:color="000000" w:sz="4" w:space="0"/>
                    <w:left w:val="single" w:color="000000" w:sz="4" w:space="0"/>
                    <w:bottom w:val="single" w:color="000000" w:sz="4" w:space="0"/>
                    <w:right w:val="single" w:color="000000" w:sz="4" w:space="0"/>
                  </w:tcBorders>
                  <w:vAlign w:val="center"/>
                </w:tcPr>
                <w:p w14:paraId="133E83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rPr>
                    <w:t>油</w:t>
                  </w:r>
                  <w:r>
                    <w:rPr>
                      <w:rFonts w:hint="eastAsia" w:ascii="宋体" w:hAnsi="宋体" w:eastAsia="宋体" w:cs="宋体"/>
                      <w:i w:val="0"/>
                      <w:iCs w:val="0"/>
                      <w:color w:val="auto"/>
                      <w:kern w:val="0"/>
                      <w:sz w:val="21"/>
                      <w:szCs w:val="21"/>
                      <w:highlight w:val="none"/>
                      <w:u w:val="none"/>
                      <w:lang w:val="en-US" w:eastAsia="zh-CN"/>
                    </w:rPr>
                    <w:t>漆喷房</w:t>
                  </w:r>
                </w:p>
              </w:tc>
              <w:tc>
                <w:tcPr>
                  <w:tcW w:w="1614" w:type="dxa"/>
                  <w:tcBorders>
                    <w:top w:val="single" w:color="000000" w:sz="4" w:space="0"/>
                    <w:left w:val="single" w:color="000000" w:sz="4" w:space="0"/>
                    <w:bottom w:val="single" w:color="000000" w:sz="4" w:space="0"/>
                    <w:right w:val="single" w:color="000000" w:sz="4" w:space="0"/>
                  </w:tcBorders>
                  <w:vAlign w:val="center"/>
                </w:tcPr>
                <w:p w14:paraId="5513E9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rPr>
                    <w:t>4m*4m*3.5m</w:t>
                  </w:r>
                </w:p>
              </w:tc>
              <w:tc>
                <w:tcPr>
                  <w:tcW w:w="863" w:type="dxa"/>
                  <w:tcBorders>
                    <w:top w:val="single" w:color="000000" w:sz="4" w:space="0"/>
                    <w:left w:val="single" w:color="000000" w:sz="4" w:space="0"/>
                    <w:bottom w:val="single" w:color="000000" w:sz="4" w:space="0"/>
                    <w:right w:val="single" w:color="000000" w:sz="4" w:space="0"/>
                  </w:tcBorders>
                  <w:vAlign w:val="center"/>
                </w:tcPr>
                <w:p w14:paraId="08AD6B5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rPr>
                    <w:t>56</w:t>
                  </w:r>
                </w:p>
              </w:tc>
              <w:tc>
                <w:tcPr>
                  <w:tcW w:w="956" w:type="dxa"/>
                  <w:tcBorders>
                    <w:top w:val="single" w:color="000000" w:sz="4" w:space="0"/>
                    <w:left w:val="single" w:color="000000" w:sz="4" w:space="0"/>
                    <w:bottom w:val="single" w:color="000000" w:sz="4" w:space="0"/>
                    <w:right w:val="single" w:color="000000" w:sz="4" w:space="0"/>
                  </w:tcBorders>
                  <w:vAlign w:val="center"/>
                </w:tcPr>
                <w:p w14:paraId="4DAB9F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60</w:t>
                  </w:r>
                </w:p>
              </w:tc>
              <w:tc>
                <w:tcPr>
                  <w:tcW w:w="956" w:type="dxa"/>
                  <w:tcBorders>
                    <w:top w:val="single" w:color="000000" w:sz="4" w:space="0"/>
                    <w:left w:val="single" w:color="000000" w:sz="4" w:space="0"/>
                    <w:bottom w:val="single" w:color="000000" w:sz="4" w:space="0"/>
                    <w:right w:val="single" w:color="000000" w:sz="4" w:space="0"/>
                  </w:tcBorders>
                  <w:vAlign w:val="center"/>
                </w:tcPr>
                <w:p w14:paraId="642BB8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w:t>
                  </w:r>
                </w:p>
              </w:tc>
              <w:tc>
                <w:tcPr>
                  <w:tcW w:w="1034" w:type="dxa"/>
                  <w:tcBorders>
                    <w:top w:val="single" w:color="000000" w:sz="4" w:space="0"/>
                    <w:left w:val="single" w:color="000000" w:sz="4" w:space="0"/>
                    <w:bottom w:val="single" w:color="000000" w:sz="4" w:space="0"/>
                    <w:right w:val="single" w:color="000000" w:sz="4" w:space="0"/>
                  </w:tcBorders>
                  <w:vAlign w:val="center"/>
                </w:tcPr>
                <w:p w14:paraId="44266E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3360</w:t>
                  </w:r>
                </w:p>
              </w:tc>
              <w:tc>
                <w:tcPr>
                  <w:tcW w:w="1178" w:type="dxa"/>
                  <w:tcBorders>
                    <w:top w:val="single" w:color="000000" w:sz="4" w:space="0"/>
                    <w:left w:val="single" w:color="000000" w:sz="4" w:space="0"/>
                    <w:bottom w:val="single" w:color="000000" w:sz="4" w:space="0"/>
                    <w:right w:val="single" w:color="000000" w:sz="4" w:space="0"/>
                  </w:tcBorders>
                  <w:vAlign w:val="center"/>
                </w:tcPr>
                <w:p w14:paraId="153A97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3360</w:t>
                  </w:r>
                </w:p>
              </w:tc>
            </w:tr>
            <w:tr w14:paraId="524FC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172" w:type="dxa"/>
                  <w:tcBorders>
                    <w:top w:val="single" w:color="000000" w:sz="4" w:space="0"/>
                    <w:left w:val="single" w:color="000000" w:sz="4" w:space="0"/>
                    <w:bottom w:val="single" w:color="000000" w:sz="4" w:space="0"/>
                    <w:right w:val="single" w:color="000000" w:sz="4" w:space="0"/>
                  </w:tcBorders>
                  <w:vAlign w:val="center"/>
                </w:tcPr>
                <w:p w14:paraId="54337C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rPr>
                    <w:t>丝印</w:t>
                  </w:r>
                  <w:r>
                    <w:rPr>
                      <w:rFonts w:hint="eastAsia" w:ascii="宋体" w:hAnsi="宋体" w:eastAsia="宋体" w:cs="宋体"/>
                      <w:i w:val="0"/>
                      <w:iCs w:val="0"/>
                      <w:color w:val="auto"/>
                      <w:kern w:val="0"/>
                      <w:sz w:val="21"/>
                      <w:szCs w:val="21"/>
                      <w:highlight w:val="none"/>
                      <w:u w:val="none"/>
                      <w:lang w:val="en-US" w:eastAsia="zh-CN"/>
                    </w:rPr>
                    <w:t>间</w:t>
                  </w:r>
                </w:p>
              </w:tc>
              <w:tc>
                <w:tcPr>
                  <w:tcW w:w="1614" w:type="dxa"/>
                  <w:tcBorders>
                    <w:top w:val="single" w:color="000000" w:sz="4" w:space="0"/>
                    <w:left w:val="single" w:color="000000" w:sz="4" w:space="0"/>
                    <w:bottom w:val="single" w:color="000000" w:sz="4" w:space="0"/>
                    <w:right w:val="single" w:color="000000" w:sz="4" w:space="0"/>
                  </w:tcBorders>
                  <w:vAlign w:val="center"/>
                </w:tcPr>
                <w:p w14:paraId="5AFFB4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2m*2m*3.5m</w:t>
                  </w:r>
                </w:p>
              </w:tc>
              <w:tc>
                <w:tcPr>
                  <w:tcW w:w="863" w:type="dxa"/>
                  <w:tcBorders>
                    <w:top w:val="single" w:color="000000" w:sz="4" w:space="0"/>
                    <w:left w:val="single" w:color="000000" w:sz="4" w:space="0"/>
                    <w:bottom w:val="single" w:color="000000" w:sz="4" w:space="0"/>
                    <w:right w:val="single" w:color="000000" w:sz="4" w:space="0"/>
                  </w:tcBorders>
                  <w:vAlign w:val="center"/>
                </w:tcPr>
                <w:p w14:paraId="5BF9192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rPr>
                    <w:t>14</w:t>
                  </w:r>
                </w:p>
              </w:tc>
              <w:tc>
                <w:tcPr>
                  <w:tcW w:w="956" w:type="dxa"/>
                  <w:tcBorders>
                    <w:top w:val="single" w:color="000000" w:sz="4" w:space="0"/>
                    <w:left w:val="single" w:color="000000" w:sz="4" w:space="0"/>
                    <w:bottom w:val="single" w:color="000000" w:sz="4" w:space="0"/>
                    <w:right w:val="single" w:color="000000" w:sz="4" w:space="0"/>
                  </w:tcBorders>
                  <w:vAlign w:val="center"/>
                </w:tcPr>
                <w:p w14:paraId="39C6D4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60</w:t>
                  </w:r>
                </w:p>
              </w:tc>
              <w:tc>
                <w:tcPr>
                  <w:tcW w:w="956" w:type="dxa"/>
                  <w:tcBorders>
                    <w:top w:val="single" w:color="000000" w:sz="4" w:space="0"/>
                    <w:left w:val="single" w:color="000000" w:sz="4" w:space="0"/>
                    <w:bottom w:val="single" w:color="000000" w:sz="4" w:space="0"/>
                    <w:right w:val="single" w:color="000000" w:sz="4" w:space="0"/>
                  </w:tcBorders>
                  <w:vAlign w:val="center"/>
                </w:tcPr>
                <w:p w14:paraId="7D8635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1</w:t>
                  </w:r>
                </w:p>
              </w:tc>
              <w:tc>
                <w:tcPr>
                  <w:tcW w:w="1034" w:type="dxa"/>
                  <w:tcBorders>
                    <w:top w:val="single" w:color="000000" w:sz="4" w:space="0"/>
                    <w:left w:val="single" w:color="000000" w:sz="4" w:space="0"/>
                    <w:bottom w:val="single" w:color="000000" w:sz="4" w:space="0"/>
                    <w:right w:val="single" w:color="000000" w:sz="4" w:space="0"/>
                  </w:tcBorders>
                  <w:vAlign w:val="center"/>
                </w:tcPr>
                <w:p w14:paraId="7BD6BE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840</w:t>
                  </w:r>
                </w:p>
              </w:tc>
              <w:tc>
                <w:tcPr>
                  <w:tcW w:w="1178" w:type="dxa"/>
                  <w:tcBorders>
                    <w:top w:val="single" w:color="000000" w:sz="4" w:space="0"/>
                    <w:left w:val="single" w:color="000000" w:sz="4" w:space="0"/>
                    <w:bottom w:val="single" w:color="000000" w:sz="4" w:space="0"/>
                    <w:right w:val="single" w:color="000000" w:sz="4" w:space="0"/>
                  </w:tcBorders>
                  <w:vAlign w:val="center"/>
                </w:tcPr>
                <w:p w14:paraId="6B7F37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840</w:t>
                  </w:r>
                </w:p>
              </w:tc>
            </w:tr>
            <w:tr w14:paraId="2913A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95" w:type="dxa"/>
                  <w:gridSpan w:val="6"/>
                  <w:tcBorders>
                    <w:top w:val="single" w:color="000000" w:sz="4" w:space="0"/>
                    <w:left w:val="single" w:color="000000" w:sz="4" w:space="0"/>
                    <w:bottom w:val="single" w:color="000000" w:sz="4" w:space="0"/>
                    <w:right w:val="single" w:color="000000" w:sz="4" w:space="0"/>
                  </w:tcBorders>
                  <w:noWrap/>
                  <w:vAlign w:val="center"/>
                </w:tcPr>
                <w:p w14:paraId="6D009D4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合计</w:t>
                  </w:r>
                </w:p>
              </w:tc>
              <w:tc>
                <w:tcPr>
                  <w:tcW w:w="1178" w:type="dxa"/>
                  <w:tcBorders>
                    <w:top w:val="single" w:color="000000" w:sz="4" w:space="0"/>
                    <w:left w:val="single" w:color="000000" w:sz="4" w:space="0"/>
                    <w:bottom w:val="single" w:color="000000" w:sz="4" w:space="0"/>
                    <w:right w:val="single" w:color="000000" w:sz="4" w:space="0"/>
                  </w:tcBorders>
                  <w:noWrap/>
                  <w:vAlign w:val="center"/>
                </w:tcPr>
                <w:p w14:paraId="5D71E1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rPr>
                    <w:t>4200</w:t>
                  </w:r>
                </w:p>
              </w:tc>
            </w:tr>
          </w:tbl>
          <w:p w14:paraId="00EE9283">
            <w:pPr>
              <w:pStyle w:val="120"/>
              <w:pageBreakBefore w:val="0"/>
              <w:numPr>
                <w:ilvl w:val="0"/>
                <w:numId w:val="0"/>
              </w:numPr>
              <w:wordWrap w:val="0"/>
              <w:topLinePunct/>
              <w:bidi w:val="0"/>
              <w:snapToGrid/>
              <w:spacing w:beforeAutospacing="0" w:afterAutospacing="0"/>
              <w:ind w:firstLine="482"/>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cs="Times New Roman"/>
                <w:color w:val="auto"/>
                <w:highlight w:val="none"/>
                <w:lang w:val="en-US" w:eastAsia="zh-CN"/>
              </w:rPr>
              <w:t>计算得整体所需风量为4200m</w:t>
            </w:r>
            <w:r>
              <w:rPr>
                <w:rFonts w:hint="eastAsia" w:ascii="Times New Roman" w:hAnsi="Times New Roman" w:cs="Times New Roman"/>
                <w:color w:val="auto"/>
                <w:highlight w:val="none"/>
                <w:vertAlign w:val="superscript"/>
                <w:lang w:val="en-US" w:eastAsia="zh-CN"/>
              </w:rPr>
              <w:t>3</w:t>
            </w:r>
            <w:r>
              <w:rPr>
                <w:rFonts w:hint="eastAsia" w:ascii="Times New Roman" w:hAnsi="Times New Roman" w:cs="Times New Roman"/>
                <w:color w:val="auto"/>
                <w:highlight w:val="none"/>
                <w:vertAlign w:val="baseline"/>
                <w:lang w:val="en-US" w:eastAsia="zh-CN"/>
              </w:rPr>
              <w:t>/h，项目配套喷漆废气处理设施喷漆、</w:t>
            </w:r>
            <w:r>
              <w:rPr>
                <w:rFonts w:hint="eastAsia" w:cs="Times New Roman"/>
                <w:color w:val="auto"/>
                <w:highlight w:val="none"/>
                <w:vertAlign w:val="baseline"/>
                <w:lang w:val="en-US" w:eastAsia="zh-CN"/>
              </w:rPr>
              <w:t>丝印</w:t>
            </w:r>
            <w:r>
              <w:rPr>
                <w:rFonts w:hint="eastAsia" w:ascii="Times New Roman" w:hAnsi="Times New Roman" w:cs="Times New Roman"/>
                <w:color w:val="auto"/>
                <w:highlight w:val="none"/>
                <w:vertAlign w:val="baseline"/>
                <w:lang w:val="en-US" w:eastAsia="zh-CN"/>
              </w:rPr>
              <w:t>工段设计风量5000m</w:t>
            </w:r>
            <w:r>
              <w:rPr>
                <w:rFonts w:hint="eastAsia" w:ascii="Times New Roman" w:hAnsi="Times New Roman" w:cs="Times New Roman"/>
                <w:color w:val="auto"/>
                <w:highlight w:val="none"/>
                <w:vertAlign w:val="superscript"/>
                <w:lang w:val="en-US" w:eastAsia="zh-CN"/>
              </w:rPr>
              <w:t>3</w:t>
            </w:r>
            <w:r>
              <w:rPr>
                <w:rFonts w:hint="eastAsia" w:ascii="Times New Roman" w:hAnsi="Times New Roman" w:cs="Times New Roman"/>
                <w:color w:val="auto"/>
                <w:highlight w:val="none"/>
                <w:vertAlign w:val="baseline"/>
                <w:lang w:val="en-US" w:eastAsia="zh-CN"/>
              </w:rPr>
              <w:t>/h，大于所需风量，风量设计合理。</w:t>
            </w:r>
          </w:p>
          <w:p w14:paraId="18DD614E">
            <w:pPr>
              <w:keepNext w:val="0"/>
              <w:keepLines w:val="0"/>
              <w:pageBreakBefore w:val="0"/>
              <w:widowControl w:val="0"/>
              <w:numPr>
                <w:ilvl w:val="0"/>
                <w:numId w:val="10"/>
              </w:numPr>
              <w:kinsoku/>
              <w:wordWrap w:val="0"/>
              <w:overflowPunct/>
              <w:topLinePunct w:val="0"/>
              <w:autoSpaceDE/>
              <w:autoSpaceDN/>
              <w:bidi w:val="0"/>
              <w:adjustRightInd/>
              <w:snapToGrid/>
              <w:spacing w:line="240" w:lineRule="auto"/>
              <w:ind w:left="0" w:leftChars="0" w:hanging="1" w:firstLineChars="0"/>
              <w:jc w:val="center"/>
              <w:textAlignment w:val="auto"/>
              <w:rPr>
                <w:rFonts w:hint="default" w:ascii="Times New Roman" w:hAnsi="Times New Roman" w:eastAsia="宋体" w:cs="Times New Roman"/>
                <w:b/>
                <w:bCs/>
                <w:color w:val="auto"/>
                <w:spacing w:val="0"/>
                <w:kern w:val="2"/>
                <w:sz w:val="21"/>
                <w:szCs w:val="21"/>
                <w:highlight w:val="none"/>
                <w:lang w:val="en-US" w:eastAsia="zh-CN" w:bidi="ar-SA"/>
              </w:rPr>
            </w:pPr>
            <w:r>
              <w:rPr>
                <w:rFonts w:hint="eastAsia" w:ascii="Times New Roman" w:hAnsi="Times New Roman" w:eastAsia="宋体" w:cs="Times New Roman"/>
                <w:b/>
                <w:color w:val="auto"/>
                <w:sz w:val="21"/>
                <w:szCs w:val="21"/>
                <w:highlight w:val="none"/>
                <w:lang w:val="en-US" w:eastAsia="zh-CN"/>
              </w:rPr>
              <w:t xml:space="preserve"> </w:t>
            </w:r>
            <w:r>
              <w:rPr>
                <w:rFonts w:hint="eastAsia" w:ascii="Times New Roman" w:hAnsi="Times New Roman" w:eastAsia="宋体" w:cs="Times New Roman"/>
                <w:b/>
                <w:bCs/>
                <w:color w:val="auto"/>
                <w:spacing w:val="0"/>
                <w:kern w:val="2"/>
                <w:sz w:val="21"/>
                <w:szCs w:val="21"/>
                <w:highlight w:val="none"/>
                <w:lang w:val="en-US" w:eastAsia="zh-CN" w:bidi="ar-SA"/>
              </w:rPr>
              <w:t>废气集气设备设计参数</w:t>
            </w:r>
            <w:r>
              <w:rPr>
                <w:rFonts w:hint="default" w:ascii="Times New Roman" w:hAnsi="Times New Roman" w:eastAsia="宋体" w:cs="Times New Roman"/>
                <w:b/>
                <w:bCs/>
                <w:color w:val="auto"/>
                <w:spacing w:val="0"/>
                <w:kern w:val="2"/>
                <w:sz w:val="21"/>
                <w:szCs w:val="21"/>
                <w:highlight w:val="none"/>
                <w:lang w:val="en-US" w:eastAsia="zh-CN" w:bidi="ar-SA"/>
              </w:rPr>
              <w:t>一览表</w:t>
            </w:r>
          </w:p>
          <w:tbl>
            <w:tblPr>
              <w:tblStyle w:val="43"/>
              <w:tblW w:w="76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888"/>
              <w:gridCol w:w="583"/>
              <w:gridCol w:w="625"/>
              <w:gridCol w:w="1231"/>
              <w:gridCol w:w="908"/>
              <w:gridCol w:w="1355"/>
              <w:gridCol w:w="1311"/>
            </w:tblGrid>
            <w:tr w14:paraId="7F85F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1" w:hRule="atLeast"/>
              </w:trPr>
              <w:tc>
                <w:tcPr>
                  <w:tcW w:w="775" w:type="dxa"/>
                  <w:vAlign w:val="center"/>
                </w:tcPr>
                <w:p w14:paraId="02D879FF">
                  <w:pPr>
                    <w:pageBreakBefore w:val="0"/>
                    <w:wordWrap w:val="0"/>
                    <w:topLinePunct/>
                    <w:bidi w:val="0"/>
                    <w:adjustRightInd w:val="0"/>
                    <w:spacing w:beforeAutospacing="0" w:afterAutospacing="0" w:line="24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收集环节</w:t>
                  </w:r>
                </w:p>
              </w:tc>
              <w:tc>
                <w:tcPr>
                  <w:tcW w:w="888" w:type="dxa"/>
                  <w:vAlign w:val="center"/>
                </w:tcPr>
                <w:p w14:paraId="4CD6031E">
                  <w:pPr>
                    <w:pageBreakBefore w:val="0"/>
                    <w:wordWrap w:val="0"/>
                    <w:topLinePunct/>
                    <w:bidi w:val="0"/>
                    <w:adjustRightInd w:val="0"/>
                    <w:spacing w:beforeAutospacing="0" w:afterAutospacing="0" w:line="24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集气罩尺寸</w:t>
                  </w:r>
                </w:p>
              </w:tc>
              <w:tc>
                <w:tcPr>
                  <w:tcW w:w="583" w:type="dxa"/>
                  <w:vAlign w:val="center"/>
                </w:tcPr>
                <w:p w14:paraId="76BB2159">
                  <w:pPr>
                    <w:pageBreakBefore w:val="0"/>
                    <w:wordWrap w:val="0"/>
                    <w:topLinePunct/>
                    <w:bidi w:val="0"/>
                    <w:adjustRightInd w:val="0"/>
                    <w:spacing w:beforeAutospacing="0" w:afterAutospacing="0" w:line="24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形状</w:t>
                  </w:r>
                </w:p>
              </w:tc>
              <w:tc>
                <w:tcPr>
                  <w:tcW w:w="625" w:type="dxa"/>
                  <w:vAlign w:val="center"/>
                </w:tcPr>
                <w:p w14:paraId="5FF1A3B8">
                  <w:pPr>
                    <w:pageBreakBefore w:val="0"/>
                    <w:wordWrap w:val="0"/>
                    <w:topLinePunct/>
                    <w:bidi w:val="0"/>
                    <w:adjustRightInd w:val="0"/>
                    <w:spacing w:beforeAutospacing="0" w:afterAutospacing="0" w:line="24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数量</w:t>
                  </w:r>
                </w:p>
              </w:tc>
              <w:tc>
                <w:tcPr>
                  <w:tcW w:w="1231" w:type="dxa"/>
                  <w:vAlign w:val="center"/>
                </w:tcPr>
                <w:p w14:paraId="788E5116">
                  <w:pPr>
                    <w:pageBreakBefore w:val="0"/>
                    <w:wordWrap w:val="0"/>
                    <w:topLinePunct/>
                    <w:bidi w:val="0"/>
                    <w:adjustRightInd w:val="0"/>
                    <w:spacing w:beforeAutospacing="0" w:afterAutospacing="0" w:line="24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集气罩/管与控制点的距离</w:t>
                  </w:r>
                </w:p>
              </w:tc>
              <w:tc>
                <w:tcPr>
                  <w:tcW w:w="908" w:type="dxa"/>
                  <w:vAlign w:val="center"/>
                </w:tcPr>
                <w:p w14:paraId="1D2D9FA2">
                  <w:pPr>
                    <w:pageBreakBefore w:val="0"/>
                    <w:wordWrap w:val="0"/>
                    <w:topLinePunct/>
                    <w:bidi w:val="0"/>
                    <w:adjustRightInd w:val="0"/>
                    <w:spacing w:beforeAutospacing="0" w:afterAutospacing="0" w:line="24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控制点的吸入速度</w:t>
                  </w:r>
                </w:p>
              </w:tc>
              <w:tc>
                <w:tcPr>
                  <w:tcW w:w="1355" w:type="dxa"/>
                  <w:vAlign w:val="center"/>
                </w:tcPr>
                <w:p w14:paraId="150A43BC">
                  <w:pPr>
                    <w:pageBreakBefore w:val="0"/>
                    <w:wordWrap w:val="0"/>
                    <w:topLinePunct/>
                    <w:bidi w:val="0"/>
                    <w:adjustRightInd w:val="0"/>
                    <w:spacing w:beforeAutospacing="0" w:afterAutospacing="0" w:line="240" w:lineRule="auto"/>
                    <w:jc w:val="center"/>
                    <w:rPr>
                      <w:rFonts w:ascii="Times New Roman" w:hAnsi="Times New Roman" w:eastAsia="宋体" w:cs="Times New Roman"/>
                      <w:b/>
                      <w:bCs/>
                      <w:color w:val="auto"/>
                      <w:kern w:val="2"/>
                      <w:sz w:val="21"/>
                      <w:szCs w:val="21"/>
                      <w:highlight w:val="none"/>
                    </w:rPr>
                  </w:pPr>
                  <w:r>
                    <w:rPr>
                      <w:rFonts w:ascii="Times New Roman" w:hAnsi="Times New Roman" w:eastAsia="宋体" w:cs="Times New Roman"/>
                      <w:b/>
                      <w:bCs/>
                      <w:color w:val="auto"/>
                      <w:kern w:val="2"/>
                      <w:sz w:val="21"/>
                      <w:szCs w:val="21"/>
                      <w:highlight w:val="none"/>
                    </w:rPr>
                    <w:t>单个集气罩/管</w:t>
                  </w:r>
                  <w:r>
                    <w:rPr>
                      <w:rFonts w:hint="eastAsia" w:ascii="Times New Roman" w:hAnsi="Times New Roman" w:eastAsia="宋体" w:cs="Times New Roman"/>
                      <w:b/>
                      <w:bCs/>
                      <w:color w:val="auto"/>
                      <w:kern w:val="2"/>
                      <w:sz w:val="21"/>
                      <w:szCs w:val="21"/>
                      <w:highlight w:val="none"/>
                      <w:lang w:eastAsia="zh-CN"/>
                    </w:rPr>
                    <w:t>、</w:t>
                  </w:r>
                  <w:r>
                    <w:rPr>
                      <w:rFonts w:hint="eastAsia" w:ascii="Times New Roman" w:hAnsi="Times New Roman" w:eastAsia="宋体" w:cs="Times New Roman"/>
                      <w:b/>
                      <w:bCs/>
                      <w:color w:val="auto"/>
                      <w:kern w:val="2"/>
                      <w:sz w:val="21"/>
                      <w:szCs w:val="21"/>
                      <w:highlight w:val="none"/>
                      <w:lang w:val="en-US" w:eastAsia="zh-CN"/>
                    </w:rPr>
                    <w:t>风机</w:t>
                  </w:r>
                  <w:r>
                    <w:rPr>
                      <w:rFonts w:ascii="Times New Roman" w:hAnsi="Times New Roman" w:eastAsia="宋体" w:cs="Times New Roman"/>
                      <w:b/>
                      <w:bCs/>
                      <w:color w:val="auto"/>
                      <w:kern w:val="2"/>
                      <w:sz w:val="21"/>
                      <w:szCs w:val="21"/>
                      <w:highlight w:val="none"/>
                    </w:rPr>
                    <w:t>风量m</w:t>
                  </w:r>
                  <w:r>
                    <w:rPr>
                      <w:rFonts w:ascii="Times New Roman" w:hAnsi="Times New Roman" w:eastAsia="宋体" w:cs="Times New Roman"/>
                      <w:b/>
                      <w:bCs/>
                      <w:color w:val="auto"/>
                      <w:kern w:val="2"/>
                      <w:sz w:val="21"/>
                      <w:szCs w:val="21"/>
                      <w:highlight w:val="none"/>
                      <w:vertAlign w:val="superscript"/>
                    </w:rPr>
                    <w:t>3</w:t>
                  </w:r>
                  <w:r>
                    <w:rPr>
                      <w:rFonts w:ascii="Times New Roman" w:hAnsi="Times New Roman" w:eastAsia="宋体" w:cs="Times New Roman"/>
                      <w:b/>
                      <w:bCs/>
                      <w:color w:val="auto"/>
                      <w:kern w:val="2"/>
                      <w:sz w:val="21"/>
                      <w:szCs w:val="21"/>
                      <w:highlight w:val="none"/>
                    </w:rPr>
                    <w:t>/h</w:t>
                  </w:r>
                </w:p>
              </w:tc>
              <w:tc>
                <w:tcPr>
                  <w:tcW w:w="1311" w:type="dxa"/>
                  <w:vAlign w:val="center"/>
                </w:tcPr>
                <w:p w14:paraId="0A99B6D9">
                  <w:pPr>
                    <w:pageBreakBefore w:val="0"/>
                    <w:wordWrap w:val="0"/>
                    <w:topLinePunct/>
                    <w:bidi w:val="0"/>
                    <w:adjustRightInd w:val="0"/>
                    <w:spacing w:beforeAutospacing="0" w:afterAutospacing="0" w:line="240" w:lineRule="auto"/>
                    <w:jc w:val="center"/>
                    <w:rPr>
                      <w:rFonts w:ascii="Times New Roman" w:hAnsi="Times New Roman" w:eastAsia="宋体" w:cs="Times New Roman"/>
                      <w:b/>
                      <w:bCs/>
                      <w:color w:val="auto"/>
                      <w:kern w:val="2"/>
                      <w:sz w:val="21"/>
                      <w:szCs w:val="21"/>
                      <w:highlight w:val="none"/>
                    </w:rPr>
                  </w:pPr>
                  <w:r>
                    <w:rPr>
                      <w:rFonts w:hint="eastAsia" w:ascii="Times New Roman" w:hAnsi="Times New Roman" w:eastAsia="宋体" w:cs="Times New Roman"/>
                      <w:b/>
                      <w:bCs/>
                      <w:color w:val="auto"/>
                      <w:kern w:val="2"/>
                      <w:sz w:val="21"/>
                      <w:szCs w:val="21"/>
                      <w:highlight w:val="none"/>
                      <w:lang w:val="en-US" w:eastAsia="zh-CN"/>
                    </w:rPr>
                    <w:t>总</w:t>
                  </w:r>
                  <w:r>
                    <w:rPr>
                      <w:rFonts w:ascii="Times New Roman" w:hAnsi="Times New Roman" w:eastAsia="宋体" w:cs="Times New Roman"/>
                      <w:b/>
                      <w:bCs/>
                      <w:color w:val="auto"/>
                      <w:kern w:val="2"/>
                      <w:sz w:val="21"/>
                      <w:szCs w:val="21"/>
                      <w:highlight w:val="none"/>
                    </w:rPr>
                    <w:t>集气罩/管</w:t>
                  </w:r>
                  <w:r>
                    <w:rPr>
                      <w:rFonts w:hint="eastAsia" w:ascii="Times New Roman" w:hAnsi="Times New Roman" w:eastAsia="宋体" w:cs="Times New Roman"/>
                      <w:b/>
                      <w:bCs/>
                      <w:color w:val="auto"/>
                      <w:kern w:val="2"/>
                      <w:sz w:val="21"/>
                      <w:szCs w:val="21"/>
                      <w:highlight w:val="none"/>
                      <w:lang w:eastAsia="zh-CN"/>
                    </w:rPr>
                    <w:t>、</w:t>
                  </w:r>
                  <w:r>
                    <w:rPr>
                      <w:rFonts w:hint="eastAsia" w:ascii="Times New Roman" w:hAnsi="Times New Roman" w:eastAsia="宋体" w:cs="Times New Roman"/>
                      <w:b/>
                      <w:bCs/>
                      <w:color w:val="auto"/>
                      <w:kern w:val="2"/>
                      <w:sz w:val="21"/>
                      <w:szCs w:val="21"/>
                      <w:highlight w:val="none"/>
                      <w:lang w:val="en-US" w:eastAsia="zh-CN"/>
                    </w:rPr>
                    <w:t>风机</w:t>
                  </w:r>
                  <w:r>
                    <w:rPr>
                      <w:rFonts w:ascii="Times New Roman" w:hAnsi="Times New Roman" w:eastAsia="宋体" w:cs="Times New Roman"/>
                      <w:b/>
                      <w:bCs/>
                      <w:color w:val="auto"/>
                      <w:kern w:val="2"/>
                      <w:sz w:val="21"/>
                      <w:szCs w:val="21"/>
                      <w:highlight w:val="none"/>
                    </w:rPr>
                    <w:t>风量m</w:t>
                  </w:r>
                  <w:r>
                    <w:rPr>
                      <w:rFonts w:ascii="Times New Roman" w:hAnsi="Times New Roman" w:eastAsia="宋体" w:cs="Times New Roman"/>
                      <w:b/>
                      <w:bCs/>
                      <w:color w:val="auto"/>
                      <w:kern w:val="2"/>
                      <w:sz w:val="21"/>
                      <w:szCs w:val="21"/>
                      <w:highlight w:val="none"/>
                      <w:vertAlign w:val="superscript"/>
                    </w:rPr>
                    <w:t>3</w:t>
                  </w:r>
                  <w:r>
                    <w:rPr>
                      <w:rFonts w:ascii="Times New Roman" w:hAnsi="Times New Roman" w:eastAsia="宋体" w:cs="Times New Roman"/>
                      <w:b/>
                      <w:bCs/>
                      <w:color w:val="auto"/>
                      <w:kern w:val="2"/>
                      <w:sz w:val="21"/>
                      <w:szCs w:val="21"/>
                      <w:highlight w:val="none"/>
                    </w:rPr>
                    <w:t>/h</w:t>
                  </w:r>
                </w:p>
              </w:tc>
            </w:tr>
            <w:tr w14:paraId="4B325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5" w:type="dxa"/>
                  <w:vAlign w:val="center"/>
                </w:tcPr>
                <w:p w14:paraId="617A3C0D">
                  <w:pPr>
                    <w:pageBreakBefore w:val="0"/>
                    <w:wordWrap w:val="0"/>
                    <w:topLinePunct/>
                    <w:bidi w:val="0"/>
                    <w:adjustRightInd w:val="0"/>
                    <w:spacing w:beforeAutospacing="0" w:afterAutospacing="0" w:line="240" w:lineRule="auto"/>
                    <w:jc w:val="center"/>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lang w:val="en-US" w:eastAsia="zh-CN"/>
                    </w:rPr>
                    <w:t>固化炉排风机</w:t>
                  </w:r>
                </w:p>
              </w:tc>
              <w:tc>
                <w:tcPr>
                  <w:tcW w:w="888" w:type="dxa"/>
                  <w:vAlign w:val="center"/>
                </w:tcPr>
                <w:p w14:paraId="696DE8CC">
                  <w:pPr>
                    <w:pageBreakBefore w:val="0"/>
                    <w:wordWrap w:val="0"/>
                    <w:topLinePunct/>
                    <w:bidi w:val="0"/>
                    <w:adjustRightInd w:val="0"/>
                    <w:spacing w:beforeAutospacing="0" w:afterAutospacing="0" w:line="240" w:lineRule="auto"/>
                    <w:jc w:val="center"/>
                    <w:rPr>
                      <w:rFonts w:hint="default" w:ascii="Times New Roman" w:hAnsi="Times New Roman" w:eastAsia="宋体" w:cs="Times New Roman"/>
                      <w:color w:val="auto"/>
                      <w:kern w:val="2"/>
                      <w:sz w:val="21"/>
                      <w:szCs w:val="21"/>
                      <w:highlight w:val="none"/>
                      <w:lang w:val="en-US"/>
                    </w:rPr>
                  </w:pPr>
                  <w:r>
                    <w:rPr>
                      <w:rFonts w:hint="eastAsia" w:ascii="Times New Roman" w:hAnsi="Times New Roman" w:eastAsia="宋体" w:cs="Times New Roman"/>
                      <w:color w:val="auto"/>
                      <w:kern w:val="2"/>
                      <w:sz w:val="21"/>
                      <w:szCs w:val="21"/>
                      <w:highlight w:val="none"/>
                      <w:lang w:val="en-US" w:eastAsia="zh-CN"/>
                    </w:rPr>
                    <w:t>直连风管+排风风机</w:t>
                  </w:r>
                </w:p>
              </w:tc>
              <w:tc>
                <w:tcPr>
                  <w:tcW w:w="583" w:type="dxa"/>
                  <w:vAlign w:val="center"/>
                </w:tcPr>
                <w:p w14:paraId="62B8AA00">
                  <w:pPr>
                    <w:pageBreakBefore w:val="0"/>
                    <w:wordWrap w:val="0"/>
                    <w:topLinePunct/>
                    <w:bidi w:val="0"/>
                    <w:adjustRightInd w:val="0"/>
                    <w:spacing w:beforeAutospacing="0" w:afterAutospacing="0" w:line="240" w:lineRule="auto"/>
                    <w:jc w:val="center"/>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eastAsia="宋体" w:cs="Times New Roman"/>
                      <w:color w:val="auto"/>
                      <w:kern w:val="2"/>
                      <w:sz w:val="21"/>
                      <w:szCs w:val="21"/>
                      <w:highlight w:val="none"/>
                      <w:lang w:val="en-US" w:eastAsia="zh-CN"/>
                    </w:rPr>
                    <w:t>/</w:t>
                  </w:r>
                </w:p>
              </w:tc>
              <w:tc>
                <w:tcPr>
                  <w:tcW w:w="625" w:type="dxa"/>
                  <w:vAlign w:val="center"/>
                </w:tcPr>
                <w:p w14:paraId="1E06E6A2">
                  <w:pPr>
                    <w:pageBreakBefore w:val="0"/>
                    <w:wordWrap w:val="0"/>
                    <w:topLinePunct/>
                    <w:bidi w:val="0"/>
                    <w:adjustRightInd w:val="0"/>
                    <w:spacing w:beforeAutospacing="0" w:afterAutospacing="0" w:line="240" w:lineRule="auto"/>
                    <w:jc w:val="center"/>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lang w:val="en-US" w:eastAsia="zh-CN"/>
                    </w:rPr>
                    <w:t>1</w:t>
                  </w:r>
                  <w:r>
                    <w:rPr>
                      <w:rFonts w:ascii="Times New Roman" w:hAnsi="Times New Roman" w:eastAsia="宋体" w:cs="Times New Roman"/>
                      <w:color w:val="auto"/>
                      <w:kern w:val="2"/>
                      <w:sz w:val="21"/>
                      <w:szCs w:val="21"/>
                      <w:highlight w:val="none"/>
                    </w:rPr>
                    <w:t>个</w:t>
                  </w:r>
                </w:p>
              </w:tc>
              <w:tc>
                <w:tcPr>
                  <w:tcW w:w="1231" w:type="dxa"/>
                  <w:vAlign w:val="center"/>
                </w:tcPr>
                <w:p w14:paraId="371381CA">
                  <w:pPr>
                    <w:pageBreakBefore w:val="0"/>
                    <w:wordWrap w:val="0"/>
                    <w:topLinePunct/>
                    <w:bidi w:val="0"/>
                    <w:adjustRightInd w:val="0"/>
                    <w:spacing w:beforeAutospacing="0" w:afterAutospacing="0" w:line="240" w:lineRule="auto"/>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w:t>
                  </w:r>
                </w:p>
              </w:tc>
              <w:tc>
                <w:tcPr>
                  <w:tcW w:w="908" w:type="dxa"/>
                  <w:vAlign w:val="center"/>
                </w:tcPr>
                <w:p w14:paraId="5DB4CFBE">
                  <w:pPr>
                    <w:pageBreakBefore w:val="0"/>
                    <w:wordWrap w:val="0"/>
                    <w:topLinePunct/>
                    <w:bidi w:val="0"/>
                    <w:adjustRightInd w:val="0"/>
                    <w:spacing w:beforeAutospacing="0" w:afterAutospacing="0" w:line="240" w:lineRule="auto"/>
                    <w:jc w:val="center"/>
                    <w:rPr>
                      <w:rFonts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lang w:val="en-US" w:eastAsia="zh-CN"/>
                    </w:rPr>
                    <w:t>/</w:t>
                  </w:r>
                </w:p>
              </w:tc>
              <w:tc>
                <w:tcPr>
                  <w:tcW w:w="1355" w:type="dxa"/>
                  <w:vAlign w:val="center"/>
                </w:tcPr>
                <w:p w14:paraId="788C9667">
                  <w:pPr>
                    <w:pageBreakBefore w:val="0"/>
                    <w:wordWrap w:val="0"/>
                    <w:topLinePunct/>
                    <w:bidi w:val="0"/>
                    <w:adjustRightInd w:val="0"/>
                    <w:spacing w:beforeAutospacing="0" w:afterAutospacing="0"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5000</w:t>
                  </w:r>
                </w:p>
              </w:tc>
              <w:tc>
                <w:tcPr>
                  <w:tcW w:w="1311" w:type="dxa"/>
                  <w:vAlign w:val="center"/>
                </w:tcPr>
                <w:p w14:paraId="499F8575">
                  <w:pPr>
                    <w:pageBreakBefore w:val="0"/>
                    <w:wordWrap w:val="0"/>
                    <w:topLinePunct/>
                    <w:bidi w:val="0"/>
                    <w:adjustRightInd w:val="0"/>
                    <w:spacing w:beforeAutospacing="0" w:afterAutospacing="0" w:line="240" w:lineRule="auto"/>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5000</w:t>
                  </w:r>
                </w:p>
              </w:tc>
            </w:tr>
            <w:tr w14:paraId="1E5ED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365" w:type="dxa"/>
                  <w:gridSpan w:val="7"/>
                  <w:vAlign w:val="center"/>
                </w:tcPr>
                <w:p w14:paraId="301C7A60">
                  <w:pPr>
                    <w:pageBreakBefore w:val="0"/>
                    <w:wordWrap w:val="0"/>
                    <w:topLinePunct/>
                    <w:bidi w:val="0"/>
                    <w:adjustRightInd w:val="0"/>
                    <w:spacing w:beforeAutospacing="0" w:afterAutospacing="0"/>
                    <w:jc w:val="center"/>
                    <w:rPr>
                      <w:rFonts w:ascii="Times New Roman" w:hAnsi="Times New Roman" w:eastAsia="宋体" w:cs="Times New Roman"/>
                      <w:color w:val="auto"/>
                      <w:kern w:val="2"/>
                      <w:sz w:val="21"/>
                      <w:szCs w:val="21"/>
                      <w:highlight w:val="none"/>
                    </w:rPr>
                  </w:pPr>
                  <w:r>
                    <w:rPr>
                      <w:rFonts w:ascii="Times New Roman" w:hAnsi="Times New Roman" w:eastAsia="宋体" w:cs="Times New Roman"/>
                      <w:color w:val="auto"/>
                      <w:kern w:val="2"/>
                      <w:sz w:val="21"/>
                      <w:szCs w:val="21"/>
                      <w:highlight w:val="none"/>
                    </w:rPr>
                    <w:t>合计</w:t>
                  </w:r>
                </w:p>
              </w:tc>
              <w:tc>
                <w:tcPr>
                  <w:tcW w:w="1311" w:type="dxa"/>
                  <w:vAlign w:val="center"/>
                </w:tcPr>
                <w:p w14:paraId="65CC37C1">
                  <w:pPr>
                    <w:pageBreakBefore w:val="0"/>
                    <w:wordWrap w:val="0"/>
                    <w:topLinePunct/>
                    <w:bidi w:val="0"/>
                    <w:adjustRightInd w:val="0"/>
                    <w:spacing w:beforeAutospacing="0" w:afterAutospacing="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5000</w:t>
                  </w:r>
                </w:p>
              </w:tc>
            </w:tr>
          </w:tbl>
          <w:p w14:paraId="2D750B81">
            <w:pPr>
              <w:spacing w:line="360" w:lineRule="auto"/>
              <w:ind w:firstLine="480" w:firstLineChars="200"/>
              <w:rPr>
                <w:rFonts w:hint="default" w:ascii="Times New Roman" w:hAnsi="Times New Roman" w:cs="Times New Roman"/>
                <w:b/>
                <w:bCs/>
                <w:color w:val="auto"/>
                <w:sz w:val="24"/>
                <w:highlight w:val="none"/>
                <w:vertAlign w:val="baseline"/>
                <w:lang w:val="en-US" w:eastAsia="zh-CN"/>
              </w:rPr>
            </w:pPr>
            <w:r>
              <w:rPr>
                <w:rFonts w:hint="eastAsia" w:ascii="Times New Roman" w:hAnsi="Times New Roman" w:eastAsia="宋体" w:cs="Times New Roman"/>
                <w:i w:val="0"/>
                <w:iCs w:val="0"/>
                <w:color w:val="auto"/>
                <w:kern w:val="0"/>
                <w:sz w:val="24"/>
                <w:szCs w:val="24"/>
                <w:highlight w:val="none"/>
                <w:u w:val="none"/>
                <w:lang w:val="en-US" w:eastAsia="zh-CN"/>
              </w:rPr>
              <w:t>项目喷漆房、</w:t>
            </w:r>
            <w:r>
              <w:rPr>
                <w:rFonts w:hint="eastAsia" w:cs="Times New Roman"/>
                <w:i w:val="0"/>
                <w:iCs w:val="0"/>
                <w:color w:val="auto"/>
                <w:kern w:val="0"/>
                <w:sz w:val="24"/>
                <w:szCs w:val="24"/>
                <w:highlight w:val="none"/>
                <w:u w:val="none"/>
                <w:lang w:val="en-US" w:eastAsia="zh-CN"/>
              </w:rPr>
              <w:t>丝印</w:t>
            </w:r>
            <w:r>
              <w:rPr>
                <w:rFonts w:hint="eastAsia" w:ascii="Times New Roman" w:hAnsi="Times New Roman" w:eastAsia="宋体" w:cs="Times New Roman"/>
                <w:i w:val="0"/>
                <w:iCs w:val="0"/>
                <w:color w:val="auto"/>
                <w:kern w:val="0"/>
                <w:sz w:val="24"/>
                <w:szCs w:val="24"/>
                <w:highlight w:val="none"/>
                <w:u w:val="none"/>
                <w:lang w:val="en-US" w:eastAsia="zh-CN"/>
              </w:rPr>
              <w:t>间、固化废气一同汇入同一套废气处理设施处理，风量合计为10000m</w:t>
            </w:r>
            <w:r>
              <w:rPr>
                <w:rFonts w:hint="eastAsia" w:ascii="Times New Roman" w:hAnsi="Times New Roman" w:eastAsia="宋体" w:cs="Times New Roman"/>
                <w:i w:val="0"/>
                <w:iCs w:val="0"/>
                <w:color w:val="auto"/>
                <w:kern w:val="0"/>
                <w:sz w:val="24"/>
                <w:szCs w:val="24"/>
                <w:highlight w:val="none"/>
                <w:u w:val="none"/>
                <w:vertAlign w:val="superscript"/>
                <w:lang w:val="en-US" w:eastAsia="zh-CN"/>
              </w:rPr>
              <w:t>3</w:t>
            </w:r>
            <w:r>
              <w:rPr>
                <w:rFonts w:hint="eastAsia" w:ascii="Times New Roman" w:hAnsi="Times New Roman" w:eastAsia="宋体" w:cs="Times New Roman"/>
                <w:i w:val="0"/>
                <w:iCs w:val="0"/>
                <w:color w:val="auto"/>
                <w:kern w:val="0"/>
                <w:sz w:val="24"/>
                <w:szCs w:val="24"/>
                <w:highlight w:val="none"/>
                <w:u w:val="none"/>
                <w:vertAlign w:val="baseline"/>
                <w:lang w:val="en-US" w:eastAsia="zh-CN"/>
              </w:rPr>
              <w:t>/h。</w:t>
            </w:r>
          </w:p>
          <w:p w14:paraId="5B9F2CD2">
            <w:pPr>
              <w:spacing w:line="360" w:lineRule="auto"/>
              <w:ind w:firstLine="480" w:firstLineChars="200"/>
              <w:rPr>
                <w:rFonts w:hint="default" w:ascii="Times New Roman" w:hAnsi="Times New Roman" w:cs="Times New Roman"/>
                <w:color w:val="auto"/>
                <w:sz w:val="24"/>
                <w:highlight w:val="none"/>
              </w:rPr>
            </w:pPr>
            <w:r>
              <w:rPr>
                <w:rFonts w:hint="eastAsia" w:ascii="Times New Roman" w:hAnsi="Times New Roman" w:cs="Times New Roman"/>
                <w:b/>
                <w:bCs/>
                <w:color w:val="auto"/>
                <w:sz w:val="24"/>
                <w:highlight w:val="none"/>
                <w:lang w:val="en-US" w:eastAsia="zh-CN"/>
              </w:rPr>
              <w:t>处理效率：</w:t>
            </w:r>
            <w:r>
              <w:rPr>
                <w:rFonts w:hint="default" w:ascii="Times New Roman" w:hAnsi="Times New Roman" w:cs="Times New Roman"/>
                <w:color w:val="auto"/>
                <w:sz w:val="24"/>
                <w:highlight w:val="none"/>
              </w:rPr>
              <w:t>参考《广东省家具行业挥发性有机化合物废气治理技术指南》（粤环</w:t>
            </w:r>
            <w:r>
              <w:rPr>
                <w:rFonts w:hint="default" w:ascii="Times New Roman" w:hAnsi="Times New Roman" w:cs="Times New Roman"/>
                <w:color w:val="auto"/>
                <w:spacing w:val="-1"/>
                <w:sz w:val="24"/>
                <w:szCs w:val="24"/>
                <w:highlight w:val="none"/>
                <w:lang w:eastAsia="zh-CN"/>
              </w:rPr>
              <w:t>〔</w:t>
            </w:r>
            <w:r>
              <w:rPr>
                <w:rFonts w:hint="default" w:ascii="Times New Roman" w:hAnsi="Times New Roman" w:cs="Times New Roman"/>
                <w:color w:val="auto"/>
                <w:sz w:val="24"/>
                <w:highlight w:val="none"/>
              </w:rPr>
              <w:t>2013</w:t>
            </w:r>
            <w:r>
              <w:rPr>
                <w:rFonts w:hint="default" w:ascii="Times New Roman" w:hAnsi="Times New Roman" w:cs="Times New Roman"/>
                <w:color w:val="auto"/>
                <w:spacing w:val="-1"/>
                <w:sz w:val="24"/>
                <w:szCs w:val="24"/>
                <w:highlight w:val="none"/>
                <w:lang w:eastAsia="zh-CN"/>
              </w:rPr>
              <w:t>〕</w:t>
            </w:r>
            <w:r>
              <w:rPr>
                <w:rFonts w:hint="default" w:ascii="Times New Roman" w:hAnsi="Times New Roman" w:cs="Times New Roman"/>
                <w:color w:val="auto"/>
                <w:sz w:val="24"/>
                <w:highlight w:val="none"/>
              </w:rPr>
              <w:t>79号）中对有机废气治理设施的治理效率可得，吸附法处理效率为50～80%（本报告一级活性炭处理效率取60%，二级活性炭处理效率取50%），项目采取两级活性炭串联方式，当存在两种或两种以上治理设施联合治理时，治理效率可按公式η=1-（1-η</w:t>
            </w:r>
            <w:r>
              <w:rPr>
                <w:rFonts w:hint="default" w:ascii="Times New Roman" w:hAnsi="Times New Roman" w:cs="Times New Roman"/>
                <w:color w:val="auto"/>
                <w:sz w:val="24"/>
                <w:highlight w:val="none"/>
                <w:vertAlign w:val="subscript"/>
              </w:rPr>
              <w:t>1</w:t>
            </w:r>
            <w:r>
              <w:rPr>
                <w:rFonts w:hint="default" w:ascii="Times New Roman" w:hAnsi="Times New Roman" w:cs="Times New Roman"/>
                <w:color w:val="auto"/>
                <w:sz w:val="24"/>
                <w:highlight w:val="none"/>
              </w:rPr>
              <w:t>）×（1-η</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）...（1-η</w:t>
            </w:r>
            <w:r>
              <w:rPr>
                <w:rFonts w:hint="default" w:ascii="Times New Roman" w:hAnsi="Times New Roman" w:cs="Times New Roman"/>
                <w:color w:val="auto"/>
                <w:sz w:val="24"/>
                <w:highlight w:val="none"/>
                <w:vertAlign w:val="subscript"/>
              </w:rPr>
              <w:t>n</w:t>
            </w:r>
            <w:r>
              <w:rPr>
                <w:rFonts w:hint="default" w:ascii="Times New Roman" w:hAnsi="Times New Roman" w:cs="Times New Roman"/>
                <w:color w:val="auto"/>
                <w:sz w:val="24"/>
                <w:highlight w:val="none"/>
              </w:rPr>
              <w:t>）进行计算，则本项目废气处理工艺对有机废气总处理效率合计为1-（1-60%）×（1-50%）=80%。</w:t>
            </w:r>
          </w:p>
          <w:p w14:paraId="070316AF">
            <w:pPr>
              <w:pStyle w:val="120"/>
              <w:pageBreakBefore w:val="0"/>
              <w:wordWrap w:val="0"/>
              <w:topLinePunct/>
              <w:bidi w:val="0"/>
              <w:snapToGrid/>
              <w:spacing w:beforeAutospacing="0" w:afterAutospacing="0"/>
              <w:ind w:firstLine="480"/>
              <w:rPr>
                <w:rFonts w:hint="default" w:ascii="Times New Roman" w:hAnsi="Times New Roman" w:cs="Times New Roman"/>
                <w:b/>
                <w:bCs/>
                <w:color w:val="auto"/>
                <w:sz w:val="24"/>
                <w:szCs w:val="24"/>
                <w:highlight w:val="none"/>
                <w:lang w:val="en-US" w:eastAsia="zh-CN"/>
              </w:rPr>
            </w:pPr>
            <w:r>
              <w:rPr>
                <w:color w:val="auto"/>
                <w:highlight w:val="none"/>
              </w:rPr>
              <w:t>综上，</w:t>
            </w:r>
            <w:r>
              <w:rPr>
                <w:rFonts w:hint="eastAsia"/>
                <w:color w:val="auto"/>
                <w:highlight w:val="none"/>
                <w:lang w:val="en-US" w:eastAsia="zh-CN"/>
              </w:rPr>
              <w:t>项目喷粉废气经过</w:t>
            </w:r>
            <w:r>
              <w:rPr>
                <w:color w:val="auto"/>
                <w:highlight w:val="none"/>
              </w:rPr>
              <w:t>“大旋风+滤芯式二级回收系统”</w:t>
            </w:r>
            <w:r>
              <w:rPr>
                <w:rFonts w:hint="eastAsia"/>
                <w:color w:val="auto"/>
                <w:highlight w:val="none"/>
                <w:lang w:val="en-US" w:eastAsia="zh-CN"/>
              </w:rPr>
              <w:t>处理后无组织排放，</w:t>
            </w:r>
            <w:r>
              <w:rPr>
                <w:color w:val="auto"/>
                <w:highlight w:val="none"/>
              </w:rPr>
              <w:t>喷漆</w:t>
            </w:r>
            <w:r>
              <w:rPr>
                <w:rFonts w:hint="eastAsia"/>
                <w:color w:val="auto"/>
                <w:highlight w:val="none"/>
                <w:lang w:eastAsia="zh-CN"/>
              </w:rPr>
              <w:t>、</w:t>
            </w:r>
            <w:r>
              <w:rPr>
                <w:rFonts w:hint="eastAsia"/>
                <w:color w:val="auto"/>
                <w:highlight w:val="none"/>
                <w:lang w:val="en-US" w:eastAsia="zh-CN"/>
              </w:rPr>
              <w:t>丝印（含表面清洁）、固化</w:t>
            </w:r>
            <w:r>
              <w:rPr>
                <w:color w:val="auto"/>
                <w:highlight w:val="none"/>
              </w:rPr>
              <w:t>工序产生的</w:t>
            </w:r>
            <w:r>
              <w:rPr>
                <w:rFonts w:hint="eastAsia"/>
                <w:color w:val="auto"/>
                <w:highlight w:val="none"/>
                <w:lang w:val="en-US" w:eastAsia="zh-CN"/>
              </w:rPr>
              <w:t>废气</w:t>
            </w:r>
            <w:r>
              <w:rPr>
                <w:color w:val="auto"/>
                <w:highlight w:val="none"/>
              </w:rPr>
              <w:t>进入“</w:t>
            </w:r>
            <w:r>
              <w:rPr>
                <w:rFonts w:hint="eastAsia"/>
                <w:color w:val="auto"/>
                <w:highlight w:val="none"/>
                <w:lang w:eastAsia="zh-CN"/>
              </w:rPr>
              <w:t>喷淋塔+干式过滤器+活性炭吸附</w:t>
            </w:r>
            <w:r>
              <w:rPr>
                <w:color w:val="auto"/>
                <w:highlight w:val="none"/>
              </w:rPr>
              <w:t>”</w:t>
            </w:r>
            <w:r>
              <w:rPr>
                <w:rFonts w:hint="eastAsia"/>
                <w:color w:val="auto"/>
                <w:highlight w:val="none"/>
                <w:lang w:eastAsia="zh-CN"/>
              </w:rPr>
              <w:t>装置</w:t>
            </w:r>
            <w:r>
              <w:rPr>
                <w:color w:val="auto"/>
                <w:highlight w:val="none"/>
              </w:rPr>
              <w:t>处理</w:t>
            </w:r>
            <w:r>
              <w:rPr>
                <w:rFonts w:hint="eastAsia"/>
                <w:color w:val="auto"/>
                <w:highlight w:val="none"/>
                <w:lang w:eastAsia="zh-CN"/>
              </w:rPr>
              <w:t>，经</w:t>
            </w:r>
            <w:r>
              <w:rPr>
                <w:rFonts w:hint="eastAsia"/>
                <w:color w:val="auto"/>
                <w:highlight w:val="none"/>
                <w:lang w:val="en-US" w:eastAsia="zh-CN"/>
              </w:rPr>
              <w:t>15m排气筒DA003排放。</w:t>
            </w:r>
          </w:p>
          <w:p w14:paraId="3A9AB25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2.1.</w:t>
            </w:r>
            <w:r>
              <w:rPr>
                <w:rFonts w:hint="eastAsia" w:cs="Times New Roman"/>
                <w:b/>
                <w:bCs/>
                <w:color w:val="auto"/>
                <w:sz w:val="24"/>
                <w:szCs w:val="24"/>
                <w:highlight w:val="none"/>
                <w:lang w:val="en-US" w:eastAsia="zh-CN"/>
              </w:rPr>
              <w:t>6</w:t>
            </w:r>
            <w:r>
              <w:rPr>
                <w:rFonts w:hint="eastAsia" w:ascii="Times New Roman" w:hAnsi="Times New Roman" w:cs="Times New Roman"/>
                <w:b/>
                <w:bCs/>
                <w:color w:val="auto"/>
                <w:sz w:val="24"/>
                <w:szCs w:val="24"/>
                <w:highlight w:val="none"/>
                <w:lang w:val="en-US" w:eastAsia="zh-CN"/>
              </w:rPr>
              <w:t xml:space="preserve"> </w:t>
            </w:r>
            <w:r>
              <w:rPr>
                <w:rFonts w:hint="default" w:ascii="Times New Roman" w:hAnsi="Times New Roman" w:cs="Times New Roman"/>
                <w:b/>
                <w:bCs/>
                <w:color w:val="auto"/>
                <w:sz w:val="24"/>
                <w:szCs w:val="24"/>
                <w:highlight w:val="none"/>
                <w:lang w:val="en-US" w:eastAsia="zh-CN"/>
              </w:rPr>
              <w:t>恶臭</w:t>
            </w:r>
          </w:p>
          <w:p w14:paraId="56EC44B0">
            <w:pPr>
              <w:pageBreakBefore w:val="0"/>
              <w:kinsoku/>
              <w:wordWrap w:val="0"/>
              <w:overflowPunct/>
              <w:topLinePunct w:val="0"/>
              <w:bidi w:val="0"/>
              <w:spacing w:line="360" w:lineRule="auto"/>
              <w:ind w:firstLine="480" w:firstLineChars="200"/>
              <w:rPr>
                <w:rFonts w:hint="default" w:ascii="Times New Roman" w:hAnsi="Times New Roman" w:cs="Times New Roman"/>
                <w:color w:val="auto"/>
                <w:sz w:val="24"/>
                <w:highlight w:val="none"/>
              </w:rPr>
            </w:pPr>
            <w:r>
              <w:rPr>
                <w:rFonts w:hint="eastAsia" w:cs="Times New Roman"/>
                <w:color w:val="auto"/>
                <w:sz w:val="24"/>
                <w:szCs w:val="24"/>
                <w:highlight w:val="none"/>
                <w:lang w:val="en-US" w:eastAsia="zh-CN"/>
              </w:rPr>
              <w:t>主要包括表面处理恶臭和污水处理站恶臭。前处理线药剂恶臭如脱脂剂、除锈剂等在使用过程中有轻微气味，由于项目采用环保型除锈剂，酸洗过程无酸雾产生，药剂恶臭产生量少，且无组织排放于车间，以臭气浓度表征，仅做定性分析,药剂恶臭采取加强通风措施后无组织排放。</w:t>
            </w:r>
            <w:r>
              <w:rPr>
                <w:rFonts w:hint="default" w:ascii="Times New Roman" w:hAnsi="Times New Roman" w:cs="Times New Roman"/>
                <w:color w:val="auto"/>
                <w:sz w:val="24"/>
                <w:szCs w:val="24"/>
                <w:highlight w:val="none"/>
              </w:rPr>
              <w:t>污水处理站废水处理产生的废气主要为硫化氢、氨、臭气浓度。</w:t>
            </w:r>
            <w:r>
              <w:rPr>
                <w:rFonts w:hint="default" w:ascii="Times New Roman" w:hAnsi="Times New Roman" w:cs="Times New Roman"/>
                <w:color w:val="auto"/>
                <w:highlight w:val="none"/>
                <w:lang w:val="en-US" w:eastAsia="zh-CN"/>
              </w:rPr>
              <w:t>其中酸雾来源于pH调整剂（70%硫酸）的使用，由于其储存于密闭的容器中，非取用状态时加盖、封口，保持密闭，项目仅为调节废水pH，不</w:t>
            </w:r>
            <w:r>
              <w:rPr>
                <w:rFonts w:hint="eastAsia" w:cs="Times New Roman"/>
                <w:color w:val="auto"/>
                <w:highlight w:val="none"/>
                <w:lang w:val="en-US" w:eastAsia="zh-CN"/>
              </w:rPr>
              <w:t>用于</w:t>
            </w:r>
            <w:r>
              <w:rPr>
                <w:rFonts w:hint="default" w:ascii="Times New Roman" w:hAnsi="Times New Roman" w:cs="Times New Roman"/>
                <w:color w:val="auto"/>
                <w:highlight w:val="none"/>
                <w:lang w:val="en-US" w:eastAsia="zh-CN"/>
              </w:rPr>
              <w:t>酸洗等过程，常温下只会有极少酸雾随着水汽蒸发而挥发出来，本项目忽略不计；</w:t>
            </w:r>
            <w:r>
              <w:rPr>
                <w:rFonts w:hint="default" w:ascii="Times New Roman" w:hAnsi="Times New Roman" w:cs="Times New Roman"/>
                <w:color w:val="auto"/>
                <w:sz w:val="24"/>
                <w:szCs w:val="24"/>
                <w:highlight w:val="none"/>
              </w:rPr>
              <w:t>由于产生量少，本次评价不</w:t>
            </w:r>
            <w:r>
              <w:rPr>
                <w:rFonts w:hint="eastAsia" w:cs="Times New Roman"/>
                <w:color w:val="auto"/>
                <w:sz w:val="24"/>
                <w:szCs w:val="24"/>
                <w:highlight w:val="none"/>
                <w:lang w:eastAsia="zh-CN"/>
              </w:rPr>
              <w:t>做</w:t>
            </w:r>
            <w:r>
              <w:rPr>
                <w:rFonts w:hint="default" w:ascii="Times New Roman" w:hAnsi="Times New Roman" w:cs="Times New Roman"/>
                <w:color w:val="auto"/>
                <w:sz w:val="24"/>
                <w:szCs w:val="24"/>
                <w:highlight w:val="none"/>
              </w:rPr>
              <w:t>定量分析</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污水处理站采取加盖密闭、加强通风措施后无组织排放，经处理后</w:t>
            </w:r>
            <w:r>
              <w:rPr>
                <w:rFonts w:hint="eastAsia" w:cs="Times New Roman"/>
                <w:color w:val="auto"/>
                <w:sz w:val="24"/>
                <w:szCs w:val="24"/>
                <w:highlight w:val="none"/>
                <w:lang w:val="en-US" w:eastAsia="zh-CN"/>
              </w:rPr>
              <w:t>项目废气</w:t>
            </w:r>
            <w:r>
              <w:rPr>
                <w:rFonts w:hint="default" w:ascii="Times New Roman" w:hAnsi="Times New Roman" w:cs="Times New Roman"/>
                <w:color w:val="auto"/>
                <w:sz w:val="24"/>
                <w:szCs w:val="24"/>
                <w:highlight w:val="none"/>
              </w:rPr>
              <w:t>能够满足《恶臭污染物排放标准》（GB14554-1993）表1恶臭污染物新扩改建厂界标准值二级标准，生产异味对周边环境的影响不大。</w:t>
            </w:r>
          </w:p>
          <w:p w14:paraId="5C740840">
            <w:pPr>
              <w:pageBreakBefore w:val="0"/>
              <w:kinsoku/>
              <w:wordWrap w:val="0"/>
              <w:overflowPunct/>
              <w:topLinePunct w:val="0"/>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b/>
                <w:bCs/>
                <w:color w:val="auto"/>
                <w:sz w:val="24"/>
                <w:highlight w:val="none"/>
                <w:lang w:val="en-US" w:eastAsia="zh-CN"/>
              </w:rPr>
              <w:t>6、事故工况（非正常工况）废气污染物排放</w:t>
            </w:r>
          </w:p>
          <w:p w14:paraId="27DC35FB">
            <w:pPr>
              <w:pageBreakBefore w:val="0"/>
              <w:kinsoku/>
              <w:wordWrap w:val="0"/>
              <w:overflowPunct/>
              <w:topLinePunct w:val="0"/>
              <w:bidi w:val="0"/>
              <w:spacing w:line="360" w:lineRule="auto"/>
              <w:ind w:firstLine="480" w:firstLineChars="200"/>
              <w:rPr>
                <w:rFonts w:hint="default" w:ascii="Times New Roman" w:hAnsi="Times New Roman" w:eastAsia="宋体" w:cs="Times New Roman"/>
                <w:b/>
                <w:color w:val="auto"/>
                <w:sz w:val="21"/>
                <w:szCs w:val="21"/>
                <w:highlight w:val="none"/>
              </w:rPr>
            </w:pPr>
            <w:r>
              <w:rPr>
                <w:rFonts w:hint="default" w:ascii="Times New Roman" w:hAnsi="Times New Roman" w:cs="Times New Roman"/>
                <w:color w:val="auto"/>
                <w:sz w:val="24"/>
                <w:highlight w:val="none"/>
              </w:rPr>
              <w:t>本项目的非正常工况主要是污染物排放控制措施达不到应有效率，即处理设施发生故障，造成有机废气</w:t>
            </w:r>
            <w:r>
              <w:rPr>
                <w:rFonts w:hint="eastAsia" w:cs="Times New Roman"/>
                <w:color w:val="auto"/>
                <w:sz w:val="24"/>
                <w:highlight w:val="none"/>
                <w:lang w:eastAsia="zh-CN"/>
              </w:rPr>
              <w:t>、</w:t>
            </w:r>
            <w:r>
              <w:rPr>
                <w:rFonts w:hint="eastAsia" w:cs="Times New Roman"/>
                <w:color w:val="auto"/>
                <w:sz w:val="24"/>
                <w:highlight w:val="none"/>
                <w:lang w:val="en-US" w:eastAsia="zh-CN"/>
              </w:rPr>
              <w:t>颗粒物</w:t>
            </w:r>
            <w:r>
              <w:rPr>
                <w:rFonts w:hint="default" w:ascii="Times New Roman" w:hAnsi="Times New Roman" w:cs="Times New Roman"/>
                <w:color w:val="auto"/>
                <w:sz w:val="24"/>
                <w:highlight w:val="none"/>
              </w:rPr>
              <w:t>未经处理直接排放，其排放情况如下表。</w:t>
            </w:r>
          </w:p>
          <w:p w14:paraId="42A70447">
            <w:pPr>
              <w:keepNext w:val="0"/>
              <w:keepLines w:val="0"/>
              <w:pageBreakBefore w:val="0"/>
              <w:widowControl w:val="0"/>
              <w:numPr>
                <w:ilvl w:val="0"/>
                <w:numId w:val="10"/>
              </w:numPr>
              <w:kinsoku/>
              <w:wordWrap w:val="0"/>
              <w:overflowPunct/>
              <w:topLinePunct w:val="0"/>
              <w:autoSpaceDE/>
              <w:autoSpaceDN/>
              <w:bidi w:val="0"/>
              <w:adjustRightInd/>
              <w:snapToGrid/>
              <w:spacing w:line="240" w:lineRule="auto"/>
              <w:ind w:left="0" w:leftChars="0" w:hanging="1" w:firstLineChars="0"/>
              <w:jc w:val="center"/>
              <w:textAlignment w:val="auto"/>
              <w:rPr>
                <w:rFonts w:hint="default" w:ascii="Times New Roman" w:hAnsi="Times New Roman" w:cs="Times New Roman"/>
                <w:b/>
                <w:color w:val="auto"/>
                <w:sz w:val="21"/>
                <w:szCs w:val="21"/>
                <w:highlight w:val="none"/>
              </w:rPr>
            </w:pPr>
            <w:r>
              <w:rPr>
                <w:rFonts w:hint="eastAsia"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非正常</w:t>
            </w:r>
            <w:r>
              <w:rPr>
                <w:rFonts w:hint="default" w:ascii="Times New Roman" w:hAnsi="Times New Roman" w:cs="Times New Roman"/>
                <w:b/>
                <w:color w:val="auto"/>
                <w:sz w:val="21"/>
                <w:szCs w:val="21"/>
                <w:highlight w:val="none"/>
              </w:rPr>
              <w:t>工况有机废气排放情况</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865"/>
              <w:gridCol w:w="765"/>
              <w:gridCol w:w="915"/>
              <w:gridCol w:w="1219"/>
              <w:gridCol w:w="1035"/>
              <w:gridCol w:w="654"/>
              <w:gridCol w:w="728"/>
              <w:gridCol w:w="915"/>
            </w:tblGrid>
            <w:tr w14:paraId="1F5DB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Align w:val="center"/>
                </w:tcPr>
                <w:p w14:paraId="3A1226A6">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r>
                    <w:rPr>
                      <w:rFonts w:hint="default" w:ascii="Times New Roman" w:hAnsi="Times New Roman" w:eastAsia="宋体" w:cs="Times New Roman"/>
                      <w:b/>
                      <w:bCs/>
                      <w:snapToGrid/>
                      <w:color w:val="auto"/>
                      <w:kern w:val="2"/>
                      <w:sz w:val="21"/>
                      <w:szCs w:val="21"/>
                      <w:highlight w:val="none"/>
                      <w:lang w:eastAsia="zh-CN"/>
                    </w:rPr>
                    <w:t>序号</w:t>
                  </w:r>
                </w:p>
              </w:tc>
              <w:tc>
                <w:tcPr>
                  <w:tcW w:w="867" w:type="dxa"/>
                  <w:vAlign w:val="center"/>
                </w:tcPr>
                <w:p w14:paraId="2E32AA33">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r>
                    <w:rPr>
                      <w:rFonts w:hint="default" w:ascii="Times New Roman" w:hAnsi="Times New Roman" w:eastAsia="宋体" w:cs="Times New Roman"/>
                      <w:b/>
                      <w:bCs/>
                      <w:snapToGrid/>
                      <w:color w:val="auto"/>
                      <w:kern w:val="2"/>
                      <w:sz w:val="21"/>
                      <w:szCs w:val="21"/>
                      <w:highlight w:val="none"/>
                      <w:lang w:eastAsia="zh-CN"/>
                    </w:rPr>
                    <w:t>排放源</w:t>
                  </w:r>
                </w:p>
              </w:tc>
              <w:tc>
                <w:tcPr>
                  <w:tcW w:w="790" w:type="dxa"/>
                  <w:vAlign w:val="center"/>
                </w:tcPr>
                <w:p w14:paraId="5EA12802">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r>
                    <w:rPr>
                      <w:rFonts w:hint="default" w:ascii="Times New Roman" w:hAnsi="Times New Roman" w:eastAsia="宋体" w:cs="Times New Roman"/>
                      <w:b/>
                      <w:bCs/>
                      <w:snapToGrid/>
                      <w:color w:val="auto"/>
                      <w:kern w:val="2"/>
                      <w:sz w:val="21"/>
                      <w:szCs w:val="21"/>
                      <w:highlight w:val="none"/>
                      <w:lang w:eastAsia="zh-CN"/>
                    </w:rPr>
                    <w:t>非正常排放原因</w:t>
                  </w:r>
                </w:p>
              </w:tc>
              <w:tc>
                <w:tcPr>
                  <w:tcW w:w="950" w:type="dxa"/>
                  <w:vAlign w:val="center"/>
                </w:tcPr>
                <w:p w14:paraId="62A9B0EB">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r>
                    <w:rPr>
                      <w:rFonts w:hint="default" w:ascii="Times New Roman" w:hAnsi="Times New Roman" w:eastAsia="宋体" w:cs="Times New Roman"/>
                      <w:b/>
                      <w:bCs/>
                      <w:snapToGrid/>
                      <w:color w:val="auto"/>
                      <w:kern w:val="2"/>
                      <w:sz w:val="21"/>
                      <w:szCs w:val="21"/>
                      <w:highlight w:val="none"/>
                      <w:lang w:eastAsia="zh-CN"/>
                    </w:rPr>
                    <w:t>污染物</w:t>
                  </w:r>
                </w:p>
              </w:tc>
              <w:tc>
                <w:tcPr>
                  <w:tcW w:w="1059" w:type="dxa"/>
                  <w:vAlign w:val="center"/>
                </w:tcPr>
                <w:p w14:paraId="730CD998">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r>
                    <w:rPr>
                      <w:rFonts w:hint="default" w:ascii="Times New Roman" w:hAnsi="Times New Roman" w:eastAsia="宋体" w:cs="Times New Roman"/>
                      <w:b/>
                      <w:bCs/>
                      <w:snapToGrid/>
                      <w:color w:val="auto"/>
                      <w:kern w:val="2"/>
                      <w:sz w:val="21"/>
                      <w:szCs w:val="21"/>
                      <w:highlight w:val="none"/>
                      <w:lang w:eastAsia="zh-CN"/>
                    </w:rPr>
                    <w:t>非正常排放浓度/（mg/m</w:t>
                  </w:r>
                  <w:r>
                    <w:rPr>
                      <w:rFonts w:hint="default" w:ascii="Times New Roman" w:hAnsi="Times New Roman" w:eastAsia="宋体" w:cs="Times New Roman"/>
                      <w:b/>
                      <w:bCs/>
                      <w:snapToGrid/>
                      <w:color w:val="auto"/>
                      <w:kern w:val="2"/>
                      <w:sz w:val="21"/>
                      <w:szCs w:val="21"/>
                      <w:highlight w:val="none"/>
                      <w:vertAlign w:val="superscript"/>
                      <w:lang w:eastAsia="zh-CN"/>
                    </w:rPr>
                    <w:t>3</w:t>
                  </w:r>
                  <w:r>
                    <w:rPr>
                      <w:rFonts w:hint="default" w:ascii="Times New Roman" w:hAnsi="Times New Roman" w:eastAsia="宋体" w:cs="Times New Roman"/>
                      <w:b/>
                      <w:bCs/>
                      <w:snapToGrid/>
                      <w:color w:val="auto"/>
                      <w:kern w:val="2"/>
                      <w:sz w:val="21"/>
                      <w:szCs w:val="21"/>
                      <w:highlight w:val="none"/>
                      <w:lang w:eastAsia="zh-CN"/>
                    </w:rPr>
                    <w:t>）</w:t>
                  </w:r>
                </w:p>
              </w:tc>
              <w:tc>
                <w:tcPr>
                  <w:tcW w:w="1035" w:type="dxa"/>
                  <w:vAlign w:val="center"/>
                </w:tcPr>
                <w:p w14:paraId="34EDB88B">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r>
                    <w:rPr>
                      <w:rFonts w:hint="default" w:ascii="Times New Roman" w:hAnsi="Times New Roman" w:eastAsia="宋体" w:cs="Times New Roman"/>
                      <w:b/>
                      <w:bCs/>
                      <w:snapToGrid/>
                      <w:color w:val="auto"/>
                      <w:kern w:val="2"/>
                      <w:sz w:val="21"/>
                      <w:szCs w:val="21"/>
                      <w:highlight w:val="none"/>
                      <w:lang w:eastAsia="zh-CN"/>
                    </w:rPr>
                    <w:t>非正常排放速率/（kg/h）</w:t>
                  </w:r>
                </w:p>
              </w:tc>
              <w:tc>
                <w:tcPr>
                  <w:tcW w:w="670" w:type="dxa"/>
                  <w:vAlign w:val="center"/>
                </w:tcPr>
                <w:p w14:paraId="2F23EA6E">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r>
                    <w:rPr>
                      <w:rFonts w:hint="default" w:ascii="Times New Roman" w:hAnsi="Times New Roman" w:eastAsia="宋体" w:cs="Times New Roman"/>
                      <w:b/>
                      <w:bCs/>
                      <w:snapToGrid/>
                      <w:color w:val="auto"/>
                      <w:kern w:val="2"/>
                      <w:sz w:val="21"/>
                      <w:szCs w:val="21"/>
                      <w:highlight w:val="none"/>
                      <w:lang w:eastAsia="zh-CN"/>
                    </w:rPr>
                    <w:t>单次持续时间/h</w:t>
                  </w:r>
                </w:p>
              </w:tc>
              <w:tc>
                <w:tcPr>
                  <w:tcW w:w="750" w:type="dxa"/>
                  <w:vAlign w:val="center"/>
                </w:tcPr>
                <w:p w14:paraId="0F990DCF">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r>
                    <w:rPr>
                      <w:rFonts w:hint="default" w:ascii="Times New Roman" w:hAnsi="Times New Roman" w:eastAsia="宋体" w:cs="Times New Roman"/>
                      <w:b/>
                      <w:bCs/>
                      <w:snapToGrid/>
                      <w:color w:val="auto"/>
                      <w:kern w:val="2"/>
                      <w:sz w:val="21"/>
                      <w:szCs w:val="21"/>
                      <w:highlight w:val="none"/>
                      <w:lang w:eastAsia="zh-CN"/>
                    </w:rPr>
                    <w:t>年发生频次/次</w:t>
                  </w:r>
                </w:p>
              </w:tc>
              <w:tc>
                <w:tcPr>
                  <w:tcW w:w="950" w:type="dxa"/>
                  <w:vAlign w:val="center"/>
                </w:tcPr>
                <w:p w14:paraId="00E27D91">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r>
                    <w:rPr>
                      <w:rFonts w:hint="default" w:ascii="Times New Roman" w:hAnsi="Times New Roman" w:eastAsia="宋体" w:cs="Times New Roman"/>
                      <w:b/>
                      <w:bCs/>
                      <w:snapToGrid/>
                      <w:color w:val="auto"/>
                      <w:kern w:val="2"/>
                      <w:sz w:val="21"/>
                      <w:szCs w:val="21"/>
                      <w:highlight w:val="none"/>
                      <w:lang w:eastAsia="zh-CN"/>
                    </w:rPr>
                    <w:t>应对措施</w:t>
                  </w:r>
                </w:p>
              </w:tc>
            </w:tr>
            <w:tr w14:paraId="4C50E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Align w:val="center"/>
                </w:tcPr>
                <w:p w14:paraId="6BC1D2D5">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r>
                    <w:rPr>
                      <w:rFonts w:hint="default" w:ascii="Times New Roman" w:hAnsi="Times New Roman" w:eastAsia="宋体" w:cs="Times New Roman"/>
                      <w:snapToGrid/>
                      <w:color w:val="auto"/>
                      <w:kern w:val="2"/>
                      <w:sz w:val="21"/>
                      <w:szCs w:val="21"/>
                      <w:highlight w:val="none"/>
                      <w:lang w:eastAsia="zh-CN"/>
                    </w:rPr>
                    <w:t>1</w:t>
                  </w:r>
                </w:p>
              </w:tc>
              <w:tc>
                <w:tcPr>
                  <w:tcW w:w="867" w:type="dxa"/>
                  <w:vAlign w:val="center"/>
                </w:tcPr>
                <w:p w14:paraId="10ACBEC6">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r>
                    <w:rPr>
                      <w:rFonts w:hint="default" w:ascii="Times New Roman" w:hAnsi="Times New Roman" w:eastAsia="宋体" w:cs="Times New Roman"/>
                      <w:i w:val="0"/>
                      <w:iCs w:val="0"/>
                      <w:color w:val="auto"/>
                      <w:kern w:val="0"/>
                      <w:sz w:val="21"/>
                      <w:szCs w:val="21"/>
                      <w:highlight w:val="none"/>
                      <w:u w:val="none"/>
                      <w:lang w:val="en-US" w:eastAsia="zh-CN"/>
                    </w:rPr>
                    <w:t>DA001排气筒</w:t>
                  </w:r>
                </w:p>
              </w:tc>
              <w:tc>
                <w:tcPr>
                  <w:tcW w:w="790" w:type="dxa"/>
                  <w:vAlign w:val="center"/>
                </w:tcPr>
                <w:p w14:paraId="6FC1E4C3">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r>
                    <w:rPr>
                      <w:rFonts w:hint="default" w:ascii="Times New Roman" w:hAnsi="Times New Roman" w:eastAsia="宋体" w:cs="Times New Roman"/>
                      <w:color w:val="auto"/>
                      <w:sz w:val="21"/>
                      <w:szCs w:val="21"/>
                      <w:highlight w:val="none"/>
                      <w:lang w:val="en-US" w:eastAsia="zh-CN"/>
                    </w:rPr>
                    <w:t>除尘器故障</w:t>
                  </w:r>
                </w:p>
              </w:tc>
              <w:tc>
                <w:tcPr>
                  <w:tcW w:w="950" w:type="dxa"/>
                  <w:vAlign w:val="center"/>
                </w:tcPr>
                <w:p w14:paraId="726519D9">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r>
                    <w:rPr>
                      <w:rFonts w:hint="default" w:ascii="Times New Roman" w:hAnsi="Times New Roman" w:eastAsia="宋体" w:cs="Times New Roman"/>
                      <w:snapToGrid/>
                      <w:color w:val="auto"/>
                      <w:kern w:val="2"/>
                      <w:sz w:val="21"/>
                      <w:szCs w:val="21"/>
                      <w:highlight w:val="none"/>
                      <w:lang w:val="en-US" w:eastAsia="zh-CN"/>
                    </w:rPr>
                    <w:t>颗粒物</w:t>
                  </w:r>
                </w:p>
              </w:tc>
              <w:tc>
                <w:tcPr>
                  <w:tcW w:w="1059" w:type="dxa"/>
                  <w:vAlign w:val="center"/>
                </w:tcPr>
                <w:p w14:paraId="29BE36F4">
                  <w:pPr>
                    <w:keepNext w:val="0"/>
                    <w:keepLines w:val="0"/>
                    <w:widowControl/>
                    <w:suppressLineNumbers w:val="0"/>
                    <w:jc w:val="center"/>
                    <w:textAlignment w:val="center"/>
                    <w:rPr>
                      <w:rFonts w:hint="default" w:ascii="Times New Roman" w:hAnsi="Times New Roman" w:eastAsia="宋体" w:cs="Times New Roman"/>
                      <w:b w:val="0"/>
                      <w:bCs w:val="0"/>
                      <w:color w:val="auto"/>
                      <w:spacing w:val="-3"/>
                      <w:kern w:val="2"/>
                      <w:sz w:val="21"/>
                      <w:szCs w:val="21"/>
                      <w:highlight w:val="none"/>
                      <w:lang w:val="en-US" w:eastAsia="zh-CN" w:bidi="ar-SA"/>
                    </w:rPr>
                  </w:pPr>
                  <w:r>
                    <w:rPr>
                      <w:rFonts w:hint="default" w:ascii="Times New Roman" w:hAnsi="Times New Roman" w:eastAsia="宋体" w:cs="Times New Roman"/>
                      <w:b w:val="0"/>
                      <w:bCs w:val="0"/>
                      <w:color w:val="auto"/>
                      <w:spacing w:val="-3"/>
                      <w:kern w:val="2"/>
                      <w:sz w:val="21"/>
                      <w:szCs w:val="21"/>
                      <w:highlight w:val="none"/>
                      <w:lang w:val="en-US" w:eastAsia="zh-CN" w:bidi="ar-SA"/>
                    </w:rPr>
                    <w:t xml:space="preserve">33.8 </w:t>
                  </w:r>
                </w:p>
              </w:tc>
              <w:tc>
                <w:tcPr>
                  <w:tcW w:w="1035" w:type="dxa"/>
                  <w:vAlign w:val="center"/>
                </w:tcPr>
                <w:p w14:paraId="6213EB0F">
                  <w:pPr>
                    <w:keepNext w:val="0"/>
                    <w:keepLines w:val="0"/>
                    <w:widowControl/>
                    <w:suppressLineNumbers w:val="0"/>
                    <w:jc w:val="center"/>
                    <w:textAlignment w:val="center"/>
                    <w:rPr>
                      <w:rFonts w:hint="default" w:ascii="Times New Roman" w:hAnsi="Times New Roman" w:eastAsia="宋体" w:cs="Times New Roman"/>
                      <w:b w:val="0"/>
                      <w:bCs w:val="0"/>
                      <w:color w:val="auto"/>
                      <w:spacing w:val="-3"/>
                      <w:kern w:val="2"/>
                      <w:sz w:val="21"/>
                      <w:szCs w:val="21"/>
                      <w:highlight w:val="none"/>
                      <w:lang w:val="en-US" w:eastAsia="zh-CN" w:bidi="ar-SA"/>
                    </w:rPr>
                  </w:pPr>
                  <w:r>
                    <w:rPr>
                      <w:rFonts w:hint="default" w:ascii="Times New Roman" w:hAnsi="Times New Roman" w:eastAsia="宋体" w:cs="Times New Roman"/>
                      <w:b w:val="0"/>
                      <w:bCs w:val="0"/>
                      <w:color w:val="auto"/>
                      <w:spacing w:val="-3"/>
                      <w:kern w:val="2"/>
                      <w:sz w:val="21"/>
                      <w:szCs w:val="21"/>
                      <w:highlight w:val="none"/>
                      <w:lang w:val="en-US" w:eastAsia="zh-CN" w:bidi="ar-SA"/>
                    </w:rPr>
                    <w:t xml:space="preserve">0.786 </w:t>
                  </w:r>
                </w:p>
              </w:tc>
              <w:tc>
                <w:tcPr>
                  <w:tcW w:w="670" w:type="dxa"/>
                  <w:vAlign w:val="center"/>
                </w:tcPr>
                <w:p w14:paraId="34478775">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r>
                    <w:rPr>
                      <w:rFonts w:hint="default" w:ascii="Times New Roman" w:hAnsi="Times New Roman" w:eastAsia="宋体" w:cs="Times New Roman"/>
                      <w:snapToGrid/>
                      <w:color w:val="auto"/>
                      <w:kern w:val="2"/>
                      <w:sz w:val="21"/>
                      <w:szCs w:val="21"/>
                      <w:highlight w:val="none"/>
                      <w:lang w:eastAsia="zh-CN"/>
                    </w:rPr>
                    <w:t>1</w:t>
                  </w:r>
                </w:p>
              </w:tc>
              <w:tc>
                <w:tcPr>
                  <w:tcW w:w="750" w:type="dxa"/>
                  <w:vAlign w:val="center"/>
                </w:tcPr>
                <w:p w14:paraId="0DFCB0D2">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r>
                    <w:rPr>
                      <w:rFonts w:hint="default" w:ascii="Times New Roman" w:hAnsi="Times New Roman" w:eastAsia="宋体" w:cs="Times New Roman"/>
                      <w:snapToGrid/>
                      <w:color w:val="auto"/>
                      <w:kern w:val="2"/>
                      <w:sz w:val="21"/>
                      <w:szCs w:val="21"/>
                      <w:highlight w:val="none"/>
                      <w:lang w:eastAsia="zh-CN"/>
                    </w:rPr>
                    <w:t>1</w:t>
                  </w:r>
                </w:p>
              </w:tc>
              <w:tc>
                <w:tcPr>
                  <w:tcW w:w="950" w:type="dxa"/>
                  <w:vAlign w:val="center"/>
                </w:tcPr>
                <w:p w14:paraId="3CA9C43B">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r>
                    <w:rPr>
                      <w:rFonts w:hint="default" w:ascii="Times New Roman" w:hAnsi="Times New Roman" w:eastAsia="宋体" w:cs="Times New Roman"/>
                      <w:snapToGrid/>
                      <w:color w:val="auto"/>
                      <w:kern w:val="2"/>
                      <w:sz w:val="21"/>
                      <w:szCs w:val="21"/>
                      <w:highlight w:val="none"/>
                      <w:lang w:eastAsia="zh-CN"/>
                    </w:rPr>
                    <w:t>停止生产并修复处理设备</w:t>
                  </w:r>
                </w:p>
              </w:tc>
            </w:tr>
            <w:tr w14:paraId="5511F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restart"/>
                  <w:vAlign w:val="center"/>
                </w:tcPr>
                <w:p w14:paraId="7D3FAD96">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r>
                    <w:rPr>
                      <w:rFonts w:hint="eastAsia" w:ascii="Times New Roman" w:hAnsi="Times New Roman" w:eastAsia="宋体" w:cs="Times New Roman"/>
                      <w:snapToGrid/>
                      <w:color w:val="auto"/>
                      <w:kern w:val="2"/>
                      <w:sz w:val="21"/>
                      <w:szCs w:val="21"/>
                      <w:highlight w:val="none"/>
                      <w:lang w:val="en-US" w:eastAsia="zh-CN"/>
                    </w:rPr>
                    <w:t>2</w:t>
                  </w:r>
                </w:p>
              </w:tc>
              <w:tc>
                <w:tcPr>
                  <w:tcW w:w="867" w:type="dxa"/>
                  <w:vMerge w:val="restart"/>
                  <w:vAlign w:val="center"/>
                </w:tcPr>
                <w:p w14:paraId="70888935">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r>
                    <w:rPr>
                      <w:rFonts w:hint="eastAsia" w:ascii="Times New Roman" w:hAnsi="Times New Roman" w:eastAsia="宋体" w:cs="Times New Roman"/>
                      <w:i w:val="0"/>
                      <w:iCs w:val="0"/>
                      <w:color w:val="auto"/>
                      <w:kern w:val="0"/>
                      <w:sz w:val="21"/>
                      <w:szCs w:val="21"/>
                      <w:highlight w:val="none"/>
                      <w:u w:val="none"/>
                      <w:lang w:val="en-US" w:eastAsia="zh-CN"/>
                    </w:rPr>
                    <w:t>DA003排气筒</w:t>
                  </w:r>
                </w:p>
              </w:tc>
              <w:tc>
                <w:tcPr>
                  <w:tcW w:w="790" w:type="dxa"/>
                  <w:vMerge w:val="restart"/>
                  <w:vAlign w:val="center"/>
                </w:tcPr>
                <w:p w14:paraId="4E790812">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r>
                    <w:rPr>
                      <w:rFonts w:hint="eastAsia" w:ascii="Times New Roman" w:hAnsi="Times New Roman" w:eastAsia="宋体" w:cs="Times New Roman"/>
                      <w:color w:val="auto"/>
                      <w:sz w:val="21"/>
                      <w:szCs w:val="21"/>
                      <w:highlight w:val="none"/>
                      <w:lang w:val="en-US" w:eastAsia="zh-CN"/>
                    </w:rPr>
                    <w:t>废气设施失效</w:t>
                  </w:r>
                </w:p>
              </w:tc>
              <w:tc>
                <w:tcPr>
                  <w:tcW w:w="950" w:type="dxa"/>
                  <w:vAlign w:val="center"/>
                </w:tcPr>
                <w:p w14:paraId="339228F8">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r>
                    <w:rPr>
                      <w:rFonts w:hint="eastAsia" w:ascii="Times New Roman" w:hAnsi="Times New Roman" w:eastAsia="宋体" w:cs="Times New Roman"/>
                      <w:snapToGrid/>
                      <w:color w:val="auto"/>
                      <w:kern w:val="2"/>
                      <w:sz w:val="21"/>
                      <w:szCs w:val="21"/>
                      <w:highlight w:val="none"/>
                      <w:lang w:val="en-US" w:eastAsia="zh-CN"/>
                    </w:rPr>
                    <w:t>颗粒物</w:t>
                  </w:r>
                </w:p>
              </w:tc>
              <w:tc>
                <w:tcPr>
                  <w:tcW w:w="1059" w:type="dxa"/>
                  <w:vAlign w:val="center"/>
                </w:tcPr>
                <w:p w14:paraId="782F5976">
                  <w:pPr>
                    <w:keepNext w:val="0"/>
                    <w:keepLines w:val="0"/>
                    <w:widowControl/>
                    <w:suppressLineNumbers w:val="0"/>
                    <w:jc w:val="center"/>
                    <w:textAlignment w:val="center"/>
                    <w:rPr>
                      <w:rFonts w:hint="default" w:ascii="Times New Roman" w:hAnsi="Times New Roman" w:eastAsia="宋体" w:cs="Times New Roman"/>
                      <w:b w:val="0"/>
                      <w:bCs w:val="0"/>
                      <w:color w:val="auto"/>
                      <w:spacing w:val="-3"/>
                      <w:kern w:val="2"/>
                      <w:sz w:val="21"/>
                      <w:szCs w:val="21"/>
                      <w:highlight w:val="none"/>
                      <w:lang w:val="en-US" w:eastAsia="zh-CN" w:bidi="ar-SA"/>
                    </w:rPr>
                  </w:pPr>
                  <w:r>
                    <w:rPr>
                      <w:rFonts w:hint="default" w:ascii="Times New Roman" w:hAnsi="Times New Roman" w:eastAsia="宋体" w:cs="Times New Roman"/>
                      <w:b w:val="0"/>
                      <w:bCs w:val="0"/>
                      <w:color w:val="auto"/>
                      <w:spacing w:val="-3"/>
                      <w:kern w:val="2"/>
                      <w:sz w:val="21"/>
                      <w:szCs w:val="21"/>
                      <w:highlight w:val="none"/>
                      <w:lang w:val="en-US" w:eastAsia="zh-CN" w:bidi="ar-SA"/>
                    </w:rPr>
                    <w:t xml:space="preserve">37.3 </w:t>
                  </w:r>
                </w:p>
              </w:tc>
              <w:tc>
                <w:tcPr>
                  <w:tcW w:w="1035" w:type="dxa"/>
                  <w:vAlign w:val="center"/>
                </w:tcPr>
                <w:p w14:paraId="7FCDB855">
                  <w:pPr>
                    <w:keepNext w:val="0"/>
                    <w:keepLines w:val="0"/>
                    <w:widowControl/>
                    <w:suppressLineNumbers w:val="0"/>
                    <w:jc w:val="center"/>
                    <w:textAlignment w:val="center"/>
                    <w:rPr>
                      <w:rFonts w:hint="default" w:ascii="Times New Roman" w:hAnsi="Times New Roman" w:eastAsia="宋体" w:cs="Times New Roman"/>
                      <w:b w:val="0"/>
                      <w:bCs w:val="0"/>
                      <w:color w:val="auto"/>
                      <w:spacing w:val="-3"/>
                      <w:kern w:val="2"/>
                      <w:sz w:val="21"/>
                      <w:szCs w:val="21"/>
                      <w:highlight w:val="none"/>
                      <w:lang w:val="en-US" w:eastAsia="zh-CN" w:bidi="ar-SA"/>
                    </w:rPr>
                  </w:pPr>
                  <w:r>
                    <w:rPr>
                      <w:rFonts w:hint="default" w:ascii="Times New Roman" w:hAnsi="Times New Roman" w:eastAsia="宋体" w:cs="Times New Roman"/>
                      <w:b w:val="0"/>
                      <w:bCs w:val="0"/>
                      <w:color w:val="auto"/>
                      <w:spacing w:val="-3"/>
                      <w:kern w:val="2"/>
                      <w:sz w:val="21"/>
                      <w:szCs w:val="21"/>
                      <w:highlight w:val="none"/>
                      <w:lang w:val="en-US" w:eastAsia="zh-CN" w:bidi="ar-SA"/>
                    </w:rPr>
                    <w:t xml:space="preserve">0.373 </w:t>
                  </w:r>
                </w:p>
              </w:tc>
              <w:tc>
                <w:tcPr>
                  <w:tcW w:w="670" w:type="dxa"/>
                  <w:vMerge w:val="restart"/>
                  <w:vAlign w:val="center"/>
                </w:tcPr>
                <w:p w14:paraId="13CCCA59">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r>
                    <w:rPr>
                      <w:rFonts w:hint="eastAsia" w:ascii="Times New Roman" w:hAnsi="Times New Roman" w:eastAsia="宋体" w:cs="Times New Roman"/>
                      <w:snapToGrid/>
                      <w:color w:val="auto"/>
                      <w:kern w:val="2"/>
                      <w:sz w:val="21"/>
                      <w:szCs w:val="21"/>
                      <w:highlight w:val="none"/>
                      <w:lang w:val="en-US" w:eastAsia="zh-CN"/>
                    </w:rPr>
                    <w:t>1</w:t>
                  </w:r>
                </w:p>
              </w:tc>
              <w:tc>
                <w:tcPr>
                  <w:tcW w:w="750" w:type="dxa"/>
                  <w:vMerge w:val="restart"/>
                  <w:vAlign w:val="center"/>
                </w:tcPr>
                <w:p w14:paraId="549E4466">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r>
                    <w:rPr>
                      <w:rFonts w:hint="eastAsia" w:ascii="Times New Roman" w:hAnsi="Times New Roman" w:eastAsia="宋体" w:cs="Times New Roman"/>
                      <w:snapToGrid/>
                      <w:color w:val="auto"/>
                      <w:kern w:val="2"/>
                      <w:sz w:val="21"/>
                      <w:szCs w:val="21"/>
                      <w:highlight w:val="none"/>
                      <w:lang w:val="en-US" w:eastAsia="zh-CN"/>
                    </w:rPr>
                    <w:t>1</w:t>
                  </w:r>
                </w:p>
              </w:tc>
              <w:tc>
                <w:tcPr>
                  <w:tcW w:w="950" w:type="dxa"/>
                  <w:vMerge w:val="restart"/>
                  <w:vAlign w:val="center"/>
                </w:tcPr>
                <w:p w14:paraId="571FBA88">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r>
                    <w:rPr>
                      <w:rFonts w:hint="default" w:ascii="Times New Roman" w:hAnsi="Times New Roman" w:eastAsia="宋体" w:cs="Times New Roman"/>
                      <w:snapToGrid/>
                      <w:color w:val="auto"/>
                      <w:kern w:val="2"/>
                      <w:sz w:val="21"/>
                      <w:szCs w:val="21"/>
                      <w:highlight w:val="none"/>
                      <w:lang w:eastAsia="zh-CN"/>
                    </w:rPr>
                    <w:t>停止生产并修复处理设备</w:t>
                  </w:r>
                </w:p>
              </w:tc>
            </w:tr>
            <w:tr w14:paraId="16BF1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continue"/>
                  <w:vAlign w:val="center"/>
                </w:tcPr>
                <w:p w14:paraId="010F9F19">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p>
              </w:tc>
              <w:tc>
                <w:tcPr>
                  <w:tcW w:w="867" w:type="dxa"/>
                  <w:vMerge w:val="continue"/>
                  <w:vAlign w:val="center"/>
                </w:tcPr>
                <w:p w14:paraId="49E974FF">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p>
              </w:tc>
              <w:tc>
                <w:tcPr>
                  <w:tcW w:w="790" w:type="dxa"/>
                  <w:vMerge w:val="continue"/>
                  <w:vAlign w:val="center"/>
                </w:tcPr>
                <w:p w14:paraId="35254AFE">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p>
              </w:tc>
              <w:tc>
                <w:tcPr>
                  <w:tcW w:w="950" w:type="dxa"/>
                  <w:vAlign w:val="center"/>
                </w:tcPr>
                <w:p w14:paraId="082987AB">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r>
                    <w:rPr>
                      <w:rFonts w:hint="eastAsia" w:ascii="Times New Roman" w:hAnsi="Times New Roman" w:eastAsia="宋体" w:cs="Times New Roman"/>
                      <w:snapToGrid/>
                      <w:color w:val="auto"/>
                      <w:kern w:val="2"/>
                      <w:sz w:val="21"/>
                      <w:szCs w:val="21"/>
                      <w:highlight w:val="none"/>
                      <w:lang w:val="en-US" w:eastAsia="zh-CN"/>
                    </w:rPr>
                    <w:t>非甲烷总烃</w:t>
                  </w:r>
                </w:p>
              </w:tc>
              <w:tc>
                <w:tcPr>
                  <w:tcW w:w="1059" w:type="dxa"/>
                  <w:vAlign w:val="center"/>
                </w:tcPr>
                <w:p w14:paraId="33E9309D">
                  <w:pPr>
                    <w:keepNext w:val="0"/>
                    <w:keepLines w:val="0"/>
                    <w:widowControl/>
                    <w:suppressLineNumbers w:val="0"/>
                    <w:jc w:val="center"/>
                    <w:textAlignment w:val="center"/>
                    <w:rPr>
                      <w:rFonts w:hint="default" w:ascii="Times New Roman" w:hAnsi="Times New Roman" w:eastAsia="宋体" w:cs="Times New Roman"/>
                      <w:b w:val="0"/>
                      <w:bCs w:val="0"/>
                      <w:color w:val="auto"/>
                      <w:spacing w:val="-3"/>
                      <w:kern w:val="2"/>
                      <w:sz w:val="21"/>
                      <w:szCs w:val="21"/>
                      <w:highlight w:val="none"/>
                      <w:lang w:val="en-US" w:eastAsia="zh-CN" w:bidi="ar-SA"/>
                    </w:rPr>
                  </w:pPr>
                  <w:r>
                    <w:rPr>
                      <w:rFonts w:hint="default" w:ascii="Times New Roman" w:hAnsi="Times New Roman" w:eastAsia="宋体" w:cs="Times New Roman"/>
                      <w:b w:val="0"/>
                      <w:bCs w:val="0"/>
                      <w:color w:val="auto"/>
                      <w:spacing w:val="-3"/>
                      <w:kern w:val="2"/>
                      <w:sz w:val="21"/>
                      <w:szCs w:val="21"/>
                      <w:highlight w:val="none"/>
                      <w:lang w:val="en-US" w:eastAsia="zh-CN" w:bidi="ar-SA"/>
                    </w:rPr>
                    <w:t xml:space="preserve">30.7 </w:t>
                  </w:r>
                </w:p>
              </w:tc>
              <w:tc>
                <w:tcPr>
                  <w:tcW w:w="1035" w:type="dxa"/>
                  <w:vAlign w:val="center"/>
                </w:tcPr>
                <w:p w14:paraId="2C1B4C19">
                  <w:pPr>
                    <w:keepNext w:val="0"/>
                    <w:keepLines w:val="0"/>
                    <w:widowControl/>
                    <w:suppressLineNumbers w:val="0"/>
                    <w:jc w:val="center"/>
                    <w:textAlignment w:val="center"/>
                    <w:rPr>
                      <w:rFonts w:hint="default" w:ascii="Times New Roman" w:hAnsi="Times New Roman" w:eastAsia="宋体" w:cs="Times New Roman"/>
                      <w:b w:val="0"/>
                      <w:bCs w:val="0"/>
                      <w:color w:val="auto"/>
                      <w:spacing w:val="-3"/>
                      <w:kern w:val="2"/>
                      <w:sz w:val="21"/>
                      <w:szCs w:val="21"/>
                      <w:highlight w:val="none"/>
                      <w:lang w:val="en-US" w:eastAsia="zh-CN" w:bidi="ar-SA"/>
                    </w:rPr>
                  </w:pPr>
                  <w:r>
                    <w:rPr>
                      <w:rFonts w:hint="default" w:ascii="Times New Roman" w:hAnsi="Times New Roman" w:eastAsia="宋体" w:cs="Times New Roman"/>
                      <w:b w:val="0"/>
                      <w:bCs w:val="0"/>
                      <w:color w:val="auto"/>
                      <w:spacing w:val="-3"/>
                      <w:kern w:val="2"/>
                      <w:sz w:val="21"/>
                      <w:szCs w:val="21"/>
                      <w:highlight w:val="none"/>
                      <w:lang w:val="en-US" w:eastAsia="zh-CN" w:bidi="ar-SA"/>
                    </w:rPr>
                    <w:t xml:space="preserve">0.307 </w:t>
                  </w:r>
                </w:p>
              </w:tc>
              <w:tc>
                <w:tcPr>
                  <w:tcW w:w="670" w:type="dxa"/>
                  <w:vMerge w:val="continue"/>
                  <w:vAlign w:val="center"/>
                </w:tcPr>
                <w:p w14:paraId="03EBECA2">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p>
              </w:tc>
              <w:tc>
                <w:tcPr>
                  <w:tcW w:w="750" w:type="dxa"/>
                  <w:vMerge w:val="continue"/>
                  <w:vAlign w:val="center"/>
                </w:tcPr>
                <w:p w14:paraId="4225E684">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p>
              </w:tc>
              <w:tc>
                <w:tcPr>
                  <w:tcW w:w="950" w:type="dxa"/>
                  <w:vMerge w:val="continue"/>
                  <w:vAlign w:val="center"/>
                </w:tcPr>
                <w:p w14:paraId="2F524CEB">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p>
              </w:tc>
            </w:tr>
            <w:tr w14:paraId="08C6E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continue"/>
                  <w:vAlign w:val="center"/>
                </w:tcPr>
                <w:p w14:paraId="1BFFF134">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p>
              </w:tc>
              <w:tc>
                <w:tcPr>
                  <w:tcW w:w="867" w:type="dxa"/>
                  <w:vMerge w:val="continue"/>
                  <w:vAlign w:val="center"/>
                </w:tcPr>
                <w:p w14:paraId="683AB216">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p>
              </w:tc>
              <w:tc>
                <w:tcPr>
                  <w:tcW w:w="790" w:type="dxa"/>
                  <w:vMerge w:val="continue"/>
                  <w:vAlign w:val="center"/>
                </w:tcPr>
                <w:p w14:paraId="46158145">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p>
              </w:tc>
              <w:tc>
                <w:tcPr>
                  <w:tcW w:w="950" w:type="dxa"/>
                  <w:vAlign w:val="center"/>
                </w:tcPr>
                <w:p w14:paraId="77389114">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r>
                    <w:rPr>
                      <w:rFonts w:hint="eastAsia" w:ascii="Times New Roman" w:hAnsi="Times New Roman" w:eastAsia="宋体" w:cs="Times New Roman"/>
                      <w:snapToGrid/>
                      <w:color w:val="auto"/>
                      <w:kern w:val="2"/>
                      <w:sz w:val="21"/>
                      <w:szCs w:val="21"/>
                      <w:highlight w:val="none"/>
                      <w:lang w:val="en-US" w:eastAsia="zh-CN"/>
                    </w:rPr>
                    <w:t>苯系物</w:t>
                  </w:r>
                </w:p>
              </w:tc>
              <w:tc>
                <w:tcPr>
                  <w:tcW w:w="1059" w:type="dxa"/>
                  <w:vAlign w:val="center"/>
                </w:tcPr>
                <w:p w14:paraId="61622594">
                  <w:pPr>
                    <w:keepNext w:val="0"/>
                    <w:keepLines w:val="0"/>
                    <w:widowControl/>
                    <w:suppressLineNumbers w:val="0"/>
                    <w:jc w:val="center"/>
                    <w:textAlignment w:val="center"/>
                    <w:rPr>
                      <w:rFonts w:hint="default" w:ascii="Times New Roman" w:hAnsi="Times New Roman" w:eastAsia="宋体" w:cs="Times New Roman"/>
                      <w:b w:val="0"/>
                      <w:bCs w:val="0"/>
                      <w:color w:val="auto"/>
                      <w:spacing w:val="-3"/>
                      <w:kern w:val="2"/>
                      <w:sz w:val="21"/>
                      <w:szCs w:val="21"/>
                      <w:highlight w:val="none"/>
                      <w:lang w:val="en-US" w:eastAsia="zh-CN" w:bidi="ar-SA"/>
                    </w:rPr>
                  </w:pPr>
                  <w:r>
                    <w:rPr>
                      <w:rFonts w:hint="default" w:ascii="Times New Roman" w:hAnsi="Times New Roman" w:eastAsia="宋体" w:cs="Times New Roman"/>
                      <w:b w:val="0"/>
                      <w:bCs w:val="0"/>
                      <w:color w:val="auto"/>
                      <w:spacing w:val="-3"/>
                      <w:kern w:val="2"/>
                      <w:sz w:val="21"/>
                      <w:szCs w:val="21"/>
                      <w:highlight w:val="none"/>
                      <w:lang w:val="en-US" w:eastAsia="zh-CN" w:bidi="ar-SA"/>
                    </w:rPr>
                    <w:t xml:space="preserve">6.0 </w:t>
                  </w:r>
                </w:p>
              </w:tc>
              <w:tc>
                <w:tcPr>
                  <w:tcW w:w="1035" w:type="dxa"/>
                  <w:vAlign w:val="center"/>
                </w:tcPr>
                <w:p w14:paraId="78E8ACA7">
                  <w:pPr>
                    <w:keepNext w:val="0"/>
                    <w:keepLines w:val="0"/>
                    <w:widowControl/>
                    <w:suppressLineNumbers w:val="0"/>
                    <w:jc w:val="center"/>
                    <w:textAlignment w:val="center"/>
                    <w:rPr>
                      <w:rFonts w:hint="default" w:ascii="Times New Roman" w:hAnsi="Times New Roman" w:eastAsia="宋体" w:cs="Times New Roman"/>
                      <w:b w:val="0"/>
                      <w:bCs w:val="0"/>
                      <w:color w:val="auto"/>
                      <w:spacing w:val="-3"/>
                      <w:kern w:val="2"/>
                      <w:sz w:val="21"/>
                      <w:szCs w:val="21"/>
                      <w:highlight w:val="none"/>
                      <w:lang w:val="en-US" w:eastAsia="zh-CN" w:bidi="ar-SA"/>
                    </w:rPr>
                  </w:pPr>
                  <w:r>
                    <w:rPr>
                      <w:rFonts w:hint="default" w:ascii="Times New Roman" w:hAnsi="Times New Roman" w:eastAsia="宋体" w:cs="Times New Roman"/>
                      <w:b w:val="0"/>
                      <w:bCs w:val="0"/>
                      <w:color w:val="auto"/>
                      <w:spacing w:val="-3"/>
                      <w:kern w:val="2"/>
                      <w:sz w:val="21"/>
                      <w:szCs w:val="21"/>
                      <w:highlight w:val="none"/>
                      <w:lang w:val="en-US" w:eastAsia="zh-CN" w:bidi="ar-SA"/>
                    </w:rPr>
                    <w:t xml:space="preserve">0.060 </w:t>
                  </w:r>
                </w:p>
              </w:tc>
              <w:tc>
                <w:tcPr>
                  <w:tcW w:w="670" w:type="dxa"/>
                  <w:vMerge w:val="continue"/>
                  <w:vAlign w:val="center"/>
                </w:tcPr>
                <w:p w14:paraId="5BBA6B38">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p>
              </w:tc>
              <w:tc>
                <w:tcPr>
                  <w:tcW w:w="750" w:type="dxa"/>
                  <w:vMerge w:val="continue"/>
                  <w:vAlign w:val="center"/>
                </w:tcPr>
                <w:p w14:paraId="3308266F">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p>
              </w:tc>
              <w:tc>
                <w:tcPr>
                  <w:tcW w:w="950" w:type="dxa"/>
                  <w:vMerge w:val="continue"/>
                  <w:vAlign w:val="center"/>
                </w:tcPr>
                <w:p w14:paraId="747C6B44">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p>
              </w:tc>
            </w:tr>
            <w:tr w14:paraId="18D99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vMerge w:val="continue"/>
                  <w:vAlign w:val="center"/>
                </w:tcPr>
                <w:p w14:paraId="2CA11DC2">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p>
              </w:tc>
              <w:tc>
                <w:tcPr>
                  <w:tcW w:w="867" w:type="dxa"/>
                  <w:vMerge w:val="continue"/>
                  <w:vAlign w:val="center"/>
                </w:tcPr>
                <w:p w14:paraId="5C57FC54">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p>
              </w:tc>
              <w:tc>
                <w:tcPr>
                  <w:tcW w:w="790" w:type="dxa"/>
                  <w:vMerge w:val="continue"/>
                  <w:vAlign w:val="center"/>
                </w:tcPr>
                <w:p w14:paraId="614FE016">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p>
              </w:tc>
              <w:tc>
                <w:tcPr>
                  <w:tcW w:w="950" w:type="dxa"/>
                  <w:vAlign w:val="center"/>
                </w:tcPr>
                <w:p w14:paraId="465892A2">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r>
                    <w:rPr>
                      <w:rFonts w:hint="eastAsia" w:cs="Times New Roman"/>
                      <w:snapToGrid/>
                      <w:color w:val="auto"/>
                      <w:kern w:val="2"/>
                      <w:sz w:val="21"/>
                      <w:szCs w:val="21"/>
                      <w:highlight w:val="none"/>
                      <w:lang w:val="en-US" w:eastAsia="zh-CN"/>
                    </w:rPr>
                    <w:t>臭气浓度</w:t>
                  </w:r>
                </w:p>
              </w:tc>
              <w:tc>
                <w:tcPr>
                  <w:tcW w:w="1059" w:type="dxa"/>
                  <w:vAlign w:val="center"/>
                </w:tcPr>
                <w:p w14:paraId="776A4BBB">
                  <w:pPr>
                    <w:keepNext w:val="0"/>
                    <w:keepLines w:val="0"/>
                    <w:widowControl/>
                    <w:suppressLineNumbers w:val="0"/>
                    <w:jc w:val="center"/>
                    <w:textAlignment w:val="center"/>
                    <w:rPr>
                      <w:rFonts w:hint="default" w:ascii="Times New Roman" w:hAnsi="Times New Roman" w:cs="Times New Roman"/>
                      <w:b/>
                      <w:color w:val="auto"/>
                      <w:sz w:val="21"/>
                      <w:szCs w:val="21"/>
                      <w:highlight w:val="none"/>
                      <w:vertAlign w:val="baseline"/>
                    </w:rPr>
                  </w:pPr>
                  <w:r>
                    <w:rPr>
                      <w:rFonts w:hint="eastAsia" w:cs="Times New Roman"/>
                      <w:i w:val="0"/>
                      <w:iCs w:val="0"/>
                      <w:color w:val="auto"/>
                      <w:kern w:val="0"/>
                      <w:sz w:val="21"/>
                      <w:szCs w:val="21"/>
                      <w:highlight w:val="none"/>
                      <w:u w:val="none"/>
                      <w:lang w:val="en-US" w:eastAsia="zh-CN"/>
                    </w:rPr>
                    <w:t>/</w:t>
                  </w:r>
                </w:p>
              </w:tc>
              <w:tc>
                <w:tcPr>
                  <w:tcW w:w="1035" w:type="dxa"/>
                  <w:vAlign w:val="center"/>
                </w:tcPr>
                <w:p w14:paraId="541F6D9D">
                  <w:pPr>
                    <w:keepNext w:val="0"/>
                    <w:keepLines w:val="0"/>
                    <w:widowControl/>
                    <w:suppressLineNumbers w:val="0"/>
                    <w:jc w:val="center"/>
                    <w:textAlignment w:val="center"/>
                    <w:rPr>
                      <w:rFonts w:hint="default" w:ascii="Times New Roman" w:hAnsi="Times New Roman" w:cs="Times New Roman"/>
                      <w:b/>
                      <w:color w:val="auto"/>
                      <w:sz w:val="21"/>
                      <w:szCs w:val="21"/>
                      <w:highlight w:val="none"/>
                      <w:vertAlign w:val="baseline"/>
                    </w:rPr>
                  </w:pPr>
                  <w:r>
                    <w:rPr>
                      <w:rFonts w:hint="eastAsia" w:cs="Times New Roman"/>
                      <w:i w:val="0"/>
                      <w:iCs w:val="0"/>
                      <w:color w:val="auto"/>
                      <w:kern w:val="0"/>
                      <w:sz w:val="21"/>
                      <w:szCs w:val="21"/>
                      <w:highlight w:val="none"/>
                      <w:u w:val="none"/>
                      <w:lang w:val="en-US" w:eastAsia="zh-CN"/>
                    </w:rPr>
                    <w:t>/</w:t>
                  </w:r>
                </w:p>
              </w:tc>
              <w:tc>
                <w:tcPr>
                  <w:tcW w:w="670" w:type="dxa"/>
                  <w:vMerge w:val="continue"/>
                  <w:vAlign w:val="center"/>
                </w:tcPr>
                <w:p w14:paraId="43B83570">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p>
              </w:tc>
              <w:tc>
                <w:tcPr>
                  <w:tcW w:w="750" w:type="dxa"/>
                  <w:vMerge w:val="continue"/>
                  <w:vAlign w:val="center"/>
                </w:tcPr>
                <w:p w14:paraId="353D5E1F">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p>
              </w:tc>
              <w:tc>
                <w:tcPr>
                  <w:tcW w:w="950" w:type="dxa"/>
                  <w:vMerge w:val="continue"/>
                  <w:vAlign w:val="center"/>
                </w:tcPr>
                <w:p w14:paraId="6E7C1718">
                  <w:pPr>
                    <w:widowControl w:val="0"/>
                    <w:kinsoku/>
                    <w:autoSpaceDE/>
                    <w:autoSpaceDN/>
                    <w:adjustRightInd w:val="0"/>
                    <w:snapToGrid w:val="0"/>
                    <w:spacing w:line="240" w:lineRule="auto"/>
                    <w:jc w:val="center"/>
                    <w:textAlignment w:val="auto"/>
                    <w:rPr>
                      <w:rFonts w:hint="default" w:ascii="Times New Roman" w:hAnsi="Times New Roman" w:cs="Times New Roman"/>
                      <w:b/>
                      <w:color w:val="auto"/>
                      <w:sz w:val="21"/>
                      <w:szCs w:val="21"/>
                      <w:highlight w:val="none"/>
                      <w:vertAlign w:val="baseline"/>
                    </w:rPr>
                  </w:pPr>
                </w:p>
              </w:tc>
            </w:tr>
          </w:tbl>
          <w:p w14:paraId="7A5295A1">
            <w:pPr>
              <w:pageBreakBefore w:val="0"/>
              <w:kinsoku/>
              <w:wordWrap w:val="0"/>
              <w:overflowPunct/>
              <w:topLinePunct w:val="0"/>
              <w:bidi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上表可知，在非正常工况下污染物的排放大幅增加。为防止生产废气非正常工况排放，企业必须加强废气处理设施的管理，定期检修，确保废气处理设施正常运行，在废气处理设备停止运行或出现故障时，产生废气的各工序也必须相应停止操作。为防止废气非正常排放，应采取以下措施确保废气达标排放：</w:t>
            </w:r>
          </w:p>
          <w:p w14:paraId="18C4746E">
            <w:pPr>
              <w:pageBreakBefore w:val="0"/>
              <w:kinsoku/>
              <w:wordWrap w:val="0"/>
              <w:overflowPunct/>
              <w:topLinePunct w:val="0"/>
              <w:bidi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①安排专人负责环保设备的日常维护和管理，每个固定时间检查、汇报情况，及时发现废气处理设备的隐患，确保废气处理系统正常运行；</w:t>
            </w:r>
          </w:p>
          <w:p w14:paraId="7E357A21">
            <w:pPr>
              <w:pageBreakBefore w:val="0"/>
              <w:kinsoku/>
              <w:wordWrap w:val="0"/>
              <w:overflowPunct/>
              <w:topLinePunct w:val="0"/>
              <w:bidi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②建立健全的环保管理机构，对环保管理人员和技术人员进行岗位培训，委托具有专业资质的环境检测单位对项目排放的各类污染物进行定期检测；</w:t>
            </w:r>
          </w:p>
          <w:p w14:paraId="75641917">
            <w:pPr>
              <w:pageBreakBefore w:val="0"/>
              <w:kinsoku/>
              <w:wordWrap w:val="0"/>
              <w:overflowPunct/>
              <w:topLinePunct w:val="0"/>
              <w:bidi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③应定期维护、检修废气净化装置，以保持废气处理装置的净化能力和净化容量；</w:t>
            </w:r>
          </w:p>
          <w:p w14:paraId="39C42970">
            <w:pPr>
              <w:pageBreakBefore w:val="0"/>
              <w:kinsoku/>
              <w:wordWrap w:val="0"/>
              <w:overflowPunct/>
              <w:topLinePunct w:val="0"/>
              <w:bidi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④定期更换活性炭。</w:t>
            </w:r>
          </w:p>
          <w:p w14:paraId="02E9CB8D">
            <w:pPr>
              <w:pageBreakBefore w:val="0"/>
              <w:kinsoku/>
              <w:wordWrap w:val="0"/>
              <w:overflowPunct/>
              <w:topLinePunct w:val="0"/>
              <w:bidi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lang w:val="en-US" w:eastAsia="zh-CN"/>
              </w:rPr>
              <w:t>7、达标排放情况</w:t>
            </w:r>
          </w:p>
          <w:p w14:paraId="5BEAB7F1">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bCs/>
                <w:color w:val="auto"/>
                <w:kern w:val="2"/>
                <w:sz w:val="22"/>
                <w:szCs w:val="22"/>
                <w:highlight w:val="none"/>
                <w:lang w:val="en-US" w:eastAsia="zh-CN"/>
              </w:rPr>
            </w:pPr>
            <w:r>
              <w:rPr>
                <w:rFonts w:hint="default" w:ascii="Times New Roman" w:hAnsi="Times New Roman" w:eastAsia="宋体" w:cs="Times New Roman"/>
                <w:bCs/>
                <w:color w:val="auto"/>
                <w:sz w:val="24"/>
                <w:szCs w:val="24"/>
                <w:highlight w:val="none"/>
                <w:lang w:val="en-US" w:eastAsia="zh-CN"/>
              </w:rPr>
              <w:t>项目</w:t>
            </w:r>
            <w:r>
              <w:rPr>
                <w:rFonts w:hint="default" w:ascii="Times New Roman" w:hAnsi="Times New Roman" w:cs="Times New Roman"/>
                <w:color w:val="auto"/>
                <w:sz w:val="24"/>
                <w:szCs w:val="24"/>
                <w:highlight w:val="none"/>
                <w:lang w:eastAsia="zh-CN"/>
              </w:rPr>
              <w:t>抛光打磨</w:t>
            </w:r>
            <w:r>
              <w:rPr>
                <w:rFonts w:hint="default" w:ascii="Times New Roman" w:hAnsi="Times New Roman" w:eastAsia="宋体" w:cs="Times New Roman"/>
                <w:bCs/>
                <w:color w:val="auto"/>
                <w:sz w:val="24"/>
                <w:szCs w:val="24"/>
                <w:highlight w:val="none"/>
                <w:lang w:val="en-US" w:eastAsia="zh-CN"/>
              </w:rPr>
              <w:t>工序产生的粉尘（颗粒物）收集后经布袋除尘器处理后由15米高排气筒（DA001）排放。根据源强核算结果，颗粒物有组织排放量约为</w:t>
            </w:r>
            <w:r>
              <w:rPr>
                <w:rFonts w:hint="eastAsia" w:cs="Times New Roman"/>
                <w:bCs/>
                <w:color w:val="auto"/>
                <w:sz w:val="24"/>
                <w:szCs w:val="24"/>
                <w:highlight w:val="none"/>
                <w:lang w:val="en-US" w:eastAsia="zh-CN"/>
              </w:rPr>
              <w:t>0.118</w:t>
            </w:r>
            <w:r>
              <w:rPr>
                <w:rFonts w:hint="default" w:ascii="Times New Roman" w:hAnsi="Times New Roman" w:eastAsia="宋体" w:cs="Times New Roman"/>
                <w:bCs/>
                <w:color w:val="auto"/>
                <w:sz w:val="24"/>
                <w:szCs w:val="24"/>
                <w:highlight w:val="none"/>
                <w:lang w:val="en-US" w:eastAsia="zh-CN"/>
              </w:rPr>
              <w:t>t/a、最大排放速率约为</w:t>
            </w:r>
            <w:r>
              <w:rPr>
                <w:rFonts w:hint="eastAsia" w:ascii="Times New Roman" w:hAnsi="Times New Roman" w:eastAsia="宋体" w:cs="Times New Roman"/>
                <w:bCs/>
                <w:color w:val="auto"/>
                <w:sz w:val="24"/>
                <w:szCs w:val="24"/>
                <w:highlight w:val="none"/>
                <w:lang w:val="en-US" w:eastAsia="zh-CN"/>
              </w:rPr>
              <w:t>0.0</w:t>
            </w:r>
            <w:r>
              <w:rPr>
                <w:rFonts w:hint="eastAsia" w:cs="Times New Roman"/>
                <w:bCs/>
                <w:color w:val="auto"/>
                <w:sz w:val="24"/>
                <w:szCs w:val="24"/>
                <w:highlight w:val="none"/>
                <w:lang w:val="en-US" w:eastAsia="zh-CN"/>
              </w:rPr>
              <w:t>39</w:t>
            </w:r>
            <w:r>
              <w:rPr>
                <w:rFonts w:hint="default" w:ascii="Times New Roman" w:hAnsi="Times New Roman" w:eastAsia="宋体" w:cs="Times New Roman"/>
                <w:bCs/>
                <w:color w:val="auto"/>
                <w:sz w:val="24"/>
                <w:szCs w:val="24"/>
                <w:highlight w:val="none"/>
                <w:lang w:val="en-US" w:eastAsia="zh-CN"/>
              </w:rPr>
              <w:t>kg/h、最大排放浓度约为</w:t>
            </w:r>
            <w:r>
              <w:rPr>
                <w:rFonts w:hint="eastAsia" w:ascii="Times New Roman" w:hAnsi="Times New Roman" w:eastAsia="宋体" w:cs="Times New Roman"/>
                <w:bCs/>
                <w:color w:val="auto"/>
                <w:sz w:val="24"/>
                <w:szCs w:val="24"/>
                <w:highlight w:val="none"/>
                <w:lang w:val="en-US" w:eastAsia="zh-CN"/>
              </w:rPr>
              <w:t>1.7</w:t>
            </w:r>
            <w:r>
              <w:rPr>
                <w:rFonts w:hint="default" w:ascii="Times New Roman" w:hAnsi="Times New Roman" w:eastAsia="宋体" w:cs="Times New Roman"/>
                <w:bCs/>
                <w:color w:val="auto"/>
                <w:sz w:val="24"/>
                <w:szCs w:val="24"/>
                <w:highlight w:val="none"/>
                <w:lang w:val="en-US" w:eastAsia="zh-CN"/>
              </w:rPr>
              <w:t>mg/m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，颗粒物排放浓度可达到</w:t>
            </w:r>
            <w:r>
              <w:rPr>
                <w:rFonts w:hint="default" w:ascii="Times New Roman" w:hAnsi="Times New Roman" w:cs="Times New Roman"/>
                <w:color w:val="auto"/>
                <w:sz w:val="24"/>
                <w:szCs w:val="24"/>
                <w:highlight w:val="none"/>
              </w:rPr>
              <w:t>广东省《大气污染物排放限值》（DB44/27-2001）第二时段</w:t>
            </w:r>
            <w:r>
              <w:rPr>
                <w:rFonts w:hint="default" w:ascii="Times New Roman" w:hAnsi="Times New Roman" w:cs="Times New Roman"/>
                <w:color w:val="auto"/>
                <w:sz w:val="24"/>
                <w:szCs w:val="24"/>
                <w:highlight w:val="none"/>
                <w:lang w:val="en-US" w:eastAsia="zh-CN"/>
              </w:rPr>
              <w:t>二级排放标准限值</w:t>
            </w:r>
            <w:r>
              <w:rPr>
                <w:rFonts w:hint="default" w:ascii="Times New Roman" w:hAnsi="Times New Roman" w:eastAsia="宋体" w:cs="Times New Roman"/>
                <w:bCs/>
                <w:color w:val="auto"/>
                <w:sz w:val="24"/>
                <w:szCs w:val="24"/>
                <w:highlight w:val="none"/>
                <w:lang w:val="en-US" w:eastAsia="zh-CN"/>
              </w:rPr>
              <w:t>。</w:t>
            </w:r>
          </w:p>
          <w:p w14:paraId="080956FE">
            <w:pPr>
              <w:pStyle w:val="2"/>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天然气燃烧废气</w:t>
            </w:r>
            <w:r>
              <w:rPr>
                <w:rFonts w:hint="default" w:ascii="Times New Roman" w:hAnsi="Times New Roman" w:cs="Times New Roman"/>
                <w:color w:val="auto"/>
                <w:sz w:val="24"/>
                <w:szCs w:val="24"/>
                <w:highlight w:val="none"/>
                <w:lang w:val="en-US" w:eastAsia="zh-CN"/>
              </w:rPr>
              <w:t>直接</w:t>
            </w:r>
            <w:r>
              <w:rPr>
                <w:rFonts w:hint="default" w:ascii="Times New Roman" w:hAnsi="Times New Roman" w:eastAsia="宋体" w:cs="Times New Roman"/>
                <w:bCs/>
                <w:color w:val="auto"/>
                <w:sz w:val="24"/>
                <w:szCs w:val="24"/>
                <w:highlight w:val="none"/>
                <w:lang w:val="en-US" w:eastAsia="zh-CN"/>
              </w:rPr>
              <w:t>经由一根15米高排气筒（DA002）高空排放。根据源强核算结果，</w:t>
            </w:r>
            <w:r>
              <w:rPr>
                <w:rFonts w:hint="eastAsia" w:ascii="Times New Roman" w:eastAsia="宋体" w:cs="Times New Roman"/>
                <w:bCs/>
                <w:color w:val="auto"/>
                <w:sz w:val="24"/>
                <w:szCs w:val="24"/>
                <w:highlight w:val="none"/>
                <w:lang w:val="en-US" w:eastAsia="zh-CN"/>
              </w:rPr>
              <w:t>DA002排气筒排放的</w:t>
            </w:r>
            <w:r>
              <w:rPr>
                <w:rFonts w:hint="default" w:ascii="Times New Roman" w:hAnsi="Times New Roman" w:eastAsia="宋体" w:cs="Times New Roman"/>
                <w:bCs/>
                <w:color w:val="auto"/>
                <w:sz w:val="24"/>
                <w:szCs w:val="24"/>
                <w:highlight w:val="none"/>
                <w:lang w:val="en-US" w:eastAsia="zh-CN"/>
              </w:rPr>
              <w:t>SO</w:t>
            </w:r>
            <w:r>
              <w:rPr>
                <w:rFonts w:hint="default" w:ascii="Times New Roman" w:hAnsi="Times New Roman" w:eastAsia="宋体" w:cs="Times New Roman"/>
                <w:bCs/>
                <w:color w:val="auto"/>
                <w:sz w:val="24"/>
                <w:szCs w:val="24"/>
                <w:highlight w:val="none"/>
                <w:vertAlign w:val="subscript"/>
                <w:lang w:val="en-US" w:eastAsia="zh-CN"/>
              </w:rPr>
              <w:t>2</w:t>
            </w:r>
            <w:r>
              <w:rPr>
                <w:rFonts w:hint="default" w:ascii="Times New Roman" w:hAnsi="Times New Roman" w:eastAsia="宋体" w:cs="Times New Roman"/>
                <w:bCs/>
                <w:color w:val="auto"/>
                <w:sz w:val="24"/>
                <w:szCs w:val="24"/>
                <w:highlight w:val="none"/>
                <w:lang w:val="en-US" w:eastAsia="zh-CN"/>
              </w:rPr>
              <w:t>、NO</w:t>
            </w:r>
            <w:r>
              <w:rPr>
                <w:rFonts w:hint="default" w:ascii="Times New Roman" w:hAnsi="Times New Roman" w:eastAsia="宋体" w:cs="Times New Roman"/>
                <w:bCs/>
                <w:color w:val="auto"/>
                <w:sz w:val="24"/>
                <w:szCs w:val="24"/>
                <w:highlight w:val="none"/>
                <w:vertAlign w:val="subscript"/>
                <w:lang w:val="en-US" w:eastAsia="zh-CN"/>
              </w:rPr>
              <w:t>X</w:t>
            </w:r>
            <w:r>
              <w:rPr>
                <w:rFonts w:hint="default" w:ascii="Times New Roman" w:hAnsi="Times New Roman" w:eastAsia="宋体" w:cs="Times New Roman"/>
                <w:bCs/>
                <w:color w:val="auto"/>
                <w:sz w:val="24"/>
                <w:szCs w:val="24"/>
                <w:highlight w:val="none"/>
                <w:lang w:val="en-US" w:eastAsia="zh-CN"/>
              </w:rPr>
              <w:t>最大排放浓度分别为</w:t>
            </w:r>
            <w:r>
              <w:rPr>
                <w:rFonts w:hint="eastAsia" w:ascii="Times New Roman" w:cs="Times New Roman"/>
                <w:bCs/>
                <w:color w:val="auto"/>
                <w:sz w:val="24"/>
                <w:szCs w:val="24"/>
                <w:highlight w:val="none"/>
                <w:lang w:val="en-US" w:eastAsia="zh-CN"/>
              </w:rPr>
              <w:t>0.6</w:t>
            </w:r>
            <w:r>
              <w:rPr>
                <w:rFonts w:hint="default" w:ascii="Times New Roman" w:hAnsi="Times New Roman" w:eastAsia="宋体" w:cs="Times New Roman"/>
                <w:bCs/>
                <w:color w:val="auto"/>
                <w:sz w:val="24"/>
                <w:szCs w:val="24"/>
                <w:highlight w:val="none"/>
                <w:lang w:val="en-US" w:eastAsia="zh-CN"/>
              </w:rPr>
              <w:t>mg/m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w:t>
            </w:r>
            <w:r>
              <w:rPr>
                <w:rFonts w:hint="eastAsia" w:ascii="Times New Roman" w:cs="Times New Roman"/>
                <w:bCs/>
                <w:color w:val="auto"/>
                <w:sz w:val="24"/>
                <w:szCs w:val="24"/>
                <w:highlight w:val="none"/>
                <w:lang w:val="en-US" w:eastAsia="zh-CN"/>
              </w:rPr>
              <w:t>6.0</w:t>
            </w:r>
            <w:r>
              <w:rPr>
                <w:rFonts w:hint="default" w:ascii="Times New Roman" w:hAnsi="Times New Roman" w:eastAsia="宋体" w:cs="Times New Roman"/>
                <w:bCs/>
                <w:color w:val="auto"/>
                <w:sz w:val="24"/>
                <w:szCs w:val="24"/>
                <w:highlight w:val="none"/>
                <w:lang w:val="en-US" w:eastAsia="zh-CN"/>
              </w:rPr>
              <w:t>mg/m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w:t>
            </w:r>
            <w:r>
              <w:rPr>
                <w:rFonts w:hint="eastAsia" w:ascii="Times New Roman" w:cs="Times New Roman"/>
                <w:bCs/>
                <w:color w:val="auto"/>
                <w:sz w:val="24"/>
                <w:szCs w:val="24"/>
                <w:highlight w:val="none"/>
                <w:lang w:val="en-US" w:eastAsia="zh-CN"/>
              </w:rPr>
              <w:t>0.9</w:t>
            </w:r>
            <w:r>
              <w:rPr>
                <w:rFonts w:hint="default" w:ascii="Times New Roman" w:hAnsi="Times New Roman" w:eastAsia="宋体" w:cs="Times New Roman"/>
                <w:bCs/>
                <w:color w:val="auto"/>
                <w:sz w:val="24"/>
                <w:szCs w:val="24"/>
                <w:highlight w:val="none"/>
                <w:lang w:val="en-US" w:eastAsia="zh-CN"/>
              </w:rPr>
              <w:t>mg/m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，均能</w:t>
            </w:r>
            <w:r>
              <w:rPr>
                <w:rFonts w:hint="default" w:ascii="Times New Roman" w:hAnsi="Times New Roman" w:cs="Times New Roman"/>
                <w:color w:val="auto"/>
                <w:sz w:val="24"/>
                <w:szCs w:val="24"/>
                <w:highlight w:val="none"/>
              </w:rPr>
              <w:t>满足《关于印发</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工业炉窑大气污染综合治理方案</w:t>
            </w:r>
            <w:r>
              <w:rPr>
                <w:rFonts w:hint="default" w:ascii="Times New Roman" w:hAnsi="Times New Roman" w:cs="Times New Roman"/>
                <w:color w:val="auto"/>
                <w:sz w:val="24"/>
                <w:szCs w:val="24"/>
                <w:highlight w:val="none"/>
                <w:lang w:eastAsia="zh-CN"/>
              </w:rPr>
              <w:t>〉的通知》</w:t>
            </w:r>
            <w:r>
              <w:rPr>
                <w:rFonts w:hint="default" w:ascii="Times New Roman" w:hAnsi="Times New Roman" w:cs="Times New Roman"/>
                <w:color w:val="auto"/>
                <w:sz w:val="24"/>
                <w:szCs w:val="24"/>
                <w:highlight w:val="none"/>
              </w:rPr>
              <w:t>（环大气〔2019〕56号）和《关于贯彻落实</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工业炉窑大气污染物综合治理方案</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的实施意见》（粤环函〔2019〕1112号）中颗粒物、二氧化硫、氮氧化物排放限值分别不高于30、200、300毫克/立方米的要求</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烟气黑度满足《工业炉窑大气污染物排放标准》（GB 9078-1996）要求</w:t>
            </w:r>
            <w:r>
              <w:rPr>
                <w:rFonts w:hint="default" w:ascii="Times New Roman" w:hAnsi="Times New Roman" w:cs="Times New Roman"/>
                <w:color w:val="auto"/>
                <w:sz w:val="24"/>
                <w:szCs w:val="24"/>
                <w:highlight w:val="none"/>
              </w:rPr>
              <w:t>。</w:t>
            </w:r>
          </w:p>
          <w:p w14:paraId="78BFD19F">
            <w:pPr>
              <w:pStyle w:val="2"/>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val="0"/>
                <w:bCs/>
                <w:color w:val="auto"/>
                <w:szCs w:val="21"/>
                <w:highlight w:val="none"/>
                <w:lang w:val="en-US" w:eastAsia="zh-CN"/>
              </w:rPr>
            </w:pPr>
            <w:r>
              <w:rPr>
                <w:rFonts w:hint="eastAsia" w:ascii="Times New Roman" w:cs="Times New Roman"/>
                <w:b w:val="0"/>
                <w:bCs/>
                <w:color w:val="auto"/>
                <w:szCs w:val="21"/>
                <w:highlight w:val="none"/>
                <w:lang w:val="en-US" w:eastAsia="zh-CN"/>
              </w:rPr>
              <w:t>喷漆废气</w:t>
            </w:r>
            <w:r>
              <w:rPr>
                <w:rFonts w:hint="eastAsia" w:ascii="Times New Roman" w:hAnsi="Times New Roman" w:cs="Times New Roman"/>
                <w:color w:val="auto"/>
                <w:kern w:val="2"/>
                <w:sz w:val="24"/>
                <w:szCs w:val="24"/>
                <w:highlight w:val="none"/>
                <w:lang w:val="en-US" w:eastAsia="zh-CN"/>
              </w:rPr>
              <w:t>经</w:t>
            </w:r>
            <w:r>
              <w:rPr>
                <w:rFonts w:hint="eastAsia"/>
                <w:color w:val="auto"/>
                <w:sz w:val="24"/>
                <w:szCs w:val="32"/>
                <w:highlight w:val="none"/>
                <w:lang w:val="en-US" w:eastAsia="zh-CN"/>
              </w:rPr>
              <w:t>水帘柜与</w:t>
            </w:r>
            <w:r>
              <w:rPr>
                <w:rFonts w:hint="eastAsia" w:ascii="Times New Roman" w:cs="Times New Roman"/>
                <w:b w:val="0"/>
                <w:bCs/>
                <w:color w:val="auto"/>
                <w:szCs w:val="21"/>
                <w:highlight w:val="none"/>
                <w:lang w:val="en-US" w:eastAsia="zh-CN"/>
              </w:rPr>
              <w:t>丝印废气（含表面清洁废气）、固化废气一同经</w:t>
            </w:r>
            <w:r>
              <w:rPr>
                <w:rFonts w:hint="eastAsia"/>
                <w:color w:val="auto"/>
                <w:sz w:val="24"/>
                <w:szCs w:val="32"/>
                <w:highlight w:val="none"/>
                <w:lang w:val="en-US" w:eastAsia="zh-CN"/>
              </w:rPr>
              <w:t>喷淋</w:t>
            </w:r>
            <w:r>
              <w:rPr>
                <w:rFonts w:hint="eastAsia"/>
                <w:color w:val="auto"/>
                <w:sz w:val="24"/>
                <w:szCs w:val="32"/>
                <w:highlight w:val="none"/>
              </w:rPr>
              <w:t>+干式过滤+活性炭吸附</w:t>
            </w:r>
            <w:r>
              <w:rPr>
                <w:rFonts w:hint="default" w:ascii="Times New Roman" w:hAnsi="Times New Roman" w:cs="Times New Roman"/>
                <w:color w:val="auto"/>
                <w:kern w:val="2"/>
                <w:sz w:val="24"/>
                <w:szCs w:val="24"/>
                <w:highlight w:val="none"/>
                <w:lang w:val="en-US" w:eastAsia="zh-CN"/>
              </w:rPr>
              <w:t>处理后</w:t>
            </w:r>
            <w:r>
              <w:rPr>
                <w:rFonts w:hint="default" w:ascii="Times New Roman" w:hAnsi="Times New Roman" w:cs="Times New Roman"/>
                <w:color w:val="auto"/>
                <w:kern w:val="2"/>
                <w:sz w:val="24"/>
                <w:szCs w:val="24"/>
                <w:highlight w:val="none"/>
              </w:rPr>
              <w:t>经</w:t>
            </w:r>
            <w:r>
              <w:rPr>
                <w:rFonts w:hint="default" w:ascii="Times New Roman" w:hAnsi="Times New Roman" w:cs="Times New Roman"/>
                <w:color w:val="auto"/>
                <w:kern w:val="0"/>
                <w:sz w:val="24"/>
                <w:szCs w:val="24"/>
                <w:highlight w:val="none"/>
                <w:lang w:val="en-US" w:eastAsia="zh-CN"/>
              </w:rPr>
              <w:t>15</w:t>
            </w:r>
            <w:r>
              <w:rPr>
                <w:rFonts w:hint="default" w:ascii="Times New Roman" w:hAnsi="Times New Roman" w:cs="Times New Roman"/>
                <w:color w:val="auto"/>
                <w:kern w:val="0"/>
                <w:sz w:val="24"/>
                <w:szCs w:val="24"/>
                <w:highlight w:val="none"/>
              </w:rPr>
              <w:t>m</w:t>
            </w:r>
            <w:r>
              <w:rPr>
                <w:rFonts w:hint="default" w:ascii="Times New Roman" w:hAnsi="Times New Roman" w:cs="Times New Roman"/>
                <w:color w:val="auto"/>
                <w:kern w:val="2"/>
                <w:sz w:val="24"/>
                <w:szCs w:val="24"/>
                <w:highlight w:val="none"/>
              </w:rPr>
              <w:t>高排气筒（DA00</w:t>
            </w:r>
            <w:r>
              <w:rPr>
                <w:rFonts w:hint="eastAsia" w:ascii="Times New Roman" w:hAnsi="Times New Roman" w:cs="Times New Roman"/>
                <w:color w:val="auto"/>
                <w:kern w:val="2"/>
                <w:sz w:val="24"/>
                <w:szCs w:val="24"/>
                <w:highlight w:val="none"/>
                <w:lang w:val="en-US" w:eastAsia="zh-CN"/>
              </w:rPr>
              <w:t>3</w:t>
            </w:r>
            <w:r>
              <w:rPr>
                <w:rFonts w:hint="default" w:ascii="Times New Roman" w:hAnsi="Times New Roman" w:cs="Times New Roman"/>
                <w:color w:val="auto"/>
                <w:kern w:val="2"/>
                <w:sz w:val="24"/>
                <w:szCs w:val="24"/>
                <w:highlight w:val="none"/>
              </w:rPr>
              <w:t>）排放</w:t>
            </w:r>
            <w:r>
              <w:rPr>
                <w:rFonts w:hint="eastAsia" w:ascii="Times New Roman" w:hAnsi="Times New Roman" w:cs="Times New Roman"/>
                <w:color w:val="auto"/>
                <w:kern w:val="2"/>
                <w:sz w:val="24"/>
                <w:szCs w:val="24"/>
                <w:highlight w:val="none"/>
                <w:lang w:eastAsia="zh-CN"/>
              </w:rPr>
              <w:t>。</w:t>
            </w:r>
            <w:r>
              <w:rPr>
                <w:rFonts w:hint="eastAsia" w:ascii="Times New Roman" w:hAnsi="Times New Roman" w:cs="Times New Roman"/>
                <w:color w:val="auto"/>
                <w:kern w:val="2"/>
                <w:sz w:val="24"/>
                <w:szCs w:val="24"/>
                <w:highlight w:val="none"/>
                <w:lang w:val="en-US" w:eastAsia="zh-CN"/>
              </w:rPr>
              <w:t>颗粒物</w:t>
            </w:r>
            <w:r>
              <w:rPr>
                <w:rFonts w:hint="default" w:ascii="Times New Roman" w:hAnsi="Times New Roman" w:eastAsia="宋体" w:cs="Times New Roman"/>
                <w:bCs/>
                <w:color w:val="auto"/>
                <w:sz w:val="24"/>
                <w:szCs w:val="24"/>
                <w:highlight w:val="none"/>
                <w:lang w:val="en-US" w:eastAsia="zh-CN"/>
              </w:rPr>
              <w:t>有组织排放量约为</w:t>
            </w:r>
            <w:r>
              <w:rPr>
                <w:rFonts w:hint="default" w:ascii="Times New Roman" w:hAnsi="Times New Roman" w:cs="Times New Roman"/>
                <w:bCs/>
                <w:color w:val="auto"/>
                <w:sz w:val="24"/>
                <w:szCs w:val="24"/>
                <w:highlight w:val="none"/>
                <w:lang w:val="en-US" w:eastAsia="zh-CN"/>
              </w:rPr>
              <w:t>0.0</w:t>
            </w:r>
            <w:r>
              <w:rPr>
                <w:rFonts w:hint="eastAsia" w:ascii="Times New Roman" w:cs="Times New Roman"/>
                <w:bCs/>
                <w:color w:val="auto"/>
                <w:sz w:val="24"/>
                <w:szCs w:val="24"/>
                <w:highlight w:val="none"/>
                <w:lang w:val="en-US" w:eastAsia="zh-CN"/>
              </w:rPr>
              <w:t>11</w:t>
            </w:r>
            <w:r>
              <w:rPr>
                <w:rFonts w:hint="default" w:ascii="Times New Roman" w:hAnsi="Times New Roman" w:eastAsia="宋体" w:cs="Times New Roman"/>
                <w:bCs/>
                <w:color w:val="auto"/>
                <w:sz w:val="24"/>
                <w:szCs w:val="24"/>
                <w:highlight w:val="none"/>
                <w:lang w:val="en-US" w:eastAsia="zh-CN"/>
              </w:rPr>
              <w:t>t/a、最大排放速率约为</w:t>
            </w:r>
            <w:r>
              <w:rPr>
                <w:rFonts w:hint="eastAsia" w:ascii="Times New Roman" w:hAnsi="Times New Roman" w:eastAsia="宋体" w:cs="Times New Roman"/>
                <w:bCs/>
                <w:color w:val="auto"/>
                <w:sz w:val="24"/>
                <w:szCs w:val="24"/>
                <w:highlight w:val="none"/>
                <w:lang w:val="en-US" w:eastAsia="zh-CN"/>
              </w:rPr>
              <w:t>0.</w:t>
            </w:r>
            <w:r>
              <w:rPr>
                <w:rFonts w:hint="eastAsia" w:ascii="Times New Roman" w:eastAsia="宋体" w:cs="Times New Roman"/>
                <w:bCs/>
                <w:color w:val="auto"/>
                <w:sz w:val="24"/>
                <w:szCs w:val="24"/>
                <w:highlight w:val="none"/>
                <w:lang w:val="en-US" w:eastAsia="zh-CN"/>
              </w:rPr>
              <w:t>00</w:t>
            </w:r>
            <w:r>
              <w:rPr>
                <w:rFonts w:hint="eastAsia" w:ascii="Times New Roman"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lang w:val="en-US" w:eastAsia="zh-CN"/>
              </w:rPr>
              <w:t>kg/h、最大排放浓度约为</w:t>
            </w:r>
            <w:r>
              <w:rPr>
                <w:rFonts w:hint="eastAsia" w:ascii="Times New Roman" w:eastAsia="宋体" w:cs="Times New Roman"/>
                <w:bCs/>
                <w:color w:val="auto"/>
                <w:sz w:val="24"/>
                <w:szCs w:val="24"/>
                <w:highlight w:val="none"/>
                <w:lang w:val="en-US" w:eastAsia="zh-CN"/>
              </w:rPr>
              <w:t>0.</w:t>
            </w:r>
            <w:r>
              <w:rPr>
                <w:rFonts w:hint="eastAsia" w:ascii="Times New Roman"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lang w:val="en-US" w:eastAsia="zh-CN"/>
              </w:rPr>
              <w:t>mg/m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cs="Times New Roman"/>
                <w:color w:val="auto"/>
                <w:kern w:val="2"/>
                <w:sz w:val="24"/>
                <w:szCs w:val="24"/>
                <w:highlight w:val="none"/>
                <w:lang w:val="en-US" w:eastAsia="zh-CN"/>
              </w:rPr>
              <w:t>满足《工业炉窑大气污染综合治理方案》中颗粒物≤30mg/m³的要求及广东省《大气污染物排放限值》（DB44/27-2001）第二时段排放限值（120mg/m³）较严值，非甲烷总烃有组织排放量为0.</w:t>
            </w:r>
            <w:r>
              <w:rPr>
                <w:rFonts w:hint="eastAsia" w:ascii="Times New Roman" w:cs="Times New Roman"/>
                <w:color w:val="auto"/>
                <w:kern w:val="2"/>
                <w:sz w:val="24"/>
                <w:szCs w:val="24"/>
                <w:highlight w:val="none"/>
                <w:lang w:val="en-US" w:eastAsia="zh-CN"/>
              </w:rPr>
              <w:t>184</w:t>
            </w:r>
            <w:r>
              <w:rPr>
                <w:rFonts w:hint="eastAsia" w:ascii="Times New Roman" w:hAnsi="Times New Roman" w:cs="Times New Roman"/>
                <w:color w:val="auto"/>
                <w:kern w:val="2"/>
                <w:sz w:val="24"/>
                <w:szCs w:val="24"/>
                <w:highlight w:val="none"/>
                <w:lang w:val="en-US" w:eastAsia="zh-CN"/>
              </w:rPr>
              <w:t>t/a，最大排放速率为0.</w:t>
            </w:r>
            <w:r>
              <w:rPr>
                <w:rFonts w:hint="eastAsia" w:ascii="Times New Roman" w:cs="Times New Roman"/>
                <w:color w:val="auto"/>
                <w:kern w:val="2"/>
                <w:sz w:val="24"/>
                <w:szCs w:val="24"/>
                <w:highlight w:val="none"/>
                <w:lang w:val="en-US" w:eastAsia="zh-CN"/>
              </w:rPr>
              <w:t>061</w:t>
            </w:r>
            <w:r>
              <w:rPr>
                <w:rFonts w:hint="eastAsia" w:ascii="Times New Roman" w:hAnsi="Times New Roman" w:cs="Times New Roman"/>
                <w:color w:val="auto"/>
                <w:kern w:val="2"/>
                <w:sz w:val="24"/>
                <w:szCs w:val="24"/>
                <w:highlight w:val="none"/>
                <w:lang w:val="en-US" w:eastAsia="zh-CN"/>
              </w:rPr>
              <w:t>kg/h，最大排放浓度为</w:t>
            </w:r>
            <w:r>
              <w:rPr>
                <w:rFonts w:hint="eastAsia" w:ascii="Times New Roman" w:cs="Times New Roman"/>
                <w:color w:val="auto"/>
                <w:kern w:val="2"/>
                <w:sz w:val="24"/>
                <w:szCs w:val="24"/>
                <w:highlight w:val="none"/>
                <w:lang w:val="en-US" w:eastAsia="zh-CN"/>
              </w:rPr>
              <w:t>6.1</w:t>
            </w:r>
            <w:r>
              <w:rPr>
                <w:rFonts w:hint="eastAsia" w:ascii="Times New Roman" w:hAnsi="Times New Roman" w:cs="Times New Roman"/>
                <w:color w:val="auto"/>
                <w:kern w:val="2"/>
                <w:sz w:val="24"/>
                <w:szCs w:val="24"/>
                <w:highlight w:val="none"/>
                <w:lang w:val="en-US" w:eastAsia="zh-CN"/>
              </w:rPr>
              <w:t>mg/m</w:t>
            </w:r>
            <w:r>
              <w:rPr>
                <w:rFonts w:hint="eastAsia" w:ascii="Times New Roman" w:hAnsi="Times New Roman" w:cs="Times New Roman"/>
                <w:color w:val="auto"/>
                <w:kern w:val="2"/>
                <w:sz w:val="24"/>
                <w:szCs w:val="24"/>
                <w:highlight w:val="none"/>
                <w:vertAlign w:val="superscript"/>
                <w:lang w:val="en-US" w:eastAsia="zh-CN"/>
              </w:rPr>
              <w:t>3</w:t>
            </w:r>
            <w:r>
              <w:rPr>
                <w:rFonts w:hint="eastAsia" w:ascii="Times New Roman" w:hAnsi="Times New Roman" w:cs="Times New Roman"/>
                <w:color w:val="auto"/>
                <w:kern w:val="2"/>
                <w:sz w:val="24"/>
                <w:szCs w:val="24"/>
                <w:highlight w:val="none"/>
                <w:lang w:val="en-US" w:eastAsia="zh-CN"/>
              </w:rPr>
              <w:t>，苯系物有组织排放量为0.0</w:t>
            </w:r>
            <w:r>
              <w:rPr>
                <w:rFonts w:hint="eastAsia" w:ascii="Times New Roman" w:cs="Times New Roman"/>
                <w:color w:val="auto"/>
                <w:kern w:val="2"/>
                <w:sz w:val="24"/>
                <w:szCs w:val="24"/>
                <w:highlight w:val="none"/>
                <w:lang w:val="en-US" w:eastAsia="zh-CN"/>
              </w:rPr>
              <w:t>36</w:t>
            </w:r>
            <w:r>
              <w:rPr>
                <w:rFonts w:hint="eastAsia" w:ascii="Times New Roman" w:hAnsi="Times New Roman" w:cs="Times New Roman"/>
                <w:color w:val="auto"/>
                <w:kern w:val="2"/>
                <w:sz w:val="24"/>
                <w:szCs w:val="24"/>
                <w:highlight w:val="none"/>
                <w:lang w:val="en-US" w:eastAsia="zh-CN"/>
              </w:rPr>
              <w:t>t/a，最大排放速率为0.0</w:t>
            </w:r>
            <w:r>
              <w:rPr>
                <w:rFonts w:hint="eastAsia" w:ascii="Times New Roman" w:cs="Times New Roman"/>
                <w:color w:val="auto"/>
                <w:kern w:val="2"/>
                <w:sz w:val="24"/>
                <w:szCs w:val="24"/>
                <w:highlight w:val="none"/>
                <w:lang w:val="en-US" w:eastAsia="zh-CN"/>
              </w:rPr>
              <w:t>12</w:t>
            </w:r>
            <w:r>
              <w:rPr>
                <w:rFonts w:hint="eastAsia" w:ascii="Times New Roman" w:hAnsi="Times New Roman" w:cs="Times New Roman"/>
                <w:color w:val="auto"/>
                <w:kern w:val="2"/>
                <w:sz w:val="24"/>
                <w:szCs w:val="24"/>
                <w:highlight w:val="none"/>
                <w:lang w:val="en-US" w:eastAsia="zh-CN"/>
              </w:rPr>
              <w:t>kg/h，最大排放浓度为</w:t>
            </w:r>
            <w:r>
              <w:rPr>
                <w:rFonts w:hint="eastAsia" w:ascii="Times New Roman" w:cs="Times New Roman"/>
                <w:color w:val="auto"/>
                <w:kern w:val="2"/>
                <w:sz w:val="24"/>
                <w:szCs w:val="24"/>
                <w:highlight w:val="none"/>
                <w:lang w:val="en-US" w:eastAsia="zh-CN"/>
              </w:rPr>
              <w:t>1.2</w:t>
            </w:r>
            <w:r>
              <w:rPr>
                <w:rFonts w:hint="eastAsia" w:ascii="Times New Roman" w:hAnsi="Times New Roman" w:cs="Times New Roman"/>
                <w:color w:val="auto"/>
                <w:kern w:val="2"/>
                <w:sz w:val="24"/>
                <w:szCs w:val="24"/>
                <w:highlight w:val="none"/>
                <w:lang w:val="en-US" w:eastAsia="zh-CN"/>
              </w:rPr>
              <w:t>mg/m</w:t>
            </w:r>
            <w:r>
              <w:rPr>
                <w:rFonts w:hint="eastAsia" w:ascii="Times New Roman" w:hAnsi="Times New Roman" w:cs="Times New Roman"/>
                <w:color w:val="auto"/>
                <w:kern w:val="2"/>
                <w:sz w:val="24"/>
                <w:szCs w:val="24"/>
                <w:highlight w:val="none"/>
                <w:vertAlign w:val="superscript"/>
                <w:lang w:val="en-US" w:eastAsia="zh-CN"/>
              </w:rPr>
              <w:t>3</w:t>
            </w:r>
            <w:r>
              <w:rPr>
                <w:rFonts w:hint="eastAsia" w:ascii="Times New Roman" w:hAnsi="Times New Roman" w:cs="Times New Roman"/>
                <w:color w:val="auto"/>
                <w:kern w:val="2"/>
                <w:sz w:val="24"/>
                <w:szCs w:val="24"/>
                <w:highlight w:val="none"/>
                <w:lang w:val="en-US" w:eastAsia="zh-CN"/>
              </w:rPr>
              <w:t>，满足</w:t>
            </w:r>
            <w:r>
              <w:rPr>
                <w:rFonts w:hint="eastAsia" w:ascii="Times New Roman" w:cs="Times New Roman"/>
                <w:color w:val="auto"/>
                <w:kern w:val="2"/>
                <w:sz w:val="24"/>
                <w:szCs w:val="24"/>
                <w:highlight w:val="none"/>
                <w:lang w:val="en-US" w:eastAsia="zh-CN"/>
              </w:rPr>
              <w:t>《印刷行业挥发性有机化合物排放标准》（DB44/815-2010）表2最高允许排放速率第Ⅱ时段标准和《印刷工业大气污染物排放标准》（GB41616-2022）表1大气污染物排放限值</w:t>
            </w:r>
            <w:r>
              <w:rPr>
                <w:rFonts w:hint="eastAsia" w:ascii="Times New Roman" w:hAnsi="Times New Roman" w:cs="Times New Roman"/>
                <w:color w:val="auto"/>
                <w:kern w:val="2"/>
                <w:sz w:val="24"/>
                <w:szCs w:val="24"/>
                <w:highlight w:val="none"/>
                <w:lang w:val="en-US" w:eastAsia="zh-CN"/>
              </w:rPr>
              <w:t>。</w:t>
            </w:r>
            <w:r>
              <w:rPr>
                <w:rFonts w:hint="eastAsia" w:cs="Times New Roman"/>
                <w:color w:val="auto"/>
                <w:sz w:val="24"/>
                <w:szCs w:val="24"/>
                <w:highlight w:val="none"/>
                <w:lang w:val="en-US" w:eastAsia="zh-CN"/>
              </w:rPr>
              <w:t>臭气浓度满足</w:t>
            </w:r>
            <w:r>
              <w:rPr>
                <w:rFonts w:hint="default" w:ascii="Times New Roman" w:hAnsi="Times New Roman" w:cs="Times New Roman"/>
                <w:color w:val="auto"/>
                <w:spacing w:val="-2"/>
                <w:sz w:val="24"/>
                <w:szCs w:val="24"/>
                <w:highlight w:val="none"/>
              </w:rPr>
              <w:t>《恶臭污染物排放标准》（GB14554-93）表2污染物排放标准值</w:t>
            </w:r>
            <w:r>
              <w:rPr>
                <w:rFonts w:hint="eastAsia" w:ascii="Times New Roman" w:hAnsi="Times New Roman" w:cs="Times New Roman"/>
                <w:color w:val="auto"/>
                <w:spacing w:val="-2"/>
                <w:sz w:val="24"/>
                <w:szCs w:val="24"/>
                <w:highlight w:val="none"/>
                <w:lang w:eastAsia="zh-CN"/>
              </w:rPr>
              <w:t>。</w:t>
            </w:r>
            <w:r>
              <w:rPr>
                <w:rFonts w:hint="eastAsia" w:ascii="Times New Roman" w:cs="Times New Roman"/>
                <w:b w:val="0"/>
                <w:bCs/>
                <w:color w:val="auto"/>
                <w:szCs w:val="21"/>
                <w:highlight w:val="none"/>
                <w:lang w:val="en-US" w:eastAsia="zh-CN"/>
              </w:rPr>
              <w:t>天然气燃烧废气中</w:t>
            </w:r>
            <w:r>
              <w:rPr>
                <w:rFonts w:hint="default" w:ascii="Times New Roman" w:hAnsi="Times New Roman" w:eastAsia="宋体" w:cs="Times New Roman"/>
                <w:bCs/>
                <w:color w:val="auto"/>
                <w:sz w:val="24"/>
                <w:szCs w:val="24"/>
                <w:highlight w:val="none"/>
                <w:lang w:val="en-US" w:eastAsia="zh-CN"/>
              </w:rPr>
              <w:t>SO</w:t>
            </w:r>
            <w:r>
              <w:rPr>
                <w:rFonts w:hint="default" w:ascii="Times New Roman" w:hAnsi="Times New Roman" w:eastAsia="宋体" w:cs="Times New Roman"/>
                <w:bCs/>
                <w:color w:val="auto"/>
                <w:sz w:val="24"/>
                <w:szCs w:val="24"/>
                <w:highlight w:val="none"/>
                <w:vertAlign w:val="subscript"/>
                <w:lang w:val="en-US" w:eastAsia="zh-CN"/>
              </w:rPr>
              <w:t>2</w:t>
            </w:r>
            <w:r>
              <w:rPr>
                <w:rFonts w:hint="default" w:ascii="Times New Roman" w:hAnsi="Times New Roman" w:eastAsia="宋体" w:cs="Times New Roman"/>
                <w:bCs/>
                <w:color w:val="auto"/>
                <w:sz w:val="24"/>
                <w:szCs w:val="24"/>
                <w:highlight w:val="none"/>
                <w:lang w:val="en-US" w:eastAsia="zh-CN"/>
              </w:rPr>
              <w:t>、NO</w:t>
            </w:r>
            <w:r>
              <w:rPr>
                <w:rFonts w:hint="default" w:ascii="Times New Roman" w:hAnsi="Times New Roman" w:eastAsia="宋体" w:cs="Times New Roman"/>
                <w:bCs/>
                <w:color w:val="auto"/>
                <w:sz w:val="24"/>
                <w:szCs w:val="24"/>
                <w:highlight w:val="none"/>
                <w:vertAlign w:val="subscript"/>
                <w:lang w:val="en-US" w:eastAsia="zh-CN"/>
              </w:rPr>
              <w:t>X</w:t>
            </w:r>
            <w:r>
              <w:rPr>
                <w:rFonts w:hint="default" w:ascii="Times New Roman" w:hAnsi="Times New Roman" w:eastAsia="宋体" w:cs="Times New Roman"/>
                <w:bCs/>
                <w:color w:val="auto"/>
                <w:sz w:val="24"/>
                <w:szCs w:val="24"/>
                <w:highlight w:val="none"/>
                <w:lang w:val="en-US" w:eastAsia="zh-CN"/>
              </w:rPr>
              <w:t>最大排放浓度分别为</w:t>
            </w:r>
            <w:r>
              <w:rPr>
                <w:rFonts w:hint="eastAsia" w:ascii="Times New Roman" w:eastAsia="宋体" w:cs="Times New Roman"/>
                <w:bCs/>
                <w:color w:val="auto"/>
                <w:sz w:val="24"/>
                <w:szCs w:val="24"/>
                <w:highlight w:val="none"/>
                <w:lang w:val="en-US" w:eastAsia="zh-CN"/>
              </w:rPr>
              <w:t>1.</w:t>
            </w:r>
            <w:r>
              <w:rPr>
                <w:rFonts w:hint="eastAsia" w:ascii="Times New Roman" w:cs="Times New Roman"/>
                <w:bCs/>
                <w:color w:val="auto"/>
                <w:sz w:val="24"/>
                <w:szCs w:val="24"/>
                <w:highlight w:val="none"/>
                <w:lang w:val="en-US" w:eastAsia="zh-CN"/>
              </w:rPr>
              <w:t>0</w:t>
            </w:r>
            <w:r>
              <w:rPr>
                <w:rFonts w:hint="default" w:ascii="Times New Roman" w:hAnsi="Times New Roman" w:eastAsia="宋体" w:cs="Times New Roman"/>
                <w:bCs/>
                <w:color w:val="auto"/>
                <w:sz w:val="24"/>
                <w:szCs w:val="24"/>
                <w:highlight w:val="none"/>
                <w:lang w:val="en-US" w:eastAsia="zh-CN"/>
              </w:rPr>
              <w:t>mg/m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w:t>
            </w:r>
            <w:r>
              <w:rPr>
                <w:rFonts w:hint="eastAsia" w:ascii="Times New Roman" w:cs="Times New Roman"/>
                <w:bCs/>
                <w:color w:val="auto"/>
                <w:sz w:val="24"/>
                <w:szCs w:val="24"/>
                <w:highlight w:val="none"/>
                <w:lang w:val="en-US" w:eastAsia="zh-CN"/>
              </w:rPr>
              <w:t>9.5</w:t>
            </w:r>
            <w:r>
              <w:rPr>
                <w:rFonts w:hint="default" w:ascii="Times New Roman" w:hAnsi="Times New Roman" w:eastAsia="宋体" w:cs="Times New Roman"/>
                <w:bCs/>
                <w:color w:val="auto"/>
                <w:sz w:val="24"/>
                <w:szCs w:val="24"/>
                <w:highlight w:val="none"/>
                <w:lang w:val="en-US" w:eastAsia="zh-CN"/>
              </w:rPr>
              <w:t>mg/m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，均能</w:t>
            </w:r>
            <w:r>
              <w:rPr>
                <w:rFonts w:hint="default" w:ascii="Times New Roman" w:hAnsi="Times New Roman" w:cs="Times New Roman"/>
                <w:color w:val="auto"/>
                <w:sz w:val="24"/>
                <w:szCs w:val="24"/>
                <w:highlight w:val="none"/>
              </w:rPr>
              <w:t>满足《关于印发</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工业炉窑大气污染综合治理方案</w:t>
            </w:r>
            <w:r>
              <w:rPr>
                <w:rFonts w:hint="default" w:ascii="Times New Roman" w:hAnsi="Times New Roman" w:cs="Times New Roman"/>
                <w:color w:val="auto"/>
                <w:sz w:val="24"/>
                <w:szCs w:val="24"/>
                <w:highlight w:val="none"/>
                <w:lang w:eastAsia="zh-CN"/>
              </w:rPr>
              <w:t>〉的通知》</w:t>
            </w:r>
            <w:r>
              <w:rPr>
                <w:rFonts w:hint="default" w:ascii="Times New Roman" w:hAnsi="Times New Roman" w:cs="Times New Roman"/>
                <w:color w:val="auto"/>
                <w:sz w:val="24"/>
                <w:szCs w:val="24"/>
                <w:highlight w:val="none"/>
              </w:rPr>
              <w:t>（环大气〔2019〕56号）和《关于贯彻落实</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工业炉窑大气污染物综合治理方案</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的实施意见》（粤环函〔2019〕1112号）中颗粒物、二氧化硫、氮氧化物排放限值分别不高于30、200、300毫克/立方米的要求</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烟气黑度满足《工业炉窑大气污染物排放标准》（GB 9078-1996）要求</w:t>
            </w:r>
            <w:r>
              <w:rPr>
                <w:rFonts w:hint="default" w:ascii="Times New Roman" w:hAnsi="Times New Roman" w:cs="Times New Roman"/>
                <w:color w:val="auto"/>
                <w:sz w:val="24"/>
                <w:szCs w:val="24"/>
                <w:highlight w:val="none"/>
              </w:rPr>
              <w:t>。</w:t>
            </w:r>
          </w:p>
          <w:p w14:paraId="0D0724C9">
            <w:pPr>
              <w:widowControl w:val="0"/>
              <w:wordWrap/>
              <w:spacing w:line="360" w:lineRule="auto"/>
              <w:ind w:firstLine="480" w:firstLineChars="200"/>
              <w:textAlignment w:val="auto"/>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lang w:val="en-US" w:eastAsia="zh-CN"/>
              </w:rPr>
              <w:t>（2）无组织废气达标分析</w:t>
            </w:r>
          </w:p>
          <w:p w14:paraId="3F7E655B">
            <w:pPr>
              <w:widowControl w:val="0"/>
              <w:wordWrap/>
              <w:spacing w:line="360" w:lineRule="auto"/>
              <w:ind w:firstLine="480" w:firstLineChars="200"/>
              <w:textAlignment w:val="auto"/>
              <w:rPr>
                <w:rFonts w:hint="eastAsia"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本项目生产过程中未收集的颗粒物在加强车间通风的情况下无组织排放，</w:t>
            </w:r>
            <w:r>
              <w:rPr>
                <w:rFonts w:hint="default" w:ascii="Times New Roman" w:hAnsi="Times New Roman" w:eastAsia="宋体" w:cs="Times New Roman"/>
                <w:b w:val="0"/>
                <w:bCs w:val="0"/>
                <w:color w:val="auto"/>
                <w:spacing w:val="-3"/>
                <w:kern w:val="2"/>
                <w:sz w:val="24"/>
                <w:szCs w:val="24"/>
                <w:highlight w:val="none"/>
                <w:lang w:val="en-US" w:eastAsia="zh-CN" w:bidi="ar-SA"/>
              </w:rPr>
              <w:t>颗粒物排放量为</w:t>
            </w:r>
            <w:r>
              <w:rPr>
                <w:rFonts w:hint="eastAsia" w:ascii="Times New Roman" w:hAnsi="Times New Roman" w:eastAsia="宋体" w:cs="Times New Roman"/>
                <w:b w:val="0"/>
                <w:bCs w:val="0"/>
                <w:color w:val="auto"/>
                <w:spacing w:val="-3"/>
                <w:kern w:val="2"/>
                <w:sz w:val="24"/>
                <w:szCs w:val="24"/>
                <w:highlight w:val="none"/>
                <w:lang w:val="en-US" w:eastAsia="zh-CN" w:bidi="ar-SA"/>
              </w:rPr>
              <w:t>0.697</w:t>
            </w:r>
            <w:r>
              <w:rPr>
                <w:rFonts w:hint="default" w:ascii="Times New Roman" w:hAnsi="Times New Roman" w:eastAsia="宋体" w:cs="Times New Roman"/>
                <w:b w:val="0"/>
                <w:bCs w:val="0"/>
                <w:color w:val="auto"/>
                <w:spacing w:val="-3"/>
                <w:kern w:val="2"/>
                <w:sz w:val="24"/>
                <w:szCs w:val="24"/>
                <w:highlight w:val="none"/>
                <w:lang w:val="en-US" w:eastAsia="zh-CN" w:bidi="ar-SA"/>
              </w:rPr>
              <w:t>t/a，排放速率为</w:t>
            </w:r>
            <w:r>
              <w:rPr>
                <w:rFonts w:hint="eastAsia" w:ascii="Times New Roman" w:hAnsi="Times New Roman" w:eastAsia="宋体" w:cs="Times New Roman"/>
                <w:b w:val="0"/>
                <w:bCs w:val="0"/>
                <w:color w:val="auto"/>
                <w:spacing w:val="-3"/>
                <w:kern w:val="2"/>
                <w:sz w:val="24"/>
                <w:szCs w:val="24"/>
                <w:highlight w:val="none"/>
                <w:lang w:val="en-US" w:eastAsia="zh-CN" w:bidi="ar-SA"/>
              </w:rPr>
              <w:t>0.232</w:t>
            </w:r>
            <w:r>
              <w:rPr>
                <w:rFonts w:hint="default" w:ascii="Times New Roman" w:hAnsi="Times New Roman" w:eastAsia="宋体" w:cs="Times New Roman"/>
                <w:b w:val="0"/>
                <w:bCs w:val="0"/>
                <w:color w:val="auto"/>
                <w:spacing w:val="-3"/>
                <w:kern w:val="2"/>
                <w:sz w:val="24"/>
                <w:szCs w:val="24"/>
                <w:highlight w:val="none"/>
                <w:lang w:val="en-US" w:eastAsia="zh-CN" w:bidi="ar-SA"/>
              </w:rPr>
              <w:t>kg/h，</w:t>
            </w:r>
            <w:r>
              <w:rPr>
                <w:rFonts w:hint="eastAsia" w:ascii="Times New Roman" w:hAnsi="Times New Roman" w:eastAsia="宋体" w:cs="Times New Roman"/>
                <w:b w:val="0"/>
                <w:bCs w:val="0"/>
                <w:color w:val="auto"/>
                <w:spacing w:val="-3"/>
                <w:kern w:val="2"/>
                <w:sz w:val="24"/>
                <w:szCs w:val="24"/>
                <w:highlight w:val="none"/>
                <w:lang w:val="en-US" w:eastAsia="zh-CN" w:bidi="ar-SA"/>
              </w:rPr>
              <w:t>非甲烷总烃</w:t>
            </w:r>
            <w:r>
              <w:rPr>
                <w:rFonts w:hint="default" w:ascii="Times New Roman" w:hAnsi="Times New Roman" w:eastAsia="宋体" w:cs="Times New Roman"/>
                <w:b w:val="0"/>
                <w:bCs w:val="0"/>
                <w:color w:val="auto"/>
                <w:spacing w:val="-3"/>
                <w:kern w:val="2"/>
                <w:sz w:val="24"/>
                <w:szCs w:val="24"/>
                <w:highlight w:val="none"/>
                <w:lang w:val="en-US" w:eastAsia="zh-CN" w:bidi="ar-SA"/>
              </w:rPr>
              <w:t>排放量为</w:t>
            </w:r>
            <w:r>
              <w:rPr>
                <w:rFonts w:hint="eastAsia" w:ascii="Times New Roman" w:hAnsi="Times New Roman" w:eastAsia="宋体" w:cs="Times New Roman"/>
                <w:b w:val="0"/>
                <w:bCs w:val="0"/>
                <w:color w:val="auto"/>
                <w:spacing w:val="-3"/>
                <w:kern w:val="2"/>
                <w:sz w:val="24"/>
                <w:szCs w:val="24"/>
                <w:highlight w:val="none"/>
                <w:lang w:val="en-US" w:eastAsia="zh-CN" w:bidi="ar-SA"/>
              </w:rPr>
              <w:t>0.098</w:t>
            </w:r>
            <w:r>
              <w:rPr>
                <w:rFonts w:hint="default" w:ascii="Times New Roman" w:hAnsi="Times New Roman" w:eastAsia="宋体" w:cs="Times New Roman"/>
                <w:b w:val="0"/>
                <w:bCs w:val="0"/>
                <w:color w:val="auto"/>
                <w:spacing w:val="-3"/>
                <w:kern w:val="2"/>
                <w:sz w:val="24"/>
                <w:szCs w:val="24"/>
                <w:highlight w:val="none"/>
                <w:lang w:val="en-US" w:eastAsia="zh-CN" w:bidi="ar-SA"/>
              </w:rPr>
              <w:t>t/a，排放速率为</w:t>
            </w:r>
            <w:r>
              <w:rPr>
                <w:rFonts w:hint="eastAsia" w:ascii="Times New Roman" w:hAnsi="Times New Roman" w:eastAsia="宋体" w:cs="Times New Roman"/>
                <w:b w:val="0"/>
                <w:bCs w:val="0"/>
                <w:color w:val="auto"/>
                <w:spacing w:val="-3"/>
                <w:kern w:val="2"/>
                <w:sz w:val="24"/>
                <w:szCs w:val="24"/>
                <w:highlight w:val="none"/>
                <w:lang w:val="en-US" w:eastAsia="zh-CN" w:bidi="ar-SA"/>
              </w:rPr>
              <w:t>0.033</w:t>
            </w:r>
            <w:r>
              <w:rPr>
                <w:rFonts w:hint="default" w:ascii="Times New Roman" w:hAnsi="Times New Roman" w:eastAsia="宋体" w:cs="Times New Roman"/>
                <w:b w:val="0"/>
                <w:bCs w:val="0"/>
                <w:color w:val="auto"/>
                <w:spacing w:val="-3"/>
                <w:kern w:val="2"/>
                <w:sz w:val="24"/>
                <w:szCs w:val="24"/>
                <w:highlight w:val="none"/>
                <w:lang w:val="en-US" w:eastAsia="zh-CN" w:bidi="ar-SA"/>
              </w:rPr>
              <w:t>kg/h</w:t>
            </w:r>
            <w:r>
              <w:rPr>
                <w:rFonts w:hint="eastAsia" w:ascii="Times New Roman" w:hAnsi="Times New Roman" w:eastAsia="宋体" w:cs="Times New Roman"/>
                <w:b w:val="0"/>
                <w:bCs w:val="0"/>
                <w:color w:val="auto"/>
                <w:spacing w:val="-3"/>
                <w:kern w:val="2"/>
                <w:sz w:val="24"/>
                <w:szCs w:val="24"/>
                <w:highlight w:val="none"/>
                <w:lang w:val="en-US" w:eastAsia="zh-CN" w:bidi="ar-SA"/>
              </w:rPr>
              <w:t>，</w:t>
            </w:r>
            <w:r>
              <w:rPr>
                <w:rFonts w:hint="eastAsia"/>
                <w:color w:val="auto"/>
                <w:sz w:val="24"/>
                <w:szCs w:val="24"/>
                <w:highlight w:val="none"/>
                <w:lang w:val="en-US" w:eastAsia="zh-CN"/>
              </w:rPr>
              <w:t>苯系物</w:t>
            </w:r>
            <w:r>
              <w:rPr>
                <w:rFonts w:hint="default" w:ascii="Times New Roman" w:hAnsi="Times New Roman" w:eastAsia="宋体" w:cs="Times New Roman"/>
                <w:bCs/>
                <w:color w:val="auto"/>
                <w:sz w:val="24"/>
                <w:szCs w:val="24"/>
                <w:highlight w:val="none"/>
                <w:lang w:val="en-US" w:eastAsia="zh-CN"/>
              </w:rPr>
              <w:t>排放量为</w:t>
            </w:r>
            <w:r>
              <w:rPr>
                <w:rFonts w:hint="eastAsia" w:cs="Times New Roman"/>
                <w:bCs/>
                <w:color w:val="auto"/>
                <w:sz w:val="24"/>
                <w:szCs w:val="24"/>
                <w:highlight w:val="none"/>
                <w:lang w:val="en-US" w:eastAsia="zh-CN"/>
              </w:rPr>
              <w:t>0.019</w:t>
            </w:r>
            <w:r>
              <w:rPr>
                <w:rFonts w:hint="default" w:ascii="Times New Roman" w:hAnsi="Times New Roman" w:eastAsia="宋体" w:cs="Times New Roman"/>
                <w:bCs/>
                <w:color w:val="auto"/>
                <w:sz w:val="24"/>
                <w:szCs w:val="24"/>
                <w:highlight w:val="none"/>
                <w:lang w:val="en-US" w:eastAsia="zh-CN"/>
              </w:rPr>
              <w:t>t/a，排放速率为</w:t>
            </w:r>
            <w:r>
              <w:rPr>
                <w:rFonts w:hint="eastAsia" w:cs="Times New Roman"/>
                <w:bCs/>
                <w:color w:val="auto"/>
                <w:sz w:val="24"/>
                <w:szCs w:val="24"/>
                <w:highlight w:val="none"/>
                <w:lang w:val="en-US" w:eastAsia="zh-CN"/>
              </w:rPr>
              <w:t>0.006</w:t>
            </w:r>
            <w:r>
              <w:rPr>
                <w:rFonts w:hint="default" w:ascii="Times New Roman" w:hAnsi="Times New Roman" w:eastAsia="宋体" w:cs="Times New Roman"/>
                <w:bCs/>
                <w:color w:val="auto"/>
                <w:sz w:val="24"/>
                <w:szCs w:val="24"/>
                <w:highlight w:val="none"/>
                <w:lang w:val="en-US" w:eastAsia="zh-CN"/>
              </w:rPr>
              <w:t>kg/h</w:t>
            </w:r>
            <w:r>
              <w:rPr>
                <w:rFonts w:hint="eastAsia" w:cs="Times New Roman"/>
                <w:bCs/>
                <w:color w:val="auto"/>
                <w:sz w:val="24"/>
                <w:szCs w:val="24"/>
                <w:highlight w:val="none"/>
                <w:lang w:val="en-US" w:eastAsia="zh-CN"/>
              </w:rPr>
              <w:t>。颗粒物、非甲烷总烃、苯系物（二甲苯）满足《印刷工业大气污染物排放标准》（GB41616-2022）表3无组织排放监控点浓度限值</w:t>
            </w:r>
            <w:r>
              <w:rPr>
                <w:rFonts w:hint="default" w:ascii="Times New Roman" w:hAnsi="Times New Roman" w:eastAsia="宋体" w:cs="Times New Roman"/>
                <w:bCs/>
                <w:color w:val="auto"/>
                <w:sz w:val="24"/>
                <w:szCs w:val="24"/>
                <w:highlight w:val="none"/>
                <w:lang w:val="en-US" w:eastAsia="zh-CN"/>
              </w:rPr>
              <w:t>。</w:t>
            </w:r>
            <w:r>
              <w:rPr>
                <w:rFonts w:hint="eastAsia" w:cs="Times New Roman"/>
                <w:bCs/>
                <w:color w:val="auto"/>
                <w:sz w:val="24"/>
                <w:szCs w:val="24"/>
                <w:highlight w:val="none"/>
                <w:lang w:val="en-US" w:eastAsia="zh-CN"/>
              </w:rPr>
              <w:t>非甲烷总烃厂内满足</w:t>
            </w:r>
            <w:r>
              <w:rPr>
                <w:rFonts w:hint="default" w:ascii="Times New Roman" w:hAnsi="Times New Roman" w:eastAsia="宋体" w:cs="Times New Roman"/>
                <w:color w:val="auto"/>
                <w:kern w:val="2"/>
                <w:sz w:val="24"/>
                <w:szCs w:val="24"/>
                <w:highlight w:val="none"/>
              </w:rPr>
              <w:t>《固定污染源挥发性有机物综合排放标准》（DB44/2367-2022）表3VOCs 无组织排放限值要求</w:t>
            </w:r>
            <w:r>
              <w:rPr>
                <w:rFonts w:hint="eastAsia" w:ascii="Times New Roman" w:hAnsi="Times New Roman" w:eastAsia="宋体" w:cs="Times New Roman"/>
                <w:color w:val="auto"/>
                <w:kern w:val="2"/>
                <w:sz w:val="24"/>
                <w:szCs w:val="24"/>
                <w:highlight w:val="none"/>
                <w:lang w:val="en-US" w:eastAsia="zh-CN"/>
              </w:rPr>
              <w:t>。</w:t>
            </w:r>
          </w:p>
          <w:p w14:paraId="68F5E41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b w:val="0"/>
                <w:bCs w:val="0"/>
                <w:color w:val="auto"/>
                <w:kern w:val="0"/>
                <w:sz w:val="24"/>
                <w:szCs w:val="24"/>
                <w:highlight w:val="none"/>
                <w:lang w:val="en-US" w:eastAsia="zh-CN"/>
              </w:rPr>
              <w:t>本项目通过对污水处理设施</w:t>
            </w:r>
            <w:r>
              <w:rPr>
                <w:rFonts w:hint="default" w:ascii="Times New Roman" w:hAnsi="Times New Roman" w:cs="Times New Roman"/>
                <w:color w:val="auto"/>
                <w:sz w:val="24"/>
                <w:szCs w:val="24"/>
                <w:highlight w:val="none"/>
              </w:rPr>
              <w:t>采取加盖密闭、加强通风措施后</w:t>
            </w:r>
            <w:r>
              <w:rPr>
                <w:rFonts w:hint="default" w:ascii="Times New Roman" w:hAnsi="Times New Roman" w:eastAsia="宋体"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2"/>
                <w:sz w:val="24"/>
                <w:szCs w:val="24"/>
                <w:highlight w:val="none"/>
                <w:lang w:val="en-US" w:eastAsia="zh-CN"/>
              </w:rPr>
              <w:t>臭气浓度可满足</w:t>
            </w:r>
            <w:r>
              <w:rPr>
                <w:rFonts w:hint="default" w:ascii="Times New Roman" w:hAnsi="Times New Roman" w:eastAsia="宋体" w:cs="Times New Roman"/>
                <w:b w:val="0"/>
                <w:bCs w:val="0"/>
                <w:color w:val="auto"/>
                <w:kern w:val="0"/>
                <w:sz w:val="24"/>
                <w:szCs w:val="24"/>
                <w:highlight w:val="none"/>
                <w:lang w:val="en-US" w:eastAsia="zh-CN"/>
              </w:rPr>
              <w:t>《恶臭污染物排放标准》(GB14554-93)表1二级标准中“新改扩建”限值要求。</w:t>
            </w:r>
          </w:p>
          <w:p w14:paraId="24EAFB49">
            <w:pPr>
              <w:pageBreakBefore w:val="0"/>
              <w:kinsoku/>
              <w:wordWrap w:val="0"/>
              <w:overflowPunct/>
              <w:topLinePunct w:val="0"/>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Cs/>
                <w:color w:val="auto"/>
                <w:sz w:val="24"/>
                <w:szCs w:val="24"/>
                <w:highlight w:val="none"/>
              </w:rPr>
              <w:t>根据</w:t>
            </w:r>
            <w:r>
              <w:rPr>
                <w:rFonts w:hint="default" w:ascii="Times New Roman" w:hAnsi="Times New Roman" w:cs="Times New Roman"/>
                <w:color w:val="auto"/>
                <w:sz w:val="24"/>
                <w:highlight w:val="none"/>
              </w:rPr>
              <w:t>《2024年韶关市生态环境状况公报》</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color w:val="auto"/>
                <w:sz w:val="24"/>
                <w:highlight w:val="none"/>
              </w:rPr>
              <w:t>202</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乐昌</w:t>
            </w:r>
            <w:r>
              <w:rPr>
                <w:rFonts w:hint="default" w:ascii="Times New Roman" w:hAnsi="Times New Roman" w:eastAsia="宋体" w:cs="Times New Roman"/>
                <w:color w:val="auto"/>
                <w:sz w:val="24"/>
                <w:highlight w:val="none"/>
              </w:rPr>
              <w:t>市环境空气中</w:t>
            </w:r>
            <w:r>
              <w:rPr>
                <w:rFonts w:hint="default" w:ascii="Times New Roman" w:hAnsi="Times New Roman" w:eastAsia="宋体" w:cs="Times New Roman"/>
                <w:color w:val="auto"/>
                <w:sz w:val="24"/>
                <w:highlight w:val="none"/>
                <w:lang w:val="en-US" w:eastAsia="zh-CN"/>
              </w:rPr>
              <w:t>的</w:t>
            </w:r>
            <w:r>
              <w:rPr>
                <w:rFonts w:hint="default" w:ascii="Times New Roman" w:hAnsi="Times New Roman" w:eastAsia="宋体" w:cs="Times New Roman"/>
                <w:color w:val="auto"/>
                <w:sz w:val="24"/>
                <w:highlight w:val="none"/>
              </w:rPr>
              <w:t>二氧化硫、二氧化氮、可吸入颗粒物（PM</w:t>
            </w:r>
            <w:r>
              <w:rPr>
                <w:rFonts w:hint="default" w:ascii="Times New Roman" w:hAnsi="Times New Roman" w:eastAsia="宋体" w:cs="Times New Roman"/>
                <w:color w:val="auto"/>
                <w:sz w:val="24"/>
                <w:highlight w:val="none"/>
                <w:vertAlign w:val="subscript"/>
              </w:rPr>
              <w:t>10</w:t>
            </w:r>
            <w:r>
              <w:rPr>
                <w:rFonts w:hint="default" w:ascii="Times New Roman" w:hAnsi="Times New Roman" w:eastAsia="宋体" w:cs="Times New Roman"/>
                <w:color w:val="auto"/>
                <w:sz w:val="24"/>
                <w:highlight w:val="none"/>
              </w:rPr>
              <w:t>）、细颗粒物（PM</w:t>
            </w:r>
            <w:r>
              <w:rPr>
                <w:rFonts w:hint="default" w:ascii="Times New Roman" w:hAnsi="Times New Roman" w:eastAsia="宋体" w:cs="Times New Roman"/>
                <w:color w:val="auto"/>
                <w:sz w:val="24"/>
                <w:highlight w:val="none"/>
                <w:vertAlign w:val="subscript"/>
              </w:rPr>
              <w:t>2.5</w:t>
            </w:r>
            <w:r>
              <w:rPr>
                <w:rFonts w:hint="default" w:ascii="Times New Roman" w:hAnsi="Times New Roman" w:eastAsia="宋体" w:cs="Times New Roman"/>
                <w:color w:val="auto"/>
                <w:sz w:val="24"/>
                <w:highlight w:val="none"/>
              </w:rPr>
              <w:t>）年平均浓度及一氧化碳24小时平均第95百分位数、臭氧日最大8小时滑动平均值的第90百分位数均符合国家《环境空气质量标准》（GB3095-2026）过渡阶段浓度限值二级标准</w:t>
            </w:r>
            <w:r>
              <w:rPr>
                <w:rFonts w:hint="default" w:ascii="Times New Roman" w:hAnsi="Times New Roman" w:eastAsia="宋体" w:cs="Times New Roman"/>
                <w:color w:val="auto"/>
                <w:kern w:val="21"/>
                <w:sz w:val="24"/>
                <w:szCs w:val="24"/>
                <w:highlight w:val="none"/>
              </w:rPr>
              <w:t>。</w:t>
            </w:r>
            <w:r>
              <w:rPr>
                <w:rFonts w:hint="default" w:ascii="Times New Roman" w:hAnsi="Times New Roman" w:eastAsia="宋体" w:cs="Times New Roman"/>
                <w:bCs/>
                <w:color w:val="auto"/>
                <w:sz w:val="24"/>
                <w:szCs w:val="24"/>
                <w:highlight w:val="none"/>
              </w:rPr>
              <w:t>项目采取的废气治理设施为可行技术，厂界外500米范围内</w:t>
            </w:r>
            <w:r>
              <w:rPr>
                <w:rFonts w:hint="default" w:ascii="Times New Roman" w:hAnsi="Times New Roman" w:eastAsia="宋体" w:cs="Times New Roman"/>
                <w:color w:val="auto"/>
                <w:sz w:val="24"/>
                <w:szCs w:val="24"/>
                <w:highlight w:val="none"/>
                <w:lang w:val="en-US" w:eastAsia="zh-CN"/>
              </w:rPr>
              <w:t>大气环境保护目标为位于项目北面</w:t>
            </w:r>
            <w:r>
              <w:rPr>
                <w:rFonts w:hint="eastAsia"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7</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m的</w:t>
            </w:r>
            <w:r>
              <w:rPr>
                <w:rFonts w:hint="eastAsia" w:ascii="Times New Roman" w:hAnsi="Times New Roman" w:eastAsia="宋体" w:cs="Times New Roman"/>
                <w:color w:val="auto"/>
                <w:sz w:val="24"/>
                <w:szCs w:val="24"/>
                <w:highlight w:val="none"/>
                <w:lang w:val="en-US" w:eastAsia="zh-CN"/>
              </w:rPr>
              <w:t>规划居住区</w:t>
            </w:r>
            <w:r>
              <w:rPr>
                <w:rFonts w:hint="default" w:ascii="Times New Roman" w:hAnsi="Times New Roman" w:eastAsia="宋体" w:cs="Times New Roman"/>
                <w:color w:val="auto"/>
                <w:sz w:val="24"/>
                <w:szCs w:val="24"/>
                <w:highlight w:val="none"/>
                <w:lang w:val="en-US" w:eastAsia="zh-CN"/>
              </w:rPr>
              <w:t>，且不在多年主导风向下风向，</w:t>
            </w:r>
            <w:r>
              <w:rPr>
                <w:rFonts w:hint="default" w:ascii="Times New Roman" w:hAnsi="Times New Roman" w:eastAsia="宋体" w:cs="Times New Roman"/>
                <w:bCs/>
                <w:color w:val="auto"/>
                <w:sz w:val="24"/>
                <w:szCs w:val="24"/>
                <w:highlight w:val="none"/>
              </w:rPr>
              <w:t>在建设单位在加强环保管理，确保废气处理设施的正常运行的情况下，废气经收集处理后可做到稳定达标。项目在废气稳定达标的前提下，项目对周边环境</w:t>
            </w:r>
            <w:r>
              <w:rPr>
                <w:rFonts w:hint="default" w:ascii="Times New Roman" w:hAnsi="Times New Roman" w:eastAsia="宋体" w:cs="Times New Roman"/>
                <w:bCs/>
                <w:color w:val="auto"/>
                <w:sz w:val="24"/>
                <w:szCs w:val="24"/>
                <w:highlight w:val="none"/>
                <w:lang w:val="en-US" w:eastAsia="zh-CN"/>
              </w:rPr>
              <w:t>空气及</w:t>
            </w:r>
            <w:r>
              <w:rPr>
                <w:rFonts w:hint="default" w:ascii="Times New Roman" w:hAnsi="Times New Roman" w:eastAsia="宋体" w:cs="Times New Roman"/>
                <w:color w:val="auto"/>
                <w:sz w:val="24"/>
                <w:szCs w:val="24"/>
                <w:highlight w:val="none"/>
                <w:lang w:val="en-US" w:eastAsia="zh-CN"/>
              </w:rPr>
              <w:t>大气环境保护目标</w:t>
            </w:r>
            <w:r>
              <w:rPr>
                <w:rFonts w:hint="default" w:ascii="Times New Roman" w:hAnsi="Times New Roman" w:eastAsia="宋体" w:cs="Times New Roman"/>
                <w:bCs/>
                <w:color w:val="auto"/>
                <w:sz w:val="24"/>
                <w:szCs w:val="24"/>
                <w:highlight w:val="none"/>
              </w:rPr>
              <w:t>的影响是可以接受的。</w:t>
            </w:r>
          </w:p>
          <w:p w14:paraId="79CD4399">
            <w:pPr>
              <w:pageBreakBefore w:val="0"/>
              <w:kinsoku/>
              <w:wordWrap w:val="0"/>
              <w:overflowPunct/>
              <w:topLinePunct w:val="0"/>
              <w:bidi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VOCs物料储存无组织排放控制要求：</w:t>
            </w:r>
          </w:p>
          <w:p w14:paraId="2A057049">
            <w:pPr>
              <w:pageBreakBefore w:val="0"/>
              <w:kinsoku/>
              <w:wordWrap w:val="0"/>
              <w:overflowPunct/>
              <w:topLinePunct w:val="0"/>
              <w:bidi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项目所用的物料均采用密封袋贮存于室内；危险废物经分类收集后用加厚胶袋盛装并进行密闭，暂存于专门的危废仓。故储存过程无VOCs的产生。因此，项目符合VOCs物料储存无组织排放控制要求。</w:t>
            </w:r>
          </w:p>
          <w:p w14:paraId="11A1F942">
            <w:pPr>
              <w:pageBreakBefore w:val="0"/>
              <w:kinsoku/>
              <w:wordWrap w:val="0"/>
              <w:overflowPunct/>
              <w:topLinePunct w:val="0"/>
              <w:bidi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VOCs物料转移和输送无组织排放控制要求：</w:t>
            </w:r>
          </w:p>
          <w:p w14:paraId="39C22DD3">
            <w:pPr>
              <w:pageBreakBefore w:val="0"/>
              <w:kinsoku/>
              <w:wordWrap w:val="0"/>
              <w:overflowPunct/>
              <w:topLinePunct w:val="0"/>
              <w:bidi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项目使用的原辅材料常温下不会挥发有机废气；危险废物经分类收集后用加厚胶袋密闭盛装后进行转移。因此，项目符合VOCs物料转移和输送无组织排放控制要求。</w:t>
            </w:r>
          </w:p>
          <w:p w14:paraId="3A4A5F29">
            <w:pPr>
              <w:pageBreakBefore w:val="0"/>
              <w:kinsoku/>
              <w:wordWrap w:val="0"/>
              <w:overflowPunct/>
              <w:topLinePunct w:val="0"/>
              <w:bidi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工艺过程VOCs无组织排放控制要求：</w:t>
            </w:r>
          </w:p>
          <w:p w14:paraId="091BAE91">
            <w:pPr>
              <w:pageBreakBefore w:val="0"/>
              <w:kinsoku/>
              <w:wordWrap w:val="0"/>
              <w:overflowPunct/>
              <w:topLinePunct w:val="0"/>
              <w:bidi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VOCs质量占比大于等于10%的含VOCs产品，其使用过程应采用密闭设备或在密闭空间内操作，废气应排至VOCs废气收集处理系统</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无法密闭的，应采取局部气体收集措施，废气应排至VOCs废气收集处理系统</w:t>
            </w:r>
            <w:r>
              <w:rPr>
                <w:rFonts w:hint="eastAsia" w:cs="Times New Roman"/>
                <w:color w:val="auto"/>
                <w:sz w:val="24"/>
                <w:highlight w:val="none"/>
                <w:lang w:eastAsia="zh-CN"/>
              </w:rPr>
              <w:t>。</w:t>
            </w:r>
          </w:p>
          <w:p w14:paraId="62E79E13">
            <w:pPr>
              <w:pageBreakBefore w:val="0"/>
              <w:kinsoku/>
              <w:wordWrap w:val="0"/>
              <w:overflowPunct/>
              <w:topLinePunct w:val="0"/>
              <w:bidi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敞开液面VOCs无组织排放控制要求：</w:t>
            </w:r>
          </w:p>
          <w:p w14:paraId="0D549D1A">
            <w:pPr>
              <w:pageBreakBefore w:val="0"/>
              <w:kinsoku/>
              <w:wordWrap w:val="0"/>
              <w:overflowPunct/>
              <w:topLinePunct w:val="0"/>
              <w:bidi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项目生产过程中无含VOCs废水的排放。</w:t>
            </w:r>
          </w:p>
          <w:p w14:paraId="590857C4">
            <w:pPr>
              <w:pageBreakBefore w:val="0"/>
              <w:kinsoku/>
              <w:wordWrap w:val="0"/>
              <w:overflowPunct/>
              <w:topLinePunct w:val="0"/>
              <w:bidi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记录要求：企业拟建立台账，记录废气收集系统、VOCs处理设施的主要运行和维护信息，如运行时间、废气处理量、操作温度、停留时间、吸附剂再生/更换周期和更换量等关键运行参数。台账保存期限不少于5年。因此，项目符合VOCs无组织排放废气收集处理系统要求。</w:t>
            </w:r>
          </w:p>
          <w:p w14:paraId="75A8BB27">
            <w:pPr>
              <w:keepNext/>
              <w:keepLines/>
              <w:pageBreakBefore w:val="0"/>
              <w:tabs>
                <w:tab w:val="left" w:pos="0"/>
              </w:tabs>
              <w:kinsoku/>
              <w:wordWrap w:val="0"/>
              <w:overflowPunct/>
              <w:topLinePunct w:val="0"/>
              <w:bidi w:val="0"/>
              <w:ind w:firstLine="480" w:firstLineChars="200"/>
              <w:outlineLvl w:val="3"/>
              <w:rPr>
                <w:rFonts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二、</w:t>
            </w:r>
            <w:r>
              <w:rPr>
                <w:rFonts w:ascii="Times New Roman" w:hAnsi="Times New Roman" w:eastAsia="宋体" w:cs="Times New Roman"/>
                <w:b/>
                <w:bCs/>
                <w:color w:val="auto"/>
                <w:highlight w:val="none"/>
                <w:lang w:val="en-US" w:eastAsia="zh-CN"/>
              </w:rPr>
              <w:t>废水污染源</w:t>
            </w:r>
          </w:p>
          <w:p w14:paraId="473E05C4">
            <w:pPr>
              <w:keepNext/>
              <w:keepLines/>
              <w:pageBreakBefore w:val="0"/>
              <w:tabs>
                <w:tab w:val="left" w:pos="0"/>
              </w:tabs>
              <w:kinsoku/>
              <w:wordWrap w:val="0"/>
              <w:overflowPunct/>
              <w:topLinePunct w:val="0"/>
              <w:bidi w:val="0"/>
              <w:ind w:firstLine="480" w:firstLineChars="200"/>
              <w:outlineLvl w:val="3"/>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1、污染源源强分析</w:t>
            </w:r>
          </w:p>
          <w:p w14:paraId="7DF09476">
            <w:pPr>
              <w:keepNext/>
              <w:keepLines/>
              <w:pageBreakBefore w:val="0"/>
              <w:numPr>
                <w:ilvl w:val="4"/>
                <w:numId w:val="0"/>
              </w:numPr>
              <w:tabs>
                <w:tab w:val="left" w:pos="0"/>
              </w:tabs>
              <w:kinsoku/>
              <w:wordWrap w:val="0"/>
              <w:overflowPunct/>
              <w:topLinePunct w:val="0"/>
              <w:bidi w:val="0"/>
              <w:ind w:left="-960" w:firstLine="1440"/>
              <w:outlineLvl w:val="4"/>
              <w:rPr>
                <w:rFonts w:ascii="Times New Roman" w:hAnsi="Times New Roman" w:eastAsia="宋体" w:cs="Times New Roman"/>
                <w:b/>
                <w:bCs/>
                <w:color w:val="auto"/>
                <w:highlight w:val="none"/>
              </w:rPr>
            </w:pPr>
            <w:r>
              <w:rPr>
                <w:rFonts w:hint="eastAsia" w:ascii="Times New Roman" w:hAnsi="Times New Roman" w:eastAsia="宋体" w:cs="宋体"/>
                <w:b/>
                <w:bCs/>
                <w:color w:val="auto"/>
                <w:highlight w:val="none"/>
              </w:rPr>
              <w:t>（1）</w:t>
            </w:r>
            <w:r>
              <w:rPr>
                <w:rFonts w:ascii="Times New Roman" w:hAnsi="Times New Roman" w:eastAsia="宋体" w:cs="Times New Roman"/>
                <w:b/>
                <w:bCs/>
                <w:color w:val="auto"/>
                <w:highlight w:val="none"/>
              </w:rPr>
              <w:t>生活污水</w:t>
            </w:r>
          </w:p>
          <w:p w14:paraId="1AD08AA1">
            <w:pPr>
              <w:pageBreakBefore w:val="0"/>
              <w:widowControl/>
              <w:kinsoku/>
              <w:wordWrap w:val="0"/>
              <w:overflowPunct/>
              <w:topLinePunct w:val="0"/>
              <w:bidi w:val="0"/>
              <w:ind w:firstLine="480" w:firstLineChars="200"/>
              <w:jc w:val="both"/>
              <w:rPr>
                <w:rFonts w:ascii="Times New Roman" w:hAnsi="Times New Roman" w:eastAsia="宋体" w:cs="Times New Roman"/>
                <w:color w:val="auto"/>
                <w:kern w:val="0"/>
                <w:highlight w:val="none"/>
              </w:rPr>
            </w:pPr>
            <w:r>
              <w:rPr>
                <w:rFonts w:hint="eastAsia" w:cs="Times New Roman"/>
                <w:color w:val="auto"/>
                <w:kern w:val="0"/>
                <w:highlight w:val="none"/>
                <w:lang w:val="en-US" w:eastAsia="zh-CN"/>
              </w:rPr>
              <w:t>本</w:t>
            </w:r>
            <w:r>
              <w:rPr>
                <w:rFonts w:ascii="Times New Roman" w:hAnsi="Times New Roman" w:eastAsia="宋体" w:cs="Times New Roman"/>
                <w:color w:val="auto"/>
                <w:kern w:val="0"/>
                <w:highlight w:val="none"/>
              </w:rPr>
              <w:t>项目</w:t>
            </w:r>
            <w:r>
              <w:rPr>
                <w:rFonts w:ascii="Times New Roman" w:hAnsi="Times New Roman" w:eastAsia="宋体" w:cs="Times New Roman"/>
                <w:color w:val="auto"/>
                <w:highlight w:val="none"/>
              </w:rPr>
              <w:t>劳动定员</w:t>
            </w:r>
            <w:r>
              <w:rPr>
                <w:rFonts w:hint="eastAsia" w:ascii="Times New Roman" w:hAnsi="Times New Roman" w:eastAsia="宋体" w:cs="Times New Roman"/>
                <w:color w:val="auto"/>
                <w:highlight w:val="none"/>
                <w:lang w:val="en-US" w:eastAsia="zh-CN"/>
              </w:rPr>
              <w:t>3</w:t>
            </w:r>
            <w:r>
              <w:rPr>
                <w:rFonts w:hint="eastAsia" w:cs="Times New Roman"/>
                <w:color w:val="auto"/>
                <w:highlight w:val="none"/>
                <w:lang w:val="en-US" w:eastAsia="zh-CN"/>
              </w:rPr>
              <w:t>0</w:t>
            </w:r>
            <w:r>
              <w:rPr>
                <w:rFonts w:ascii="Times New Roman" w:hAnsi="Times New Roman" w:eastAsia="宋体" w:cs="Times New Roman"/>
                <w:color w:val="auto"/>
                <w:highlight w:val="none"/>
              </w:rPr>
              <w:t>名</w:t>
            </w:r>
            <w:r>
              <w:rPr>
                <w:rFonts w:ascii="Times New Roman" w:hAnsi="Times New Roman" w:eastAsia="宋体" w:cs="Times New Roman"/>
                <w:color w:val="auto"/>
                <w:kern w:val="0"/>
                <w:highlight w:val="none"/>
              </w:rPr>
              <w:t>，</w:t>
            </w:r>
            <w:r>
              <w:rPr>
                <w:rFonts w:hint="eastAsia" w:cs="Times New Roman"/>
                <w:color w:val="auto"/>
                <w:kern w:val="0"/>
                <w:highlight w:val="none"/>
                <w:lang w:eastAsia="zh-CN"/>
              </w:rPr>
              <w:t>不</w:t>
            </w:r>
            <w:r>
              <w:rPr>
                <w:rFonts w:ascii="Times New Roman" w:hAnsi="Times New Roman" w:eastAsia="宋体" w:cs="Times New Roman"/>
                <w:color w:val="auto"/>
                <w:kern w:val="0"/>
                <w:highlight w:val="none"/>
              </w:rPr>
              <w:t>在项目内住宿</w:t>
            </w:r>
            <w:r>
              <w:rPr>
                <w:rFonts w:hint="eastAsia" w:ascii="Times New Roman" w:hAnsi="Times New Roman" w:eastAsia="宋体" w:cs="Times New Roman"/>
                <w:color w:val="auto"/>
                <w:kern w:val="0"/>
                <w:highlight w:val="none"/>
                <w:lang w:eastAsia="zh-CN"/>
              </w:rPr>
              <w:t>，</w:t>
            </w:r>
            <w:r>
              <w:rPr>
                <w:rFonts w:ascii="Times New Roman" w:hAnsi="Times New Roman" w:eastAsia="宋体" w:cs="Times New Roman"/>
                <w:color w:val="auto"/>
                <w:kern w:val="0"/>
                <w:highlight w:val="none"/>
              </w:rPr>
              <w:t>就餐，年工作时间300天</w:t>
            </w:r>
            <w:r>
              <w:rPr>
                <w:rFonts w:hint="eastAsia" w:ascii="Times New Roman" w:hAnsi="Times New Roman" w:eastAsia="宋体" w:cs="Times New Roman"/>
                <w:color w:val="auto"/>
                <w:kern w:val="0"/>
                <w:highlight w:val="none"/>
              </w:rPr>
              <w:t>，实行</w:t>
            </w:r>
            <w:r>
              <w:rPr>
                <w:rFonts w:hint="eastAsia" w:cs="Times New Roman"/>
                <w:color w:val="auto"/>
                <w:kern w:val="0"/>
                <w:highlight w:val="none"/>
                <w:lang w:val="en-US" w:eastAsia="zh-CN"/>
              </w:rPr>
              <w:t>10</w:t>
            </w:r>
            <w:r>
              <w:rPr>
                <w:rFonts w:hint="eastAsia" w:ascii="Times New Roman" w:hAnsi="Times New Roman" w:eastAsia="宋体" w:cs="Times New Roman"/>
                <w:color w:val="auto"/>
                <w:kern w:val="0"/>
                <w:highlight w:val="none"/>
              </w:rPr>
              <w:t>小时单班制</w:t>
            </w:r>
            <w:r>
              <w:rPr>
                <w:rFonts w:ascii="Times New Roman" w:hAnsi="Times New Roman" w:eastAsia="宋体" w:cs="Times New Roman"/>
                <w:color w:val="auto"/>
                <w:kern w:val="0"/>
                <w:highlight w:val="none"/>
              </w:rPr>
              <w:t>。</w:t>
            </w:r>
            <w:r>
              <w:rPr>
                <w:rFonts w:hint="default" w:ascii="Times New Roman" w:hAnsi="Times New Roman" w:eastAsia="宋体" w:cs="Times New Roman"/>
                <w:color w:val="auto"/>
                <w:kern w:val="0"/>
                <w:sz w:val="24"/>
                <w:szCs w:val="24"/>
                <w:highlight w:val="none"/>
              </w:rPr>
              <w:t>参考《广东省用水定额</w:t>
            </w:r>
            <w:r>
              <w:rPr>
                <w:rFonts w:hint="default" w:ascii="Times New Roman" w:hAnsi="Times New Roman" w:eastAsia="宋体" w:cs="Times New Roman"/>
                <w:color w:val="auto"/>
                <w:kern w:val="0"/>
                <w:sz w:val="24"/>
                <w:szCs w:val="24"/>
                <w:highlight w:val="none"/>
                <w:lang w:val="en-US" w:eastAsia="zh-CN"/>
              </w:rPr>
              <w:t xml:space="preserve"> 第3部分：生活</w:t>
            </w:r>
            <w:r>
              <w:rPr>
                <w:rFonts w:hint="default" w:ascii="Times New Roman" w:hAnsi="Times New Roman" w:eastAsia="宋体" w:cs="Times New Roman"/>
                <w:color w:val="auto"/>
                <w:kern w:val="0"/>
                <w:sz w:val="24"/>
                <w:szCs w:val="24"/>
                <w:highlight w:val="none"/>
              </w:rPr>
              <w:t>》（DB44/T</w:t>
            </w:r>
            <w:r>
              <w:rPr>
                <w:rFonts w:hint="default" w:ascii="Times New Roman" w:hAnsi="Times New Roman" w:eastAsia="宋体" w:cs="Times New Roman"/>
                <w:color w:val="auto"/>
                <w:kern w:val="0"/>
                <w:sz w:val="24"/>
                <w:szCs w:val="24"/>
                <w:highlight w:val="none"/>
                <w:lang w:val="en-US" w:eastAsia="zh-CN"/>
              </w:rPr>
              <w:t xml:space="preserve"> </w:t>
            </w:r>
            <w:r>
              <w:rPr>
                <w:rFonts w:hint="default" w:ascii="Times New Roman" w:hAnsi="Times New Roman" w:eastAsia="宋体" w:cs="Times New Roman"/>
                <w:color w:val="auto"/>
                <w:kern w:val="0"/>
                <w:sz w:val="24"/>
                <w:szCs w:val="24"/>
                <w:highlight w:val="none"/>
              </w:rPr>
              <w:t>1461</w:t>
            </w:r>
            <w:r>
              <w:rPr>
                <w:rFonts w:hint="default"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rPr>
              <w:t>-20</w:t>
            </w:r>
            <w:r>
              <w:rPr>
                <w:rFonts w:hint="default" w:ascii="Times New Roman" w:hAnsi="Times New Roman" w:eastAsia="宋体" w:cs="Times New Roman"/>
                <w:color w:val="auto"/>
                <w:kern w:val="0"/>
                <w:sz w:val="24"/>
                <w:szCs w:val="24"/>
                <w:highlight w:val="none"/>
                <w:lang w:val="en-US" w:eastAsia="zh-CN"/>
              </w:rPr>
              <w:t>21</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val="en-US" w:eastAsia="zh-CN"/>
              </w:rPr>
              <w:t>中</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表</w:t>
            </w:r>
            <w:r>
              <w:rPr>
                <w:rFonts w:hint="eastAsia" w:ascii="Times New Roman" w:hAnsi="Times New Roman" w:eastAsia="宋体" w:cs="Times New Roman"/>
                <w:color w:val="auto"/>
                <w:kern w:val="0"/>
                <w:sz w:val="24"/>
                <w:szCs w:val="24"/>
                <w:highlight w:val="none"/>
                <w:lang w:val="en-US" w:eastAsia="zh-CN"/>
              </w:rPr>
              <w:t>A.1 服务业用水定额表-国家机构（92）-国家行政机构（922）-办公楼-</w:t>
            </w:r>
            <w:r>
              <w:rPr>
                <w:rFonts w:hint="eastAsia" w:cs="Times New Roman"/>
                <w:color w:val="auto"/>
                <w:kern w:val="0"/>
                <w:sz w:val="24"/>
                <w:szCs w:val="24"/>
                <w:highlight w:val="none"/>
                <w:lang w:val="en-US" w:eastAsia="zh-CN"/>
              </w:rPr>
              <w:t>无</w:t>
            </w:r>
            <w:r>
              <w:rPr>
                <w:rFonts w:hint="eastAsia" w:ascii="Times New Roman" w:hAnsi="Times New Roman" w:eastAsia="宋体" w:cs="Times New Roman"/>
                <w:color w:val="auto"/>
                <w:kern w:val="0"/>
                <w:sz w:val="24"/>
                <w:szCs w:val="24"/>
                <w:highlight w:val="none"/>
                <w:lang w:val="en-US" w:eastAsia="zh-CN"/>
              </w:rPr>
              <w:t>食堂和浴室</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的标准，</w:t>
            </w:r>
            <w:r>
              <w:rPr>
                <w:rFonts w:hint="default" w:ascii="Times New Roman" w:hAnsi="Times New Roman" w:eastAsia="宋体" w:cs="Times New Roman"/>
                <w:color w:val="auto"/>
                <w:kern w:val="0"/>
                <w:sz w:val="24"/>
                <w:szCs w:val="24"/>
                <w:highlight w:val="none"/>
              </w:rPr>
              <w:t>取</w:t>
            </w:r>
            <w:r>
              <w:rPr>
                <w:rFonts w:hint="eastAsia" w:cs="Times New Roman"/>
                <w:color w:val="auto"/>
                <w:kern w:val="0"/>
                <w:sz w:val="24"/>
                <w:szCs w:val="24"/>
                <w:highlight w:val="none"/>
                <w:lang w:val="en-US" w:eastAsia="zh-CN"/>
              </w:rPr>
              <w:t>通用</w:t>
            </w:r>
            <w:r>
              <w:rPr>
                <w:rFonts w:hint="eastAsia" w:ascii="Times New Roman" w:hAnsi="Times New Roman" w:eastAsia="宋体" w:cs="Times New Roman"/>
                <w:color w:val="auto"/>
                <w:kern w:val="0"/>
                <w:sz w:val="24"/>
                <w:szCs w:val="24"/>
                <w:highlight w:val="none"/>
                <w:lang w:val="en-US" w:eastAsia="zh-CN"/>
              </w:rPr>
              <w:t>值：</w:t>
            </w:r>
            <w:r>
              <w:rPr>
                <w:rFonts w:hint="eastAsia" w:cs="Times New Roman"/>
                <w:color w:val="auto"/>
                <w:kern w:val="0"/>
                <w:sz w:val="24"/>
                <w:szCs w:val="24"/>
                <w:highlight w:val="none"/>
                <w:lang w:val="en-US" w:eastAsia="zh-CN"/>
              </w:rPr>
              <w:t>28</w:t>
            </w:r>
            <w:r>
              <w:rPr>
                <w:rFonts w:hint="eastAsia" w:ascii="Times New Roman" w:hAnsi="Times New Roman" w:eastAsia="宋体" w:cs="Times New Roman"/>
                <w:color w:val="auto"/>
                <w:kern w:val="0"/>
                <w:sz w:val="24"/>
                <w:szCs w:val="24"/>
                <w:highlight w:val="none"/>
                <w:lang w:val="en-US" w:eastAsia="zh-CN"/>
              </w:rPr>
              <w:t>m</w:t>
            </w:r>
            <w:r>
              <w:rPr>
                <w:rFonts w:hint="eastAsia"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人·</w:t>
            </w:r>
            <w:r>
              <w:rPr>
                <w:rFonts w:hint="eastAsia" w:ascii="Times New Roman" w:hAnsi="Times New Roman" w:eastAsia="宋体" w:cs="Times New Roman"/>
                <w:color w:val="auto"/>
                <w:kern w:val="0"/>
                <w:sz w:val="24"/>
                <w:szCs w:val="24"/>
                <w:highlight w:val="none"/>
                <w:lang w:val="en-US" w:eastAsia="zh-CN"/>
              </w:rPr>
              <w:t>a</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，因此本项目</w:t>
            </w:r>
            <w:r>
              <w:rPr>
                <w:rFonts w:hint="default" w:ascii="Times New Roman" w:hAnsi="Times New Roman" w:eastAsia="宋体" w:cs="Times New Roman"/>
                <w:color w:val="auto"/>
                <w:kern w:val="0"/>
                <w:sz w:val="24"/>
                <w:szCs w:val="24"/>
                <w:highlight w:val="none"/>
                <w:lang w:val="en-US" w:eastAsia="zh-CN"/>
              </w:rPr>
              <w:t>对应</w:t>
            </w:r>
            <w:r>
              <w:rPr>
                <w:rFonts w:hint="default" w:ascii="Times New Roman" w:hAnsi="Times New Roman" w:eastAsia="宋体" w:cs="Times New Roman"/>
                <w:color w:val="auto"/>
                <w:kern w:val="0"/>
                <w:sz w:val="24"/>
                <w:szCs w:val="24"/>
                <w:highlight w:val="none"/>
              </w:rPr>
              <w:t>生活用水量为</w:t>
            </w:r>
            <w:r>
              <w:rPr>
                <w:rFonts w:hint="eastAsia" w:ascii="Times New Roman" w:hAnsi="Times New Roman" w:eastAsia="宋体" w:cs="Times New Roman"/>
                <w:color w:val="auto"/>
                <w:kern w:val="0"/>
                <w:sz w:val="24"/>
                <w:szCs w:val="24"/>
                <w:highlight w:val="none"/>
                <w:lang w:val="en-US" w:eastAsia="zh-CN"/>
              </w:rPr>
              <w:t>30</w:t>
            </w:r>
            <w:r>
              <w:rPr>
                <w:rFonts w:hint="default" w:ascii="Times New Roman" w:hAnsi="Times New Roman" w:eastAsia="宋体" w:cs="Times New Roman"/>
                <w:color w:val="auto"/>
                <w:kern w:val="0"/>
                <w:sz w:val="24"/>
                <w:szCs w:val="24"/>
                <w:highlight w:val="none"/>
                <w:lang w:val="en-US" w:eastAsia="zh-CN"/>
              </w:rPr>
              <w:t>人×</w:t>
            </w:r>
            <w:r>
              <w:rPr>
                <w:rFonts w:hint="eastAsia" w:cs="Times New Roman"/>
                <w:color w:val="auto"/>
                <w:kern w:val="0"/>
                <w:sz w:val="24"/>
                <w:szCs w:val="24"/>
                <w:highlight w:val="none"/>
                <w:lang w:val="en-US" w:eastAsia="zh-CN"/>
              </w:rPr>
              <w:t>28</w:t>
            </w:r>
            <w:r>
              <w:rPr>
                <w:rFonts w:hint="eastAsia" w:ascii="Times New Roman" w:hAnsi="Times New Roman" w:eastAsia="宋体" w:cs="Times New Roman"/>
                <w:color w:val="auto"/>
                <w:kern w:val="0"/>
                <w:sz w:val="24"/>
                <w:szCs w:val="24"/>
                <w:highlight w:val="none"/>
                <w:lang w:val="en-US" w:eastAsia="zh-CN"/>
              </w:rPr>
              <w:t>m</w:t>
            </w:r>
            <w:r>
              <w:rPr>
                <w:rFonts w:hint="eastAsia"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人·</w:t>
            </w:r>
            <w:r>
              <w:rPr>
                <w:rFonts w:hint="eastAsia" w:ascii="Times New Roman" w:hAnsi="Times New Roman" w:eastAsia="宋体" w:cs="Times New Roman"/>
                <w:color w:val="auto"/>
                <w:kern w:val="0"/>
                <w:sz w:val="24"/>
                <w:szCs w:val="24"/>
                <w:highlight w:val="none"/>
                <w:lang w:val="en-US" w:eastAsia="zh-CN"/>
              </w:rPr>
              <w:t>a</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w:t>
            </w:r>
            <w:r>
              <w:rPr>
                <w:rFonts w:hint="eastAsia" w:cs="Times New Roman"/>
                <w:color w:val="auto"/>
                <w:kern w:val="0"/>
                <w:sz w:val="24"/>
                <w:szCs w:val="24"/>
                <w:highlight w:val="none"/>
                <w:lang w:val="en-US" w:eastAsia="zh-CN"/>
              </w:rPr>
              <w:t>84</w:t>
            </w:r>
            <w:r>
              <w:rPr>
                <w:rFonts w:hint="eastAsia" w:ascii="Times New Roman" w:hAnsi="Times New Roman" w:eastAsia="宋体" w:cs="Times New Roman"/>
                <w:color w:val="auto"/>
                <w:kern w:val="0"/>
                <w:sz w:val="24"/>
                <w:szCs w:val="24"/>
                <w:highlight w:val="none"/>
                <w:lang w:val="en-US" w:eastAsia="zh-CN"/>
              </w:rPr>
              <w:t>0m</w:t>
            </w:r>
            <w:r>
              <w:rPr>
                <w:rFonts w:hint="eastAsia"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sz w:val="24"/>
                <w:highlight w:val="none"/>
                <w:vertAlign w:val="baseline"/>
                <w:lang w:val="en-US" w:eastAsia="zh-CN"/>
              </w:rPr>
              <w:t>/</w:t>
            </w:r>
            <w:r>
              <w:rPr>
                <w:rFonts w:hint="default" w:ascii="Times New Roman" w:hAnsi="Times New Roman" w:cs="Times New Roman"/>
                <w:color w:val="auto"/>
                <w:highlight w:val="none"/>
              </w:rPr>
              <w:t>a</w:t>
            </w:r>
            <w:r>
              <w:rPr>
                <w:rFonts w:hint="default" w:ascii="Times New Roman" w:hAnsi="Times New Roman" w:eastAsia="宋体" w:cs="Times New Roman"/>
                <w:color w:val="auto"/>
                <w:kern w:val="0"/>
                <w:sz w:val="24"/>
                <w:szCs w:val="24"/>
                <w:highlight w:val="none"/>
              </w:rPr>
              <w:t>。按照排污系数0.9计算，则生活污水排放量为</w:t>
            </w:r>
            <w:r>
              <w:rPr>
                <w:rFonts w:hint="eastAsia" w:cs="Times New Roman"/>
                <w:color w:val="auto"/>
                <w:kern w:val="0"/>
                <w:sz w:val="24"/>
                <w:szCs w:val="24"/>
                <w:highlight w:val="none"/>
                <w:lang w:val="en-US" w:eastAsia="zh-CN"/>
              </w:rPr>
              <w:t>756</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vertAlign w:val="baseline"/>
                <w:lang w:val="en-US" w:eastAsia="zh-CN"/>
              </w:rPr>
              <w:t>/a</w:t>
            </w:r>
            <w:r>
              <w:rPr>
                <w:rFonts w:hint="default" w:ascii="Times New Roman" w:hAnsi="Times New Roman" w:eastAsia="宋体" w:cs="Times New Roman"/>
                <w:color w:val="auto"/>
                <w:kern w:val="0"/>
                <w:sz w:val="24"/>
                <w:szCs w:val="24"/>
                <w:highlight w:val="none"/>
              </w:rPr>
              <w:t>。本项目</w:t>
            </w:r>
            <w:r>
              <w:rPr>
                <w:rFonts w:hint="default" w:ascii="Times New Roman" w:hAnsi="Times New Roman" w:eastAsia="宋体" w:cs="Times New Roman"/>
                <w:color w:val="auto"/>
                <w:kern w:val="0"/>
                <w:sz w:val="24"/>
                <w:szCs w:val="24"/>
                <w:highlight w:val="none"/>
                <w:lang w:eastAsia="zh-CN"/>
              </w:rPr>
              <w:t>生活</w:t>
            </w:r>
            <w:r>
              <w:rPr>
                <w:rFonts w:hint="default" w:ascii="Times New Roman" w:hAnsi="Times New Roman" w:eastAsia="宋体" w:cs="Times New Roman"/>
                <w:color w:val="auto"/>
                <w:kern w:val="0"/>
                <w:sz w:val="24"/>
                <w:szCs w:val="24"/>
                <w:highlight w:val="none"/>
              </w:rPr>
              <w:t>污水经过</w:t>
            </w:r>
            <w:r>
              <w:rPr>
                <w:rFonts w:hint="eastAsia" w:cs="Times New Roman"/>
                <w:color w:val="auto"/>
                <w:kern w:val="0"/>
                <w:sz w:val="24"/>
                <w:szCs w:val="24"/>
                <w:highlight w:val="none"/>
                <w:lang w:eastAsia="zh-CN"/>
              </w:rPr>
              <w:t>三级化粪池</w:t>
            </w:r>
            <w:r>
              <w:rPr>
                <w:rFonts w:hint="default" w:ascii="Times New Roman" w:hAnsi="Times New Roman" w:eastAsia="宋体" w:cs="Times New Roman"/>
                <w:color w:val="auto"/>
                <w:kern w:val="0"/>
                <w:sz w:val="24"/>
                <w:szCs w:val="24"/>
                <w:highlight w:val="none"/>
              </w:rPr>
              <w:t>处理后排入园区污水处理厂，处理达标后排入武江（乐昌城-犁市河段）</w:t>
            </w:r>
            <w:r>
              <w:rPr>
                <w:rFonts w:hint="eastAsia" w:cs="Times New Roman"/>
                <w:color w:val="auto"/>
                <w:kern w:val="0"/>
                <w:sz w:val="24"/>
                <w:szCs w:val="24"/>
                <w:highlight w:val="none"/>
                <w:lang w:eastAsia="zh-CN"/>
              </w:rPr>
              <w:t>。</w:t>
            </w:r>
          </w:p>
          <w:p w14:paraId="3FB21315">
            <w:pPr>
              <w:pageBreakBefore w:val="0"/>
              <w:widowControl/>
              <w:kinsoku/>
              <w:wordWrap w:val="0"/>
              <w:overflowPunct/>
              <w:topLinePunct w:val="0"/>
              <w:bidi w:val="0"/>
              <w:ind w:firstLine="480" w:firstLineChars="200"/>
              <w:jc w:val="left"/>
              <w:rPr>
                <w:rFonts w:ascii="Times New Roman" w:hAnsi="Times New Roman" w:eastAsia="宋体" w:cs="Times New Roman"/>
                <w:color w:val="auto"/>
                <w:highlight w:val="none"/>
              </w:rPr>
            </w:pPr>
            <w:r>
              <w:rPr>
                <w:rFonts w:ascii="Times New Roman" w:hAnsi="Times New Roman" w:eastAsia="宋体" w:cs="Times New Roman"/>
                <w:color w:val="auto"/>
                <w:highlight w:val="none"/>
              </w:rPr>
              <w:t>污染物产生浓度参考《给排水设计手册》第五册《城镇排水》表4-1典型生活污水水质示例中的中浓度水质指标。生活污水的主要污染物为COD</w:t>
            </w:r>
            <w:r>
              <w:rPr>
                <w:rFonts w:ascii="Times New Roman" w:hAnsi="Times New Roman" w:eastAsia="宋体" w:cs="Times New Roman"/>
                <w:color w:val="auto"/>
                <w:highlight w:val="none"/>
                <w:vertAlign w:val="subscript"/>
              </w:rPr>
              <w:t>Cr</w:t>
            </w:r>
            <w:r>
              <w:rPr>
                <w:rFonts w:ascii="Times New Roman" w:hAnsi="Times New Roman" w:eastAsia="宋体" w:cs="Times New Roman"/>
                <w:color w:val="auto"/>
                <w:highlight w:val="none"/>
              </w:rPr>
              <w:t>、BOD</w:t>
            </w:r>
            <w:r>
              <w:rPr>
                <w:rFonts w:ascii="Times New Roman" w:hAnsi="Times New Roman" w:eastAsia="宋体" w:cs="Times New Roman"/>
                <w:color w:val="auto"/>
                <w:highlight w:val="none"/>
                <w:vertAlign w:val="subscript"/>
              </w:rPr>
              <w:t>5</w:t>
            </w:r>
            <w:r>
              <w:rPr>
                <w:rFonts w:ascii="Times New Roman" w:hAnsi="Times New Roman" w:eastAsia="宋体" w:cs="Times New Roman"/>
                <w:color w:val="auto"/>
                <w:highlight w:val="none"/>
              </w:rPr>
              <w:t>、SS、NH</w:t>
            </w:r>
            <w:r>
              <w:rPr>
                <w:rFonts w:ascii="Times New Roman" w:hAnsi="Times New Roman" w:eastAsia="宋体" w:cs="Times New Roman"/>
                <w:color w:val="auto"/>
                <w:highlight w:val="none"/>
                <w:vertAlign w:val="subscript"/>
              </w:rPr>
              <w:t>3</w:t>
            </w:r>
            <w:r>
              <w:rPr>
                <w:rFonts w:ascii="Times New Roman" w:hAnsi="Times New Roman" w:eastAsia="宋体" w:cs="Times New Roman"/>
                <w:color w:val="auto"/>
                <w:highlight w:val="none"/>
              </w:rPr>
              <w:t>-N。</w:t>
            </w:r>
          </w:p>
          <w:p w14:paraId="4DF9564A">
            <w:pPr>
              <w:pageBreakBefore w:val="0"/>
              <w:widowControl w:val="0"/>
              <w:kinsoku/>
              <w:wordWrap w:val="0"/>
              <w:overflowPunct/>
              <w:topLinePunct w:val="0"/>
              <w:autoSpaceDE w:val="0"/>
              <w:autoSpaceDN w:val="0"/>
              <w:bidi w:val="0"/>
              <w:adjustRightInd w:val="0"/>
              <w:spacing w:line="360" w:lineRule="auto"/>
              <w:ind w:firstLine="480" w:firstLineChars="200"/>
              <w:jc w:val="both"/>
              <w:rPr>
                <w:rFonts w:hint="default" w:ascii="Times New Roman" w:hAnsi="Times New Roman" w:eastAsia="宋体" w:cs="Times New Roman"/>
                <w:b/>
                <w:color w:val="auto"/>
                <w:sz w:val="21"/>
                <w:szCs w:val="21"/>
                <w:highlight w:val="none"/>
                <w:lang w:val="en-US" w:eastAsia="zh-CN"/>
              </w:rPr>
            </w:pPr>
            <w:r>
              <w:rPr>
                <w:rFonts w:ascii="Times New Roman" w:hAnsi="Times New Roman" w:eastAsia="宋体" w:cs="Times New Roman"/>
                <w:color w:val="auto"/>
                <w:kern w:val="2"/>
                <w:sz w:val="24"/>
                <w:szCs w:val="24"/>
                <w:highlight w:val="none"/>
                <w:lang w:val="en-US" w:eastAsia="zh-CN" w:bidi="ar-SA"/>
              </w:rPr>
              <w:t>参考《给排水设计手册》（第5册城镇排水）中关于化粪池的处理效率，“三级化粪池”对SS的去除效率</w:t>
            </w:r>
            <w:r>
              <w:rPr>
                <w:rFonts w:hint="eastAsia" w:ascii="Times New Roman" w:hAnsi="Times New Roman" w:eastAsia="宋体" w:cs="Times New Roman"/>
                <w:color w:val="auto"/>
                <w:kern w:val="2"/>
                <w:sz w:val="24"/>
                <w:szCs w:val="24"/>
                <w:highlight w:val="none"/>
                <w:lang w:val="en-US" w:eastAsia="zh-CN" w:bidi="ar-SA"/>
              </w:rPr>
              <w:t>达</w:t>
            </w:r>
            <w:r>
              <w:rPr>
                <w:rFonts w:ascii="Times New Roman" w:hAnsi="Times New Roman" w:eastAsia="宋体" w:cs="Times New Roman"/>
                <w:color w:val="auto"/>
                <w:kern w:val="2"/>
                <w:sz w:val="24"/>
                <w:szCs w:val="24"/>
                <w:highlight w:val="none"/>
                <w:lang w:val="en-US" w:eastAsia="zh-CN" w:bidi="ar-SA"/>
              </w:rPr>
              <w:t>30%，项目生活污水经三级化粪池处理效率参考《第一次全国污染源普查城镇生活源产排污系数手册》三级化粪池产排污系数计算的处理效率，即COD</w:t>
            </w:r>
            <w:r>
              <w:rPr>
                <w:rFonts w:ascii="Times New Roman" w:hAnsi="Times New Roman" w:eastAsia="宋体" w:cs="Times New Roman"/>
                <w:color w:val="auto"/>
                <w:kern w:val="2"/>
                <w:sz w:val="24"/>
                <w:szCs w:val="24"/>
                <w:highlight w:val="none"/>
                <w:vertAlign w:val="subscript"/>
                <w:lang w:val="en-US" w:eastAsia="zh-CN" w:bidi="ar-SA"/>
              </w:rPr>
              <w:t>Cr</w:t>
            </w:r>
            <w:r>
              <w:rPr>
                <w:rFonts w:ascii="Times New Roman" w:hAnsi="Times New Roman" w:eastAsia="宋体" w:cs="Times New Roman"/>
                <w:color w:val="auto"/>
                <w:kern w:val="2"/>
                <w:sz w:val="24"/>
                <w:szCs w:val="24"/>
                <w:highlight w:val="none"/>
                <w:lang w:val="en-US" w:eastAsia="zh-CN" w:bidi="ar-SA"/>
              </w:rPr>
              <w:t>去除率为20%，NH</w:t>
            </w:r>
            <w:r>
              <w:rPr>
                <w:rFonts w:ascii="Times New Roman" w:hAnsi="Times New Roman" w:eastAsia="宋体" w:cs="Times New Roman"/>
                <w:color w:val="auto"/>
                <w:kern w:val="2"/>
                <w:sz w:val="24"/>
                <w:szCs w:val="24"/>
                <w:highlight w:val="none"/>
                <w:vertAlign w:val="subscript"/>
                <w:lang w:val="en-US" w:eastAsia="zh-CN" w:bidi="ar-SA"/>
              </w:rPr>
              <w:t>3</w:t>
            </w:r>
            <w:r>
              <w:rPr>
                <w:rFonts w:ascii="Times New Roman" w:hAnsi="Times New Roman" w:eastAsia="宋体" w:cs="Times New Roman"/>
                <w:color w:val="auto"/>
                <w:kern w:val="2"/>
                <w:sz w:val="24"/>
                <w:szCs w:val="24"/>
                <w:highlight w:val="none"/>
                <w:lang w:val="en-US" w:eastAsia="zh-CN" w:bidi="ar-SA"/>
              </w:rPr>
              <w:t>-N去除率为3%。</w:t>
            </w:r>
            <w:r>
              <w:rPr>
                <w:rFonts w:hint="eastAsia" w:ascii="Times New Roman" w:hAnsi="Times New Roman" w:eastAsia="宋体" w:cs="Times New Roman"/>
                <w:color w:val="auto"/>
                <w:kern w:val="2"/>
                <w:sz w:val="24"/>
                <w:szCs w:val="24"/>
                <w:highlight w:val="none"/>
                <w:lang w:val="en-US" w:eastAsia="zh-CN" w:bidi="ar-SA"/>
              </w:rPr>
              <w:t>处理效率参考《我国农村化粪池污染物去除效果及影响因素分析》（环境工程学报，2021）、《化粪池在实际生活中的比选和应用》（污染与防治陈杰、姜红）、《化粪池与人工湿地联用处理湖南农村地区生活污水研究》（湖南大学蒙语桦）等文献，三级化粪池对BOD</w:t>
            </w:r>
            <w:r>
              <w:rPr>
                <w:rFonts w:hint="eastAsia" w:ascii="Times New Roman" w:hAnsi="Times New Roman" w:eastAsia="宋体" w:cs="Times New Roman"/>
                <w:color w:val="auto"/>
                <w:kern w:val="2"/>
                <w:sz w:val="24"/>
                <w:szCs w:val="24"/>
                <w:highlight w:val="none"/>
                <w:vertAlign w:val="subscript"/>
                <w:lang w:val="en-US" w:eastAsia="zh-CN" w:bidi="ar-SA"/>
              </w:rPr>
              <w:t>5</w:t>
            </w:r>
            <w:r>
              <w:rPr>
                <w:rFonts w:hint="eastAsia" w:ascii="Times New Roman" w:hAnsi="Times New Roman" w:eastAsia="宋体" w:cs="Times New Roman"/>
                <w:color w:val="auto"/>
                <w:kern w:val="2"/>
                <w:sz w:val="24"/>
                <w:szCs w:val="24"/>
                <w:highlight w:val="none"/>
                <w:lang w:val="en-US" w:eastAsia="zh-CN" w:bidi="ar-SA"/>
              </w:rPr>
              <w:t>去除效率为去除效率29%～72%，因此本项目BOD</w:t>
            </w:r>
            <w:r>
              <w:rPr>
                <w:rFonts w:hint="eastAsia" w:ascii="Times New Roman" w:hAnsi="Times New Roman" w:eastAsia="宋体" w:cs="Times New Roman"/>
                <w:color w:val="auto"/>
                <w:kern w:val="2"/>
                <w:sz w:val="24"/>
                <w:szCs w:val="24"/>
                <w:highlight w:val="none"/>
                <w:vertAlign w:val="subscript"/>
                <w:lang w:val="en-US" w:eastAsia="zh-CN" w:bidi="ar-SA"/>
              </w:rPr>
              <w:t>5</w:t>
            </w:r>
            <w:r>
              <w:rPr>
                <w:rFonts w:hint="eastAsia" w:ascii="Times New Roman" w:hAnsi="Times New Roman" w:eastAsia="宋体" w:cs="Times New Roman"/>
                <w:color w:val="auto"/>
                <w:kern w:val="2"/>
                <w:sz w:val="24"/>
                <w:szCs w:val="24"/>
                <w:highlight w:val="none"/>
                <w:lang w:val="en-US" w:eastAsia="zh-CN" w:bidi="ar-SA"/>
              </w:rPr>
              <w:t>去除效率取29%。</w:t>
            </w:r>
          </w:p>
          <w:p w14:paraId="6B3E3E24">
            <w:pPr>
              <w:keepNext w:val="0"/>
              <w:keepLines w:val="0"/>
              <w:pageBreakBefore w:val="0"/>
              <w:widowControl w:val="0"/>
              <w:numPr>
                <w:ilvl w:val="0"/>
                <w:numId w:val="10"/>
              </w:numPr>
              <w:kinsoku/>
              <w:wordWrap w:val="0"/>
              <w:overflowPunct/>
              <w:topLinePunct w:val="0"/>
              <w:autoSpaceDE/>
              <w:autoSpaceDN/>
              <w:bidi w:val="0"/>
              <w:adjustRightInd/>
              <w:snapToGrid/>
              <w:spacing w:line="240" w:lineRule="auto"/>
              <w:ind w:left="0" w:leftChars="0" w:hanging="1" w:firstLineChars="0"/>
              <w:jc w:val="center"/>
              <w:textAlignment w:val="auto"/>
              <w:rPr>
                <w:rFonts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color w:val="auto"/>
                <w:sz w:val="21"/>
                <w:szCs w:val="21"/>
                <w:highlight w:val="none"/>
                <w:lang w:val="en-US" w:eastAsia="zh-CN"/>
              </w:rPr>
              <w:t xml:space="preserve"> 生活</w:t>
            </w:r>
            <w:r>
              <w:rPr>
                <w:rFonts w:ascii="Times New Roman" w:hAnsi="Times New Roman" w:eastAsia="宋体" w:cs="Times New Roman"/>
                <w:b/>
                <w:bCs/>
                <w:color w:val="auto"/>
                <w:kern w:val="2"/>
                <w:sz w:val="21"/>
                <w:szCs w:val="21"/>
                <w:highlight w:val="none"/>
                <w:lang w:val="en-US" w:eastAsia="zh-CN" w:bidi="ar-SA"/>
              </w:rPr>
              <w:t>污水污染源源强核算结果及相关参数一览表</w:t>
            </w:r>
          </w:p>
          <w:tbl>
            <w:tblPr>
              <w:tblStyle w:val="4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41"/>
              <w:gridCol w:w="544"/>
              <w:gridCol w:w="813"/>
              <w:gridCol w:w="464"/>
              <w:gridCol w:w="674"/>
              <w:gridCol w:w="569"/>
              <w:gridCol w:w="775"/>
              <w:gridCol w:w="528"/>
              <w:gridCol w:w="439"/>
              <w:gridCol w:w="555"/>
              <w:gridCol w:w="555"/>
              <w:gridCol w:w="836"/>
              <w:gridCol w:w="562"/>
            </w:tblGrid>
            <w:tr w14:paraId="711BA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pct"/>
                  <w:vMerge w:val="restart"/>
                  <w:vAlign w:val="center"/>
                </w:tcPr>
                <w:p w14:paraId="65CE98DF">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b/>
                      <w:bCs/>
                      <w:color w:val="auto"/>
                      <w:position w:val="-10"/>
                      <w:sz w:val="21"/>
                      <w:szCs w:val="21"/>
                      <w:highlight w:val="none"/>
                      <w:lang w:val="en-US" w:eastAsia="zh-CN" w:bidi="ar-SA"/>
                    </w:rPr>
                  </w:pPr>
                  <w:r>
                    <w:rPr>
                      <w:rFonts w:ascii="Times New Roman" w:hAnsi="Times New Roman" w:eastAsia="宋体" w:cs="Times New Roman"/>
                      <w:b/>
                      <w:bCs/>
                      <w:color w:val="auto"/>
                      <w:position w:val="-10"/>
                      <w:sz w:val="21"/>
                      <w:szCs w:val="21"/>
                      <w:highlight w:val="none"/>
                      <w:lang w:val="en-US" w:eastAsia="zh-CN" w:bidi="ar-SA"/>
                    </w:rPr>
                    <w:t>工序/生产线</w:t>
                  </w:r>
                </w:p>
              </w:tc>
              <w:tc>
                <w:tcPr>
                  <w:tcW w:w="346" w:type="pct"/>
                  <w:vMerge w:val="restart"/>
                  <w:vAlign w:val="center"/>
                </w:tcPr>
                <w:p w14:paraId="7DD3E897">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b/>
                      <w:bCs/>
                      <w:color w:val="auto"/>
                      <w:position w:val="-10"/>
                      <w:sz w:val="21"/>
                      <w:szCs w:val="21"/>
                      <w:highlight w:val="none"/>
                      <w:lang w:val="en-US" w:eastAsia="zh-CN" w:bidi="ar-SA"/>
                    </w:rPr>
                  </w:pPr>
                  <w:r>
                    <w:rPr>
                      <w:rFonts w:ascii="Times New Roman" w:hAnsi="Times New Roman" w:eastAsia="宋体" w:cs="Times New Roman"/>
                      <w:b/>
                      <w:bCs/>
                      <w:color w:val="auto"/>
                      <w:position w:val="-10"/>
                      <w:sz w:val="21"/>
                      <w:szCs w:val="21"/>
                      <w:highlight w:val="none"/>
                      <w:lang w:val="en-US" w:eastAsia="zh-CN" w:bidi="ar-SA"/>
                    </w:rPr>
                    <w:t>装置</w:t>
                  </w:r>
                </w:p>
              </w:tc>
              <w:tc>
                <w:tcPr>
                  <w:tcW w:w="517" w:type="pct"/>
                  <w:vMerge w:val="restart"/>
                  <w:vAlign w:val="center"/>
                </w:tcPr>
                <w:p w14:paraId="5F926404">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b/>
                      <w:bCs/>
                      <w:color w:val="auto"/>
                      <w:position w:val="-10"/>
                      <w:sz w:val="21"/>
                      <w:szCs w:val="21"/>
                      <w:highlight w:val="none"/>
                      <w:lang w:val="en-US" w:eastAsia="zh-CN" w:bidi="ar-SA"/>
                    </w:rPr>
                  </w:pPr>
                  <w:r>
                    <w:rPr>
                      <w:rFonts w:ascii="Times New Roman" w:hAnsi="Times New Roman" w:eastAsia="宋体" w:cs="Times New Roman"/>
                      <w:b/>
                      <w:bCs/>
                      <w:color w:val="auto"/>
                      <w:position w:val="-10"/>
                      <w:sz w:val="21"/>
                      <w:szCs w:val="21"/>
                      <w:highlight w:val="none"/>
                      <w:lang w:val="en-US" w:eastAsia="zh-CN" w:bidi="ar-SA"/>
                    </w:rPr>
                    <w:t>污染物</w:t>
                  </w:r>
                </w:p>
              </w:tc>
              <w:tc>
                <w:tcPr>
                  <w:tcW w:w="1579" w:type="pct"/>
                  <w:gridSpan w:val="4"/>
                  <w:vAlign w:val="center"/>
                </w:tcPr>
                <w:p w14:paraId="4BD76D2E">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b/>
                      <w:bCs/>
                      <w:color w:val="auto"/>
                      <w:position w:val="-10"/>
                      <w:sz w:val="21"/>
                      <w:szCs w:val="21"/>
                      <w:highlight w:val="none"/>
                      <w:lang w:val="en-US" w:eastAsia="zh-CN" w:bidi="ar-SA"/>
                    </w:rPr>
                  </w:pPr>
                  <w:r>
                    <w:rPr>
                      <w:rFonts w:ascii="Times New Roman" w:hAnsi="Times New Roman" w:eastAsia="宋体" w:cs="Times New Roman"/>
                      <w:b/>
                      <w:bCs/>
                      <w:color w:val="auto"/>
                      <w:position w:val="-10"/>
                      <w:sz w:val="21"/>
                      <w:szCs w:val="21"/>
                      <w:highlight w:val="none"/>
                      <w:lang w:val="en-US" w:eastAsia="zh-CN" w:bidi="ar-SA"/>
                    </w:rPr>
                    <w:t>污染物产生</w:t>
                  </w:r>
                </w:p>
              </w:tc>
              <w:tc>
                <w:tcPr>
                  <w:tcW w:w="615" w:type="pct"/>
                  <w:gridSpan w:val="2"/>
                  <w:vAlign w:val="center"/>
                </w:tcPr>
                <w:p w14:paraId="21C4A31F">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b/>
                      <w:bCs/>
                      <w:color w:val="auto"/>
                      <w:position w:val="-10"/>
                      <w:sz w:val="21"/>
                      <w:szCs w:val="21"/>
                      <w:highlight w:val="none"/>
                      <w:lang w:val="en-US" w:eastAsia="zh-CN" w:bidi="ar-SA"/>
                    </w:rPr>
                  </w:pPr>
                  <w:r>
                    <w:rPr>
                      <w:rFonts w:ascii="Times New Roman" w:hAnsi="Times New Roman" w:eastAsia="宋体" w:cs="Times New Roman"/>
                      <w:b/>
                      <w:bCs/>
                      <w:color w:val="auto"/>
                      <w:position w:val="-10"/>
                      <w:sz w:val="21"/>
                      <w:szCs w:val="21"/>
                      <w:highlight w:val="none"/>
                      <w:lang w:val="en-US" w:eastAsia="zh-CN" w:bidi="ar-SA"/>
                    </w:rPr>
                    <w:t>治理措施</w:t>
                  </w:r>
                </w:p>
              </w:tc>
              <w:tc>
                <w:tcPr>
                  <w:tcW w:w="1238" w:type="pct"/>
                  <w:gridSpan w:val="3"/>
                  <w:vAlign w:val="center"/>
                </w:tcPr>
                <w:p w14:paraId="1875EA46">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b/>
                      <w:bCs/>
                      <w:color w:val="auto"/>
                      <w:position w:val="-10"/>
                      <w:sz w:val="21"/>
                      <w:szCs w:val="21"/>
                      <w:highlight w:val="none"/>
                      <w:lang w:val="en-US" w:eastAsia="zh-CN" w:bidi="ar-SA"/>
                    </w:rPr>
                  </w:pPr>
                  <w:r>
                    <w:rPr>
                      <w:rFonts w:ascii="Times New Roman" w:hAnsi="Times New Roman" w:eastAsia="宋体" w:cs="Times New Roman"/>
                      <w:b/>
                      <w:bCs/>
                      <w:color w:val="auto"/>
                      <w:position w:val="-10"/>
                      <w:sz w:val="21"/>
                      <w:szCs w:val="21"/>
                      <w:highlight w:val="none"/>
                      <w:lang w:val="en-US" w:eastAsia="zh-CN" w:bidi="ar-SA"/>
                    </w:rPr>
                    <w:t>污染物排放</w:t>
                  </w:r>
                </w:p>
              </w:tc>
              <w:tc>
                <w:tcPr>
                  <w:tcW w:w="357" w:type="pct"/>
                  <w:vMerge w:val="restart"/>
                  <w:vAlign w:val="center"/>
                </w:tcPr>
                <w:p w14:paraId="291B9394">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b/>
                      <w:bCs/>
                      <w:color w:val="auto"/>
                      <w:position w:val="-10"/>
                      <w:sz w:val="21"/>
                      <w:szCs w:val="21"/>
                      <w:highlight w:val="none"/>
                      <w:lang w:val="en-US" w:eastAsia="zh-CN" w:bidi="ar-SA"/>
                    </w:rPr>
                  </w:pPr>
                  <w:r>
                    <w:rPr>
                      <w:rFonts w:ascii="Times New Roman" w:hAnsi="Times New Roman" w:eastAsia="宋体" w:cs="Times New Roman"/>
                      <w:b/>
                      <w:bCs/>
                      <w:color w:val="auto"/>
                      <w:position w:val="-10"/>
                      <w:sz w:val="21"/>
                      <w:szCs w:val="21"/>
                      <w:highlight w:val="none"/>
                      <w:lang w:val="en-US" w:eastAsia="zh-CN" w:bidi="ar-SA"/>
                    </w:rPr>
                    <w:t>排放时间h/a</w:t>
                  </w:r>
                </w:p>
              </w:tc>
            </w:tr>
            <w:tr w14:paraId="5EE45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pct"/>
                  <w:vMerge w:val="continue"/>
                  <w:vAlign w:val="center"/>
                </w:tcPr>
                <w:p w14:paraId="5E86404C">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p>
              </w:tc>
              <w:tc>
                <w:tcPr>
                  <w:tcW w:w="346" w:type="pct"/>
                  <w:vMerge w:val="continue"/>
                  <w:vAlign w:val="center"/>
                </w:tcPr>
                <w:p w14:paraId="1821F765">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p>
              </w:tc>
              <w:tc>
                <w:tcPr>
                  <w:tcW w:w="517" w:type="pct"/>
                  <w:vMerge w:val="continue"/>
                  <w:vAlign w:val="center"/>
                </w:tcPr>
                <w:p w14:paraId="41BEDD74">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p>
              </w:tc>
              <w:tc>
                <w:tcPr>
                  <w:tcW w:w="295" w:type="pct"/>
                  <w:vAlign w:val="center"/>
                </w:tcPr>
                <w:p w14:paraId="391A6264">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b/>
                      <w:bCs/>
                      <w:color w:val="auto"/>
                      <w:position w:val="-10"/>
                      <w:sz w:val="21"/>
                      <w:szCs w:val="21"/>
                      <w:highlight w:val="none"/>
                      <w:lang w:val="en-US" w:eastAsia="zh-CN" w:bidi="ar-SA"/>
                    </w:rPr>
                  </w:pPr>
                  <w:r>
                    <w:rPr>
                      <w:rFonts w:ascii="Times New Roman" w:hAnsi="Times New Roman" w:eastAsia="宋体" w:cs="Times New Roman"/>
                      <w:b/>
                      <w:bCs/>
                      <w:color w:val="auto"/>
                      <w:position w:val="-10"/>
                      <w:sz w:val="21"/>
                      <w:szCs w:val="21"/>
                      <w:highlight w:val="none"/>
                      <w:lang w:val="en-US" w:eastAsia="zh-CN" w:bidi="ar-SA"/>
                    </w:rPr>
                    <w:t>核算方法</w:t>
                  </w:r>
                </w:p>
              </w:tc>
              <w:tc>
                <w:tcPr>
                  <w:tcW w:w="429" w:type="pct"/>
                  <w:vAlign w:val="center"/>
                </w:tcPr>
                <w:p w14:paraId="281ED598">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b/>
                      <w:bCs/>
                      <w:color w:val="auto"/>
                      <w:position w:val="-10"/>
                      <w:sz w:val="21"/>
                      <w:szCs w:val="21"/>
                      <w:highlight w:val="none"/>
                      <w:lang w:val="en-US" w:eastAsia="zh-CN" w:bidi="ar-SA"/>
                    </w:rPr>
                  </w:pPr>
                  <w:r>
                    <w:rPr>
                      <w:rFonts w:hint="eastAsia" w:cs="Times New Roman"/>
                      <w:b/>
                      <w:bCs/>
                      <w:color w:val="auto"/>
                      <w:position w:val="-10"/>
                      <w:sz w:val="21"/>
                      <w:szCs w:val="21"/>
                      <w:highlight w:val="none"/>
                      <w:lang w:val="en-US" w:eastAsia="zh-CN" w:bidi="ar-SA"/>
                    </w:rPr>
                    <w:t>废水</w:t>
                  </w:r>
                  <w:r>
                    <w:rPr>
                      <w:rFonts w:ascii="Times New Roman" w:hAnsi="Times New Roman" w:eastAsia="宋体" w:cs="Times New Roman"/>
                      <w:b/>
                      <w:bCs/>
                      <w:color w:val="auto"/>
                      <w:position w:val="-10"/>
                      <w:sz w:val="21"/>
                      <w:szCs w:val="21"/>
                      <w:highlight w:val="none"/>
                      <w:lang w:val="en-US" w:eastAsia="zh-CN" w:bidi="ar-SA"/>
                    </w:rPr>
                    <w:t>产生量</w:t>
                  </w:r>
                </w:p>
                <w:p w14:paraId="6F06A2AC">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b/>
                      <w:bCs/>
                      <w:color w:val="auto"/>
                      <w:position w:val="-10"/>
                      <w:sz w:val="21"/>
                      <w:szCs w:val="21"/>
                      <w:highlight w:val="none"/>
                      <w:lang w:val="en-US" w:eastAsia="zh-CN" w:bidi="ar-SA"/>
                    </w:rPr>
                  </w:pPr>
                  <w:r>
                    <w:rPr>
                      <w:rFonts w:ascii="Times New Roman" w:hAnsi="Times New Roman" w:eastAsia="宋体" w:cs="Times New Roman"/>
                      <w:b/>
                      <w:bCs/>
                      <w:color w:val="auto"/>
                      <w:position w:val="-10"/>
                      <w:sz w:val="21"/>
                      <w:szCs w:val="21"/>
                      <w:highlight w:val="none"/>
                      <w:lang w:val="en-US" w:eastAsia="zh-CN" w:bidi="ar-SA"/>
                    </w:rPr>
                    <w:t>t/a</w:t>
                  </w:r>
                </w:p>
              </w:tc>
              <w:tc>
                <w:tcPr>
                  <w:tcW w:w="362" w:type="pct"/>
                  <w:vAlign w:val="center"/>
                </w:tcPr>
                <w:p w14:paraId="4C50A8A1">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b/>
                      <w:bCs/>
                      <w:color w:val="auto"/>
                      <w:position w:val="-10"/>
                      <w:sz w:val="21"/>
                      <w:szCs w:val="21"/>
                      <w:highlight w:val="none"/>
                      <w:lang w:val="en-US" w:eastAsia="zh-CN" w:bidi="ar-SA"/>
                    </w:rPr>
                  </w:pPr>
                  <w:r>
                    <w:rPr>
                      <w:rFonts w:ascii="Times New Roman" w:hAnsi="Times New Roman" w:eastAsia="宋体" w:cs="Times New Roman"/>
                      <w:b/>
                      <w:bCs/>
                      <w:color w:val="auto"/>
                      <w:position w:val="-10"/>
                      <w:sz w:val="21"/>
                      <w:szCs w:val="21"/>
                      <w:highlight w:val="none"/>
                      <w:lang w:val="en-US" w:eastAsia="zh-CN" w:bidi="ar-SA"/>
                    </w:rPr>
                    <w:t>产生浓度mg/L</w:t>
                  </w:r>
                </w:p>
              </w:tc>
              <w:tc>
                <w:tcPr>
                  <w:tcW w:w="493" w:type="pct"/>
                  <w:vAlign w:val="center"/>
                </w:tcPr>
                <w:p w14:paraId="4C997E25">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b/>
                      <w:bCs/>
                      <w:color w:val="auto"/>
                      <w:position w:val="-10"/>
                      <w:sz w:val="21"/>
                      <w:szCs w:val="21"/>
                      <w:highlight w:val="none"/>
                      <w:lang w:val="en-US" w:eastAsia="zh-CN" w:bidi="ar-SA"/>
                    </w:rPr>
                  </w:pPr>
                  <w:r>
                    <w:rPr>
                      <w:rFonts w:ascii="Times New Roman" w:hAnsi="Times New Roman" w:eastAsia="宋体" w:cs="Times New Roman"/>
                      <w:b/>
                      <w:bCs/>
                      <w:color w:val="auto"/>
                      <w:position w:val="-10"/>
                      <w:sz w:val="21"/>
                      <w:szCs w:val="21"/>
                      <w:highlight w:val="none"/>
                      <w:lang w:val="en-US" w:eastAsia="zh-CN" w:bidi="ar-SA"/>
                    </w:rPr>
                    <w:t>产生量</w:t>
                  </w:r>
                </w:p>
                <w:p w14:paraId="38FEBB2A">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b/>
                      <w:bCs/>
                      <w:color w:val="auto"/>
                      <w:position w:val="-10"/>
                      <w:sz w:val="21"/>
                      <w:szCs w:val="21"/>
                      <w:highlight w:val="none"/>
                      <w:lang w:val="en-US" w:eastAsia="zh-CN" w:bidi="ar-SA"/>
                    </w:rPr>
                  </w:pPr>
                  <w:r>
                    <w:rPr>
                      <w:rFonts w:ascii="Times New Roman" w:hAnsi="Times New Roman" w:eastAsia="宋体" w:cs="Times New Roman"/>
                      <w:b/>
                      <w:bCs/>
                      <w:color w:val="auto"/>
                      <w:position w:val="-10"/>
                      <w:sz w:val="21"/>
                      <w:szCs w:val="21"/>
                      <w:highlight w:val="none"/>
                      <w:lang w:val="en-US" w:eastAsia="zh-CN" w:bidi="ar-SA"/>
                    </w:rPr>
                    <w:t>t/a</w:t>
                  </w:r>
                </w:p>
              </w:tc>
              <w:tc>
                <w:tcPr>
                  <w:tcW w:w="336" w:type="pct"/>
                  <w:vAlign w:val="center"/>
                </w:tcPr>
                <w:p w14:paraId="5121373F">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b/>
                      <w:bCs/>
                      <w:color w:val="auto"/>
                      <w:position w:val="-10"/>
                      <w:sz w:val="21"/>
                      <w:szCs w:val="21"/>
                      <w:highlight w:val="none"/>
                      <w:lang w:val="en-US" w:eastAsia="zh-CN" w:bidi="ar-SA"/>
                    </w:rPr>
                  </w:pPr>
                  <w:r>
                    <w:rPr>
                      <w:rFonts w:ascii="Times New Roman" w:hAnsi="Times New Roman" w:eastAsia="宋体" w:cs="Times New Roman"/>
                      <w:b/>
                      <w:bCs/>
                      <w:color w:val="auto"/>
                      <w:position w:val="-10"/>
                      <w:sz w:val="21"/>
                      <w:szCs w:val="21"/>
                      <w:highlight w:val="none"/>
                      <w:lang w:val="en-US" w:eastAsia="zh-CN" w:bidi="ar-SA"/>
                    </w:rPr>
                    <w:t>工艺</w:t>
                  </w:r>
                </w:p>
              </w:tc>
              <w:tc>
                <w:tcPr>
                  <w:tcW w:w="279" w:type="pct"/>
                  <w:vAlign w:val="center"/>
                </w:tcPr>
                <w:p w14:paraId="3C85AED7">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b/>
                      <w:bCs/>
                      <w:color w:val="auto"/>
                      <w:position w:val="-10"/>
                      <w:sz w:val="21"/>
                      <w:szCs w:val="21"/>
                      <w:highlight w:val="none"/>
                      <w:lang w:val="en-US" w:eastAsia="zh-CN" w:bidi="ar-SA"/>
                    </w:rPr>
                  </w:pPr>
                  <w:r>
                    <w:rPr>
                      <w:rFonts w:ascii="Times New Roman" w:hAnsi="Times New Roman" w:eastAsia="宋体" w:cs="Times New Roman"/>
                      <w:b/>
                      <w:bCs/>
                      <w:color w:val="auto"/>
                      <w:position w:val="-10"/>
                      <w:sz w:val="21"/>
                      <w:szCs w:val="21"/>
                      <w:highlight w:val="none"/>
                      <w:lang w:val="en-US" w:eastAsia="zh-CN" w:bidi="ar-SA"/>
                    </w:rPr>
                    <w:t>效率</w:t>
                  </w:r>
                </w:p>
              </w:tc>
              <w:tc>
                <w:tcPr>
                  <w:tcW w:w="353" w:type="pct"/>
                  <w:vAlign w:val="center"/>
                </w:tcPr>
                <w:p w14:paraId="0C1AACFC">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b/>
                      <w:bCs/>
                      <w:color w:val="auto"/>
                      <w:position w:val="-10"/>
                      <w:sz w:val="21"/>
                      <w:szCs w:val="21"/>
                      <w:highlight w:val="none"/>
                      <w:lang w:val="en-US" w:eastAsia="zh-CN" w:bidi="ar-SA"/>
                    </w:rPr>
                  </w:pPr>
                  <w:r>
                    <w:rPr>
                      <w:rFonts w:ascii="Times New Roman" w:hAnsi="Times New Roman" w:eastAsia="宋体" w:cs="Times New Roman"/>
                      <w:b/>
                      <w:bCs/>
                      <w:color w:val="auto"/>
                      <w:position w:val="-10"/>
                      <w:sz w:val="21"/>
                      <w:szCs w:val="21"/>
                      <w:highlight w:val="none"/>
                      <w:lang w:val="en-US" w:eastAsia="zh-CN" w:bidi="ar-SA"/>
                    </w:rPr>
                    <w:t>核算方法</w:t>
                  </w:r>
                </w:p>
              </w:tc>
              <w:tc>
                <w:tcPr>
                  <w:tcW w:w="353" w:type="pct"/>
                  <w:vAlign w:val="center"/>
                </w:tcPr>
                <w:p w14:paraId="3374A011">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b/>
                      <w:bCs/>
                      <w:color w:val="auto"/>
                      <w:position w:val="-10"/>
                      <w:sz w:val="21"/>
                      <w:szCs w:val="21"/>
                      <w:highlight w:val="none"/>
                      <w:lang w:val="en-US" w:eastAsia="zh-CN" w:bidi="ar-SA"/>
                    </w:rPr>
                  </w:pPr>
                  <w:r>
                    <w:rPr>
                      <w:rFonts w:ascii="Times New Roman" w:hAnsi="Times New Roman" w:eastAsia="宋体" w:cs="Times New Roman"/>
                      <w:b/>
                      <w:bCs/>
                      <w:color w:val="auto"/>
                      <w:position w:val="-10"/>
                      <w:sz w:val="21"/>
                      <w:szCs w:val="21"/>
                      <w:highlight w:val="none"/>
                      <w:lang w:val="en-US" w:eastAsia="zh-CN" w:bidi="ar-SA"/>
                    </w:rPr>
                    <w:t>排放浓度</w:t>
                  </w:r>
                </w:p>
                <w:p w14:paraId="693F753A">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b/>
                      <w:bCs/>
                      <w:color w:val="auto"/>
                      <w:position w:val="-10"/>
                      <w:sz w:val="21"/>
                      <w:szCs w:val="21"/>
                      <w:highlight w:val="none"/>
                      <w:lang w:val="en-US" w:eastAsia="zh-CN" w:bidi="ar-SA"/>
                    </w:rPr>
                  </w:pPr>
                  <w:r>
                    <w:rPr>
                      <w:rFonts w:ascii="Times New Roman" w:hAnsi="Times New Roman" w:eastAsia="宋体" w:cs="Times New Roman"/>
                      <w:b/>
                      <w:bCs/>
                      <w:color w:val="auto"/>
                      <w:position w:val="-10"/>
                      <w:sz w:val="21"/>
                      <w:szCs w:val="21"/>
                      <w:highlight w:val="none"/>
                      <w:lang w:val="en-US" w:eastAsia="zh-CN" w:bidi="ar-SA"/>
                    </w:rPr>
                    <w:t>mg/L</w:t>
                  </w:r>
                </w:p>
              </w:tc>
              <w:tc>
                <w:tcPr>
                  <w:tcW w:w="532" w:type="pct"/>
                  <w:vAlign w:val="center"/>
                </w:tcPr>
                <w:p w14:paraId="7342D7EA">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b/>
                      <w:bCs/>
                      <w:color w:val="auto"/>
                      <w:position w:val="-10"/>
                      <w:sz w:val="21"/>
                      <w:szCs w:val="21"/>
                      <w:highlight w:val="none"/>
                      <w:lang w:val="en-US" w:eastAsia="zh-CN" w:bidi="ar-SA"/>
                    </w:rPr>
                  </w:pPr>
                  <w:r>
                    <w:rPr>
                      <w:rFonts w:ascii="Times New Roman" w:hAnsi="Times New Roman" w:eastAsia="宋体" w:cs="Times New Roman"/>
                      <w:b/>
                      <w:bCs/>
                      <w:color w:val="auto"/>
                      <w:position w:val="-10"/>
                      <w:sz w:val="21"/>
                      <w:szCs w:val="21"/>
                      <w:highlight w:val="none"/>
                      <w:lang w:val="en-US" w:eastAsia="zh-CN" w:bidi="ar-SA"/>
                    </w:rPr>
                    <w:t>排放量</w:t>
                  </w:r>
                </w:p>
                <w:p w14:paraId="0CE8F0E7">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b/>
                      <w:bCs/>
                      <w:color w:val="auto"/>
                      <w:position w:val="-10"/>
                      <w:sz w:val="21"/>
                      <w:szCs w:val="21"/>
                      <w:highlight w:val="none"/>
                      <w:lang w:val="en-US" w:eastAsia="zh-CN" w:bidi="ar-SA"/>
                    </w:rPr>
                  </w:pPr>
                  <w:r>
                    <w:rPr>
                      <w:rFonts w:ascii="Times New Roman" w:hAnsi="Times New Roman" w:eastAsia="宋体" w:cs="Times New Roman"/>
                      <w:b/>
                      <w:bCs/>
                      <w:color w:val="auto"/>
                      <w:position w:val="-10"/>
                      <w:sz w:val="21"/>
                      <w:szCs w:val="21"/>
                      <w:highlight w:val="none"/>
                      <w:lang w:val="en-US" w:eastAsia="zh-CN" w:bidi="ar-SA"/>
                    </w:rPr>
                    <w:t>t/a</w:t>
                  </w:r>
                </w:p>
              </w:tc>
              <w:tc>
                <w:tcPr>
                  <w:tcW w:w="357" w:type="pct"/>
                  <w:vMerge w:val="continue"/>
                  <w:vAlign w:val="center"/>
                </w:tcPr>
                <w:p w14:paraId="14B56C64">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p>
              </w:tc>
            </w:tr>
            <w:tr w14:paraId="6E1E8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pct"/>
                  <w:vMerge w:val="restart"/>
                  <w:vAlign w:val="center"/>
                </w:tcPr>
                <w:p w14:paraId="07AD1AFA">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r>
                    <w:rPr>
                      <w:rFonts w:ascii="Times New Roman" w:hAnsi="Times New Roman" w:eastAsia="宋体" w:cs="Times New Roman"/>
                      <w:color w:val="auto"/>
                      <w:position w:val="-10"/>
                      <w:sz w:val="21"/>
                      <w:szCs w:val="21"/>
                      <w:highlight w:val="none"/>
                      <w:lang w:val="en-US" w:eastAsia="zh-CN" w:bidi="ar-SA"/>
                    </w:rPr>
                    <w:t>办公生活</w:t>
                  </w:r>
                </w:p>
              </w:tc>
              <w:tc>
                <w:tcPr>
                  <w:tcW w:w="346" w:type="pct"/>
                  <w:vMerge w:val="restart"/>
                  <w:vAlign w:val="center"/>
                </w:tcPr>
                <w:p w14:paraId="7328B7E6">
                  <w:pPr>
                    <w:pageBreakBefore w:val="0"/>
                    <w:kinsoku/>
                    <w:wordWrap w:val="0"/>
                    <w:overflowPunct/>
                    <w:topLinePunct w:val="0"/>
                    <w:autoSpaceDE w:val="0"/>
                    <w:autoSpaceDN w:val="0"/>
                    <w:bidi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三级化粪池</w:t>
                  </w:r>
                </w:p>
              </w:tc>
              <w:tc>
                <w:tcPr>
                  <w:tcW w:w="517" w:type="pct"/>
                  <w:vAlign w:val="center"/>
                </w:tcPr>
                <w:p w14:paraId="07C0C39B">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r>
                    <w:rPr>
                      <w:rFonts w:ascii="Times New Roman" w:hAnsi="Times New Roman" w:eastAsia="宋体" w:cs="Times New Roman"/>
                      <w:color w:val="auto"/>
                      <w:position w:val="-10"/>
                      <w:sz w:val="21"/>
                      <w:szCs w:val="21"/>
                      <w:highlight w:val="none"/>
                      <w:lang w:val="en-US" w:eastAsia="zh-CN" w:bidi="ar-SA"/>
                    </w:rPr>
                    <w:t>COD</w:t>
                  </w:r>
                  <w:r>
                    <w:rPr>
                      <w:rFonts w:ascii="Times New Roman" w:hAnsi="Times New Roman" w:eastAsia="宋体" w:cs="Times New Roman"/>
                      <w:color w:val="auto"/>
                      <w:position w:val="-10"/>
                      <w:sz w:val="21"/>
                      <w:szCs w:val="21"/>
                      <w:highlight w:val="none"/>
                      <w:vertAlign w:val="subscript"/>
                      <w:lang w:val="en-US" w:eastAsia="zh-CN" w:bidi="ar-SA"/>
                    </w:rPr>
                    <w:t>Cr</w:t>
                  </w:r>
                </w:p>
              </w:tc>
              <w:tc>
                <w:tcPr>
                  <w:tcW w:w="295" w:type="pct"/>
                  <w:vMerge w:val="restart"/>
                  <w:vAlign w:val="center"/>
                </w:tcPr>
                <w:p w14:paraId="2CC89D0E">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r>
                    <w:rPr>
                      <w:rFonts w:ascii="Times New Roman" w:hAnsi="Times New Roman" w:eastAsia="宋体" w:cs="Times New Roman"/>
                      <w:color w:val="auto"/>
                      <w:position w:val="-10"/>
                      <w:sz w:val="21"/>
                      <w:szCs w:val="21"/>
                      <w:highlight w:val="none"/>
                      <w:lang w:val="en-US" w:eastAsia="zh-CN" w:bidi="ar-SA"/>
                    </w:rPr>
                    <w:t>产污系数法</w:t>
                  </w:r>
                </w:p>
              </w:tc>
              <w:tc>
                <w:tcPr>
                  <w:tcW w:w="429" w:type="pct"/>
                  <w:vMerge w:val="restart"/>
                  <w:vAlign w:val="center"/>
                </w:tcPr>
                <w:p w14:paraId="209BBA7B">
                  <w:pPr>
                    <w:pageBreakBefore w:val="0"/>
                    <w:kinsoku/>
                    <w:wordWrap w:val="0"/>
                    <w:overflowPunct/>
                    <w:topLinePunct w:val="0"/>
                    <w:autoSpaceDE w:val="0"/>
                    <w:autoSpaceDN w:val="0"/>
                    <w:bidi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756</w:t>
                  </w:r>
                </w:p>
              </w:tc>
              <w:tc>
                <w:tcPr>
                  <w:tcW w:w="362" w:type="pct"/>
                  <w:vAlign w:val="center"/>
                </w:tcPr>
                <w:p w14:paraId="4AE5F33A">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r>
                    <w:rPr>
                      <w:rFonts w:hint="eastAsia" w:ascii="Times New Roman" w:hAnsi="Times New Roman" w:eastAsia="宋体" w:cs="Times New Roman"/>
                      <w:color w:val="auto"/>
                      <w:position w:val="-10"/>
                      <w:sz w:val="21"/>
                      <w:szCs w:val="21"/>
                      <w:highlight w:val="none"/>
                      <w:lang w:val="en-US" w:eastAsia="zh-CN" w:bidi="ar-SA"/>
                    </w:rPr>
                    <w:t>250</w:t>
                  </w:r>
                </w:p>
              </w:tc>
              <w:tc>
                <w:tcPr>
                  <w:tcW w:w="493" w:type="pct"/>
                  <w:vAlign w:val="center"/>
                </w:tcPr>
                <w:p w14:paraId="2FE85B9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 xml:space="preserve">0.189 </w:t>
                  </w:r>
                </w:p>
              </w:tc>
              <w:tc>
                <w:tcPr>
                  <w:tcW w:w="336" w:type="pct"/>
                  <w:vMerge w:val="restart"/>
                  <w:vAlign w:val="center"/>
                </w:tcPr>
                <w:p w14:paraId="69352F97">
                  <w:pPr>
                    <w:pageBreakBefore w:val="0"/>
                    <w:kinsoku/>
                    <w:wordWrap w:val="0"/>
                    <w:overflowPunct/>
                    <w:topLinePunct w:val="0"/>
                    <w:autoSpaceDE w:val="0"/>
                    <w:autoSpaceDN w:val="0"/>
                    <w:bidi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ascii="Times New Roman" w:hAnsi="Times New Roman" w:eastAsia="宋体" w:cs="Times New Roman"/>
                      <w:color w:val="auto"/>
                      <w:position w:val="-10"/>
                      <w:sz w:val="21"/>
                      <w:szCs w:val="21"/>
                      <w:highlight w:val="none"/>
                      <w:lang w:val="en-US" w:eastAsia="zh-CN" w:bidi="ar-SA"/>
                    </w:rPr>
                    <w:t>厌氧</w:t>
                  </w:r>
                </w:p>
              </w:tc>
              <w:tc>
                <w:tcPr>
                  <w:tcW w:w="279" w:type="pct"/>
                  <w:vAlign w:val="center"/>
                </w:tcPr>
                <w:p w14:paraId="1AA65829">
                  <w:pPr>
                    <w:pageBreakBefore w:val="0"/>
                    <w:widowControl/>
                    <w:kinsoku/>
                    <w:wordWrap w:val="0"/>
                    <w:overflowPunct/>
                    <w:topLinePunct w:val="0"/>
                    <w:bidi w:val="0"/>
                    <w:spacing w:line="240" w:lineRule="auto"/>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20</w:t>
                  </w:r>
                  <w:r>
                    <w:rPr>
                      <w:rFonts w:ascii="Times New Roman" w:hAnsi="Times New Roman" w:eastAsia="宋体" w:cs="Times New Roman"/>
                      <w:color w:val="auto"/>
                      <w:sz w:val="21"/>
                      <w:szCs w:val="21"/>
                      <w:highlight w:val="none"/>
                    </w:rPr>
                    <w:t>%</w:t>
                  </w:r>
                </w:p>
              </w:tc>
              <w:tc>
                <w:tcPr>
                  <w:tcW w:w="353" w:type="pct"/>
                  <w:vMerge w:val="restart"/>
                  <w:vAlign w:val="center"/>
                </w:tcPr>
                <w:p w14:paraId="14F84C50">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r>
                    <w:rPr>
                      <w:rFonts w:ascii="Times New Roman" w:hAnsi="Times New Roman" w:eastAsia="宋体" w:cs="Times New Roman"/>
                      <w:color w:val="auto"/>
                      <w:position w:val="-10"/>
                      <w:sz w:val="21"/>
                      <w:szCs w:val="21"/>
                      <w:highlight w:val="none"/>
                      <w:lang w:val="en-US" w:eastAsia="zh-CN" w:bidi="ar-SA"/>
                    </w:rPr>
                    <w:t>排污系数法</w:t>
                  </w:r>
                </w:p>
              </w:tc>
              <w:tc>
                <w:tcPr>
                  <w:tcW w:w="353" w:type="pct"/>
                  <w:vAlign w:val="center"/>
                </w:tcPr>
                <w:p w14:paraId="7DA50E9D">
                  <w:pPr>
                    <w:pageBreakBefore w:val="0"/>
                    <w:widowControl/>
                    <w:kinsoku/>
                    <w:wordWrap w:val="0"/>
                    <w:overflowPunct/>
                    <w:topLinePunct w:val="0"/>
                    <w:bidi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200</w:t>
                  </w:r>
                </w:p>
              </w:tc>
              <w:tc>
                <w:tcPr>
                  <w:tcW w:w="532" w:type="pct"/>
                  <w:vAlign w:val="center"/>
                </w:tcPr>
                <w:p w14:paraId="6ED1DDC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 xml:space="preserve">0.151 </w:t>
                  </w:r>
                </w:p>
              </w:tc>
              <w:tc>
                <w:tcPr>
                  <w:tcW w:w="357" w:type="pct"/>
                  <w:vMerge w:val="restart"/>
                  <w:vAlign w:val="center"/>
                </w:tcPr>
                <w:p w14:paraId="0CE83385">
                  <w:pPr>
                    <w:pageBreakBefore w:val="0"/>
                    <w:kinsoku/>
                    <w:wordWrap w:val="0"/>
                    <w:overflowPunct/>
                    <w:topLinePunct w:val="0"/>
                    <w:autoSpaceDE w:val="0"/>
                    <w:autoSpaceDN w:val="0"/>
                    <w:bidi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3000</w:t>
                  </w:r>
                </w:p>
              </w:tc>
            </w:tr>
            <w:tr w14:paraId="4F678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pct"/>
                  <w:vMerge w:val="continue"/>
                  <w:vAlign w:val="center"/>
                </w:tcPr>
                <w:p w14:paraId="159EC1CB">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p>
              </w:tc>
              <w:tc>
                <w:tcPr>
                  <w:tcW w:w="346" w:type="pct"/>
                  <w:vMerge w:val="continue"/>
                  <w:vAlign w:val="center"/>
                </w:tcPr>
                <w:p w14:paraId="0A5C63AE">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p>
              </w:tc>
              <w:tc>
                <w:tcPr>
                  <w:tcW w:w="517" w:type="pct"/>
                  <w:vAlign w:val="center"/>
                </w:tcPr>
                <w:p w14:paraId="4900F05D">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r>
                    <w:rPr>
                      <w:rFonts w:ascii="Times New Roman" w:hAnsi="Times New Roman" w:eastAsia="宋体" w:cs="Times New Roman"/>
                      <w:color w:val="auto"/>
                      <w:position w:val="-10"/>
                      <w:sz w:val="21"/>
                      <w:szCs w:val="21"/>
                      <w:highlight w:val="none"/>
                      <w:lang w:val="en-US" w:eastAsia="zh-CN" w:bidi="ar-SA"/>
                    </w:rPr>
                    <w:t>BOD</w:t>
                  </w:r>
                  <w:r>
                    <w:rPr>
                      <w:rFonts w:ascii="Times New Roman" w:hAnsi="Times New Roman" w:eastAsia="宋体" w:cs="Times New Roman"/>
                      <w:color w:val="auto"/>
                      <w:position w:val="-10"/>
                      <w:sz w:val="21"/>
                      <w:szCs w:val="21"/>
                      <w:highlight w:val="none"/>
                      <w:vertAlign w:val="subscript"/>
                      <w:lang w:val="en-US" w:eastAsia="zh-CN" w:bidi="ar-SA"/>
                    </w:rPr>
                    <w:t>5</w:t>
                  </w:r>
                </w:p>
              </w:tc>
              <w:tc>
                <w:tcPr>
                  <w:tcW w:w="295" w:type="pct"/>
                  <w:vMerge w:val="continue"/>
                  <w:vAlign w:val="center"/>
                </w:tcPr>
                <w:p w14:paraId="3D0994F5">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p>
              </w:tc>
              <w:tc>
                <w:tcPr>
                  <w:tcW w:w="429" w:type="pct"/>
                  <w:vMerge w:val="continue"/>
                  <w:vAlign w:val="center"/>
                </w:tcPr>
                <w:p w14:paraId="106215E5">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p>
              </w:tc>
              <w:tc>
                <w:tcPr>
                  <w:tcW w:w="362" w:type="pct"/>
                  <w:vAlign w:val="center"/>
                </w:tcPr>
                <w:p w14:paraId="1E4124F7">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r>
                    <w:rPr>
                      <w:rFonts w:hint="eastAsia" w:ascii="Times New Roman" w:hAnsi="Times New Roman" w:eastAsia="宋体" w:cs="Times New Roman"/>
                      <w:color w:val="auto"/>
                      <w:position w:val="-10"/>
                      <w:sz w:val="21"/>
                      <w:szCs w:val="21"/>
                      <w:highlight w:val="none"/>
                      <w:lang w:val="en-US" w:eastAsia="zh-CN" w:bidi="ar-SA"/>
                    </w:rPr>
                    <w:t>110</w:t>
                  </w:r>
                </w:p>
              </w:tc>
              <w:tc>
                <w:tcPr>
                  <w:tcW w:w="493" w:type="pct"/>
                  <w:vAlign w:val="center"/>
                </w:tcPr>
                <w:p w14:paraId="1A5ADC1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 xml:space="preserve">0.083 </w:t>
                  </w:r>
                </w:p>
              </w:tc>
              <w:tc>
                <w:tcPr>
                  <w:tcW w:w="336" w:type="pct"/>
                  <w:vMerge w:val="continue"/>
                  <w:vAlign w:val="center"/>
                </w:tcPr>
                <w:p w14:paraId="72BBF828">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p>
              </w:tc>
              <w:tc>
                <w:tcPr>
                  <w:tcW w:w="279" w:type="pct"/>
                  <w:vAlign w:val="center"/>
                </w:tcPr>
                <w:p w14:paraId="0CDBB385">
                  <w:pPr>
                    <w:pageBreakBefore w:val="0"/>
                    <w:widowControl/>
                    <w:kinsoku/>
                    <w:wordWrap w:val="0"/>
                    <w:overflowPunct/>
                    <w:topLinePunct w:val="0"/>
                    <w:bidi w:val="0"/>
                    <w:spacing w:line="240" w:lineRule="auto"/>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29</w:t>
                  </w:r>
                  <w:r>
                    <w:rPr>
                      <w:rFonts w:ascii="Times New Roman" w:hAnsi="Times New Roman" w:eastAsia="宋体" w:cs="Times New Roman"/>
                      <w:color w:val="auto"/>
                      <w:sz w:val="21"/>
                      <w:szCs w:val="21"/>
                      <w:highlight w:val="none"/>
                    </w:rPr>
                    <w:t>%</w:t>
                  </w:r>
                </w:p>
              </w:tc>
              <w:tc>
                <w:tcPr>
                  <w:tcW w:w="353" w:type="pct"/>
                  <w:vMerge w:val="continue"/>
                  <w:vAlign w:val="center"/>
                </w:tcPr>
                <w:p w14:paraId="506C75F9">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p>
              </w:tc>
              <w:tc>
                <w:tcPr>
                  <w:tcW w:w="353" w:type="pct"/>
                  <w:vAlign w:val="center"/>
                </w:tcPr>
                <w:p w14:paraId="17176FE2">
                  <w:pPr>
                    <w:pageBreakBefore w:val="0"/>
                    <w:widowControl/>
                    <w:kinsoku/>
                    <w:wordWrap w:val="0"/>
                    <w:overflowPunct/>
                    <w:topLinePunct w:val="0"/>
                    <w:bidi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78</w:t>
                  </w:r>
                </w:p>
              </w:tc>
              <w:tc>
                <w:tcPr>
                  <w:tcW w:w="532" w:type="pct"/>
                  <w:vAlign w:val="center"/>
                </w:tcPr>
                <w:p w14:paraId="61D21B7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 xml:space="preserve">0.059 </w:t>
                  </w:r>
                </w:p>
              </w:tc>
              <w:tc>
                <w:tcPr>
                  <w:tcW w:w="357" w:type="pct"/>
                  <w:vMerge w:val="continue"/>
                  <w:vAlign w:val="center"/>
                </w:tcPr>
                <w:p w14:paraId="172F6923">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p>
              </w:tc>
            </w:tr>
            <w:tr w14:paraId="3A41C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pct"/>
                  <w:vMerge w:val="continue"/>
                  <w:vAlign w:val="center"/>
                </w:tcPr>
                <w:p w14:paraId="718C9D87">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p>
              </w:tc>
              <w:tc>
                <w:tcPr>
                  <w:tcW w:w="346" w:type="pct"/>
                  <w:vMerge w:val="continue"/>
                  <w:vAlign w:val="center"/>
                </w:tcPr>
                <w:p w14:paraId="0180375A">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p>
              </w:tc>
              <w:tc>
                <w:tcPr>
                  <w:tcW w:w="517" w:type="pct"/>
                  <w:vAlign w:val="center"/>
                </w:tcPr>
                <w:p w14:paraId="26CC0B2A">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r>
                    <w:rPr>
                      <w:rFonts w:ascii="Times New Roman" w:hAnsi="Times New Roman" w:eastAsia="宋体" w:cs="Times New Roman"/>
                      <w:color w:val="auto"/>
                      <w:position w:val="-10"/>
                      <w:sz w:val="21"/>
                      <w:szCs w:val="21"/>
                      <w:highlight w:val="none"/>
                      <w:lang w:val="en-US" w:eastAsia="zh-CN" w:bidi="ar-SA"/>
                    </w:rPr>
                    <w:t>SS</w:t>
                  </w:r>
                </w:p>
              </w:tc>
              <w:tc>
                <w:tcPr>
                  <w:tcW w:w="295" w:type="pct"/>
                  <w:vMerge w:val="continue"/>
                  <w:vAlign w:val="center"/>
                </w:tcPr>
                <w:p w14:paraId="3D014329">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p>
              </w:tc>
              <w:tc>
                <w:tcPr>
                  <w:tcW w:w="429" w:type="pct"/>
                  <w:vMerge w:val="continue"/>
                  <w:vAlign w:val="center"/>
                </w:tcPr>
                <w:p w14:paraId="28F9C30A">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p>
              </w:tc>
              <w:tc>
                <w:tcPr>
                  <w:tcW w:w="362" w:type="pct"/>
                  <w:vAlign w:val="center"/>
                </w:tcPr>
                <w:p w14:paraId="466731DC">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r>
                    <w:rPr>
                      <w:rFonts w:hint="eastAsia" w:ascii="Times New Roman" w:hAnsi="Times New Roman" w:eastAsia="宋体" w:cs="Times New Roman"/>
                      <w:color w:val="auto"/>
                      <w:position w:val="-10"/>
                      <w:sz w:val="21"/>
                      <w:szCs w:val="21"/>
                      <w:highlight w:val="none"/>
                      <w:lang w:val="en-US" w:eastAsia="zh-CN" w:bidi="ar-SA"/>
                    </w:rPr>
                    <w:t>100</w:t>
                  </w:r>
                </w:p>
              </w:tc>
              <w:tc>
                <w:tcPr>
                  <w:tcW w:w="493" w:type="pct"/>
                  <w:vAlign w:val="center"/>
                </w:tcPr>
                <w:p w14:paraId="58214EE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 xml:space="preserve">0.076 </w:t>
                  </w:r>
                </w:p>
              </w:tc>
              <w:tc>
                <w:tcPr>
                  <w:tcW w:w="336" w:type="pct"/>
                  <w:vMerge w:val="continue"/>
                  <w:vAlign w:val="center"/>
                </w:tcPr>
                <w:p w14:paraId="7F908D80">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p>
              </w:tc>
              <w:tc>
                <w:tcPr>
                  <w:tcW w:w="279" w:type="pct"/>
                  <w:vAlign w:val="center"/>
                </w:tcPr>
                <w:p w14:paraId="2F076222">
                  <w:pPr>
                    <w:pageBreakBefore w:val="0"/>
                    <w:widowControl/>
                    <w:kinsoku/>
                    <w:wordWrap w:val="0"/>
                    <w:overflowPunct/>
                    <w:topLinePunct w:val="0"/>
                    <w:bidi w:val="0"/>
                    <w:spacing w:line="240" w:lineRule="auto"/>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30</w:t>
                  </w:r>
                  <w:r>
                    <w:rPr>
                      <w:rFonts w:ascii="Times New Roman" w:hAnsi="Times New Roman" w:eastAsia="宋体" w:cs="Times New Roman"/>
                      <w:color w:val="auto"/>
                      <w:sz w:val="21"/>
                      <w:szCs w:val="21"/>
                      <w:highlight w:val="none"/>
                    </w:rPr>
                    <w:t>%</w:t>
                  </w:r>
                </w:p>
              </w:tc>
              <w:tc>
                <w:tcPr>
                  <w:tcW w:w="353" w:type="pct"/>
                  <w:vMerge w:val="continue"/>
                  <w:vAlign w:val="center"/>
                </w:tcPr>
                <w:p w14:paraId="2B58D403">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p>
              </w:tc>
              <w:tc>
                <w:tcPr>
                  <w:tcW w:w="353" w:type="pct"/>
                  <w:vAlign w:val="center"/>
                </w:tcPr>
                <w:p w14:paraId="62960CC0">
                  <w:pPr>
                    <w:pageBreakBefore w:val="0"/>
                    <w:widowControl/>
                    <w:kinsoku/>
                    <w:wordWrap w:val="0"/>
                    <w:overflowPunct/>
                    <w:topLinePunct w:val="0"/>
                    <w:bidi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w:t>
                  </w:r>
                </w:p>
              </w:tc>
              <w:tc>
                <w:tcPr>
                  <w:tcW w:w="532" w:type="pct"/>
                  <w:vAlign w:val="center"/>
                </w:tcPr>
                <w:p w14:paraId="2E226D8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 xml:space="preserve">0.053 </w:t>
                  </w:r>
                </w:p>
              </w:tc>
              <w:tc>
                <w:tcPr>
                  <w:tcW w:w="357" w:type="pct"/>
                  <w:vMerge w:val="continue"/>
                  <w:vAlign w:val="center"/>
                </w:tcPr>
                <w:p w14:paraId="56B71ACE">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p>
              </w:tc>
            </w:tr>
            <w:tr w14:paraId="01009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4" w:type="pct"/>
                  <w:vMerge w:val="continue"/>
                  <w:vAlign w:val="center"/>
                </w:tcPr>
                <w:p w14:paraId="6820849F">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p>
              </w:tc>
              <w:tc>
                <w:tcPr>
                  <w:tcW w:w="346" w:type="pct"/>
                  <w:vMerge w:val="continue"/>
                  <w:vAlign w:val="center"/>
                </w:tcPr>
                <w:p w14:paraId="3458C74E">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p>
              </w:tc>
              <w:tc>
                <w:tcPr>
                  <w:tcW w:w="517" w:type="pct"/>
                  <w:vAlign w:val="center"/>
                </w:tcPr>
                <w:p w14:paraId="2726CF63">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r>
                    <w:rPr>
                      <w:rFonts w:ascii="Times New Roman" w:hAnsi="Times New Roman" w:eastAsia="宋体" w:cs="Times New Roman"/>
                      <w:color w:val="auto"/>
                      <w:position w:val="-10"/>
                      <w:sz w:val="21"/>
                      <w:szCs w:val="21"/>
                      <w:highlight w:val="none"/>
                      <w:lang w:val="en-US" w:eastAsia="zh-CN" w:bidi="ar-SA"/>
                    </w:rPr>
                    <w:t>NH</w:t>
                  </w:r>
                  <w:r>
                    <w:rPr>
                      <w:rFonts w:ascii="Times New Roman" w:hAnsi="Times New Roman" w:eastAsia="宋体" w:cs="Times New Roman"/>
                      <w:color w:val="auto"/>
                      <w:position w:val="-10"/>
                      <w:sz w:val="21"/>
                      <w:szCs w:val="21"/>
                      <w:highlight w:val="none"/>
                      <w:vertAlign w:val="subscript"/>
                      <w:lang w:val="en-US" w:eastAsia="zh-CN" w:bidi="ar-SA"/>
                    </w:rPr>
                    <w:t>3</w:t>
                  </w:r>
                  <w:r>
                    <w:rPr>
                      <w:rFonts w:ascii="Times New Roman" w:hAnsi="Times New Roman" w:eastAsia="宋体" w:cs="Times New Roman"/>
                      <w:color w:val="auto"/>
                      <w:position w:val="-10"/>
                      <w:sz w:val="21"/>
                      <w:szCs w:val="21"/>
                      <w:highlight w:val="none"/>
                      <w:lang w:val="en-US" w:eastAsia="zh-CN" w:bidi="ar-SA"/>
                    </w:rPr>
                    <w:t>-N</w:t>
                  </w:r>
                </w:p>
              </w:tc>
              <w:tc>
                <w:tcPr>
                  <w:tcW w:w="295" w:type="pct"/>
                  <w:vMerge w:val="continue"/>
                  <w:vAlign w:val="center"/>
                </w:tcPr>
                <w:p w14:paraId="5BB25342">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p>
              </w:tc>
              <w:tc>
                <w:tcPr>
                  <w:tcW w:w="429" w:type="pct"/>
                  <w:vMerge w:val="continue"/>
                  <w:vAlign w:val="center"/>
                </w:tcPr>
                <w:p w14:paraId="3E81A47B">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p>
              </w:tc>
              <w:tc>
                <w:tcPr>
                  <w:tcW w:w="362" w:type="pct"/>
                  <w:vAlign w:val="center"/>
                </w:tcPr>
                <w:p w14:paraId="65532844">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r>
                    <w:rPr>
                      <w:rFonts w:hint="eastAsia" w:ascii="Times New Roman" w:hAnsi="Times New Roman" w:eastAsia="宋体" w:cs="Times New Roman"/>
                      <w:color w:val="auto"/>
                      <w:position w:val="-10"/>
                      <w:sz w:val="21"/>
                      <w:szCs w:val="21"/>
                      <w:highlight w:val="none"/>
                      <w:lang w:val="en-US" w:eastAsia="zh-CN" w:bidi="ar-SA"/>
                    </w:rPr>
                    <w:t>20</w:t>
                  </w:r>
                </w:p>
              </w:tc>
              <w:tc>
                <w:tcPr>
                  <w:tcW w:w="493" w:type="pct"/>
                  <w:vAlign w:val="center"/>
                </w:tcPr>
                <w:p w14:paraId="13167F2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 xml:space="preserve">0.015 </w:t>
                  </w:r>
                </w:p>
              </w:tc>
              <w:tc>
                <w:tcPr>
                  <w:tcW w:w="336" w:type="pct"/>
                  <w:vMerge w:val="continue"/>
                  <w:vAlign w:val="center"/>
                </w:tcPr>
                <w:p w14:paraId="097AB09B">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p>
              </w:tc>
              <w:tc>
                <w:tcPr>
                  <w:tcW w:w="279" w:type="pct"/>
                  <w:vAlign w:val="center"/>
                </w:tcPr>
                <w:p w14:paraId="50402863">
                  <w:pPr>
                    <w:pageBreakBefore w:val="0"/>
                    <w:widowControl/>
                    <w:kinsoku/>
                    <w:wordWrap w:val="0"/>
                    <w:overflowPunct/>
                    <w:topLinePunct w:val="0"/>
                    <w:bidi w:val="0"/>
                    <w:spacing w:line="240" w:lineRule="auto"/>
                    <w:jc w:val="center"/>
                    <w:textAlignment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3</w:t>
                  </w:r>
                  <w:r>
                    <w:rPr>
                      <w:rFonts w:ascii="Times New Roman" w:hAnsi="Times New Roman" w:eastAsia="宋体" w:cs="Times New Roman"/>
                      <w:color w:val="auto"/>
                      <w:sz w:val="21"/>
                      <w:szCs w:val="21"/>
                      <w:highlight w:val="none"/>
                    </w:rPr>
                    <w:t>%</w:t>
                  </w:r>
                </w:p>
              </w:tc>
              <w:tc>
                <w:tcPr>
                  <w:tcW w:w="353" w:type="pct"/>
                  <w:vMerge w:val="continue"/>
                  <w:vAlign w:val="center"/>
                </w:tcPr>
                <w:p w14:paraId="15C24C37">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p>
              </w:tc>
              <w:tc>
                <w:tcPr>
                  <w:tcW w:w="353" w:type="pct"/>
                  <w:vAlign w:val="center"/>
                </w:tcPr>
                <w:p w14:paraId="7E701593">
                  <w:pPr>
                    <w:pageBreakBefore w:val="0"/>
                    <w:widowControl/>
                    <w:kinsoku/>
                    <w:wordWrap w:val="0"/>
                    <w:overflowPunct/>
                    <w:topLinePunct w:val="0"/>
                    <w:bidi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w:t>
                  </w:r>
                </w:p>
              </w:tc>
              <w:tc>
                <w:tcPr>
                  <w:tcW w:w="532" w:type="pct"/>
                  <w:vAlign w:val="center"/>
                </w:tcPr>
                <w:p w14:paraId="63A9F77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 xml:space="preserve">0.015 </w:t>
                  </w:r>
                </w:p>
              </w:tc>
              <w:tc>
                <w:tcPr>
                  <w:tcW w:w="357" w:type="pct"/>
                  <w:vMerge w:val="continue"/>
                  <w:vAlign w:val="center"/>
                </w:tcPr>
                <w:p w14:paraId="6CF451C4">
                  <w:pPr>
                    <w:pageBreakBefore w:val="0"/>
                    <w:kinsoku/>
                    <w:wordWrap w:val="0"/>
                    <w:overflowPunct/>
                    <w:topLinePunct w:val="0"/>
                    <w:autoSpaceDE w:val="0"/>
                    <w:autoSpaceDN w:val="0"/>
                    <w:bidi w:val="0"/>
                    <w:spacing w:line="240" w:lineRule="auto"/>
                    <w:jc w:val="center"/>
                    <w:textAlignment w:val="center"/>
                    <w:rPr>
                      <w:rFonts w:ascii="Times New Roman" w:hAnsi="Times New Roman" w:eastAsia="宋体" w:cs="Times New Roman"/>
                      <w:color w:val="auto"/>
                      <w:position w:val="-10"/>
                      <w:sz w:val="21"/>
                      <w:szCs w:val="21"/>
                      <w:highlight w:val="none"/>
                      <w:lang w:val="en-US" w:eastAsia="zh-CN" w:bidi="ar-SA"/>
                    </w:rPr>
                  </w:pPr>
                </w:p>
              </w:tc>
            </w:tr>
          </w:tbl>
          <w:p w14:paraId="0A84787C">
            <w:pPr>
              <w:pStyle w:val="11"/>
              <w:pageBreakBefore w:val="0"/>
              <w:numPr>
                <w:ilvl w:val="4"/>
                <w:numId w:val="0"/>
              </w:numPr>
              <w:kinsoku/>
              <w:wordWrap w:val="0"/>
              <w:overflowPunct/>
              <w:topLinePunct w:val="0"/>
              <w:bidi w:val="0"/>
              <w:ind w:firstLine="480" w:firstLineChars="200"/>
              <w:jc w:val="both"/>
              <w:rPr>
                <w:rFonts w:hint="eastAsia"/>
                <w:b w:val="0"/>
                <w:bCs w:val="0"/>
                <w:color w:val="auto"/>
                <w:highlight w:val="none"/>
                <w:lang w:val="en-US" w:eastAsia="zh-CN"/>
              </w:rPr>
            </w:pPr>
            <w:bookmarkStart w:id="123" w:name="_Toc24167"/>
            <w:bookmarkStart w:id="124" w:name="_Toc29682"/>
            <w:bookmarkStart w:id="125" w:name="_Toc5539"/>
            <w:bookmarkStart w:id="126" w:name="_Toc20985"/>
            <w:r>
              <w:rPr>
                <w:rFonts w:hint="eastAsia"/>
                <w:b w:val="0"/>
                <w:bCs w:val="0"/>
                <w:color w:val="auto"/>
                <w:highlight w:val="none"/>
                <w:lang w:eastAsia="zh-CN"/>
              </w:rPr>
              <w:t>（</w:t>
            </w:r>
            <w:r>
              <w:rPr>
                <w:rFonts w:hint="eastAsia"/>
                <w:b w:val="0"/>
                <w:bCs w:val="0"/>
                <w:color w:val="auto"/>
                <w:highlight w:val="none"/>
                <w:lang w:val="en-US" w:eastAsia="zh-CN"/>
              </w:rPr>
              <w:t>2）槽液配制用水</w:t>
            </w:r>
          </w:p>
          <w:p w14:paraId="7BFD5354">
            <w:pPr>
              <w:pStyle w:val="11"/>
              <w:pageBreakBefore w:val="0"/>
              <w:numPr>
                <w:ilvl w:val="4"/>
                <w:numId w:val="0"/>
              </w:numPr>
              <w:kinsoku/>
              <w:wordWrap w:val="0"/>
              <w:overflowPunct/>
              <w:topLinePunct w:val="0"/>
              <w:bidi w:val="0"/>
              <w:ind w:firstLine="480" w:firstLineChars="200"/>
              <w:jc w:val="both"/>
              <w:rPr>
                <w:rFonts w:hint="eastAsia"/>
                <w:b w:val="0"/>
                <w:bCs w:val="0"/>
                <w:color w:val="auto"/>
                <w:highlight w:val="none"/>
                <w:lang w:val="en-US" w:eastAsia="zh-CN"/>
              </w:rPr>
            </w:pPr>
            <w:r>
              <w:rPr>
                <w:rFonts w:hint="eastAsia"/>
                <w:b w:val="0"/>
                <w:bCs w:val="0"/>
                <w:color w:val="auto"/>
                <w:highlight w:val="none"/>
                <w:lang w:val="en-US" w:eastAsia="zh-CN"/>
              </w:rPr>
              <w:t>项目表面处理工序涉及槽液为脱脂液、酸洗液、磷化液、表调液等。脱脂槽内使用的脱脂液配置比例为脱脂剂:水=4.5:95.5；酸洗槽内使用的酸洗液配置比例为除锈剂：水=5：95；磷化槽内使用的磷化液配置比例为磷化剂:水=8:92；表调槽内使用的表调液配置比例为表调剂:水=1.3:98.7。脱脂槽、表调槽的内尺寸为6m*2m*1m，容积为12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，所有槽内溶液水位为槽体容积的80%，槽液量为9.6m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。酸洗槽、磷化槽的内尺寸为3.6m*2m*1m、3m*2m*1m，容积为7.2m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、6m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，所有槽内溶液水位为槽体容积的80%，槽液量为5.78m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、4.8m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。因工件带水和水分蒸发等损失一部分槽液，需定期补充，根据建设单位提供资料，每年全厂需配制脱脂液38.4m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，则配制脱脂液用水量为36.67m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/a；每年全厂需配制酸洗液23.04m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，则配制酸洗液用水量为21.888m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/a；每年全厂需配制磷化液19.2m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，则配制磷化液用水量为17.664m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/a；每年全厂需配制表调液38.4m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，则配制表调液用水量为37.9m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/a。故项目槽液配制用水共</w:t>
            </w:r>
            <w:r>
              <w:rPr>
                <w:rFonts w:hint="eastAsia" w:ascii="Times New Roman" w:hAnsi="Times New Roman" w:eastAsia="宋体" w:cs="Times New Roman"/>
                <w:b w:val="0"/>
                <w:bCs w:val="0"/>
                <w:color w:val="auto"/>
                <w:spacing w:val="-3"/>
                <w:kern w:val="2"/>
                <w:sz w:val="24"/>
                <w:szCs w:val="24"/>
                <w:highlight w:val="none"/>
                <w:lang w:val="en-US" w:eastAsia="zh-CN" w:bidi="ar-SA"/>
              </w:rPr>
              <w:t>114.12m</w:t>
            </w:r>
            <w:r>
              <w:rPr>
                <w:rFonts w:hint="eastAsia" w:ascii="Times New Roman" w:hAnsi="Times New Roman" w:eastAsia="宋体" w:cs="Times New Roman"/>
                <w:b w:val="0"/>
                <w:bCs w:val="0"/>
                <w:color w:val="auto"/>
                <w:spacing w:val="-3"/>
                <w:kern w:val="2"/>
                <w:sz w:val="24"/>
                <w:szCs w:val="24"/>
                <w:highlight w:val="none"/>
                <w:vertAlign w:val="superscript"/>
                <w:lang w:val="en-US" w:eastAsia="zh-CN" w:bidi="ar-SA"/>
              </w:rPr>
              <w:t>3</w:t>
            </w:r>
            <w:r>
              <w:rPr>
                <w:rFonts w:hint="eastAsia" w:ascii="Times New Roman" w:hAnsi="Times New Roman" w:eastAsia="宋体" w:cs="Times New Roman"/>
                <w:b w:val="0"/>
                <w:bCs w:val="0"/>
                <w:color w:val="auto"/>
                <w:spacing w:val="-3"/>
                <w:kern w:val="2"/>
                <w:sz w:val="24"/>
                <w:szCs w:val="24"/>
                <w:highlight w:val="none"/>
                <w:lang w:val="en-US" w:eastAsia="zh-CN" w:bidi="ar-SA"/>
              </w:rPr>
              <w:t>/a(0.38m</w:t>
            </w:r>
            <w:r>
              <w:rPr>
                <w:rFonts w:hint="eastAsia" w:ascii="Times New Roman" w:hAnsi="Times New Roman" w:eastAsia="宋体" w:cs="Times New Roman"/>
                <w:b w:val="0"/>
                <w:bCs w:val="0"/>
                <w:color w:val="auto"/>
                <w:spacing w:val="-3"/>
                <w:kern w:val="2"/>
                <w:sz w:val="24"/>
                <w:szCs w:val="24"/>
                <w:highlight w:val="none"/>
                <w:vertAlign w:val="superscript"/>
                <w:lang w:val="en-US" w:eastAsia="zh-CN" w:bidi="ar-SA"/>
              </w:rPr>
              <w:t>3</w:t>
            </w:r>
            <w:r>
              <w:rPr>
                <w:rFonts w:hint="eastAsia" w:ascii="Times New Roman" w:hAnsi="Times New Roman" w:eastAsia="宋体" w:cs="Times New Roman"/>
                <w:b w:val="0"/>
                <w:bCs w:val="0"/>
                <w:color w:val="auto"/>
                <w:spacing w:val="-3"/>
                <w:kern w:val="2"/>
                <w:sz w:val="24"/>
                <w:szCs w:val="24"/>
                <w:highlight w:val="none"/>
                <w:lang w:val="en-US" w:eastAsia="zh-CN" w:bidi="ar-SA"/>
              </w:rPr>
              <w:t>/d)。</w:t>
            </w:r>
            <w:r>
              <w:rPr>
                <w:rFonts w:hint="eastAsia"/>
                <w:b w:val="0"/>
                <w:bCs w:val="0"/>
                <w:color w:val="auto"/>
                <w:highlight w:val="none"/>
                <w:lang w:val="en-US" w:eastAsia="zh-CN"/>
              </w:rPr>
              <w:t>本项目脱脂槽液3个月更换一次，4.8m</w:t>
            </w:r>
            <w:r>
              <w:rPr>
                <w:rFonts w:hint="eastAsia"/>
                <w:b w:val="0"/>
                <w:bCs w:val="0"/>
                <w:color w:val="auto"/>
                <w:highlight w:val="none"/>
                <w:vertAlign w:val="superscript"/>
                <w:lang w:val="en-US" w:eastAsia="zh-CN"/>
              </w:rPr>
              <w:t>3</w:t>
            </w:r>
            <w:r>
              <w:rPr>
                <w:rFonts w:hint="eastAsia"/>
                <w:b w:val="0"/>
                <w:bCs w:val="0"/>
                <w:color w:val="auto"/>
                <w:highlight w:val="none"/>
                <w:vertAlign w:val="baseline"/>
                <w:lang w:val="en-US" w:eastAsia="zh-CN"/>
              </w:rPr>
              <w:t>，</w:t>
            </w:r>
            <w:r>
              <w:rPr>
                <w:rFonts w:hint="eastAsia"/>
                <w:b w:val="0"/>
                <w:bCs w:val="0"/>
                <w:color w:val="auto"/>
                <w:highlight w:val="none"/>
                <w:lang w:val="en-US" w:eastAsia="zh-CN"/>
              </w:rPr>
              <w:t>全年排放量为38.4m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，表调槽液3个月更换一次，全年排放量为38.4m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，酸洗槽液3个月更换一次，全年排放量为23.04m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。则本项目废槽液量为119.04m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/a，更换的废槽液随管道进入自建污水处理设施，处理达标后送入园区污水处理厂。磷化槽液3个月更换一次，每次排放量为4.8m</w:t>
            </w:r>
            <w:r>
              <w:rPr>
                <w:rFonts w:hint="eastAsia"/>
                <w:b w:val="0"/>
                <w:bCs w:val="0"/>
                <w:color w:val="auto"/>
                <w:highlight w:val="none"/>
                <w:vertAlign w:val="superscript"/>
                <w:lang w:val="en-US" w:eastAsia="zh-CN"/>
              </w:rPr>
              <w:t>3</w:t>
            </w:r>
            <w:r>
              <w:rPr>
                <w:rFonts w:hint="eastAsia"/>
                <w:b w:val="0"/>
                <w:bCs w:val="0"/>
                <w:color w:val="auto"/>
                <w:highlight w:val="none"/>
                <w:vertAlign w:val="baseline"/>
                <w:lang w:val="en-US" w:eastAsia="zh-CN"/>
              </w:rPr>
              <w:t>，全年更换</w:t>
            </w:r>
            <w:r>
              <w:rPr>
                <w:rFonts w:hint="eastAsia"/>
                <w:b w:val="0"/>
                <w:bCs w:val="0"/>
                <w:color w:val="auto"/>
                <w:highlight w:val="none"/>
                <w:lang w:val="en-US" w:eastAsia="zh-CN"/>
              </w:rPr>
              <w:t>19.2m</w:t>
            </w:r>
            <w:r>
              <w:rPr>
                <w:rFonts w:hint="eastAsia"/>
                <w:b w:val="0"/>
                <w:bCs w:val="0"/>
                <w:color w:val="auto"/>
                <w:highlight w:val="none"/>
                <w:vertAlign w:val="superscript"/>
                <w:lang w:val="en-US" w:eastAsia="zh-CN"/>
              </w:rPr>
              <w:t>3</w:t>
            </w:r>
            <w:r>
              <w:rPr>
                <w:rFonts w:hint="eastAsia"/>
                <w:b w:val="0"/>
                <w:bCs w:val="0"/>
                <w:color w:val="auto"/>
                <w:highlight w:val="none"/>
                <w:vertAlign w:val="baseline"/>
                <w:lang w:val="en-US" w:eastAsia="zh-CN"/>
              </w:rPr>
              <w:t>/a</w:t>
            </w:r>
            <w:r>
              <w:rPr>
                <w:rFonts w:hint="eastAsia"/>
                <w:b w:val="0"/>
                <w:bCs w:val="0"/>
                <w:color w:val="auto"/>
                <w:highlight w:val="none"/>
                <w:lang w:val="en-US" w:eastAsia="zh-CN"/>
              </w:rPr>
              <w:t>，按照危险废物进行处置。</w:t>
            </w:r>
          </w:p>
          <w:p w14:paraId="478BCA4A">
            <w:pPr>
              <w:pStyle w:val="11"/>
              <w:pageBreakBefore w:val="0"/>
              <w:numPr>
                <w:ilvl w:val="4"/>
                <w:numId w:val="0"/>
              </w:numPr>
              <w:kinsoku/>
              <w:wordWrap w:val="0"/>
              <w:overflowPunct/>
              <w:topLinePunct w:val="0"/>
              <w:bidi w:val="0"/>
              <w:ind w:firstLine="480" w:firstLineChars="200"/>
              <w:jc w:val="both"/>
              <w:rPr>
                <w:rFonts w:hint="eastAsia"/>
                <w:b w:val="0"/>
                <w:bCs w:val="0"/>
                <w:color w:val="auto"/>
                <w:highlight w:val="none"/>
                <w:lang w:val="en-US" w:eastAsia="zh-CN"/>
              </w:rPr>
            </w:pPr>
            <w:r>
              <w:rPr>
                <w:rFonts w:hint="eastAsia"/>
                <w:b w:val="0"/>
                <w:bCs w:val="0"/>
                <w:color w:val="auto"/>
                <w:highlight w:val="none"/>
                <w:lang w:val="en-US" w:eastAsia="zh-CN"/>
              </w:rPr>
              <w:t>（3）水洗用水：水洗池采取浸没方式进行水洗。1~3#水洗池和酸洗池的水槽容积分别为8m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、8m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、7m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，槽内水位为槽体容积的80%，水量为6.4m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、6.4m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、5.6m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，槽液每个月更换一次，水洗池溢流速度均为4.5L/min、3.5L/min、4L/min，则全厂槽液更换量为220.8m</w:t>
            </w:r>
            <w:r>
              <w:rPr>
                <w:rFonts w:hint="eastAsia"/>
                <w:b w:val="0"/>
                <w:bCs w:val="0"/>
                <w:color w:val="auto"/>
                <w:highlight w:val="none"/>
                <w:vertAlign w:val="superscript"/>
                <w:lang w:val="en-US" w:eastAsia="zh-CN"/>
              </w:rPr>
              <w:t>3</w:t>
            </w:r>
            <w:r>
              <w:rPr>
                <w:rFonts w:hint="eastAsia"/>
                <w:b w:val="0"/>
                <w:bCs w:val="0"/>
                <w:color w:val="auto"/>
                <w:highlight w:val="none"/>
                <w:vertAlign w:val="baseline"/>
                <w:lang w:val="en-US" w:eastAsia="zh-CN"/>
              </w:rPr>
              <w:t>/a</w:t>
            </w:r>
            <w:r>
              <w:rPr>
                <w:rFonts w:hint="eastAsia"/>
                <w:b w:val="0"/>
                <w:bCs w:val="0"/>
                <w:color w:val="auto"/>
                <w:highlight w:val="none"/>
                <w:lang w:val="en-US" w:eastAsia="zh-CN"/>
              </w:rPr>
              <w:t>(0.736m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/d)</w:t>
            </w:r>
            <w:r>
              <w:rPr>
                <w:rFonts w:hint="eastAsia"/>
                <w:b w:val="0"/>
                <w:bCs w:val="0"/>
                <w:color w:val="auto"/>
                <w:highlight w:val="none"/>
                <w:vertAlign w:val="baseline"/>
                <w:lang w:val="en-US" w:eastAsia="zh-CN"/>
              </w:rPr>
              <w:t>，水洗池溢流废水为</w:t>
            </w:r>
            <w:r>
              <w:rPr>
                <w:rFonts w:hint="eastAsia"/>
                <w:b w:val="0"/>
                <w:bCs w:val="0"/>
                <w:color w:val="auto"/>
                <w:highlight w:val="none"/>
                <w:lang w:val="en-US" w:eastAsia="zh-CN"/>
              </w:rPr>
              <w:t>2160m</w:t>
            </w:r>
            <w:r>
              <w:rPr>
                <w:rFonts w:hint="eastAsia"/>
                <w:b w:val="0"/>
                <w:bCs w:val="0"/>
                <w:color w:val="auto"/>
                <w:highlight w:val="none"/>
                <w:vertAlign w:val="superscript"/>
                <w:lang w:val="en-US" w:eastAsia="zh-CN"/>
              </w:rPr>
              <w:t>3</w:t>
            </w:r>
            <w:r>
              <w:rPr>
                <w:rFonts w:hint="eastAsia"/>
                <w:b w:val="0"/>
                <w:bCs w:val="0"/>
                <w:color w:val="auto"/>
                <w:highlight w:val="none"/>
                <w:vertAlign w:val="baseline"/>
                <w:lang w:val="en-US" w:eastAsia="zh-CN"/>
              </w:rPr>
              <w:t>/a</w:t>
            </w:r>
            <w:r>
              <w:rPr>
                <w:rFonts w:hint="eastAsia"/>
                <w:b w:val="0"/>
                <w:bCs w:val="0"/>
                <w:color w:val="auto"/>
                <w:highlight w:val="none"/>
                <w:lang w:val="en-US" w:eastAsia="zh-CN"/>
              </w:rPr>
              <w:t>(7.2m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/d)，水洗废水产生量共为2526.72m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/a(8.42m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/d)（其中19.2m</w:t>
            </w:r>
            <w:r>
              <w:rPr>
                <w:rFonts w:hint="eastAsia"/>
                <w:b w:val="0"/>
                <w:bCs w:val="0"/>
                <w:color w:val="auto"/>
                <w:highlight w:val="none"/>
                <w:vertAlign w:val="superscript"/>
                <w:lang w:val="en-US" w:eastAsia="zh-CN"/>
              </w:rPr>
              <w:t>3</w:t>
            </w:r>
            <w:r>
              <w:rPr>
                <w:rFonts w:hint="eastAsia"/>
                <w:b w:val="0"/>
                <w:bCs w:val="0"/>
                <w:color w:val="auto"/>
                <w:highlight w:val="none"/>
                <w:vertAlign w:val="baseline"/>
                <w:lang w:val="en-US" w:eastAsia="zh-CN"/>
              </w:rPr>
              <w:t>/a为磷化槽液，作为危废处置</w:t>
            </w:r>
            <w:r>
              <w:rPr>
                <w:rFonts w:hint="eastAsia"/>
                <w:b w:val="0"/>
                <w:bCs w:val="0"/>
                <w:color w:val="auto"/>
                <w:highlight w:val="none"/>
                <w:lang w:val="en-US" w:eastAsia="zh-CN"/>
              </w:rPr>
              <w:t>），产生的废水2508m</w:t>
            </w:r>
            <w:r>
              <w:rPr>
                <w:rFonts w:hint="eastAsia"/>
                <w:b w:val="0"/>
                <w:bCs w:val="0"/>
                <w:color w:val="auto"/>
                <w:highlight w:val="none"/>
                <w:vertAlign w:val="superscript"/>
                <w:lang w:val="en-US" w:eastAsia="zh-CN"/>
              </w:rPr>
              <w:t>3</w:t>
            </w:r>
            <w:r>
              <w:rPr>
                <w:rFonts w:hint="eastAsia"/>
                <w:b w:val="0"/>
                <w:bCs w:val="0"/>
                <w:color w:val="auto"/>
                <w:highlight w:val="none"/>
                <w:vertAlign w:val="baseline"/>
                <w:lang w:val="en-US" w:eastAsia="zh-CN"/>
              </w:rPr>
              <w:t>/a（8.36</w:t>
            </w:r>
            <w:r>
              <w:rPr>
                <w:rFonts w:hint="eastAsia"/>
                <w:b w:val="0"/>
                <w:bCs w:val="0"/>
                <w:color w:val="auto"/>
                <w:highlight w:val="none"/>
                <w:lang w:val="en-US" w:eastAsia="zh-CN"/>
              </w:rPr>
              <w:t>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/d</w:t>
            </w:r>
            <w:r>
              <w:rPr>
                <w:rFonts w:hint="eastAsia"/>
                <w:b w:val="0"/>
                <w:bCs w:val="0"/>
                <w:color w:val="auto"/>
                <w:highlight w:val="none"/>
                <w:vertAlign w:val="baseline"/>
                <w:lang w:val="en-US" w:eastAsia="zh-CN"/>
              </w:rPr>
              <w:t>）</w:t>
            </w:r>
            <w:r>
              <w:rPr>
                <w:rFonts w:hint="eastAsia"/>
                <w:b w:val="0"/>
                <w:bCs w:val="0"/>
                <w:color w:val="auto"/>
                <w:highlight w:val="none"/>
                <w:lang w:val="en-US" w:eastAsia="zh-CN"/>
              </w:rPr>
              <w:t>进入自建污水处理站，处理达标后送入园区污水处理厂。</w:t>
            </w:r>
          </w:p>
          <w:p w14:paraId="3C1D468F">
            <w:pPr>
              <w:pStyle w:val="11"/>
              <w:pageBreakBefore w:val="0"/>
              <w:numPr>
                <w:ilvl w:val="4"/>
                <w:numId w:val="0"/>
              </w:numPr>
              <w:kinsoku/>
              <w:wordWrap w:val="0"/>
              <w:overflowPunct/>
              <w:topLinePunct w:val="0"/>
              <w:bidi w:val="0"/>
              <w:ind w:firstLine="480" w:firstLineChars="200"/>
              <w:jc w:val="both"/>
              <w:rPr>
                <w:rFonts w:hint="eastAsia"/>
                <w:b w:val="0"/>
                <w:bCs w:val="0"/>
                <w:color w:val="auto"/>
                <w:highlight w:val="none"/>
                <w:lang w:val="en-US" w:eastAsia="zh-CN"/>
              </w:rPr>
            </w:pPr>
            <w:r>
              <w:rPr>
                <w:rFonts w:hint="eastAsia"/>
                <w:b w:val="0"/>
                <w:bCs w:val="0"/>
                <w:color w:val="auto"/>
                <w:highlight w:val="none"/>
                <w:lang w:val="en-US" w:eastAsia="zh-CN"/>
              </w:rPr>
              <w:t>（4）水性漆喷枪清洗废水</w:t>
            </w:r>
          </w:p>
          <w:p w14:paraId="10113954">
            <w:pPr>
              <w:pStyle w:val="11"/>
              <w:pageBreakBefore w:val="0"/>
              <w:numPr>
                <w:ilvl w:val="4"/>
                <w:numId w:val="0"/>
              </w:numPr>
              <w:kinsoku/>
              <w:wordWrap w:val="0"/>
              <w:overflowPunct/>
              <w:topLinePunct w:val="0"/>
              <w:bidi w:val="0"/>
              <w:ind w:firstLine="480" w:firstLineChars="200"/>
              <w:jc w:val="both"/>
              <w:rPr>
                <w:rFonts w:hint="default"/>
                <w:b w:val="0"/>
                <w:bCs w:val="0"/>
                <w:color w:val="auto"/>
                <w:highlight w:val="none"/>
                <w:lang w:val="en-US" w:eastAsia="zh-CN"/>
              </w:rPr>
            </w:pPr>
            <w:r>
              <w:rPr>
                <w:rFonts w:hint="eastAsia"/>
                <w:b w:val="0"/>
                <w:bCs w:val="0"/>
                <w:color w:val="auto"/>
                <w:highlight w:val="none"/>
                <w:lang w:val="en-US" w:eastAsia="zh-CN"/>
              </w:rPr>
              <w:t>由前文计算可知，水性漆喷枪清洗废水产生量为1.35m</w:t>
            </w:r>
            <w:r>
              <w:rPr>
                <w:rFonts w:hint="eastAsia"/>
                <w:b w:val="0"/>
                <w:bCs w:val="0"/>
                <w:color w:val="auto"/>
                <w:highlight w:val="none"/>
                <w:vertAlign w:val="superscript"/>
                <w:lang w:val="en-US" w:eastAsia="zh-CN"/>
              </w:rPr>
              <w:t>3</w:t>
            </w:r>
            <w:r>
              <w:rPr>
                <w:rFonts w:hint="eastAsia"/>
                <w:b w:val="0"/>
                <w:bCs w:val="0"/>
                <w:color w:val="auto"/>
                <w:highlight w:val="none"/>
                <w:vertAlign w:val="baseline"/>
                <w:lang w:val="en-US" w:eastAsia="zh-CN"/>
              </w:rPr>
              <w:t>/a</w:t>
            </w:r>
            <w:r>
              <w:rPr>
                <w:rFonts w:hint="eastAsia"/>
                <w:b w:val="0"/>
                <w:bCs w:val="0"/>
                <w:color w:val="auto"/>
                <w:highlight w:val="none"/>
                <w:lang w:val="en-US" w:eastAsia="zh-CN"/>
              </w:rPr>
              <w:t>，由于水中主要含有机溶剂油漆等，成分复杂，交由有危废资质单位处置。</w:t>
            </w:r>
          </w:p>
          <w:p w14:paraId="4B95D012">
            <w:pPr>
              <w:pStyle w:val="11"/>
              <w:pageBreakBefore w:val="0"/>
              <w:numPr>
                <w:ilvl w:val="4"/>
                <w:numId w:val="0"/>
              </w:numPr>
              <w:kinsoku/>
              <w:wordWrap w:val="0"/>
              <w:overflowPunct/>
              <w:topLinePunct w:val="0"/>
              <w:bidi w:val="0"/>
              <w:ind w:firstLine="480" w:firstLineChars="200"/>
              <w:jc w:val="both"/>
              <w:rPr>
                <w:rFonts w:hint="default" w:eastAsia="宋体"/>
                <w:b w:val="0"/>
                <w:bCs w:val="0"/>
                <w:color w:val="auto"/>
                <w:highlight w:val="none"/>
                <w:lang w:val="en-US" w:eastAsia="zh-CN"/>
              </w:rPr>
            </w:pPr>
            <w:r>
              <w:rPr>
                <w:rFonts w:hint="eastAsia"/>
                <w:b w:val="0"/>
                <w:bCs w:val="0"/>
                <w:color w:val="auto"/>
                <w:highlight w:val="none"/>
                <w:lang w:val="en-US" w:eastAsia="zh-CN"/>
              </w:rPr>
              <w:t>（5）水帘柜废水、喷淋废水</w:t>
            </w:r>
          </w:p>
          <w:p w14:paraId="6151B688">
            <w:pPr>
              <w:pageBreakBefore w:val="0"/>
              <w:kinsoku/>
              <w:wordWrap w:val="0"/>
              <w:overflowPunct/>
              <w:topLinePunct w:val="0"/>
              <w:bidi w:val="0"/>
              <w:adjustRightInd w:val="0"/>
              <w:ind w:firstLine="480" w:firstLineChars="200"/>
              <w:rPr>
                <w:rFonts w:hint="eastAsia" w:eastAsia="宋体"/>
                <w:b w:val="0"/>
                <w:bCs w:val="0"/>
                <w:color w:val="auto"/>
                <w:highlight w:val="none"/>
                <w:lang w:val="en-US" w:eastAsia="zh-CN"/>
              </w:rPr>
            </w:pPr>
            <w:r>
              <w:rPr>
                <w:rFonts w:hint="eastAsia"/>
                <w:b w:val="0"/>
                <w:bCs w:val="0"/>
                <w:color w:val="auto"/>
                <w:highlight w:val="none"/>
              </w:rPr>
              <w:t>本项目</w:t>
            </w:r>
            <w:r>
              <w:rPr>
                <w:rFonts w:hint="eastAsia"/>
                <w:b w:val="0"/>
                <w:bCs w:val="0"/>
                <w:color w:val="auto"/>
                <w:highlight w:val="none"/>
                <w:lang w:val="en-US" w:eastAsia="zh-CN"/>
              </w:rPr>
              <w:t>喷涂工序</w:t>
            </w:r>
            <w:r>
              <w:rPr>
                <w:rFonts w:hint="eastAsia"/>
                <w:b w:val="0"/>
                <w:bCs w:val="0"/>
                <w:color w:val="auto"/>
                <w:highlight w:val="none"/>
              </w:rPr>
              <w:t>配套“</w:t>
            </w:r>
            <w:r>
              <w:rPr>
                <w:rFonts w:hint="eastAsia"/>
                <w:b w:val="0"/>
                <w:bCs w:val="0"/>
                <w:color w:val="auto"/>
                <w:highlight w:val="none"/>
                <w:lang w:eastAsia="zh-CN"/>
              </w:rPr>
              <w:t>水帘柜</w:t>
            </w:r>
            <w:r>
              <w:rPr>
                <w:rFonts w:hint="eastAsia"/>
                <w:b w:val="0"/>
                <w:bCs w:val="0"/>
                <w:color w:val="auto"/>
                <w:highlight w:val="none"/>
              </w:rPr>
              <w:t>喷淋+干式过滤器+</w:t>
            </w:r>
            <w:r>
              <w:rPr>
                <w:rFonts w:hint="eastAsia"/>
                <w:b w:val="0"/>
                <w:bCs w:val="0"/>
                <w:color w:val="auto"/>
                <w:highlight w:val="none"/>
                <w:lang w:eastAsia="zh-CN"/>
              </w:rPr>
              <w:t>二</w:t>
            </w:r>
            <w:r>
              <w:rPr>
                <w:rFonts w:hint="eastAsia"/>
                <w:b w:val="0"/>
                <w:bCs w:val="0"/>
                <w:color w:val="auto"/>
                <w:highlight w:val="none"/>
              </w:rPr>
              <w:t>级活性炭吸附</w:t>
            </w:r>
            <w:r>
              <w:rPr>
                <w:rFonts w:hint="eastAsia"/>
                <w:b w:val="0"/>
                <w:bCs w:val="0"/>
                <w:color w:val="auto"/>
                <w:highlight w:val="none"/>
                <w:lang w:eastAsia="zh-CN"/>
              </w:rPr>
              <w:t>装置</w:t>
            </w:r>
            <w:r>
              <w:rPr>
                <w:rFonts w:hint="eastAsia"/>
                <w:b w:val="0"/>
                <w:bCs w:val="0"/>
                <w:color w:val="auto"/>
                <w:highlight w:val="none"/>
              </w:rPr>
              <w:t>”废气处理设施对废气进行收集处理，</w:t>
            </w:r>
            <w:bookmarkEnd w:id="123"/>
            <w:bookmarkEnd w:id="124"/>
            <w:bookmarkEnd w:id="125"/>
            <w:bookmarkEnd w:id="126"/>
            <w:r>
              <w:rPr>
                <w:rFonts w:hint="eastAsia"/>
                <w:b w:val="0"/>
                <w:bCs w:val="0"/>
                <w:color w:val="auto"/>
                <w:highlight w:val="none"/>
                <w:lang w:val="en-US" w:eastAsia="zh-CN"/>
              </w:rPr>
              <w:t>由前文计算可知，</w:t>
            </w:r>
            <w:r>
              <w:rPr>
                <w:rFonts w:hint="eastAsia" w:cs="Times New Roman"/>
                <w:color w:val="auto"/>
                <w:highlight w:val="none"/>
                <w:lang w:val="en-US" w:eastAsia="zh-CN"/>
              </w:rPr>
              <w:t>每年产生的水帘柜</w:t>
            </w:r>
            <w:r>
              <w:rPr>
                <w:rFonts w:hint="default" w:ascii="Times New Roman" w:hAnsi="Times New Roman" w:cs="Times New Roman"/>
                <w:color w:val="auto"/>
                <w:highlight w:val="none"/>
                <w:lang w:val="en-US" w:eastAsia="zh-CN"/>
              </w:rPr>
              <w:t>喷淋</w:t>
            </w:r>
            <w:r>
              <w:rPr>
                <w:rFonts w:hint="eastAsia" w:cs="Times New Roman"/>
                <w:color w:val="auto"/>
                <w:highlight w:val="none"/>
                <w:lang w:val="en-US" w:eastAsia="zh-CN"/>
              </w:rPr>
              <w:t>废</w:t>
            </w:r>
            <w:r>
              <w:rPr>
                <w:rFonts w:hint="default" w:ascii="Times New Roman" w:hAnsi="Times New Roman" w:cs="Times New Roman"/>
                <w:color w:val="auto"/>
                <w:highlight w:val="none"/>
                <w:lang w:val="en-US" w:eastAsia="zh-CN"/>
              </w:rPr>
              <w:t>水</w:t>
            </w:r>
            <w:r>
              <w:rPr>
                <w:rFonts w:hint="eastAsia" w:cs="Times New Roman"/>
                <w:color w:val="auto"/>
                <w:highlight w:val="none"/>
                <w:lang w:val="en-US" w:eastAsia="zh-CN"/>
              </w:rPr>
              <w:t>为60</w:t>
            </w:r>
            <w:r>
              <w:rPr>
                <w:rFonts w:hint="eastAsia" w:ascii="Times New Roman" w:hAnsi="Times New Roman" w:eastAsia="宋体" w:cs="Times New Roman"/>
                <w:color w:val="auto"/>
                <w:kern w:val="0"/>
                <w:sz w:val="24"/>
                <w:szCs w:val="24"/>
                <w:highlight w:val="none"/>
                <w:lang w:val="en-US" w:eastAsia="zh-CN"/>
              </w:rPr>
              <w:t>m</w:t>
            </w:r>
            <w:r>
              <w:rPr>
                <w:rFonts w:hint="eastAsia" w:ascii="Times New Roman" w:hAnsi="Times New Roman" w:eastAsia="宋体" w:cs="Times New Roman"/>
                <w:color w:val="auto"/>
                <w:kern w:val="0"/>
                <w:sz w:val="24"/>
                <w:szCs w:val="24"/>
                <w:highlight w:val="none"/>
                <w:vertAlign w:val="superscript"/>
                <w:lang w:val="en-US" w:eastAsia="zh-CN"/>
              </w:rPr>
              <w:t>3</w:t>
            </w:r>
            <w:r>
              <w:rPr>
                <w:rFonts w:hint="eastAsia" w:cs="Times New Roman"/>
                <w:color w:val="auto"/>
                <w:highlight w:val="none"/>
                <w:lang w:val="en-US" w:eastAsia="zh-CN"/>
              </w:rPr>
              <w:t>，喷淋塔废水19.2m</w:t>
            </w:r>
            <w:r>
              <w:rPr>
                <w:rFonts w:hint="eastAsia" w:cs="Times New Roman"/>
                <w:color w:val="auto"/>
                <w:highlight w:val="none"/>
                <w:vertAlign w:val="superscript"/>
                <w:lang w:val="en-US" w:eastAsia="zh-CN"/>
              </w:rPr>
              <w:t>3</w:t>
            </w:r>
            <w:r>
              <w:rPr>
                <w:rFonts w:hint="eastAsia" w:cs="Times New Roman"/>
                <w:color w:val="auto"/>
                <w:highlight w:val="none"/>
                <w:vertAlign w:val="baseline"/>
                <w:lang w:val="en-US" w:eastAsia="zh-CN"/>
              </w:rPr>
              <w:t>，</w:t>
            </w:r>
            <w:r>
              <w:rPr>
                <w:rFonts w:hint="eastAsia"/>
                <w:color w:val="auto"/>
                <w:highlight w:val="none"/>
              </w:rPr>
              <w:t>交由有危废资质单位处置</w:t>
            </w:r>
            <w:r>
              <w:rPr>
                <w:rFonts w:hint="eastAsia" w:cs="Times New Roman"/>
                <w:color w:val="auto"/>
                <w:highlight w:val="none"/>
                <w:vertAlign w:val="baseline"/>
                <w:lang w:val="en-US" w:eastAsia="zh-CN"/>
              </w:rPr>
              <w:t>。</w:t>
            </w:r>
          </w:p>
          <w:p w14:paraId="63506764">
            <w:pPr>
              <w:pageBreakBefore w:val="0"/>
              <w:kinsoku/>
              <w:wordWrap w:val="0"/>
              <w:overflowPunct/>
              <w:topLinePunct w:val="0"/>
              <w:bidi w:val="0"/>
              <w:adjustRightInd w:val="0"/>
              <w:ind w:firstLine="480" w:firstLineChars="200"/>
              <w:rPr>
                <w:rFonts w:hint="eastAsia" w:cs="Times New Roman"/>
                <w:color w:val="auto"/>
                <w:highlight w:val="none"/>
                <w:vertAlign w:val="baseline"/>
                <w:lang w:val="en-US" w:eastAsia="zh-CN"/>
              </w:rPr>
            </w:pPr>
            <w:r>
              <w:rPr>
                <w:rFonts w:hint="eastAsia"/>
                <w:b w:val="0"/>
                <w:bCs w:val="0"/>
                <w:color w:val="auto"/>
                <w:highlight w:val="none"/>
                <w:lang w:val="en-US" w:eastAsia="zh-CN"/>
              </w:rPr>
              <w:t>综上可知</w:t>
            </w:r>
            <w:r>
              <w:rPr>
                <w:rFonts w:hint="eastAsia"/>
                <w:b w:val="0"/>
                <w:bCs w:val="0"/>
                <w:color w:val="auto"/>
                <w:highlight w:val="none"/>
                <w:lang w:eastAsia="zh-CN"/>
              </w:rPr>
              <w:t>，</w:t>
            </w:r>
            <w:r>
              <w:rPr>
                <w:rFonts w:hint="eastAsia"/>
                <w:b w:val="0"/>
                <w:bCs w:val="0"/>
                <w:color w:val="auto"/>
                <w:highlight w:val="none"/>
                <w:lang w:val="en-US" w:eastAsia="zh-CN"/>
              </w:rPr>
              <w:t>本项目运营期</w:t>
            </w:r>
            <w:r>
              <w:rPr>
                <w:rFonts w:hint="eastAsia"/>
                <w:b w:val="0"/>
                <w:bCs w:val="0"/>
                <w:color w:val="auto"/>
                <w:highlight w:val="none"/>
                <w:lang w:eastAsia="zh-CN"/>
              </w:rPr>
              <w:t>产生的</w:t>
            </w:r>
            <w:r>
              <w:rPr>
                <w:rFonts w:hint="eastAsia"/>
                <w:b w:val="0"/>
                <w:bCs w:val="0"/>
                <w:color w:val="auto"/>
                <w:highlight w:val="none"/>
                <w:lang w:val="en-US" w:eastAsia="zh-CN"/>
              </w:rPr>
              <w:t>外排生产废水前处理废水送入自建污水处理站处理后，排入</w:t>
            </w:r>
            <w:r>
              <w:rPr>
                <w:rFonts w:hint="eastAsia" w:cs="Times New Roman"/>
                <w:color w:val="auto"/>
                <w:highlight w:val="none"/>
                <w:vertAlign w:val="baseline"/>
                <w:lang w:val="en-US" w:eastAsia="zh-CN"/>
              </w:rPr>
              <w:t>园区污水处理厂进一步处理，最终排至武江。</w:t>
            </w:r>
          </w:p>
          <w:p w14:paraId="739027BC">
            <w:pPr>
              <w:pageBreakBefore w:val="0"/>
              <w:kinsoku/>
              <w:wordWrap w:val="0"/>
              <w:overflowPunct/>
              <w:topLinePunct w:val="0"/>
              <w:bidi w:val="0"/>
              <w:adjustRightInd w:val="0"/>
              <w:ind w:firstLine="480" w:firstLineChars="200"/>
              <w:rPr>
                <w:rFonts w:hint="eastAsia" w:cs="Times New Roman"/>
                <w:color w:val="auto"/>
                <w:highlight w:val="none"/>
                <w:vertAlign w:val="baseline"/>
                <w:lang w:val="en-US" w:eastAsia="zh-CN"/>
              </w:rPr>
            </w:pPr>
            <w:r>
              <w:rPr>
                <w:rFonts w:hint="eastAsia" w:cs="Times New Roman"/>
                <w:color w:val="auto"/>
                <w:highlight w:val="none"/>
                <w:vertAlign w:val="baseline"/>
                <w:lang w:val="en-US" w:eastAsia="zh-CN"/>
              </w:rPr>
              <w:t>根据《排放源统计调查产排污核算方法和系数手册》（公告 2021 年第 24 号）中 33-37、431-434 机械行业系数手册的 06 预处理、11 转化膜处理，脱脂 CODcr 产生量为 714 kg/t原料、总磷产生量为 5.1 kg/t 原料、石油类产生量为 51 kg/吨原料，磷化 CODcr 产生量为101 kg/t 原料、总磷产生量为 80.8 kg/t 原料、总氮 10.1 kg/t 原料。项目脱脂剂使用量为1.8 t/a、表调剂和磷化剂使用量合计为2 t/a，则 CODcr、总磷、石油类、总氮总产生量为1.487t/a、0.171 t/a、0.092 t/a、0.02 t/a。水洗废水产生量为 2508 m</w:t>
            </w:r>
            <w:r>
              <w:rPr>
                <w:rFonts w:hint="eastAsia" w:cs="Times New Roman"/>
                <w:color w:val="auto"/>
                <w:highlight w:val="none"/>
                <w:vertAlign w:val="superscript"/>
                <w:lang w:val="en-US" w:eastAsia="zh-CN"/>
              </w:rPr>
              <w:t>3</w:t>
            </w:r>
            <w:r>
              <w:rPr>
                <w:rFonts w:hint="eastAsia" w:cs="Times New Roman"/>
                <w:color w:val="auto"/>
                <w:highlight w:val="none"/>
                <w:vertAlign w:val="baseline"/>
                <w:lang w:val="en-US" w:eastAsia="zh-CN"/>
              </w:rPr>
              <w:t>/a，BOD</w:t>
            </w:r>
            <w:r>
              <w:rPr>
                <w:rFonts w:hint="eastAsia" w:cs="Times New Roman"/>
                <w:color w:val="auto"/>
                <w:highlight w:val="none"/>
                <w:vertAlign w:val="subscript"/>
                <w:lang w:val="en-US" w:eastAsia="zh-CN"/>
              </w:rPr>
              <w:t>5</w:t>
            </w:r>
            <w:r>
              <w:rPr>
                <w:rFonts w:hint="eastAsia" w:cs="Times New Roman"/>
                <w:color w:val="auto"/>
                <w:highlight w:val="none"/>
                <w:vertAlign w:val="baseline"/>
                <w:lang w:val="en-US" w:eastAsia="zh-CN"/>
              </w:rPr>
              <w:t>的产生量按 CODCr的三分之一计，计算得 CODcr、总磷、石油类、总氮、BOD</w:t>
            </w:r>
            <w:r>
              <w:rPr>
                <w:rFonts w:hint="eastAsia" w:cs="Times New Roman"/>
                <w:color w:val="auto"/>
                <w:highlight w:val="none"/>
                <w:vertAlign w:val="subscript"/>
                <w:lang w:val="en-US" w:eastAsia="zh-CN"/>
              </w:rPr>
              <w:t>5</w:t>
            </w:r>
            <w:r>
              <w:rPr>
                <w:rFonts w:hint="eastAsia" w:cs="Times New Roman"/>
                <w:color w:val="auto"/>
                <w:highlight w:val="none"/>
                <w:vertAlign w:val="baseline"/>
                <w:lang w:val="en-US" w:eastAsia="zh-CN"/>
              </w:rPr>
              <w:t xml:space="preserve"> 浓度分别为 593 mg/L、68.1mg/L、36.6mg/L、8.1 mg/L、197.7 mg/L。</w:t>
            </w:r>
            <w:r>
              <w:rPr>
                <w:rFonts w:hint="eastAsia" w:ascii="Times New Roman" w:hAnsi="Times New Roman" w:eastAsia="宋体" w:cs="Times New Roman"/>
                <w:b w:val="0"/>
                <w:bCs w:val="0"/>
                <w:color w:val="auto"/>
                <w:spacing w:val="-3"/>
                <w:kern w:val="2"/>
                <w:sz w:val="24"/>
                <w:szCs w:val="24"/>
                <w:highlight w:val="none"/>
                <w:lang w:val="en-US" w:eastAsia="zh-CN" w:bidi="ar-SA"/>
              </w:rPr>
              <w:t>表调剂氟钛酸（H</w:t>
            </w:r>
            <w:r>
              <w:rPr>
                <w:rFonts w:hint="eastAsia" w:ascii="Times New Roman" w:hAnsi="Times New Roman" w:eastAsia="宋体" w:cs="Times New Roman"/>
                <w:b w:val="0"/>
                <w:bCs w:val="0"/>
                <w:color w:val="auto"/>
                <w:spacing w:val="-3"/>
                <w:kern w:val="2"/>
                <w:sz w:val="24"/>
                <w:szCs w:val="24"/>
                <w:highlight w:val="none"/>
                <w:vertAlign w:val="subscript"/>
                <w:lang w:val="en-US" w:eastAsia="zh-CN" w:bidi="ar-SA"/>
              </w:rPr>
              <w:t>2</w:t>
            </w:r>
            <w:r>
              <w:rPr>
                <w:rFonts w:hint="eastAsia" w:ascii="Times New Roman" w:hAnsi="Times New Roman" w:eastAsia="宋体" w:cs="Times New Roman"/>
                <w:b w:val="0"/>
                <w:bCs w:val="0"/>
                <w:color w:val="auto"/>
                <w:spacing w:val="-3"/>
                <w:kern w:val="2"/>
                <w:sz w:val="24"/>
                <w:szCs w:val="24"/>
                <w:highlight w:val="none"/>
                <w:lang w:val="en-US" w:eastAsia="zh-CN" w:bidi="ar-SA"/>
              </w:rPr>
              <w:t>TiF</w:t>
            </w:r>
            <w:r>
              <w:rPr>
                <w:rFonts w:hint="eastAsia" w:ascii="Times New Roman" w:hAnsi="Times New Roman" w:eastAsia="宋体" w:cs="Times New Roman"/>
                <w:b w:val="0"/>
                <w:bCs w:val="0"/>
                <w:color w:val="auto"/>
                <w:spacing w:val="-3"/>
                <w:kern w:val="2"/>
                <w:sz w:val="24"/>
                <w:szCs w:val="24"/>
                <w:highlight w:val="none"/>
                <w:vertAlign w:val="subscript"/>
                <w:lang w:val="en-US" w:eastAsia="zh-CN" w:bidi="ar-SA"/>
              </w:rPr>
              <w:t>6</w:t>
            </w:r>
            <w:r>
              <w:rPr>
                <w:rFonts w:hint="eastAsia" w:ascii="Times New Roman" w:hAnsi="Times New Roman" w:eastAsia="宋体" w:cs="Times New Roman"/>
                <w:b w:val="0"/>
                <w:bCs w:val="0"/>
                <w:color w:val="auto"/>
                <w:spacing w:val="-3"/>
                <w:kern w:val="2"/>
                <w:sz w:val="24"/>
                <w:szCs w:val="24"/>
                <w:highlight w:val="none"/>
                <w:lang w:val="en-US" w:eastAsia="zh-CN" w:bidi="ar-SA"/>
              </w:rPr>
              <w:t>）含量为30%，则其中氟元素含量约为6</w:t>
            </w:r>
            <w:r>
              <w:rPr>
                <w:rFonts w:hint="eastAsia" w:cs="Times New Roman"/>
                <w:b w:val="0"/>
                <w:bCs w:val="0"/>
                <w:color w:val="auto"/>
                <w:spacing w:val="-3"/>
                <w:kern w:val="2"/>
                <w:sz w:val="24"/>
                <w:szCs w:val="24"/>
                <w:highlight w:val="none"/>
                <w:lang w:val="en-US" w:eastAsia="zh-CN" w:bidi="ar-SA"/>
              </w:rPr>
              <w:t>×</w:t>
            </w:r>
            <w:r>
              <w:rPr>
                <w:rFonts w:hint="eastAsia" w:ascii="Times New Roman" w:hAnsi="Times New Roman" w:eastAsia="宋体" w:cs="Times New Roman"/>
                <w:b w:val="0"/>
                <w:bCs w:val="0"/>
                <w:color w:val="auto"/>
                <w:spacing w:val="-3"/>
                <w:kern w:val="2"/>
                <w:sz w:val="24"/>
                <w:szCs w:val="24"/>
                <w:highlight w:val="none"/>
                <w:lang w:val="en-US" w:eastAsia="zh-CN" w:bidi="ar-SA"/>
              </w:rPr>
              <w:t>19/164</w:t>
            </w:r>
            <w:r>
              <w:rPr>
                <w:rFonts w:hint="eastAsia" w:cs="Times New Roman"/>
                <w:b w:val="0"/>
                <w:bCs w:val="0"/>
                <w:color w:val="auto"/>
                <w:spacing w:val="-3"/>
                <w:kern w:val="2"/>
                <w:sz w:val="24"/>
                <w:szCs w:val="24"/>
                <w:highlight w:val="none"/>
                <w:lang w:val="en-US" w:eastAsia="zh-CN" w:bidi="ar-SA"/>
              </w:rPr>
              <w:t>×</w:t>
            </w:r>
            <w:r>
              <w:rPr>
                <w:rFonts w:hint="eastAsia" w:ascii="Times New Roman" w:hAnsi="Times New Roman" w:eastAsia="宋体" w:cs="Times New Roman"/>
                <w:b w:val="0"/>
                <w:bCs w:val="0"/>
                <w:color w:val="auto"/>
                <w:spacing w:val="-3"/>
                <w:kern w:val="2"/>
                <w:sz w:val="24"/>
                <w:szCs w:val="24"/>
                <w:highlight w:val="none"/>
                <w:lang w:val="en-US" w:eastAsia="zh-CN" w:bidi="ar-SA"/>
              </w:rPr>
              <w:t>30%=20.85%。使用量为0.5t/a，按利用率50%计，进入废水中的氟化物量为0.5</w:t>
            </w:r>
            <w:r>
              <w:rPr>
                <w:rFonts w:hint="eastAsia" w:cs="Times New Roman"/>
                <w:b w:val="0"/>
                <w:bCs w:val="0"/>
                <w:color w:val="auto"/>
                <w:spacing w:val="-3"/>
                <w:kern w:val="2"/>
                <w:sz w:val="24"/>
                <w:szCs w:val="24"/>
                <w:highlight w:val="none"/>
                <w:lang w:val="en-US" w:eastAsia="zh-CN" w:bidi="ar-SA"/>
              </w:rPr>
              <w:t>×</w:t>
            </w:r>
            <w:r>
              <w:rPr>
                <w:rFonts w:hint="eastAsia" w:ascii="Times New Roman" w:hAnsi="Times New Roman" w:eastAsia="宋体" w:cs="Times New Roman"/>
                <w:b w:val="0"/>
                <w:bCs w:val="0"/>
                <w:color w:val="auto"/>
                <w:spacing w:val="-3"/>
                <w:kern w:val="2"/>
                <w:sz w:val="24"/>
                <w:szCs w:val="24"/>
                <w:highlight w:val="none"/>
                <w:lang w:val="en-US" w:eastAsia="zh-CN" w:bidi="ar-SA"/>
              </w:rPr>
              <w:t>20.85%</w:t>
            </w:r>
            <w:r>
              <w:rPr>
                <w:rFonts w:hint="eastAsia" w:cs="Times New Roman"/>
                <w:b w:val="0"/>
                <w:bCs w:val="0"/>
                <w:color w:val="auto"/>
                <w:spacing w:val="-3"/>
                <w:kern w:val="2"/>
                <w:sz w:val="24"/>
                <w:szCs w:val="24"/>
                <w:highlight w:val="none"/>
                <w:lang w:val="en-US" w:eastAsia="zh-CN" w:bidi="ar-SA"/>
              </w:rPr>
              <w:t>×</w:t>
            </w:r>
            <w:r>
              <w:rPr>
                <w:rFonts w:hint="eastAsia" w:ascii="Times New Roman" w:hAnsi="Times New Roman" w:eastAsia="宋体" w:cs="Times New Roman"/>
                <w:b w:val="0"/>
                <w:bCs w:val="0"/>
                <w:color w:val="auto"/>
                <w:spacing w:val="-3"/>
                <w:kern w:val="2"/>
                <w:sz w:val="24"/>
                <w:szCs w:val="24"/>
                <w:highlight w:val="none"/>
                <w:lang w:val="en-US" w:eastAsia="zh-CN" w:bidi="ar-SA"/>
              </w:rPr>
              <w:t>50%=0.052t/a。</w:t>
            </w:r>
          </w:p>
          <w:p w14:paraId="4E67C9D6">
            <w:pPr>
              <w:pageBreakBefore w:val="0"/>
              <w:kinsoku/>
              <w:wordWrap w:val="0"/>
              <w:overflowPunct/>
              <w:topLinePunct w:val="0"/>
              <w:bidi w:val="0"/>
              <w:adjustRightInd w:val="0"/>
              <w:ind w:firstLine="480" w:firstLineChars="200"/>
              <w:rPr>
                <w:rFonts w:hint="default" w:cs="Times New Roman"/>
                <w:color w:val="auto"/>
                <w:highlight w:val="none"/>
                <w:vertAlign w:val="baseline"/>
                <w:lang w:val="en-US" w:eastAsia="zh-CN"/>
              </w:rPr>
            </w:pPr>
            <w:r>
              <w:rPr>
                <w:rFonts w:hint="eastAsia" w:cs="Times New Roman"/>
                <w:color w:val="auto"/>
                <w:highlight w:val="none"/>
                <w:vertAlign w:val="baseline"/>
                <w:lang w:val="en-US" w:eastAsia="zh-CN"/>
              </w:rPr>
              <w:t>水洗废水污染物 SS 、氨氮、 LAS 、总铁、总锌产生浓度参考江门市新会区溢鹏金属制品有限公司委托江门中环检测技术有限公司综合废水污染物浓度的检测结果，监测报告编号为 JMZH20221107016。</w:t>
            </w:r>
            <w:r>
              <w:rPr>
                <w:rFonts w:hint="eastAsia" w:ascii="Times New Roman" w:hAnsi="Times New Roman" w:eastAsia="宋体" w:cs="Times New Roman"/>
                <w:b w:val="0"/>
                <w:bCs w:val="0"/>
                <w:color w:val="auto"/>
                <w:spacing w:val="-3"/>
                <w:kern w:val="2"/>
                <w:sz w:val="24"/>
                <w:szCs w:val="24"/>
                <w:highlight w:val="none"/>
                <w:lang w:val="en-US" w:eastAsia="zh-CN" w:bidi="ar-SA"/>
              </w:rPr>
              <w:t>磷化剂中锌含量约为12%。使用量为1.5t/a，按利用率50%计，进入废水中的锌至少为1.5×50%×50%=0.375t/a。该部分的锌随磷化槽液一同交由有危险废物处置资质单位处置，不进入自建污水处理站。故总锌的浓度参考类比项目是可行的</w:t>
            </w:r>
            <w:r>
              <w:rPr>
                <w:rFonts w:hint="eastAsia" w:cs="Times New Roman"/>
                <w:color w:val="auto"/>
                <w:highlight w:val="none"/>
                <w:vertAlign w:val="baseline"/>
                <w:lang w:val="en-US" w:eastAsia="zh-CN"/>
              </w:rPr>
              <w:t>。</w:t>
            </w:r>
          </w:p>
          <w:p w14:paraId="5281E0A5">
            <w:pPr>
              <w:pageBreakBefore w:val="0"/>
              <w:kinsoku/>
              <w:wordWrap w:val="0"/>
              <w:overflowPunct/>
              <w:topLinePunct w:val="0"/>
              <w:bidi w:val="0"/>
              <w:adjustRightInd w:val="0"/>
              <w:ind w:firstLine="480" w:firstLineChars="200"/>
              <w:rPr>
                <w:rFonts w:hint="eastAsia" w:ascii="Times New Roman" w:hAnsi="Times New Roman" w:eastAsia="宋体" w:cs="Times New Roman"/>
                <w:b/>
                <w:color w:val="auto"/>
                <w:sz w:val="21"/>
                <w:szCs w:val="21"/>
                <w:highlight w:val="none"/>
                <w:lang w:val="en-US" w:eastAsia="zh-CN"/>
              </w:rPr>
            </w:pPr>
            <w:r>
              <w:rPr>
                <w:rFonts w:hint="eastAsia" w:cs="Times New Roman"/>
                <w:color w:val="auto"/>
                <w:highlight w:val="none"/>
                <w:vertAlign w:val="baseline"/>
                <w:lang w:val="en-US" w:eastAsia="zh-CN"/>
              </w:rPr>
              <w:t>生产废水产排情况表如下。</w:t>
            </w:r>
          </w:p>
          <w:p w14:paraId="4718BCE0">
            <w:pPr>
              <w:keepNext w:val="0"/>
              <w:keepLines w:val="0"/>
              <w:pageBreakBefore w:val="0"/>
              <w:widowControl w:val="0"/>
              <w:numPr>
                <w:ilvl w:val="0"/>
                <w:numId w:val="10"/>
              </w:numPr>
              <w:kinsoku/>
              <w:wordWrap w:val="0"/>
              <w:overflowPunct/>
              <w:topLinePunct w:val="0"/>
              <w:autoSpaceDE/>
              <w:autoSpaceDN/>
              <w:bidi w:val="0"/>
              <w:adjustRightInd/>
              <w:snapToGrid/>
              <w:spacing w:line="240" w:lineRule="auto"/>
              <w:ind w:left="0" w:leftChars="0" w:hanging="1" w:firstLineChars="0"/>
              <w:jc w:val="center"/>
              <w:textAlignment w:val="auto"/>
              <w:rPr>
                <w:rFonts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color w:val="auto"/>
                <w:sz w:val="21"/>
                <w:szCs w:val="21"/>
                <w:highlight w:val="none"/>
                <w:lang w:val="en-US" w:eastAsia="zh-CN"/>
              </w:rPr>
              <w:t xml:space="preserve">  生产</w:t>
            </w:r>
            <w:r>
              <w:rPr>
                <w:rFonts w:hint="eastAsia" w:cs="Times New Roman"/>
                <w:b/>
                <w:bCs/>
                <w:color w:val="auto"/>
                <w:kern w:val="2"/>
                <w:sz w:val="21"/>
                <w:szCs w:val="21"/>
                <w:highlight w:val="none"/>
                <w:lang w:val="en-US" w:eastAsia="zh-CN" w:bidi="ar-SA"/>
              </w:rPr>
              <w:t>废水</w:t>
            </w:r>
            <w:r>
              <w:rPr>
                <w:rFonts w:ascii="Times New Roman" w:hAnsi="Times New Roman" w:eastAsia="宋体" w:cs="Times New Roman"/>
                <w:b/>
                <w:bCs/>
                <w:color w:val="auto"/>
                <w:kern w:val="2"/>
                <w:sz w:val="21"/>
                <w:szCs w:val="21"/>
                <w:highlight w:val="none"/>
                <w:lang w:val="en-US" w:eastAsia="zh-CN" w:bidi="ar-SA"/>
              </w:rPr>
              <w:t>污染源源强核算结果及相关参数一览表</w:t>
            </w:r>
          </w:p>
          <w:tbl>
            <w:tblPr>
              <w:tblStyle w:val="43"/>
              <w:tblW w:w="749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3"/>
              <w:gridCol w:w="3332"/>
              <w:gridCol w:w="3334"/>
            </w:tblGrid>
            <w:tr w14:paraId="62613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trPr>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1590F">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类比项目</w:t>
                  </w:r>
                </w:p>
              </w:tc>
              <w:tc>
                <w:tcPr>
                  <w:tcW w:w="2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AEC4C">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val="0"/>
                      <w:bCs w:val="0"/>
                      <w:i w:val="0"/>
                      <w:iCs w:val="0"/>
                      <w:color w:val="auto"/>
                      <w:sz w:val="21"/>
                      <w:szCs w:val="21"/>
                      <w:highlight w:val="none"/>
                      <w:u w:val="none"/>
                    </w:rPr>
                    <w:t>江门市新会区溢鹏金属制品有限公司溢鹏年加工生产垃圾桶650万件、马桶刷450万件、塑料桶200万件、不粘锅100万件、水壶200万件、镜100万件建设项目</w:t>
                  </w:r>
                </w:p>
              </w:tc>
              <w:tc>
                <w:tcPr>
                  <w:tcW w:w="2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EBD8F">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rPr>
                    <w:t>本项目情况</w:t>
                  </w:r>
                </w:p>
              </w:tc>
            </w:tr>
            <w:tr w14:paraId="362C0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79A02">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除油剂类型</w:t>
                  </w:r>
                </w:p>
              </w:tc>
              <w:tc>
                <w:tcPr>
                  <w:tcW w:w="2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E4C59">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碱性脱脂剂</w:t>
                  </w:r>
                </w:p>
              </w:tc>
              <w:tc>
                <w:tcPr>
                  <w:tcW w:w="2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E6D74">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脱脂剂</w:t>
                  </w:r>
                </w:p>
              </w:tc>
            </w:tr>
            <w:tr w14:paraId="10F69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2" w:hRule="atLeast"/>
              </w:trPr>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39452">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生产工艺</w:t>
                  </w:r>
                </w:p>
              </w:tc>
              <w:tc>
                <w:tcPr>
                  <w:tcW w:w="22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8891C">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脱脂、酸洗、中和、表调、磷化、清洗</w:t>
                  </w:r>
                </w:p>
              </w:tc>
              <w:tc>
                <w:tcPr>
                  <w:tcW w:w="2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47E30">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rPr>
                    <w:t>脱脂</w:t>
                  </w:r>
                  <w:r>
                    <w:rPr>
                      <w:rFonts w:hint="eastAsia" w:ascii="宋体" w:hAnsi="宋体" w:eastAsia="宋体" w:cs="宋体"/>
                      <w:i w:val="0"/>
                      <w:iCs w:val="0"/>
                      <w:color w:val="auto"/>
                      <w:kern w:val="0"/>
                      <w:sz w:val="21"/>
                      <w:szCs w:val="21"/>
                      <w:highlight w:val="none"/>
                      <w:u w:val="none"/>
                      <w:lang w:val="en-US" w:eastAsia="zh-CN"/>
                    </w:rPr>
                    <w:t>、</w:t>
                  </w:r>
                  <w:r>
                    <w:rPr>
                      <w:rFonts w:hint="eastAsia" w:ascii="宋体" w:hAnsi="宋体" w:cs="宋体"/>
                      <w:i w:val="0"/>
                      <w:iCs w:val="0"/>
                      <w:color w:val="auto"/>
                      <w:kern w:val="0"/>
                      <w:sz w:val="21"/>
                      <w:szCs w:val="21"/>
                      <w:highlight w:val="none"/>
                      <w:u w:val="none"/>
                      <w:lang w:val="en-US" w:eastAsia="zh-CN"/>
                    </w:rPr>
                    <w:t>酸洗、</w:t>
                  </w:r>
                  <w:r>
                    <w:rPr>
                      <w:rFonts w:hint="eastAsia" w:ascii="宋体" w:hAnsi="宋体" w:eastAsia="宋体" w:cs="宋体"/>
                      <w:i w:val="0"/>
                      <w:iCs w:val="0"/>
                      <w:color w:val="auto"/>
                      <w:kern w:val="0"/>
                      <w:sz w:val="21"/>
                      <w:szCs w:val="21"/>
                      <w:highlight w:val="none"/>
                      <w:u w:val="none"/>
                      <w:lang w:val="en-US" w:eastAsia="zh-CN"/>
                    </w:rPr>
                    <w:t>表调、磷化、水洗</w:t>
                  </w:r>
                </w:p>
              </w:tc>
            </w:tr>
            <w:tr w14:paraId="02EF1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55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F2D0BE">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rPr>
                    <w:t>水质</w:t>
                  </w:r>
                </w:p>
              </w:tc>
              <w:tc>
                <w:tcPr>
                  <w:tcW w:w="22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86E2B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综合废水 CODcr：196 mg/L、BOD₅：53.1 mg/L、总磷：8.29 mg/L、总氮：23.8 mg/L、石油类：2.04 mg/L、SS：29 mg/L、氨氮：9.54 mg/L、LAS：0.146 mg/L、总铁 1.54 mg/L、总锌 1.51 mg/L、氟化物 0.2 mg/L</w:t>
                  </w:r>
                </w:p>
              </w:tc>
              <w:tc>
                <w:tcPr>
                  <w:tcW w:w="2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9B49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类比取值</w:t>
                  </w:r>
                </w:p>
              </w:tc>
            </w:tr>
            <w:tr w14:paraId="68F8A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1" w:hRule="atLeast"/>
              </w:trPr>
              <w:tc>
                <w:tcPr>
                  <w:tcW w:w="5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56937F">
                  <w:pPr>
                    <w:spacing w:line="240" w:lineRule="auto"/>
                    <w:jc w:val="center"/>
                    <w:rPr>
                      <w:rFonts w:hint="eastAsia" w:ascii="宋体" w:hAnsi="宋体" w:eastAsia="宋体" w:cs="宋体"/>
                      <w:i w:val="0"/>
                      <w:iCs w:val="0"/>
                      <w:color w:val="auto"/>
                      <w:sz w:val="21"/>
                      <w:szCs w:val="21"/>
                      <w:highlight w:val="none"/>
                      <w:u w:val="none"/>
                    </w:rPr>
                  </w:pPr>
                </w:p>
              </w:tc>
              <w:tc>
                <w:tcPr>
                  <w:tcW w:w="22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04948">
                  <w:pPr>
                    <w:spacing w:line="240" w:lineRule="auto"/>
                    <w:jc w:val="center"/>
                    <w:rPr>
                      <w:rFonts w:hint="default" w:ascii="Times New Roman" w:hAnsi="Times New Roman" w:eastAsia="宋体" w:cs="Times New Roman"/>
                      <w:i w:val="0"/>
                      <w:iCs w:val="0"/>
                      <w:color w:val="auto"/>
                      <w:sz w:val="21"/>
                      <w:szCs w:val="21"/>
                      <w:highlight w:val="none"/>
                      <w:u w:val="none"/>
                    </w:rPr>
                  </w:pPr>
                </w:p>
              </w:tc>
              <w:tc>
                <w:tcPr>
                  <w:tcW w:w="22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33EC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rPr>
                    <w:t>SS：29 mg/L、氨氮：9.54 mg/L、LAS：0.146 mg/L、总铁 1.54 mg/L、总锌 1.51 mg/L</w:t>
                  </w:r>
                </w:p>
              </w:tc>
            </w:tr>
          </w:tbl>
          <w:p w14:paraId="727E4925">
            <w:pPr>
              <w:keepNext w:val="0"/>
              <w:keepLines w:val="0"/>
              <w:pageBreakBefore w:val="0"/>
              <w:widowControl w:val="0"/>
              <w:numPr>
                <w:ilvl w:val="0"/>
                <w:numId w:val="0"/>
              </w:numPr>
              <w:tabs>
                <w:tab w:val="left" w:pos="0"/>
              </w:tabs>
              <w:kinsoku/>
              <w:wordWrap w:val="0"/>
              <w:overflowPunct/>
              <w:topLinePunct w:val="0"/>
              <w:autoSpaceDE/>
              <w:autoSpaceDN/>
              <w:bidi w:val="0"/>
              <w:adjustRightInd/>
              <w:snapToGrid/>
              <w:spacing w:line="240" w:lineRule="auto"/>
              <w:ind w:left="-1" w:leftChars="0"/>
              <w:jc w:val="both"/>
              <w:textAlignment w:val="auto"/>
              <w:rPr>
                <w:rFonts w:ascii="Times New Roman" w:hAnsi="Times New Roman" w:eastAsia="宋体" w:cs="Times New Roman"/>
                <w:b/>
                <w:bCs/>
                <w:color w:val="auto"/>
                <w:kern w:val="2"/>
                <w:sz w:val="21"/>
                <w:szCs w:val="21"/>
                <w:highlight w:val="none"/>
                <w:lang w:val="en-US" w:eastAsia="zh-CN" w:bidi="ar-SA"/>
              </w:rPr>
            </w:pPr>
          </w:p>
          <w:p w14:paraId="01C03C1D">
            <w:pPr>
              <w:keepNext w:val="0"/>
              <w:keepLines w:val="0"/>
              <w:pageBreakBefore w:val="0"/>
              <w:widowControl w:val="0"/>
              <w:numPr>
                <w:ilvl w:val="0"/>
                <w:numId w:val="10"/>
              </w:numPr>
              <w:kinsoku/>
              <w:wordWrap w:val="0"/>
              <w:overflowPunct/>
              <w:topLinePunct w:val="0"/>
              <w:autoSpaceDE/>
              <w:autoSpaceDN/>
              <w:bidi w:val="0"/>
              <w:adjustRightInd/>
              <w:snapToGrid/>
              <w:spacing w:line="240" w:lineRule="auto"/>
              <w:ind w:left="0" w:leftChars="0" w:hanging="1" w:firstLineChars="0"/>
              <w:jc w:val="center"/>
              <w:textAlignment w:val="auto"/>
              <w:rPr>
                <w:rFonts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color w:val="auto"/>
                <w:sz w:val="21"/>
                <w:szCs w:val="21"/>
                <w:highlight w:val="none"/>
                <w:lang w:val="en-US" w:eastAsia="zh-CN"/>
              </w:rPr>
              <w:t>生产</w:t>
            </w:r>
            <w:r>
              <w:rPr>
                <w:rFonts w:hint="eastAsia" w:cs="Times New Roman"/>
                <w:b/>
                <w:bCs/>
                <w:color w:val="auto"/>
                <w:kern w:val="2"/>
                <w:sz w:val="21"/>
                <w:szCs w:val="21"/>
                <w:highlight w:val="none"/>
                <w:lang w:val="en-US" w:eastAsia="zh-CN" w:bidi="ar-SA"/>
              </w:rPr>
              <w:t>废水</w:t>
            </w:r>
            <w:r>
              <w:rPr>
                <w:rFonts w:ascii="Times New Roman" w:hAnsi="Times New Roman" w:eastAsia="宋体" w:cs="Times New Roman"/>
                <w:b/>
                <w:bCs/>
                <w:color w:val="auto"/>
                <w:kern w:val="2"/>
                <w:sz w:val="21"/>
                <w:szCs w:val="21"/>
                <w:highlight w:val="none"/>
                <w:lang w:val="en-US" w:eastAsia="zh-CN" w:bidi="ar-SA"/>
              </w:rPr>
              <w:t>污染源源强核算结果及相关参数一览表</w:t>
            </w:r>
          </w:p>
          <w:tbl>
            <w:tblPr>
              <w:tblStyle w:val="43"/>
              <w:tblW w:w="0" w:type="auto"/>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08"/>
              <w:gridCol w:w="542"/>
              <w:gridCol w:w="422"/>
              <w:gridCol w:w="605"/>
              <w:gridCol w:w="500"/>
              <w:gridCol w:w="516"/>
              <w:gridCol w:w="502"/>
              <w:gridCol w:w="588"/>
              <w:gridCol w:w="552"/>
              <w:gridCol w:w="528"/>
              <w:gridCol w:w="544"/>
              <w:gridCol w:w="588"/>
              <w:gridCol w:w="588"/>
              <w:gridCol w:w="588"/>
            </w:tblGrid>
            <w:tr w14:paraId="1C4CB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1370"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558FF77">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0"/>
                      <w:szCs w:val="20"/>
                      <w:highlight w:val="none"/>
                      <w:u w:val="none"/>
                    </w:rPr>
                  </w:pPr>
                  <w:r>
                    <w:rPr>
                      <w:rFonts w:hint="default" w:ascii="Times New Roman" w:hAnsi="Times New Roman" w:eastAsia="宋体" w:cs="Times New Roman"/>
                      <w:b/>
                      <w:bCs/>
                      <w:i w:val="0"/>
                      <w:iCs w:val="0"/>
                      <w:color w:val="auto"/>
                      <w:kern w:val="0"/>
                      <w:sz w:val="20"/>
                      <w:szCs w:val="20"/>
                      <w:highlight w:val="none"/>
                      <w:u w:val="none"/>
                      <w:lang w:val="en-US" w:eastAsia="zh-CN"/>
                    </w:rPr>
                    <w:t>废水种类</w:t>
                  </w:r>
                </w:p>
              </w:tc>
              <w:tc>
                <w:tcPr>
                  <w:tcW w:w="42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BE1884B">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0"/>
                      <w:szCs w:val="20"/>
                      <w:highlight w:val="none"/>
                      <w:u w:val="none"/>
                    </w:rPr>
                  </w:pPr>
                  <w:r>
                    <w:rPr>
                      <w:rFonts w:hint="default" w:ascii="Times New Roman" w:hAnsi="Times New Roman" w:eastAsia="宋体" w:cs="Times New Roman"/>
                      <w:b/>
                      <w:bCs/>
                      <w:i w:val="0"/>
                      <w:iCs w:val="0"/>
                      <w:color w:val="auto"/>
                      <w:kern w:val="0"/>
                      <w:sz w:val="20"/>
                      <w:szCs w:val="20"/>
                      <w:highlight w:val="none"/>
                      <w:u w:val="none"/>
                      <w:lang w:val="en-US" w:eastAsia="zh-CN" w:bidi="ar"/>
                    </w:rPr>
                    <w:t>pH</w:t>
                  </w:r>
                  <w:r>
                    <w:rPr>
                      <w:rFonts w:hint="eastAsia" w:ascii="宋体" w:hAnsi="宋体" w:eastAsia="宋体" w:cs="宋体"/>
                      <w:b/>
                      <w:bCs/>
                      <w:i w:val="0"/>
                      <w:iCs w:val="0"/>
                      <w:color w:val="auto"/>
                      <w:kern w:val="0"/>
                      <w:sz w:val="20"/>
                      <w:szCs w:val="20"/>
                      <w:highlight w:val="none"/>
                      <w:u w:val="none"/>
                      <w:lang w:val="en-US" w:eastAsia="zh-CN" w:bidi="ar"/>
                    </w:rPr>
                    <w:t>（无量纲）</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B7AAE4F">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0"/>
                      <w:szCs w:val="20"/>
                      <w:highlight w:val="none"/>
                      <w:u w:val="none"/>
                    </w:rPr>
                  </w:pPr>
                  <w:r>
                    <w:rPr>
                      <w:rFonts w:hint="default" w:ascii="Times New Roman" w:hAnsi="Times New Roman" w:eastAsia="宋体" w:cs="Times New Roman"/>
                      <w:b/>
                      <w:bCs/>
                      <w:i w:val="0"/>
                      <w:iCs w:val="0"/>
                      <w:color w:val="auto"/>
                      <w:kern w:val="0"/>
                      <w:sz w:val="20"/>
                      <w:szCs w:val="20"/>
                      <w:highlight w:val="none"/>
                      <w:u w:val="none"/>
                      <w:lang w:val="en-US" w:eastAsia="zh-CN" w:bidi="ar"/>
                    </w:rPr>
                    <w:t>COD</w:t>
                  </w:r>
                  <w:r>
                    <w:rPr>
                      <w:rFonts w:hint="default" w:ascii="Times New Roman" w:hAnsi="Times New Roman" w:eastAsia="宋体" w:cs="Times New Roman"/>
                      <w:b/>
                      <w:bCs/>
                      <w:i w:val="0"/>
                      <w:iCs w:val="0"/>
                      <w:color w:val="auto"/>
                      <w:kern w:val="0"/>
                      <w:sz w:val="20"/>
                      <w:szCs w:val="20"/>
                      <w:highlight w:val="none"/>
                      <w:u w:val="none"/>
                      <w:vertAlign w:val="subscript"/>
                      <w:lang w:val="en-US" w:eastAsia="zh-CN" w:bidi="ar"/>
                    </w:rPr>
                    <w:t>Cr</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44ECC00">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0"/>
                      <w:szCs w:val="20"/>
                      <w:highlight w:val="none"/>
                      <w:u w:val="none"/>
                    </w:rPr>
                  </w:pPr>
                  <w:r>
                    <w:rPr>
                      <w:rFonts w:hint="default" w:ascii="Times New Roman" w:hAnsi="Times New Roman" w:eastAsia="宋体" w:cs="Times New Roman"/>
                      <w:b/>
                      <w:bCs/>
                      <w:i w:val="0"/>
                      <w:iCs w:val="0"/>
                      <w:color w:val="auto"/>
                      <w:kern w:val="0"/>
                      <w:sz w:val="20"/>
                      <w:szCs w:val="20"/>
                      <w:highlight w:val="none"/>
                      <w:u w:val="none"/>
                      <w:lang w:val="en-US" w:eastAsia="zh-CN" w:bidi="ar"/>
                    </w:rPr>
                    <w:t>SS</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ABC8EA4">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0"/>
                      <w:szCs w:val="20"/>
                      <w:highlight w:val="none"/>
                      <w:u w:val="none"/>
                    </w:rPr>
                  </w:pPr>
                  <w:r>
                    <w:rPr>
                      <w:rFonts w:hint="default" w:ascii="Times New Roman" w:hAnsi="Times New Roman" w:eastAsia="宋体" w:cs="Times New Roman"/>
                      <w:b/>
                      <w:bCs/>
                      <w:i w:val="0"/>
                      <w:iCs w:val="0"/>
                      <w:color w:val="auto"/>
                      <w:kern w:val="0"/>
                      <w:sz w:val="20"/>
                      <w:szCs w:val="20"/>
                      <w:highlight w:val="none"/>
                      <w:u w:val="none"/>
                      <w:lang w:val="en-US" w:eastAsia="zh-CN" w:bidi="ar"/>
                    </w:rPr>
                    <w:t>BOD₅</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B97BAF6">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0"/>
                      <w:szCs w:val="20"/>
                      <w:highlight w:val="none"/>
                      <w:u w:val="none"/>
                    </w:rPr>
                  </w:pPr>
                  <w:r>
                    <w:rPr>
                      <w:rFonts w:hint="default" w:ascii="Times New Roman" w:hAnsi="Times New Roman" w:eastAsia="宋体" w:cs="Times New Roman"/>
                      <w:b/>
                      <w:bCs/>
                      <w:i w:val="0"/>
                      <w:iCs w:val="0"/>
                      <w:color w:val="auto"/>
                      <w:kern w:val="0"/>
                      <w:sz w:val="20"/>
                      <w:szCs w:val="20"/>
                      <w:highlight w:val="none"/>
                      <w:u w:val="none"/>
                      <w:lang w:val="en-US" w:eastAsia="zh-CN" w:bidi="ar"/>
                    </w:rPr>
                    <w:t>氨氮</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135717C">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0"/>
                      <w:szCs w:val="20"/>
                      <w:highlight w:val="none"/>
                      <w:u w:val="none"/>
                    </w:rPr>
                  </w:pPr>
                  <w:r>
                    <w:rPr>
                      <w:rFonts w:hint="default" w:ascii="Times New Roman" w:hAnsi="Times New Roman" w:eastAsia="宋体" w:cs="Times New Roman"/>
                      <w:b/>
                      <w:bCs/>
                      <w:i w:val="0"/>
                      <w:iCs w:val="0"/>
                      <w:color w:val="auto"/>
                      <w:kern w:val="0"/>
                      <w:sz w:val="20"/>
                      <w:szCs w:val="20"/>
                      <w:highlight w:val="none"/>
                      <w:u w:val="none"/>
                      <w:lang w:val="en-US" w:eastAsia="zh-CN" w:bidi="ar"/>
                    </w:rPr>
                    <w:t>LAS</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2FC4FA2">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0"/>
                      <w:szCs w:val="20"/>
                      <w:highlight w:val="none"/>
                      <w:u w:val="none"/>
                    </w:rPr>
                  </w:pPr>
                  <w:r>
                    <w:rPr>
                      <w:rFonts w:hint="default" w:ascii="Times New Roman" w:hAnsi="Times New Roman" w:eastAsia="宋体" w:cs="Times New Roman"/>
                      <w:b/>
                      <w:bCs/>
                      <w:i w:val="0"/>
                      <w:iCs w:val="0"/>
                      <w:color w:val="auto"/>
                      <w:kern w:val="0"/>
                      <w:sz w:val="20"/>
                      <w:szCs w:val="20"/>
                      <w:highlight w:val="none"/>
                      <w:u w:val="none"/>
                      <w:lang w:val="en-US" w:eastAsia="zh-CN" w:bidi="ar"/>
                    </w:rPr>
                    <w:t>TP</w:t>
                  </w:r>
                </w:p>
              </w:tc>
              <w:tc>
                <w:tcPr>
                  <w:tcW w:w="53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409FDA5">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0"/>
                      <w:szCs w:val="20"/>
                      <w:highlight w:val="none"/>
                      <w:u w:val="none"/>
                    </w:rPr>
                  </w:pPr>
                  <w:r>
                    <w:rPr>
                      <w:rFonts w:hint="default" w:ascii="Times New Roman" w:hAnsi="Times New Roman" w:eastAsia="宋体" w:cs="Times New Roman"/>
                      <w:b/>
                      <w:bCs/>
                      <w:i w:val="0"/>
                      <w:iCs w:val="0"/>
                      <w:color w:val="auto"/>
                      <w:kern w:val="0"/>
                      <w:sz w:val="20"/>
                      <w:szCs w:val="20"/>
                      <w:highlight w:val="none"/>
                      <w:u w:val="none"/>
                      <w:lang w:val="en-US" w:eastAsia="zh-CN" w:bidi="ar"/>
                    </w:rPr>
                    <w:t>石油类</w:t>
                  </w:r>
                </w:p>
              </w:tc>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917B927">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0"/>
                      <w:szCs w:val="20"/>
                      <w:highlight w:val="none"/>
                      <w:u w:val="none"/>
                    </w:rPr>
                  </w:pPr>
                  <w:r>
                    <w:rPr>
                      <w:rFonts w:hint="default" w:ascii="Times New Roman" w:hAnsi="Times New Roman" w:eastAsia="宋体" w:cs="Times New Roman"/>
                      <w:b/>
                      <w:bCs/>
                      <w:i w:val="0"/>
                      <w:iCs w:val="0"/>
                      <w:color w:val="auto"/>
                      <w:kern w:val="0"/>
                      <w:sz w:val="20"/>
                      <w:szCs w:val="20"/>
                      <w:highlight w:val="none"/>
                      <w:u w:val="none"/>
                      <w:lang w:val="en-US" w:eastAsia="zh-CN" w:bidi="ar"/>
                    </w:rPr>
                    <w:t>TN</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211A406">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0"/>
                      <w:szCs w:val="20"/>
                      <w:highlight w:val="none"/>
                      <w:u w:val="none"/>
                    </w:rPr>
                  </w:pPr>
                  <w:r>
                    <w:rPr>
                      <w:rFonts w:hint="default" w:ascii="Times New Roman" w:hAnsi="Times New Roman" w:eastAsia="宋体" w:cs="Times New Roman"/>
                      <w:b/>
                      <w:bCs/>
                      <w:i w:val="0"/>
                      <w:iCs w:val="0"/>
                      <w:color w:val="auto"/>
                      <w:kern w:val="0"/>
                      <w:sz w:val="20"/>
                      <w:szCs w:val="20"/>
                      <w:highlight w:val="none"/>
                      <w:u w:val="none"/>
                      <w:lang w:val="en-US" w:eastAsia="zh-CN" w:bidi="ar"/>
                    </w:rPr>
                    <w:t>总锌</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645F42EE">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0"/>
                      <w:szCs w:val="20"/>
                      <w:highlight w:val="none"/>
                      <w:u w:val="none"/>
                    </w:rPr>
                  </w:pPr>
                  <w:r>
                    <w:rPr>
                      <w:rFonts w:hint="default" w:ascii="Times New Roman" w:hAnsi="Times New Roman" w:eastAsia="宋体" w:cs="Times New Roman"/>
                      <w:b/>
                      <w:bCs/>
                      <w:i w:val="0"/>
                      <w:iCs w:val="0"/>
                      <w:color w:val="auto"/>
                      <w:kern w:val="0"/>
                      <w:sz w:val="20"/>
                      <w:szCs w:val="20"/>
                      <w:highlight w:val="none"/>
                      <w:u w:val="none"/>
                      <w:lang w:val="en-US" w:eastAsia="zh-CN" w:bidi="ar"/>
                    </w:rPr>
                    <w:t>氟化物</w:t>
                  </w: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3F64C6F8">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rPr>
                  </w:pPr>
                  <w:r>
                    <w:rPr>
                      <w:rFonts w:hint="default" w:ascii="Times New Roman" w:hAnsi="Times New Roman" w:eastAsia="宋体" w:cs="Times New Roman"/>
                      <w:b/>
                      <w:bCs/>
                      <w:i w:val="0"/>
                      <w:iCs w:val="0"/>
                      <w:color w:val="auto"/>
                      <w:kern w:val="0"/>
                      <w:sz w:val="20"/>
                      <w:szCs w:val="20"/>
                      <w:highlight w:val="none"/>
                      <w:u w:val="none"/>
                      <w:lang w:val="en-US" w:eastAsia="zh-CN" w:bidi="ar"/>
                    </w:rPr>
                    <w:t>总铁</w:t>
                  </w:r>
                </w:p>
              </w:tc>
            </w:tr>
            <w:tr w14:paraId="0A048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13" w:type="dxa"/>
                  <w:vMerge w:val="restart"/>
                  <w:tcBorders>
                    <w:top w:val="single" w:color="000000" w:sz="4" w:space="0"/>
                    <w:left w:val="single" w:color="000000" w:sz="4" w:space="0"/>
                    <w:right w:val="single" w:color="000000" w:sz="4" w:space="0"/>
                  </w:tcBorders>
                  <w:shd w:val="clear" w:color="auto" w:fill="auto"/>
                  <w:tcMar>
                    <w:top w:w="0" w:type="dxa"/>
                    <w:left w:w="0" w:type="dxa"/>
                    <w:bottom w:w="0" w:type="dxa"/>
                    <w:right w:w="0" w:type="dxa"/>
                  </w:tcMar>
                  <w:vAlign w:val="center"/>
                </w:tcPr>
                <w:p w14:paraId="0574BF7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rPr>
                  </w:pPr>
                  <w:r>
                    <w:rPr>
                      <w:rFonts w:hint="default" w:ascii="Times New Roman" w:hAnsi="Times New Roman" w:eastAsia="宋体" w:cs="Times New Roman"/>
                      <w:i w:val="0"/>
                      <w:iCs w:val="0"/>
                      <w:color w:val="auto"/>
                      <w:kern w:val="0"/>
                      <w:sz w:val="20"/>
                      <w:szCs w:val="20"/>
                      <w:highlight w:val="none"/>
                      <w:u w:val="none"/>
                      <w:lang w:val="en-US" w:eastAsia="zh-CN"/>
                    </w:rPr>
                    <w:t>生产废水量</w:t>
                  </w:r>
                </w:p>
                <w:p w14:paraId="30A2199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0"/>
                      <w:szCs w:val="20"/>
                      <w:highlight w:val="none"/>
                      <w:u w:val="none"/>
                    </w:rPr>
                  </w:pPr>
                  <w:r>
                    <w:rPr>
                      <w:rFonts w:hint="eastAsia" w:cs="Times New Roman"/>
                      <w:i w:val="0"/>
                      <w:iCs w:val="0"/>
                      <w:color w:val="auto"/>
                      <w:kern w:val="0"/>
                      <w:sz w:val="20"/>
                      <w:szCs w:val="20"/>
                      <w:highlight w:val="none"/>
                      <w:u w:val="none"/>
                      <w:lang w:val="en-US" w:eastAsia="zh-CN"/>
                    </w:rPr>
                    <w:t>2508</w:t>
                  </w:r>
                  <w:r>
                    <w:rPr>
                      <w:rFonts w:hint="default" w:ascii="Times New Roman" w:hAnsi="Times New Roman" w:eastAsia="宋体" w:cs="Times New Roman"/>
                      <w:i w:val="0"/>
                      <w:iCs w:val="0"/>
                      <w:color w:val="auto"/>
                      <w:kern w:val="0"/>
                      <w:sz w:val="20"/>
                      <w:szCs w:val="20"/>
                      <w:highlight w:val="none"/>
                      <w:u w:val="none"/>
                      <w:lang w:val="en-US" w:eastAsia="zh-CN"/>
                    </w:rPr>
                    <w:t>m</w:t>
                  </w:r>
                  <w:r>
                    <w:rPr>
                      <w:rFonts w:hint="default" w:ascii="Times New Roman" w:hAnsi="Times New Roman" w:eastAsia="宋体" w:cs="Times New Roman"/>
                      <w:i w:val="0"/>
                      <w:iCs w:val="0"/>
                      <w:color w:val="auto"/>
                      <w:kern w:val="0"/>
                      <w:sz w:val="20"/>
                      <w:szCs w:val="20"/>
                      <w:highlight w:val="none"/>
                      <w:u w:val="none"/>
                      <w:vertAlign w:val="superscript"/>
                      <w:lang w:val="en-US" w:eastAsia="zh-CN"/>
                    </w:rPr>
                    <w:t>3</w:t>
                  </w:r>
                  <w:r>
                    <w:rPr>
                      <w:rFonts w:hint="default" w:ascii="Times New Roman" w:hAnsi="Times New Roman" w:eastAsia="宋体" w:cs="Times New Roman"/>
                      <w:i w:val="0"/>
                      <w:iCs w:val="0"/>
                      <w:color w:val="auto"/>
                      <w:kern w:val="0"/>
                      <w:sz w:val="20"/>
                      <w:szCs w:val="20"/>
                      <w:highlight w:val="none"/>
                      <w:u w:val="none"/>
                      <w:lang w:val="en-US" w:eastAsia="zh-CN"/>
                    </w:rPr>
                    <w:t>/a</w:t>
                  </w:r>
                </w:p>
              </w:tc>
              <w:tc>
                <w:tcPr>
                  <w:tcW w:w="55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322B3A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产生浓度</w:t>
                  </w:r>
                  <w:r>
                    <w:rPr>
                      <w:rFonts w:hint="default" w:ascii="Times New Roman" w:hAnsi="Times New Roman" w:eastAsia="宋体" w:cs="Times New Roman"/>
                      <w:i w:val="0"/>
                      <w:iCs w:val="0"/>
                      <w:color w:val="auto"/>
                      <w:kern w:val="0"/>
                      <w:sz w:val="20"/>
                      <w:szCs w:val="20"/>
                      <w:highlight w:val="none"/>
                      <w:u w:val="none"/>
                      <w:lang w:val="en-US" w:eastAsia="zh-CN"/>
                    </w:rPr>
                    <w:t>mg/L</w:t>
                  </w:r>
                </w:p>
              </w:tc>
              <w:tc>
                <w:tcPr>
                  <w:tcW w:w="42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41E847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9</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AE40BA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593.0 </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0B8F07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29.0 </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7543FD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197.7 </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46E2AF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9.5 </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3C0FE8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0.1 </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0F1A0F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68.1 </w:t>
                  </w:r>
                </w:p>
              </w:tc>
              <w:tc>
                <w:tcPr>
                  <w:tcW w:w="53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53D13F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36.6 </w:t>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3CC354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8.1 </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30FAC9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1.5 </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22F4C5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0"/>
                      <w:szCs w:val="20"/>
                      <w:highlight w:val="none"/>
                      <w:u w:val="none"/>
                      <w:lang w:val="en-US"/>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20.8 </w:t>
                  </w:r>
                </w:p>
              </w:tc>
              <w:tc>
                <w:tcPr>
                  <w:tcW w:w="56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74ED9A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1.5 </w:t>
                  </w:r>
                </w:p>
              </w:tc>
            </w:tr>
            <w:tr w14:paraId="09E80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813" w:type="dxa"/>
                  <w:vMerge w:val="continue"/>
                  <w:tcBorders>
                    <w:left w:val="single" w:color="000000" w:sz="4" w:space="0"/>
                    <w:right w:val="single" w:color="000000" w:sz="4" w:space="0"/>
                  </w:tcBorders>
                  <w:shd w:val="clear" w:color="auto" w:fill="auto"/>
                  <w:tcMar>
                    <w:top w:w="0" w:type="dxa"/>
                    <w:left w:w="0" w:type="dxa"/>
                    <w:bottom w:w="0" w:type="dxa"/>
                    <w:right w:w="0" w:type="dxa"/>
                  </w:tcMar>
                  <w:vAlign w:val="center"/>
                </w:tcPr>
                <w:p w14:paraId="5207B07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0"/>
                      <w:szCs w:val="20"/>
                      <w:highlight w:val="none"/>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D4B3E8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产生量</w:t>
                  </w:r>
                  <w:r>
                    <w:rPr>
                      <w:rFonts w:hint="default" w:ascii="Times New Roman" w:hAnsi="Times New Roman" w:eastAsia="宋体" w:cs="Times New Roman"/>
                      <w:i w:val="0"/>
                      <w:iCs w:val="0"/>
                      <w:color w:val="auto"/>
                      <w:kern w:val="0"/>
                      <w:sz w:val="20"/>
                      <w:szCs w:val="20"/>
                      <w:highlight w:val="none"/>
                      <w:u w:val="none"/>
                      <w:lang w:val="en-US" w:eastAsia="zh-CN"/>
                    </w:rPr>
                    <w:t>t/a</w:t>
                  </w:r>
                </w:p>
              </w:tc>
              <w:tc>
                <w:tcPr>
                  <w:tcW w:w="42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960EF5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5ABA41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1.487 </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D1AC25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0.073 </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3743D2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0.496 </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1FB973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0.024 </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7FF2A9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0"/>
                      <w:szCs w:val="20"/>
                      <w:highlight w:val="none"/>
                      <w:u w:val="none"/>
                      <w:lang w:val="en-US"/>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0.0004 </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93B40A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0.171 </w:t>
                  </w:r>
                </w:p>
              </w:tc>
              <w:tc>
                <w:tcPr>
                  <w:tcW w:w="53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96676C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0.092 </w:t>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9C1AD4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0.020 </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DB9743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0.004 </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273A0F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0.052 </w:t>
                  </w:r>
                </w:p>
              </w:tc>
              <w:tc>
                <w:tcPr>
                  <w:tcW w:w="56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3F1CD7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0.004 </w:t>
                  </w:r>
                </w:p>
              </w:tc>
            </w:tr>
            <w:tr w14:paraId="0B1DD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13" w:type="dxa"/>
                  <w:vMerge w:val="continue"/>
                  <w:tcBorders>
                    <w:left w:val="single" w:color="000000" w:sz="4" w:space="0"/>
                    <w:right w:val="single" w:color="000000" w:sz="4" w:space="0"/>
                  </w:tcBorders>
                  <w:shd w:val="clear" w:color="auto" w:fill="auto"/>
                  <w:tcMar>
                    <w:top w:w="0" w:type="dxa"/>
                    <w:left w:w="0" w:type="dxa"/>
                    <w:bottom w:w="0" w:type="dxa"/>
                    <w:right w:w="0" w:type="dxa"/>
                  </w:tcMar>
                  <w:vAlign w:val="center"/>
                </w:tcPr>
                <w:p w14:paraId="29ABEAA3">
                  <w:pPr>
                    <w:spacing w:line="240" w:lineRule="auto"/>
                    <w:jc w:val="center"/>
                    <w:rPr>
                      <w:rFonts w:hint="default" w:ascii="Times New Roman" w:hAnsi="Times New Roman" w:eastAsia="宋体" w:cs="Times New Roman"/>
                      <w:i w:val="0"/>
                      <w:iCs w:val="0"/>
                      <w:color w:val="auto"/>
                      <w:sz w:val="20"/>
                      <w:szCs w:val="20"/>
                      <w:highlight w:val="none"/>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1114F7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治理工艺</w:t>
                  </w:r>
                </w:p>
              </w:tc>
              <w:tc>
                <w:tcPr>
                  <w:tcW w:w="6501" w:type="dxa"/>
                  <w:gridSpan w:val="12"/>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C48E74F">
                  <w:pPr>
                    <w:keepNext w:val="0"/>
                    <w:keepLines w:val="0"/>
                    <w:widowControl/>
                    <w:suppressLineNumbers w:val="0"/>
                    <w:spacing w:line="240" w:lineRule="auto"/>
                    <w:jc w:val="center"/>
                    <w:textAlignment w:val="center"/>
                    <w:rPr>
                      <w:rFonts w:hint="eastAsia" w:cs="Times New Roman"/>
                      <w:i w:val="0"/>
                      <w:iCs w:val="0"/>
                      <w:color w:val="auto"/>
                      <w:kern w:val="0"/>
                      <w:sz w:val="20"/>
                      <w:szCs w:val="20"/>
                      <w:highlight w:val="none"/>
                      <w:u w:val="none"/>
                      <w:lang w:val="en-US" w:eastAsia="zh-CN"/>
                    </w:rPr>
                  </w:pPr>
                  <w:r>
                    <w:rPr>
                      <w:rFonts w:hint="default" w:ascii="Times New Roman" w:hAnsi="Times New Roman" w:eastAsia="宋体" w:cs="Times New Roman"/>
                      <w:i w:val="0"/>
                      <w:iCs w:val="0"/>
                      <w:color w:val="auto"/>
                      <w:kern w:val="0"/>
                      <w:sz w:val="20"/>
                      <w:szCs w:val="20"/>
                      <w:highlight w:val="none"/>
                      <w:u w:val="none"/>
                      <w:lang w:val="en-US" w:eastAsia="zh-CN" w:bidi="ar"/>
                    </w:rPr>
                    <w:t>pH</w:t>
                  </w:r>
                  <w:r>
                    <w:rPr>
                      <w:rFonts w:hint="eastAsia" w:ascii="宋体" w:hAnsi="宋体" w:eastAsia="宋体" w:cs="宋体"/>
                      <w:i w:val="0"/>
                      <w:iCs w:val="0"/>
                      <w:color w:val="auto"/>
                      <w:kern w:val="0"/>
                      <w:sz w:val="20"/>
                      <w:szCs w:val="20"/>
                      <w:highlight w:val="none"/>
                      <w:u w:val="none"/>
                      <w:lang w:val="en-US" w:eastAsia="zh-CN" w:bidi="ar"/>
                    </w:rPr>
                    <w:t>调节</w:t>
                  </w:r>
                  <w:r>
                    <w:rPr>
                      <w:rFonts w:hint="default" w:ascii="Times New Roman" w:hAnsi="Times New Roman" w:eastAsia="宋体" w:cs="Times New Roman"/>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t>混凝反应</w:t>
                  </w:r>
                  <w:r>
                    <w:rPr>
                      <w:rFonts w:hint="default" w:ascii="Times New Roman" w:hAnsi="Times New Roman" w:eastAsia="宋体" w:cs="Times New Roman"/>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t>初沉</w:t>
                  </w:r>
                  <w:r>
                    <w:rPr>
                      <w:rFonts w:hint="default" w:ascii="Times New Roman" w:hAnsi="Times New Roman" w:eastAsia="宋体" w:cs="Times New Roman"/>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t>二级除磷</w:t>
                  </w:r>
                  <w:r>
                    <w:rPr>
                      <w:rFonts w:hint="default" w:ascii="Times New Roman" w:hAnsi="Times New Roman" w:eastAsia="宋体" w:cs="Times New Roman"/>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t>水解酸化</w:t>
                  </w:r>
                  <w:r>
                    <w:rPr>
                      <w:rFonts w:hint="default" w:ascii="Times New Roman" w:hAnsi="Times New Roman" w:eastAsia="宋体" w:cs="Times New Roman"/>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t>接触氧化</w:t>
                  </w:r>
                  <w:r>
                    <w:rPr>
                      <w:rFonts w:hint="default" w:ascii="Times New Roman" w:hAnsi="Times New Roman" w:eastAsia="宋体" w:cs="Times New Roman"/>
                      <w:i w:val="0"/>
                      <w:iCs w:val="0"/>
                      <w:color w:val="auto"/>
                      <w:kern w:val="0"/>
                      <w:sz w:val="20"/>
                      <w:szCs w:val="20"/>
                      <w:highlight w:val="none"/>
                      <w:u w:val="none"/>
                      <w:lang w:val="en-US" w:eastAsia="zh-CN" w:bidi="ar"/>
                    </w:rPr>
                    <w:t>+MBR</w:t>
                  </w:r>
                  <w:r>
                    <w:rPr>
                      <w:rFonts w:hint="eastAsia" w:ascii="宋体" w:hAnsi="宋体" w:eastAsia="宋体" w:cs="宋体"/>
                      <w:i w:val="0"/>
                      <w:iCs w:val="0"/>
                      <w:color w:val="auto"/>
                      <w:kern w:val="0"/>
                      <w:sz w:val="20"/>
                      <w:szCs w:val="20"/>
                      <w:highlight w:val="none"/>
                      <w:u w:val="none"/>
                      <w:lang w:val="en-US" w:eastAsia="zh-CN" w:bidi="ar"/>
                    </w:rPr>
                    <w:t>膜池</w:t>
                  </w:r>
                </w:p>
              </w:tc>
            </w:tr>
            <w:tr w14:paraId="57104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13" w:type="dxa"/>
                  <w:vMerge w:val="continue"/>
                  <w:tcBorders>
                    <w:left w:val="single" w:color="000000" w:sz="4" w:space="0"/>
                    <w:right w:val="single" w:color="000000" w:sz="4" w:space="0"/>
                  </w:tcBorders>
                  <w:shd w:val="clear" w:color="auto" w:fill="auto"/>
                  <w:tcMar>
                    <w:top w:w="0" w:type="dxa"/>
                    <w:left w:w="0" w:type="dxa"/>
                    <w:bottom w:w="0" w:type="dxa"/>
                    <w:right w:w="0" w:type="dxa"/>
                  </w:tcMar>
                  <w:vAlign w:val="center"/>
                </w:tcPr>
                <w:p w14:paraId="01A234F0">
                  <w:pPr>
                    <w:spacing w:line="240" w:lineRule="auto"/>
                    <w:jc w:val="center"/>
                    <w:rPr>
                      <w:rFonts w:hint="default" w:ascii="Times New Roman" w:hAnsi="Times New Roman" w:eastAsia="宋体" w:cs="Times New Roman"/>
                      <w:i w:val="0"/>
                      <w:iCs w:val="0"/>
                      <w:color w:val="auto"/>
                      <w:sz w:val="20"/>
                      <w:szCs w:val="20"/>
                      <w:highlight w:val="none"/>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25183A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处理效率</w:t>
                  </w:r>
                </w:p>
              </w:tc>
              <w:tc>
                <w:tcPr>
                  <w:tcW w:w="42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C48586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6A9EA3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91%</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E6892B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85%</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9138BD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91%</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A6CED8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D0ED2E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54%</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FB23DE0">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53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22A907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98%</w:t>
                  </w:r>
                </w:p>
              </w:tc>
              <w:tc>
                <w:tcPr>
                  <w:tcW w:w="54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76CF74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64%</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746D6A60">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74%</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A11725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53%</w:t>
                  </w: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79448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74%</w:t>
                  </w:r>
                </w:p>
              </w:tc>
            </w:tr>
            <w:tr w14:paraId="68E41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13" w:type="dxa"/>
                  <w:vMerge w:val="continue"/>
                  <w:tcBorders>
                    <w:left w:val="single" w:color="000000" w:sz="4" w:space="0"/>
                    <w:right w:val="single" w:color="000000" w:sz="4" w:space="0"/>
                  </w:tcBorders>
                  <w:shd w:val="clear" w:color="auto" w:fill="auto"/>
                  <w:tcMar>
                    <w:top w:w="0" w:type="dxa"/>
                    <w:left w:w="0" w:type="dxa"/>
                    <w:bottom w:w="0" w:type="dxa"/>
                    <w:right w:w="0" w:type="dxa"/>
                  </w:tcMar>
                  <w:vAlign w:val="center"/>
                </w:tcPr>
                <w:p w14:paraId="540FE108">
                  <w:pPr>
                    <w:spacing w:line="240" w:lineRule="auto"/>
                    <w:jc w:val="center"/>
                    <w:rPr>
                      <w:rFonts w:hint="default" w:ascii="Times New Roman" w:hAnsi="Times New Roman" w:eastAsia="宋体" w:cs="Times New Roman"/>
                      <w:i w:val="0"/>
                      <w:iCs w:val="0"/>
                      <w:color w:val="auto"/>
                      <w:sz w:val="20"/>
                      <w:szCs w:val="20"/>
                      <w:highlight w:val="none"/>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56FF99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排放浓度</w:t>
                  </w:r>
                  <w:r>
                    <w:rPr>
                      <w:rFonts w:hint="default" w:ascii="Times New Roman" w:hAnsi="Times New Roman" w:eastAsia="宋体" w:cs="Times New Roman"/>
                      <w:i w:val="0"/>
                      <w:iCs w:val="0"/>
                      <w:color w:val="auto"/>
                      <w:kern w:val="0"/>
                      <w:sz w:val="20"/>
                      <w:szCs w:val="20"/>
                      <w:highlight w:val="none"/>
                      <w:u w:val="none"/>
                      <w:lang w:val="en-US" w:eastAsia="zh-CN"/>
                    </w:rPr>
                    <w:t>mg/L</w:t>
                  </w:r>
                </w:p>
              </w:tc>
              <w:tc>
                <w:tcPr>
                  <w:tcW w:w="42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62ADE0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6~9</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857142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56.3 </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9C48D8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4.3 </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F7577C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18.8 </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E6EA63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4.4 </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8A3B48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 </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EE27B1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7.1 </w:t>
                  </w:r>
                </w:p>
              </w:tc>
              <w:tc>
                <w:tcPr>
                  <w:tcW w:w="53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51F816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0.9 </w:t>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C6A24E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2.9 </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E5BCFF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 </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6450C1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9.9 </w:t>
                  </w:r>
                </w:p>
              </w:tc>
              <w:tc>
                <w:tcPr>
                  <w:tcW w:w="56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36710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 </w:t>
                  </w:r>
                </w:p>
              </w:tc>
            </w:tr>
            <w:tr w14:paraId="20F9E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13" w:type="dxa"/>
                  <w:vMerge w:val="continue"/>
                  <w:tcBorders>
                    <w:left w:val="single" w:color="000000" w:sz="4" w:space="0"/>
                    <w:right w:val="single" w:color="000000" w:sz="4" w:space="0"/>
                  </w:tcBorders>
                  <w:shd w:val="clear" w:color="auto" w:fill="auto"/>
                  <w:tcMar>
                    <w:top w:w="0" w:type="dxa"/>
                    <w:left w:w="0" w:type="dxa"/>
                    <w:bottom w:w="0" w:type="dxa"/>
                    <w:right w:w="0" w:type="dxa"/>
                  </w:tcMar>
                  <w:vAlign w:val="center"/>
                </w:tcPr>
                <w:p w14:paraId="732DAA89">
                  <w:pPr>
                    <w:spacing w:line="240" w:lineRule="auto"/>
                    <w:jc w:val="center"/>
                    <w:rPr>
                      <w:rFonts w:hint="default" w:ascii="Times New Roman" w:hAnsi="Times New Roman" w:eastAsia="宋体" w:cs="Times New Roman"/>
                      <w:i w:val="0"/>
                      <w:iCs w:val="0"/>
                      <w:color w:val="auto"/>
                      <w:sz w:val="20"/>
                      <w:szCs w:val="20"/>
                      <w:highlight w:val="none"/>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E912D0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浓度标准</w:t>
                  </w:r>
                  <w:r>
                    <w:rPr>
                      <w:rFonts w:hint="default" w:ascii="Times New Roman" w:hAnsi="Times New Roman" w:eastAsia="宋体" w:cs="Times New Roman"/>
                      <w:i w:val="0"/>
                      <w:iCs w:val="0"/>
                      <w:color w:val="auto"/>
                      <w:kern w:val="0"/>
                      <w:sz w:val="20"/>
                      <w:szCs w:val="20"/>
                      <w:highlight w:val="none"/>
                      <w:u w:val="none"/>
                      <w:lang w:val="en-US" w:eastAsia="zh-CN"/>
                    </w:rPr>
                    <w:t>mg/L</w:t>
                  </w:r>
                </w:p>
              </w:tc>
              <w:tc>
                <w:tcPr>
                  <w:tcW w:w="42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A83DA4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6~9</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99F909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47975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FFFA1C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≤150</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BB1F0B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EF1DFF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2CB97E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53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04E769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3EBCEC6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BDC1F0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58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626DEE80">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82250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rPr>
                  </w:pPr>
                  <w:r>
                    <w:rPr>
                      <w:rFonts w:hint="default" w:ascii="Times New Roman" w:hAnsi="Times New Roman" w:eastAsia="宋体" w:cs="Times New Roman"/>
                      <w:i w:val="0"/>
                      <w:iCs w:val="0"/>
                      <w:color w:val="auto"/>
                      <w:kern w:val="0"/>
                      <w:sz w:val="20"/>
                      <w:szCs w:val="20"/>
                      <w:highlight w:val="none"/>
                      <w:u w:val="none"/>
                      <w:lang w:val="en-US" w:eastAsia="zh-CN" w:bidi="ar"/>
                    </w:rPr>
                    <w:t>≤2</w:t>
                  </w:r>
                </w:p>
              </w:tc>
            </w:tr>
            <w:tr w14:paraId="4711B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13" w:type="dxa"/>
                  <w:vMerge w:val="continue"/>
                  <w:tcBorders>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7D96016">
                  <w:pPr>
                    <w:spacing w:line="240" w:lineRule="auto"/>
                    <w:jc w:val="center"/>
                    <w:rPr>
                      <w:rFonts w:hint="default" w:ascii="Times New Roman" w:hAnsi="Times New Roman" w:eastAsia="宋体" w:cs="Times New Roman"/>
                      <w:i w:val="0"/>
                      <w:iCs w:val="0"/>
                      <w:color w:val="auto"/>
                      <w:sz w:val="20"/>
                      <w:szCs w:val="20"/>
                      <w:highlight w:val="none"/>
                      <w:u w:val="none"/>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D16943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排放量</w:t>
                  </w:r>
                  <w:r>
                    <w:rPr>
                      <w:rFonts w:hint="default" w:ascii="Times New Roman" w:hAnsi="Times New Roman" w:eastAsia="宋体" w:cs="Times New Roman"/>
                      <w:i w:val="0"/>
                      <w:iCs w:val="0"/>
                      <w:color w:val="auto"/>
                      <w:kern w:val="0"/>
                      <w:sz w:val="20"/>
                      <w:szCs w:val="20"/>
                      <w:highlight w:val="none"/>
                      <w:u w:val="none"/>
                      <w:lang w:val="en-US" w:eastAsia="zh-CN"/>
                    </w:rPr>
                    <w:t>t/a</w:t>
                  </w:r>
                </w:p>
              </w:tc>
              <w:tc>
                <w:tcPr>
                  <w:tcW w:w="42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B97815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DD80DB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0.141 </w:t>
                  </w:r>
                </w:p>
              </w:tc>
              <w:tc>
                <w:tcPr>
                  <w:tcW w:w="50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EB5EA4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0.011 </w:t>
                  </w:r>
                </w:p>
              </w:tc>
              <w:tc>
                <w:tcPr>
                  <w:tcW w:w="51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F2E3E1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0.047 </w:t>
                  </w:r>
                </w:p>
              </w:tc>
              <w:tc>
                <w:tcPr>
                  <w:tcW w:w="50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AB3FB0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0.011 </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FE20F6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0.0002 </w:t>
                  </w:r>
                </w:p>
              </w:tc>
              <w:tc>
                <w:tcPr>
                  <w:tcW w:w="563"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0D57BC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0.018 </w:t>
                  </w:r>
                </w:p>
              </w:tc>
              <w:tc>
                <w:tcPr>
                  <w:tcW w:w="53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1C8838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0.002 </w:t>
                  </w:r>
                </w:p>
              </w:tc>
              <w:tc>
                <w:tcPr>
                  <w:tcW w:w="54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B611E5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0.007 </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72A4FAE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0.0010 </w:t>
                  </w:r>
                </w:p>
              </w:tc>
              <w:tc>
                <w:tcPr>
                  <w:tcW w:w="58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12BA6D10">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0.0248 </w:t>
                  </w:r>
                </w:p>
              </w:tc>
              <w:tc>
                <w:tcPr>
                  <w:tcW w:w="56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CB8A8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0.0010 </w:t>
                  </w:r>
                </w:p>
              </w:tc>
            </w:tr>
            <w:tr w14:paraId="4B714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871" w:type="dxa"/>
                  <w:gridSpan w:val="14"/>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8BB534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rPr>
                  </w:pPr>
                  <w:r>
                    <w:rPr>
                      <w:rFonts w:hint="default" w:ascii="Times New Roman" w:hAnsi="Times New Roman" w:eastAsia="宋体" w:cs="Times New Roman"/>
                      <w:i w:val="0"/>
                      <w:iCs w:val="0"/>
                      <w:color w:val="auto"/>
                      <w:kern w:val="0"/>
                      <w:sz w:val="20"/>
                      <w:szCs w:val="20"/>
                      <w:highlight w:val="none"/>
                      <w:u w:val="none"/>
                      <w:lang w:val="en-US" w:eastAsia="zh-CN"/>
                    </w:rPr>
                    <w:t>项目废水排放执行园区污水处理厂接管水质要求、广东省《水污染物排放限值》（DB44/26-2001）第二时段三级标准以及《电镀水污染物排放标准》（DB44/1597-2015）表2新建项目水污染物排放限值三者较严值要求。</w:t>
                  </w:r>
                </w:p>
              </w:tc>
            </w:tr>
          </w:tbl>
          <w:p w14:paraId="3F06ABA6">
            <w:pPr>
              <w:keepNext/>
              <w:keepLines/>
              <w:pageBreakBefore w:val="0"/>
              <w:tabs>
                <w:tab w:val="left" w:pos="0"/>
              </w:tabs>
              <w:kinsoku/>
              <w:wordWrap w:val="0"/>
              <w:overflowPunct/>
              <w:topLinePunct w:val="0"/>
              <w:bidi w:val="0"/>
              <w:ind w:firstLine="480" w:firstLineChars="200"/>
              <w:outlineLvl w:val="3"/>
              <w:rPr>
                <w:rFonts w:ascii="Times New Roman" w:hAnsi="Times New Roman" w:eastAsia="宋体" w:cs="Times New Roman"/>
                <w:b/>
                <w:bCs/>
                <w:color w:val="auto"/>
                <w:highlight w:val="none"/>
              </w:rPr>
            </w:pPr>
            <w:r>
              <w:rPr>
                <w:rFonts w:hint="eastAsia" w:cs="Times New Roman"/>
                <w:b/>
                <w:bCs/>
                <w:color w:val="auto"/>
                <w:highlight w:val="none"/>
                <w:lang w:val="en-US" w:eastAsia="zh-CN"/>
              </w:rPr>
              <w:t>2</w:t>
            </w:r>
            <w:r>
              <w:rPr>
                <w:rFonts w:ascii="Times New Roman" w:hAnsi="Times New Roman" w:eastAsia="宋体" w:cs="Times New Roman"/>
                <w:b/>
                <w:bCs/>
                <w:color w:val="auto"/>
                <w:highlight w:val="none"/>
              </w:rPr>
              <w:t>、排放口基本情况</w:t>
            </w:r>
          </w:p>
          <w:p w14:paraId="628D36EA">
            <w:pPr>
              <w:pageBreakBefore w:val="0"/>
              <w:kinsoku/>
              <w:wordWrap w:val="0"/>
              <w:overflowPunct/>
              <w:topLinePunct w:val="0"/>
              <w:bidi w:val="0"/>
              <w:ind w:firstLine="480" w:firstLineChars="200"/>
              <w:rPr>
                <w:rFonts w:ascii="Times New Roman" w:hAnsi="Times New Roman" w:eastAsia="宋体" w:cs="Times New Roman"/>
                <w:color w:val="auto"/>
                <w:highlight w:val="none"/>
              </w:rPr>
            </w:pPr>
            <w:r>
              <w:rPr>
                <w:rFonts w:ascii="Times New Roman" w:hAnsi="Times New Roman" w:eastAsia="宋体" w:cs="Times New Roman"/>
                <w:color w:val="auto"/>
                <w:highlight w:val="none"/>
              </w:rPr>
              <w:t>营运期排放的废水主要为生活污水</w:t>
            </w:r>
            <w:r>
              <w:rPr>
                <w:rFonts w:hint="eastAsia" w:cs="Times New Roman"/>
                <w:color w:val="auto"/>
                <w:highlight w:val="none"/>
                <w:lang w:val="en-US" w:eastAsia="zh-CN"/>
              </w:rPr>
              <w:t>和生产废水</w:t>
            </w:r>
            <w:r>
              <w:rPr>
                <w:rFonts w:hint="eastAsia" w:ascii="Times New Roman" w:hAnsi="Times New Roman" w:eastAsia="宋体" w:cs="Times New Roman"/>
                <w:color w:val="auto"/>
                <w:highlight w:val="none"/>
              </w:rPr>
              <w:t>。</w:t>
            </w:r>
            <w:r>
              <w:rPr>
                <w:rFonts w:hint="eastAsia" w:cs="Times New Roman"/>
                <w:color w:val="auto"/>
                <w:highlight w:val="none"/>
                <w:lang w:val="en-US" w:eastAsia="zh-CN"/>
              </w:rPr>
              <w:t>生活污水</w:t>
            </w:r>
            <w:r>
              <w:rPr>
                <w:rFonts w:ascii="Times New Roman" w:hAnsi="Times New Roman" w:eastAsia="宋体" w:cs="Times New Roman"/>
                <w:color w:val="auto"/>
                <w:highlight w:val="none"/>
              </w:rPr>
              <w:t>产生量为</w:t>
            </w:r>
            <w:r>
              <w:rPr>
                <w:rFonts w:hint="eastAsia" w:cs="Times New Roman"/>
                <w:color w:val="auto"/>
                <w:highlight w:val="none"/>
                <w:lang w:val="en-US" w:eastAsia="zh-CN"/>
              </w:rPr>
              <w:t>756</w:t>
            </w:r>
            <w:r>
              <w:rPr>
                <w:rFonts w:ascii="Times New Roman" w:hAnsi="Times New Roman" w:eastAsia="宋体" w:cs="Times New Roman"/>
                <w:color w:val="auto"/>
                <w:highlight w:val="none"/>
              </w:rPr>
              <w:t>t/a，主要污染物为</w:t>
            </w:r>
            <w:r>
              <w:rPr>
                <w:rFonts w:hint="eastAsia" w:cs="Times New Roman"/>
                <w:color w:val="auto"/>
                <w:highlight w:val="none"/>
                <w:lang w:val="en-US" w:eastAsia="zh-CN"/>
              </w:rPr>
              <w:t>pH、</w:t>
            </w:r>
            <w:r>
              <w:rPr>
                <w:rFonts w:ascii="Times New Roman" w:hAnsi="Times New Roman" w:eastAsia="宋体" w:cs="Times New Roman"/>
                <w:color w:val="auto"/>
                <w:highlight w:val="none"/>
              </w:rPr>
              <w:t>COD</w:t>
            </w:r>
            <w:r>
              <w:rPr>
                <w:rFonts w:ascii="Times New Roman" w:hAnsi="Times New Roman" w:eastAsia="宋体" w:cs="Times New Roman"/>
                <w:color w:val="auto"/>
                <w:highlight w:val="none"/>
                <w:vertAlign w:val="subscript"/>
              </w:rPr>
              <w:t>Cr</w:t>
            </w:r>
            <w:r>
              <w:rPr>
                <w:rFonts w:ascii="Times New Roman" w:hAnsi="Times New Roman" w:eastAsia="宋体" w:cs="Times New Roman"/>
                <w:color w:val="auto"/>
                <w:highlight w:val="none"/>
              </w:rPr>
              <w:t>、BOD</w:t>
            </w:r>
            <w:r>
              <w:rPr>
                <w:rFonts w:ascii="Times New Roman" w:hAnsi="Times New Roman" w:eastAsia="宋体" w:cs="Times New Roman"/>
                <w:color w:val="auto"/>
                <w:highlight w:val="none"/>
                <w:vertAlign w:val="subscript"/>
              </w:rPr>
              <w:t>5</w:t>
            </w:r>
            <w:r>
              <w:rPr>
                <w:rFonts w:ascii="Times New Roman" w:hAnsi="Times New Roman" w:eastAsia="宋体" w:cs="Times New Roman"/>
                <w:color w:val="auto"/>
                <w:highlight w:val="none"/>
              </w:rPr>
              <w:t>、SS、</w:t>
            </w:r>
            <w:r>
              <w:rPr>
                <w:rFonts w:hint="eastAsia" w:ascii="Times New Roman" w:hAnsi="Times New Roman" w:eastAsia="宋体" w:cs="Times New Roman"/>
                <w:color w:val="auto"/>
                <w:highlight w:val="none"/>
              </w:rPr>
              <w:t>氨氮</w:t>
            </w:r>
            <w:r>
              <w:rPr>
                <w:rFonts w:hint="eastAsia" w:cs="Times New Roman"/>
                <w:color w:val="auto"/>
                <w:highlight w:val="none"/>
                <w:lang w:val="en-US" w:eastAsia="zh-CN"/>
              </w:rPr>
              <w:t>等</w:t>
            </w:r>
            <w:r>
              <w:rPr>
                <w:rFonts w:ascii="Times New Roman" w:hAnsi="Times New Roman" w:eastAsia="宋体" w:cs="Times New Roman"/>
                <w:color w:val="auto"/>
                <w:highlight w:val="none"/>
              </w:rPr>
              <w:t>。</w:t>
            </w:r>
            <w:r>
              <w:rPr>
                <w:rFonts w:hint="eastAsia" w:cs="Times New Roman"/>
                <w:color w:val="auto"/>
                <w:highlight w:val="none"/>
                <w:lang w:val="en-US" w:eastAsia="zh-CN"/>
              </w:rPr>
              <w:t>生产废水产生量为2508t/a（8.36t/d），主要污染物为pH、</w:t>
            </w:r>
            <w:r>
              <w:rPr>
                <w:rFonts w:ascii="Times New Roman" w:hAnsi="Times New Roman" w:eastAsia="宋体" w:cs="Times New Roman"/>
                <w:color w:val="auto"/>
                <w:highlight w:val="none"/>
              </w:rPr>
              <w:t>COD</w:t>
            </w:r>
            <w:r>
              <w:rPr>
                <w:rFonts w:ascii="Times New Roman" w:hAnsi="Times New Roman" w:eastAsia="宋体" w:cs="Times New Roman"/>
                <w:color w:val="auto"/>
                <w:highlight w:val="none"/>
                <w:vertAlign w:val="subscript"/>
              </w:rPr>
              <w:t>Cr</w:t>
            </w:r>
            <w:r>
              <w:rPr>
                <w:rFonts w:ascii="Times New Roman" w:hAnsi="Times New Roman" w:eastAsia="宋体" w:cs="Times New Roman"/>
                <w:color w:val="auto"/>
                <w:highlight w:val="none"/>
              </w:rPr>
              <w:t>、BOD</w:t>
            </w:r>
            <w:r>
              <w:rPr>
                <w:rFonts w:ascii="Times New Roman" w:hAnsi="Times New Roman" w:eastAsia="宋体" w:cs="Times New Roman"/>
                <w:color w:val="auto"/>
                <w:highlight w:val="none"/>
                <w:vertAlign w:val="subscript"/>
              </w:rPr>
              <w:t>5</w:t>
            </w:r>
            <w:r>
              <w:rPr>
                <w:rFonts w:ascii="Times New Roman" w:hAnsi="Times New Roman" w:eastAsia="宋体" w:cs="Times New Roman"/>
                <w:color w:val="auto"/>
                <w:highlight w:val="none"/>
              </w:rPr>
              <w:t>、SS、</w:t>
            </w:r>
            <w:r>
              <w:rPr>
                <w:rFonts w:hint="eastAsia" w:ascii="Times New Roman" w:hAnsi="Times New Roman" w:eastAsia="宋体" w:cs="Times New Roman"/>
                <w:color w:val="auto"/>
                <w:highlight w:val="none"/>
              </w:rPr>
              <w:t>氨氮</w:t>
            </w:r>
            <w:r>
              <w:rPr>
                <w:rFonts w:hint="eastAsia" w:cs="Times New Roman"/>
                <w:color w:val="auto"/>
                <w:highlight w:val="none"/>
                <w:lang w:eastAsia="zh-CN"/>
              </w:rPr>
              <w:t>、</w:t>
            </w:r>
            <w:r>
              <w:rPr>
                <w:rFonts w:hint="eastAsia" w:cs="Times New Roman"/>
                <w:color w:val="auto"/>
                <w:highlight w:val="none"/>
                <w:lang w:val="en-US" w:eastAsia="zh-CN"/>
              </w:rPr>
              <w:t>石油类、总氮、总磷、总锌、氟化物等。</w:t>
            </w:r>
            <w:r>
              <w:rPr>
                <w:rFonts w:ascii="Times New Roman" w:hAnsi="Times New Roman" w:eastAsia="宋体" w:cs="Times New Roman"/>
                <w:color w:val="auto"/>
                <w:highlight w:val="none"/>
              </w:rPr>
              <w:t>本项目</w:t>
            </w:r>
            <w:r>
              <w:rPr>
                <w:rFonts w:hint="eastAsia" w:ascii="Times New Roman" w:hAnsi="Times New Roman" w:eastAsia="宋体" w:cs="Times New Roman"/>
                <w:color w:val="auto"/>
                <w:highlight w:val="none"/>
              </w:rPr>
              <w:t>生活污水经三级化粪池处理、生产废水经自建污水处理站</w:t>
            </w:r>
            <w:r>
              <w:rPr>
                <w:rFonts w:hint="eastAsia" w:cs="Times New Roman"/>
                <w:color w:val="auto"/>
                <w:highlight w:val="none"/>
                <w:lang w:eastAsia="zh-CN"/>
              </w:rPr>
              <w:t>（</w:t>
            </w:r>
            <w:r>
              <w:rPr>
                <w:rFonts w:hint="eastAsia" w:cs="Times New Roman"/>
                <w:color w:val="auto"/>
                <w:highlight w:val="none"/>
                <w:lang w:val="en-US" w:eastAsia="zh-CN"/>
              </w:rPr>
              <w:t>处理工艺为</w:t>
            </w:r>
            <w:r>
              <w:rPr>
                <w:rFonts w:hint="eastAsia" w:cs="Times New Roman"/>
                <w:color w:val="auto"/>
                <w:highlight w:val="none"/>
                <w:lang w:eastAsia="zh-CN"/>
              </w:rPr>
              <w:t>中和调节+混凝沉淀+二级除磷+水解酸化+接触氧化+MBR膜池）</w:t>
            </w:r>
            <w:r>
              <w:rPr>
                <w:rFonts w:hint="eastAsia" w:ascii="Times New Roman" w:hAnsi="Times New Roman" w:eastAsia="宋体" w:cs="Times New Roman"/>
                <w:color w:val="auto"/>
                <w:highlight w:val="none"/>
              </w:rPr>
              <w:t>处理后排入园区污水处理</w:t>
            </w:r>
            <w:r>
              <w:rPr>
                <w:rFonts w:hint="eastAsia" w:ascii="Times New Roman" w:hAnsi="Times New Roman" w:eastAsia="宋体" w:cs="Times New Roman"/>
                <w:color w:val="auto"/>
                <w:highlight w:val="none"/>
                <w:lang w:eastAsia="zh-CN"/>
              </w:rPr>
              <w:t>厂</w:t>
            </w:r>
            <w:r>
              <w:rPr>
                <w:rFonts w:hint="eastAsia" w:ascii="Times New Roman" w:hAnsi="Times New Roman" w:eastAsia="宋体" w:cs="Times New Roman"/>
                <w:color w:val="auto"/>
                <w:highlight w:val="none"/>
              </w:rPr>
              <w:t>进一步处理后排放</w:t>
            </w:r>
            <w:r>
              <w:rPr>
                <w:rFonts w:ascii="Times New Roman" w:hAnsi="Times New Roman" w:eastAsia="宋体" w:cs="Times New Roman"/>
                <w:color w:val="auto"/>
                <w:highlight w:val="none"/>
              </w:rPr>
              <w:t>，不新增污水排放口，属于一般排放口。</w:t>
            </w:r>
          </w:p>
          <w:p w14:paraId="4C12B308">
            <w:pPr>
              <w:keepNext w:val="0"/>
              <w:keepLines w:val="0"/>
              <w:pageBreakBefore w:val="0"/>
              <w:widowControl w:val="0"/>
              <w:numPr>
                <w:ilvl w:val="0"/>
                <w:numId w:val="10"/>
              </w:numPr>
              <w:kinsoku/>
              <w:wordWrap w:val="0"/>
              <w:overflowPunct/>
              <w:topLinePunct w:val="0"/>
              <w:autoSpaceDE/>
              <w:autoSpaceDN/>
              <w:bidi w:val="0"/>
              <w:adjustRightInd/>
              <w:snapToGrid/>
              <w:spacing w:line="240" w:lineRule="auto"/>
              <w:ind w:left="0" w:leftChars="0" w:hanging="1" w:firstLineChars="0"/>
              <w:jc w:val="center"/>
              <w:textAlignment w:val="auto"/>
              <w:rPr>
                <w:rFonts w:ascii="Times New Roman" w:hAnsi="Times New Roman" w:eastAsia="宋体" w:cs="Times New Roman"/>
                <w:color w:val="auto"/>
                <w:highlight w:val="none"/>
              </w:rPr>
            </w:pPr>
            <w:r>
              <w:rPr>
                <w:rFonts w:hint="eastAsia" w:cs="Times New Roman"/>
                <w:b/>
                <w:bCs/>
                <w:color w:val="auto"/>
                <w:highlight w:val="none"/>
                <w:lang w:val="en-US" w:eastAsia="zh-CN"/>
              </w:rPr>
              <w:t>项目废水排放标准</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
              <w:gridCol w:w="905"/>
              <w:gridCol w:w="1111"/>
              <w:gridCol w:w="2687"/>
              <w:gridCol w:w="2718"/>
            </w:tblGrid>
            <w:tr w14:paraId="3FBA3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1" w:type="dxa"/>
                  <w:vMerge w:val="restart"/>
                  <w:vAlign w:val="center"/>
                </w:tcPr>
                <w:p w14:paraId="139638DE">
                  <w:pPr>
                    <w:pStyle w:val="128"/>
                    <w:spacing w:line="240" w:lineRule="auto"/>
                    <w:rPr>
                      <w:rFonts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rPr>
                    <w:t>序号</w:t>
                  </w:r>
                </w:p>
              </w:tc>
              <w:tc>
                <w:tcPr>
                  <w:tcW w:w="906" w:type="dxa"/>
                  <w:vMerge w:val="restart"/>
                  <w:vAlign w:val="center"/>
                </w:tcPr>
                <w:p w14:paraId="6D9A49CC">
                  <w:pPr>
                    <w:pStyle w:val="128"/>
                    <w:spacing w:line="240" w:lineRule="auto"/>
                    <w:rPr>
                      <w:rFonts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rPr>
                    <w:t>排放口编号</w:t>
                  </w:r>
                </w:p>
              </w:tc>
              <w:tc>
                <w:tcPr>
                  <w:tcW w:w="1134" w:type="dxa"/>
                  <w:vMerge w:val="restart"/>
                  <w:vAlign w:val="center"/>
                </w:tcPr>
                <w:p w14:paraId="7D450EBF">
                  <w:pPr>
                    <w:pStyle w:val="128"/>
                    <w:spacing w:line="240" w:lineRule="auto"/>
                    <w:rPr>
                      <w:rFonts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rPr>
                    <w:t>污染物种类</w:t>
                  </w:r>
                </w:p>
              </w:tc>
              <w:tc>
                <w:tcPr>
                  <w:tcW w:w="5474" w:type="dxa"/>
                  <w:gridSpan w:val="2"/>
                  <w:vAlign w:val="center"/>
                </w:tcPr>
                <w:p w14:paraId="6C6706F8">
                  <w:pPr>
                    <w:pStyle w:val="128"/>
                    <w:spacing w:line="240" w:lineRule="auto"/>
                    <w:rPr>
                      <w:rFonts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rPr>
                    <w:t>国家或地方污染物排放标准及其他按规定商定的排放协议</w:t>
                  </w:r>
                </w:p>
              </w:tc>
            </w:tr>
            <w:tr w14:paraId="6049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441" w:type="dxa"/>
                  <w:vMerge w:val="continue"/>
                  <w:vAlign w:val="center"/>
                </w:tcPr>
                <w:p w14:paraId="581ACD4E">
                  <w:pPr>
                    <w:pStyle w:val="128"/>
                    <w:spacing w:line="240" w:lineRule="auto"/>
                    <w:rPr>
                      <w:rFonts w:ascii="Times New Roman" w:hAnsi="Times New Roman" w:eastAsia="宋体" w:cs="Times New Roman"/>
                      <w:b/>
                      <w:bCs/>
                      <w:color w:val="auto"/>
                      <w:kern w:val="2"/>
                      <w:sz w:val="21"/>
                      <w:szCs w:val="21"/>
                      <w:highlight w:val="none"/>
                      <w:vertAlign w:val="baseline"/>
                      <w:lang w:val="en-US" w:eastAsia="zh-CN" w:bidi="ar-SA"/>
                    </w:rPr>
                  </w:pPr>
                </w:p>
              </w:tc>
              <w:tc>
                <w:tcPr>
                  <w:tcW w:w="906" w:type="dxa"/>
                  <w:vMerge w:val="continue"/>
                  <w:vAlign w:val="center"/>
                </w:tcPr>
                <w:p w14:paraId="3B49E1FB">
                  <w:pPr>
                    <w:pStyle w:val="128"/>
                    <w:spacing w:line="240" w:lineRule="auto"/>
                    <w:rPr>
                      <w:rFonts w:ascii="Times New Roman" w:hAnsi="Times New Roman" w:eastAsia="宋体" w:cs="Times New Roman"/>
                      <w:b/>
                      <w:bCs/>
                      <w:color w:val="auto"/>
                      <w:kern w:val="2"/>
                      <w:sz w:val="21"/>
                      <w:szCs w:val="21"/>
                      <w:highlight w:val="none"/>
                      <w:vertAlign w:val="baseline"/>
                      <w:lang w:val="en-US" w:eastAsia="zh-CN" w:bidi="ar-SA"/>
                    </w:rPr>
                  </w:pPr>
                </w:p>
              </w:tc>
              <w:tc>
                <w:tcPr>
                  <w:tcW w:w="1134" w:type="dxa"/>
                  <w:vMerge w:val="continue"/>
                  <w:vAlign w:val="center"/>
                </w:tcPr>
                <w:p w14:paraId="3B6ECCF8">
                  <w:pPr>
                    <w:pStyle w:val="128"/>
                    <w:spacing w:line="240" w:lineRule="auto"/>
                    <w:rPr>
                      <w:rFonts w:ascii="Times New Roman" w:hAnsi="Times New Roman" w:eastAsia="宋体" w:cs="Times New Roman"/>
                      <w:b/>
                      <w:bCs/>
                      <w:color w:val="auto"/>
                      <w:kern w:val="2"/>
                      <w:sz w:val="21"/>
                      <w:szCs w:val="21"/>
                      <w:highlight w:val="none"/>
                      <w:vertAlign w:val="baseline"/>
                      <w:lang w:val="en-US" w:eastAsia="zh-CN" w:bidi="ar-SA"/>
                    </w:rPr>
                  </w:pPr>
                </w:p>
              </w:tc>
              <w:tc>
                <w:tcPr>
                  <w:tcW w:w="2715" w:type="dxa"/>
                  <w:vAlign w:val="center"/>
                </w:tcPr>
                <w:p w14:paraId="5F96F186">
                  <w:pPr>
                    <w:pStyle w:val="128"/>
                    <w:spacing w:line="240" w:lineRule="auto"/>
                    <w:rPr>
                      <w:rFonts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rPr>
                    <w:t>名称</w:t>
                  </w:r>
                </w:p>
              </w:tc>
              <w:tc>
                <w:tcPr>
                  <w:tcW w:w="2759" w:type="dxa"/>
                  <w:vAlign w:val="center"/>
                </w:tcPr>
                <w:p w14:paraId="26D352A9">
                  <w:pPr>
                    <w:pStyle w:val="128"/>
                    <w:spacing w:line="240" w:lineRule="auto"/>
                    <w:rPr>
                      <w:color w:val="auto"/>
                      <w:highlight w:val="none"/>
                    </w:rPr>
                  </w:pPr>
                  <w:r>
                    <w:rPr>
                      <w:rFonts w:hint="default" w:ascii="Times New Roman" w:hAnsi="Times New Roman" w:eastAsia="宋体" w:cs="Times New Roman"/>
                      <w:b/>
                      <w:bCs/>
                      <w:color w:val="auto"/>
                      <w:sz w:val="21"/>
                      <w:szCs w:val="21"/>
                      <w:highlight w:val="none"/>
                    </w:rPr>
                    <w:t>浓度限值</w:t>
                  </w:r>
                </w:p>
              </w:tc>
            </w:tr>
            <w:tr w14:paraId="238A8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dxa"/>
                  <w:vAlign w:val="center"/>
                </w:tcPr>
                <w:p w14:paraId="2937E970">
                  <w:pPr>
                    <w:pStyle w:val="128"/>
                    <w:spacing w:line="240" w:lineRule="auto"/>
                    <w:rPr>
                      <w:rFonts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1</w:t>
                  </w:r>
                </w:p>
              </w:tc>
              <w:tc>
                <w:tcPr>
                  <w:tcW w:w="906" w:type="dxa"/>
                  <w:vAlign w:val="center"/>
                </w:tcPr>
                <w:p w14:paraId="7F2EF771">
                  <w:pPr>
                    <w:pStyle w:val="128"/>
                    <w:spacing w:line="240" w:lineRule="auto"/>
                    <w:rPr>
                      <w:rFonts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DW001</w:t>
                  </w:r>
                </w:p>
              </w:tc>
              <w:tc>
                <w:tcPr>
                  <w:tcW w:w="1134" w:type="dxa"/>
                  <w:vAlign w:val="center"/>
                </w:tcPr>
                <w:p w14:paraId="1BD4BC03">
                  <w:pPr>
                    <w:pStyle w:val="61"/>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leftChars="0" w:right="0" w:rightChars="0"/>
                    <w:rPr>
                      <w:rFonts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rPr>
                    <w:t>pH、COD</w:t>
                  </w:r>
                  <w:r>
                    <w:rPr>
                      <w:rFonts w:hint="default" w:ascii="Times New Roman" w:hAnsi="Times New Roman" w:cs="Times New Roman"/>
                      <w:color w:val="auto"/>
                      <w:kern w:val="2"/>
                      <w:sz w:val="21"/>
                      <w:szCs w:val="21"/>
                      <w:highlight w:val="none"/>
                      <w:vertAlign w:val="subscript"/>
                    </w:rPr>
                    <w:t>Cr</w:t>
                  </w:r>
                  <w:r>
                    <w:rPr>
                      <w:rFonts w:hint="default" w:ascii="Times New Roman" w:hAnsi="Times New Roman" w:cs="Times New Roman"/>
                      <w:color w:val="auto"/>
                      <w:kern w:val="2"/>
                      <w:sz w:val="21"/>
                      <w:szCs w:val="21"/>
                      <w:highlight w:val="none"/>
                    </w:rPr>
                    <w:t>、BOD</w:t>
                  </w:r>
                  <w:r>
                    <w:rPr>
                      <w:rFonts w:hint="default" w:ascii="Times New Roman" w:hAnsi="Times New Roman" w:cs="Times New Roman"/>
                      <w:color w:val="auto"/>
                      <w:kern w:val="2"/>
                      <w:sz w:val="21"/>
                      <w:szCs w:val="21"/>
                      <w:highlight w:val="none"/>
                      <w:vertAlign w:val="subscript"/>
                    </w:rPr>
                    <w:t>5</w:t>
                  </w:r>
                  <w:r>
                    <w:rPr>
                      <w:rFonts w:hint="default" w:ascii="Times New Roman" w:hAnsi="Times New Roman" w:cs="Times New Roman"/>
                      <w:color w:val="auto"/>
                      <w:kern w:val="2"/>
                      <w:sz w:val="21"/>
                      <w:szCs w:val="21"/>
                      <w:highlight w:val="none"/>
                    </w:rPr>
                    <w:t>、SS、氨氮</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color w:val="auto"/>
                      <w:kern w:val="2"/>
                      <w:sz w:val="21"/>
                      <w:szCs w:val="21"/>
                      <w:highlight w:val="none"/>
                      <w:lang w:val="en-US" w:eastAsia="zh-CN"/>
                    </w:rPr>
                    <w:t>总磷、动植物油</w:t>
                  </w:r>
                </w:p>
              </w:tc>
              <w:tc>
                <w:tcPr>
                  <w:tcW w:w="2715" w:type="dxa"/>
                  <w:vAlign w:val="center"/>
                </w:tcPr>
                <w:p w14:paraId="4AFCBBD8">
                  <w:pPr>
                    <w:pStyle w:val="128"/>
                    <w:spacing w:line="240" w:lineRule="auto"/>
                    <w:rPr>
                      <w:rFonts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广东省地方标准《水污染物排放限值》（DB44/26-2001）第二时段三级标准</w:t>
                  </w:r>
                  <w:r>
                    <w:rPr>
                      <w:rFonts w:hint="default" w:ascii="Times New Roman" w:hAnsi="Times New Roman" w:eastAsia="宋体"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rPr>
                    <w:t>园区污水处理厂接管水质要求</w:t>
                  </w:r>
                  <w:r>
                    <w:rPr>
                      <w:rFonts w:hint="default" w:ascii="Times New Roman" w:hAnsi="Times New Roman" w:eastAsia="宋体" w:cs="Times New Roman"/>
                      <w:color w:val="auto"/>
                      <w:sz w:val="21"/>
                      <w:szCs w:val="21"/>
                      <w:highlight w:val="none"/>
                      <w:lang w:val="en-US" w:eastAsia="zh-CN"/>
                    </w:rPr>
                    <w:t>两者较严值</w:t>
                  </w:r>
                </w:p>
              </w:tc>
              <w:tc>
                <w:tcPr>
                  <w:tcW w:w="2759" w:type="dxa"/>
                  <w:vAlign w:val="center"/>
                </w:tcPr>
                <w:p w14:paraId="52E0632A">
                  <w:pPr>
                    <w:pStyle w:val="128"/>
                    <w:spacing w:line="240" w:lineRule="auto"/>
                    <w:rPr>
                      <w:color w:val="auto"/>
                      <w:highlight w:val="none"/>
                    </w:rPr>
                  </w:pPr>
                  <w:r>
                    <w:rPr>
                      <w:rFonts w:hint="default" w:ascii="Times New Roman" w:hAnsi="Times New Roman" w:eastAsia="宋体" w:cs="Times New Roman"/>
                      <w:color w:val="auto"/>
                      <w:sz w:val="21"/>
                      <w:szCs w:val="21"/>
                      <w:highlight w:val="none"/>
                      <w:lang w:val="en-US" w:eastAsia="zh-CN"/>
                    </w:rPr>
                    <w:t>pH6~9，COD</w:t>
                  </w:r>
                  <w:r>
                    <w:rPr>
                      <w:rFonts w:hint="default" w:ascii="Times New Roman" w:hAnsi="Times New Roman" w:eastAsia="宋体" w:cs="Times New Roman"/>
                      <w:color w:val="auto"/>
                      <w:sz w:val="21"/>
                      <w:szCs w:val="21"/>
                      <w:highlight w:val="none"/>
                      <w:vertAlign w:val="subscript"/>
                      <w:lang w:val="en-US" w:eastAsia="zh-CN"/>
                    </w:rPr>
                    <w:t>Cr</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rPr>
                    <w:t>0mg/L，BOD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150</w:t>
                  </w:r>
                  <w:r>
                    <w:rPr>
                      <w:rFonts w:hint="default" w:ascii="Times New Roman" w:hAnsi="Times New Roman" w:eastAsia="宋体" w:cs="Times New Roman"/>
                      <w:color w:val="auto"/>
                      <w:sz w:val="21"/>
                      <w:szCs w:val="21"/>
                      <w:highlight w:val="none"/>
                    </w:rPr>
                    <w:t>mg/L，SS≤</w:t>
                  </w:r>
                  <w:r>
                    <w:rPr>
                      <w:rFonts w:hint="default" w:ascii="Times New Roman" w:hAnsi="Times New Roman" w:eastAsia="宋体"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rPr>
                    <w:t>0mg/L</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r>
                    <w:rPr>
                      <w:rFonts w:hint="default" w:ascii="Times New Roman" w:hAnsi="Times New Roman" w:eastAsia="宋体"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mg/L</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动植物油</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100</w:t>
                  </w:r>
                  <w:r>
                    <w:rPr>
                      <w:rFonts w:hint="default" w:ascii="Times New Roman" w:hAnsi="Times New Roman" w:eastAsia="宋体" w:cs="Times New Roman"/>
                      <w:color w:val="auto"/>
                      <w:sz w:val="21"/>
                      <w:szCs w:val="21"/>
                      <w:highlight w:val="none"/>
                    </w:rPr>
                    <w:t>mg/L</w:t>
                  </w:r>
                </w:p>
              </w:tc>
            </w:tr>
            <w:tr w14:paraId="69DC6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dxa"/>
                  <w:vAlign w:val="center"/>
                </w:tcPr>
                <w:p w14:paraId="344E07EC">
                  <w:pPr>
                    <w:pStyle w:val="128"/>
                    <w:spacing w:line="240" w:lineRule="auto"/>
                    <w:rPr>
                      <w:rFonts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906" w:type="dxa"/>
                  <w:vAlign w:val="center"/>
                </w:tcPr>
                <w:p w14:paraId="0319847B">
                  <w:pPr>
                    <w:pStyle w:val="128"/>
                    <w:spacing w:line="240" w:lineRule="auto"/>
                    <w:rPr>
                      <w:rFonts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DW00</w:t>
                  </w:r>
                  <w:r>
                    <w:rPr>
                      <w:rFonts w:hint="default" w:ascii="Times New Roman" w:hAnsi="Times New Roman" w:eastAsia="宋体" w:cs="Times New Roman"/>
                      <w:color w:val="auto"/>
                      <w:sz w:val="21"/>
                      <w:szCs w:val="21"/>
                      <w:highlight w:val="none"/>
                      <w:lang w:val="en-US" w:eastAsia="zh-CN"/>
                    </w:rPr>
                    <w:t>2</w:t>
                  </w:r>
                </w:p>
              </w:tc>
              <w:tc>
                <w:tcPr>
                  <w:tcW w:w="1134" w:type="dxa"/>
                  <w:vAlign w:val="center"/>
                </w:tcPr>
                <w:p w14:paraId="0C805837">
                  <w:pPr>
                    <w:pStyle w:val="61"/>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leftChars="0" w:right="0" w:rightChars="0"/>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cs="Times New Roman"/>
                      <w:color w:val="auto"/>
                      <w:kern w:val="2"/>
                      <w:sz w:val="21"/>
                      <w:szCs w:val="21"/>
                      <w:highlight w:val="none"/>
                    </w:rPr>
                    <w:t>pH、COD</w:t>
                  </w:r>
                  <w:r>
                    <w:rPr>
                      <w:rFonts w:hint="default" w:ascii="Times New Roman" w:hAnsi="Times New Roman" w:cs="Times New Roman"/>
                      <w:color w:val="auto"/>
                      <w:kern w:val="2"/>
                      <w:sz w:val="21"/>
                      <w:szCs w:val="21"/>
                      <w:highlight w:val="none"/>
                      <w:vertAlign w:val="subscript"/>
                    </w:rPr>
                    <w:t>Cr</w:t>
                  </w:r>
                  <w:r>
                    <w:rPr>
                      <w:rFonts w:hint="default" w:ascii="Times New Roman" w:hAnsi="Times New Roman" w:cs="Times New Roman"/>
                      <w:color w:val="auto"/>
                      <w:kern w:val="2"/>
                      <w:sz w:val="21"/>
                      <w:szCs w:val="21"/>
                      <w:highlight w:val="none"/>
                    </w:rPr>
                    <w:t>、</w:t>
                  </w:r>
                  <w:r>
                    <w:rPr>
                      <w:rFonts w:hint="default" w:ascii="Times New Roman" w:hAnsi="Times New Roman" w:cs="Times New Roman"/>
                      <w:color w:val="auto"/>
                      <w:sz w:val="21"/>
                      <w:szCs w:val="21"/>
                      <w:highlight w:val="none"/>
                      <w:lang w:val="en-US" w:eastAsia="zh-CN"/>
                    </w:rPr>
                    <w:t>BOD</w:t>
                  </w:r>
                  <w:r>
                    <w:rPr>
                      <w:rFonts w:hint="default" w:ascii="Times New Roman" w:hAnsi="Times New Roman" w:cs="Times New Roman"/>
                      <w:color w:val="auto"/>
                      <w:sz w:val="21"/>
                      <w:szCs w:val="21"/>
                      <w:highlight w:val="none"/>
                      <w:vertAlign w:val="subscript"/>
                      <w:lang w:val="en-US" w:eastAsia="zh-CN"/>
                    </w:rPr>
                    <w:t>5</w:t>
                  </w:r>
                  <w:r>
                    <w:rPr>
                      <w:rFonts w:hint="default" w:ascii="Times New Roman" w:hAnsi="Times New Roman" w:cs="Times New Roman"/>
                      <w:color w:val="auto"/>
                      <w:sz w:val="21"/>
                      <w:szCs w:val="21"/>
                      <w:highlight w:val="none"/>
                      <w:lang w:val="en-US" w:eastAsia="zh-CN"/>
                    </w:rPr>
                    <w:t>、NH</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lang w:val="en-US" w:eastAsia="zh-CN"/>
                    </w:rPr>
                    <w:t>-N、</w:t>
                  </w:r>
                  <w:r>
                    <w:rPr>
                      <w:rFonts w:hint="default" w:ascii="Times New Roman" w:hAnsi="Times New Roman" w:cs="Times New Roman"/>
                      <w:color w:val="auto"/>
                      <w:kern w:val="2"/>
                      <w:sz w:val="21"/>
                      <w:szCs w:val="21"/>
                      <w:highlight w:val="none"/>
                    </w:rPr>
                    <w:t>SS、阴离子表面活性剂、</w:t>
                  </w:r>
                  <w:r>
                    <w:rPr>
                      <w:rFonts w:hint="eastAsia" w:ascii="Times New Roman" w:hAnsi="Times New Roman" w:cs="Times New Roman"/>
                      <w:color w:val="auto"/>
                      <w:kern w:val="2"/>
                      <w:sz w:val="21"/>
                      <w:szCs w:val="21"/>
                      <w:highlight w:val="none"/>
                      <w:lang w:val="en-US" w:eastAsia="zh-CN"/>
                    </w:rPr>
                    <w:t>TP</w:t>
                  </w:r>
                  <w:r>
                    <w:rPr>
                      <w:rFonts w:hint="default" w:ascii="Times New Roman" w:hAnsi="Times New Roman" w:cs="Times New Roman"/>
                      <w:color w:val="auto"/>
                      <w:kern w:val="2"/>
                      <w:sz w:val="21"/>
                      <w:szCs w:val="21"/>
                      <w:highlight w:val="none"/>
                    </w:rPr>
                    <w:t>、</w:t>
                  </w:r>
                  <w:r>
                    <w:rPr>
                      <w:rFonts w:hint="eastAsia" w:ascii="Times New Roman" w:hAnsi="Times New Roman" w:cs="Times New Roman"/>
                      <w:color w:val="auto"/>
                      <w:kern w:val="2"/>
                      <w:sz w:val="21"/>
                      <w:szCs w:val="21"/>
                      <w:highlight w:val="none"/>
                      <w:lang w:val="en-US" w:eastAsia="zh-CN"/>
                    </w:rPr>
                    <w:t>TN、</w:t>
                  </w:r>
                  <w:r>
                    <w:rPr>
                      <w:rFonts w:hint="default" w:ascii="Times New Roman" w:hAnsi="Times New Roman" w:cs="Times New Roman"/>
                      <w:color w:val="auto"/>
                      <w:kern w:val="2"/>
                      <w:sz w:val="21"/>
                      <w:szCs w:val="21"/>
                      <w:highlight w:val="none"/>
                    </w:rPr>
                    <w:t>石油类</w:t>
                  </w:r>
                  <w:r>
                    <w:rPr>
                      <w:rFonts w:hint="eastAsia" w:cs="Times New Roman"/>
                      <w:color w:val="auto"/>
                      <w:kern w:val="2"/>
                      <w:sz w:val="21"/>
                      <w:szCs w:val="21"/>
                      <w:highlight w:val="none"/>
                      <w:lang w:eastAsia="zh-CN"/>
                    </w:rPr>
                    <w:t>、</w:t>
                  </w:r>
                  <w:r>
                    <w:rPr>
                      <w:rFonts w:hint="eastAsia" w:cs="Times New Roman"/>
                      <w:color w:val="auto"/>
                      <w:kern w:val="2"/>
                      <w:sz w:val="21"/>
                      <w:szCs w:val="21"/>
                      <w:highlight w:val="none"/>
                      <w:lang w:val="en-US" w:eastAsia="zh-CN"/>
                    </w:rPr>
                    <w:t>总锌、氟化物</w:t>
                  </w:r>
                </w:p>
              </w:tc>
              <w:tc>
                <w:tcPr>
                  <w:tcW w:w="2715" w:type="dxa"/>
                  <w:vAlign w:val="center"/>
                </w:tcPr>
                <w:p w14:paraId="4165D7FB">
                  <w:pPr>
                    <w:pStyle w:val="128"/>
                    <w:spacing w:line="240" w:lineRule="auto"/>
                    <w:rPr>
                      <w:rFonts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《电镀水污染物排放标准》（DB44/1597-2015）表2新建项目水污染物排放限值</w:t>
                  </w:r>
                  <w:r>
                    <w:rPr>
                      <w:rFonts w:hint="eastAsia" w:cs="Times New Roman"/>
                      <w:color w:val="auto"/>
                      <w:sz w:val="21"/>
                      <w:szCs w:val="21"/>
                      <w:highlight w:val="none"/>
                      <w:lang w:val="en-US" w:eastAsia="zh-CN"/>
                    </w:rPr>
                    <w:t>、</w:t>
                  </w:r>
                  <w:r>
                    <w:rPr>
                      <w:rFonts w:hint="eastAsia" w:cs="Times New Roman"/>
                      <w:snapToGrid w:val="0"/>
                      <w:color w:val="auto"/>
                      <w:kern w:val="0"/>
                      <w:sz w:val="21"/>
                      <w:szCs w:val="18"/>
                      <w:highlight w:val="none"/>
                      <w:lang w:val="en-US" w:eastAsia="zh-CN" w:bidi="ar-SA"/>
                    </w:rPr>
                    <w:t>广东省《水污染物排放限值》（DB44/26-2001）第二时段三级标准、</w:t>
                  </w:r>
                  <w:r>
                    <w:rPr>
                      <w:rFonts w:hint="default" w:ascii="Times New Roman" w:hAnsi="Times New Roman" w:eastAsia="宋体" w:cs="Times New Roman"/>
                      <w:color w:val="auto"/>
                      <w:sz w:val="21"/>
                      <w:szCs w:val="21"/>
                      <w:highlight w:val="none"/>
                    </w:rPr>
                    <w:t>园区污水处理厂接管水质要求</w:t>
                  </w:r>
                  <w:r>
                    <w:rPr>
                      <w:rFonts w:hint="eastAsia" w:cs="Times New Roman"/>
                      <w:color w:val="auto"/>
                      <w:sz w:val="21"/>
                      <w:szCs w:val="21"/>
                      <w:highlight w:val="none"/>
                      <w:lang w:val="en-US" w:eastAsia="zh-CN"/>
                    </w:rPr>
                    <w:t>三</w:t>
                  </w:r>
                  <w:r>
                    <w:rPr>
                      <w:rFonts w:hint="default" w:ascii="Times New Roman" w:hAnsi="Times New Roman" w:eastAsia="宋体" w:cs="Times New Roman"/>
                      <w:color w:val="auto"/>
                      <w:sz w:val="21"/>
                      <w:szCs w:val="21"/>
                      <w:highlight w:val="none"/>
                      <w:lang w:val="en-US" w:eastAsia="zh-CN"/>
                    </w:rPr>
                    <w:t>者较严值</w:t>
                  </w:r>
                </w:p>
              </w:tc>
              <w:tc>
                <w:tcPr>
                  <w:tcW w:w="2759" w:type="dxa"/>
                  <w:vAlign w:val="center"/>
                </w:tcPr>
                <w:p w14:paraId="43072E44">
                  <w:pPr>
                    <w:pStyle w:val="128"/>
                    <w:spacing w:line="240" w:lineRule="auto"/>
                    <w:rPr>
                      <w:rFonts w:hint="default" w:eastAsia="宋体"/>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pH6~9，COD</w:t>
                  </w:r>
                  <w:r>
                    <w:rPr>
                      <w:rFonts w:hint="default" w:ascii="Times New Roman" w:hAnsi="Times New Roman" w:eastAsia="宋体" w:cs="Times New Roman"/>
                      <w:color w:val="auto"/>
                      <w:sz w:val="21"/>
                      <w:szCs w:val="21"/>
                      <w:highlight w:val="none"/>
                      <w:vertAlign w:val="subscript"/>
                      <w:lang w:val="en-US" w:eastAsia="zh-CN"/>
                    </w:rPr>
                    <w:t>Cr</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0mg/L，</w:t>
                  </w:r>
                  <w:r>
                    <w:rPr>
                      <w:rFonts w:hint="default" w:ascii="Times New Roman" w:hAnsi="Times New Roman" w:cs="Times New Roman"/>
                      <w:color w:val="auto"/>
                      <w:sz w:val="21"/>
                      <w:szCs w:val="21"/>
                      <w:highlight w:val="none"/>
                      <w:lang w:val="en-US" w:eastAsia="zh-CN"/>
                    </w:rPr>
                    <w:t>BOD</w:t>
                  </w:r>
                  <w:r>
                    <w:rPr>
                      <w:rFonts w:hint="default" w:ascii="Times New Roman" w:hAnsi="Times New Roman"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0mg/L</w:t>
                  </w:r>
                  <w:r>
                    <w:rPr>
                      <w:rFonts w:hint="default" w:ascii="Times New Roman" w:hAnsi="Times New Roman" w:cs="Times New Roman"/>
                      <w:color w:val="auto"/>
                      <w:sz w:val="21"/>
                      <w:szCs w:val="21"/>
                      <w:highlight w:val="none"/>
                      <w:lang w:val="en-US" w:eastAsia="zh-CN"/>
                    </w:rPr>
                    <w:t>、NH</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mg/L</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SS≤</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0mg/L</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LAS</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mg/L</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TP</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mg/L</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TN</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mg/L</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石油类</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mg/L</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总锌</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mg/L</w:t>
                  </w:r>
                  <w:r>
                    <w:rPr>
                      <w:rFonts w:hint="eastAsia" w:cs="Times New Roman"/>
                      <w:color w:val="auto"/>
                      <w:sz w:val="21"/>
                      <w:szCs w:val="21"/>
                      <w:highlight w:val="none"/>
                      <w:lang w:val="en-US" w:eastAsia="zh-CN"/>
                    </w:rPr>
                    <w:t>，总铁</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mg/L</w:t>
                  </w:r>
                  <w:r>
                    <w:rPr>
                      <w:rFonts w:hint="eastAsia" w:cs="Times New Roman"/>
                      <w:color w:val="auto"/>
                      <w:sz w:val="21"/>
                      <w:szCs w:val="21"/>
                      <w:highlight w:val="none"/>
                      <w:lang w:val="en-US" w:eastAsia="zh-CN"/>
                    </w:rPr>
                    <w:t>，氟化物</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mg/L</w:t>
                  </w:r>
                </w:p>
              </w:tc>
            </w:tr>
          </w:tbl>
          <w:p w14:paraId="3D625877">
            <w:pPr>
              <w:keepNext w:val="0"/>
              <w:keepLines w:val="0"/>
              <w:pageBreakBefore w:val="0"/>
              <w:widowControl w:val="0"/>
              <w:numPr>
                <w:ilvl w:val="0"/>
                <w:numId w:val="10"/>
              </w:numPr>
              <w:kinsoku/>
              <w:wordWrap w:val="0"/>
              <w:overflowPunct/>
              <w:topLinePunct w:val="0"/>
              <w:autoSpaceDE/>
              <w:autoSpaceDN/>
              <w:bidi w:val="0"/>
              <w:adjustRightInd/>
              <w:snapToGrid/>
              <w:spacing w:line="240" w:lineRule="auto"/>
              <w:ind w:left="0" w:leftChars="0" w:hanging="1" w:firstLineChars="0"/>
              <w:jc w:val="center"/>
              <w:textAlignment w:val="auto"/>
              <w:rPr>
                <w:rFonts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color w:val="auto"/>
                <w:sz w:val="21"/>
                <w:szCs w:val="21"/>
                <w:highlight w:val="none"/>
                <w:lang w:val="en-US" w:eastAsia="zh-CN"/>
              </w:rPr>
              <w:t xml:space="preserve"> </w:t>
            </w:r>
            <w:r>
              <w:rPr>
                <w:rFonts w:hint="eastAsia" w:ascii="Times New Roman" w:hAnsi="Times New Roman" w:eastAsia="宋体" w:cs="Times New Roman"/>
                <w:b/>
                <w:bCs/>
                <w:color w:val="auto"/>
                <w:kern w:val="2"/>
                <w:sz w:val="21"/>
                <w:szCs w:val="21"/>
                <w:highlight w:val="none"/>
                <w:lang w:val="en-US" w:eastAsia="zh-CN" w:bidi="ar-SA"/>
              </w:rPr>
              <w:t>项目</w:t>
            </w:r>
            <w:r>
              <w:rPr>
                <w:rFonts w:ascii="Times New Roman" w:hAnsi="Times New Roman" w:eastAsia="宋体" w:cs="Times New Roman"/>
                <w:b/>
                <w:bCs/>
                <w:color w:val="auto"/>
                <w:kern w:val="2"/>
                <w:sz w:val="21"/>
                <w:szCs w:val="21"/>
                <w:highlight w:val="none"/>
                <w:lang w:val="en-US" w:eastAsia="zh-CN" w:bidi="ar-SA"/>
              </w:rPr>
              <w:t>废水排放口基本情况表</w:t>
            </w:r>
          </w:p>
          <w:tbl>
            <w:tblPr>
              <w:tblStyle w:val="4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74"/>
              <w:gridCol w:w="519"/>
              <w:gridCol w:w="616"/>
              <w:gridCol w:w="556"/>
              <w:gridCol w:w="564"/>
              <w:gridCol w:w="695"/>
              <w:gridCol w:w="948"/>
              <w:gridCol w:w="527"/>
              <w:gridCol w:w="467"/>
              <w:gridCol w:w="1016"/>
              <w:gridCol w:w="1473"/>
            </w:tblGrid>
            <w:tr w14:paraId="4D7E3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02" w:type="pct"/>
                  <w:vMerge w:val="restart"/>
                  <w:vAlign w:val="center"/>
                </w:tcPr>
                <w:p w14:paraId="5B0C5F02">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rPr>
                    <w:t>排放口编号</w:t>
                  </w:r>
                </w:p>
              </w:tc>
              <w:tc>
                <w:tcPr>
                  <w:tcW w:w="330" w:type="pct"/>
                  <w:vMerge w:val="restart"/>
                  <w:vAlign w:val="center"/>
                </w:tcPr>
                <w:p w14:paraId="34EEA440">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rPr>
                    <w:t>排放口名称</w:t>
                  </w:r>
                </w:p>
              </w:tc>
              <w:tc>
                <w:tcPr>
                  <w:tcW w:w="746" w:type="pct"/>
                  <w:gridSpan w:val="2"/>
                  <w:vAlign w:val="center"/>
                </w:tcPr>
                <w:p w14:paraId="3155A35D">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rPr>
                    <w:t>排放口坐标</w:t>
                  </w:r>
                </w:p>
              </w:tc>
              <w:tc>
                <w:tcPr>
                  <w:tcW w:w="359" w:type="pct"/>
                  <w:vMerge w:val="restart"/>
                  <w:vAlign w:val="center"/>
                </w:tcPr>
                <w:p w14:paraId="076DD834">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rPr>
                    <w:t>废水排放量/（万t/a）</w:t>
                  </w:r>
                </w:p>
              </w:tc>
              <w:tc>
                <w:tcPr>
                  <w:tcW w:w="442" w:type="pct"/>
                  <w:vMerge w:val="restart"/>
                  <w:vAlign w:val="center"/>
                </w:tcPr>
                <w:p w14:paraId="7E47DD8C">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rPr>
                    <w:t>排放去向</w:t>
                  </w:r>
                </w:p>
              </w:tc>
              <w:tc>
                <w:tcPr>
                  <w:tcW w:w="603" w:type="pct"/>
                  <w:vMerge w:val="restart"/>
                  <w:vAlign w:val="center"/>
                </w:tcPr>
                <w:p w14:paraId="403556D9">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rPr>
                    <w:t>排放规律</w:t>
                  </w:r>
                </w:p>
              </w:tc>
              <w:tc>
                <w:tcPr>
                  <w:tcW w:w="335" w:type="pct"/>
                  <w:vMerge w:val="restart"/>
                  <w:vAlign w:val="center"/>
                </w:tcPr>
                <w:p w14:paraId="0B84E243">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rPr>
                    <w:t>排放口类型</w:t>
                  </w:r>
                </w:p>
              </w:tc>
              <w:tc>
                <w:tcPr>
                  <w:tcW w:w="1880" w:type="pct"/>
                  <w:gridSpan w:val="3"/>
                  <w:vAlign w:val="center"/>
                </w:tcPr>
                <w:p w14:paraId="343C1089">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rPr>
                    <w:t>受纳污水处理厂信息</w:t>
                  </w:r>
                </w:p>
              </w:tc>
            </w:tr>
            <w:tr w14:paraId="37553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02" w:type="pct"/>
                  <w:vMerge w:val="continue"/>
                  <w:vAlign w:val="center"/>
                </w:tcPr>
                <w:p w14:paraId="119304DA">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b/>
                      <w:bCs/>
                      <w:color w:val="auto"/>
                      <w:kern w:val="2"/>
                      <w:sz w:val="21"/>
                      <w:szCs w:val="21"/>
                      <w:highlight w:val="none"/>
                    </w:rPr>
                  </w:pPr>
                </w:p>
              </w:tc>
              <w:tc>
                <w:tcPr>
                  <w:tcW w:w="330" w:type="pct"/>
                  <w:vMerge w:val="continue"/>
                  <w:vAlign w:val="center"/>
                </w:tcPr>
                <w:p w14:paraId="735BCFCB">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b/>
                      <w:bCs/>
                      <w:color w:val="auto"/>
                      <w:kern w:val="2"/>
                      <w:sz w:val="21"/>
                      <w:szCs w:val="21"/>
                      <w:highlight w:val="none"/>
                    </w:rPr>
                  </w:pPr>
                </w:p>
              </w:tc>
              <w:tc>
                <w:tcPr>
                  <w:tcW w:w="392" w:type="pct"/>
                  <w:vAlign w:val="center"/>
                </w:tcPr>
                <w:p w14:paraId="67BAFAE6">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eastAsia="宋体" w:cs="Times New Roman"/>
                      <w:b/>
                      <w:bCs/>
                      <w:color w:val="auto"/>
                      <w:kern w:val="2"/>
                      <w:sz w:val="21"/>
                      <w:szCs w:val="21"/>
                      <w:highlight w:val="none"/>
                      <w:lang w:val="en-US" w:eastAsia="zh-CN"/>
                    </w:rPr>
                  </w:pPr>
                  <w:r>
                    <w:rPr>
                      <w:rFonts w:hint="default" w:ascii="Times New Roman" w:hAnsi="Times New Roman" w:cs="Times New Roman"/>
                      <w:b/>
                      <w:bCs/>
                      <w:color w:val="auto"/>
                      <w:kern w:val="2"/>
                      <w:sz w:val="21"/>
                      <w:szCs w:val="21"/>
                      <w:highlight w:val="none"/>
                      <w:lang w:val="en-US" w:eastAsia="zh-CN"/>
                    </w:rPr>
                    <w:t>经度</w:t>
                  </w:r>
                </w:p>
              </w:tc>
              <w:tc>
                <w:tcPr>
                  <w:tcW w:w="353" w:type="pct"/>
                  <w:vAlign w:val="center"/>
                </w:tcPr>
                <w:p w14:paraId="130B0827">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eastAsia="宋体" w:cs="Times New Roman"/>
                      <w:b/>
                      <w:bCs/>
                      <w:color w:val="auto"/>
                      <w:kern w:val="2"/>
                      <w:sz w:val="21"/>
                      <w:szCs w:val="21"/>
                      <w:highlight w:val="none"/>
                      <w:lang w:eastAsia="zh-CN"/>
                    </w:rPr>
                  </w:pPr>
                  <w:r>
                    <w:rPr>
                      <w:rFonts w:hint="default" w:ascii="Times New Roman" w:hAnsi="Times New Roman" w:cs="Times New Roman"/>
                      <w:b/>
                      <w:bCs/>
                      <w:color w:val="auto"/>
                      <w:kern w:val="2"/>
                      <w:sz w:val="21"/>
                      <w:szCs w:val="21"/>
                      <w:highlight w:val="none"/>
                      <w:lang w:val="en-US" w:eastAsia="zh-CN"/>
                    </w:rPr>
                    <w:t>纬度</w:t>
                  </w:r>
                </w:p>
              </w:tc>
              <w:tc>
                <w:tcPr>
                  <w:tcW w:w="359" w:type="pct"/>
                  <w:vMerge w:val="continue"/>
                  <w:vAlign w:val="center"/>
                </w:tcPr>
                <w:p w14:paraId="379A4553">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b/>
                      <w:bCs/>
                      <w:color w:val="auto"/>
                      <w:kern w:val="2"/>
                      <w:sz w:val="21"/>
                      <w:szCs w:val="21"/>
                      <w:highlight w:val="none"/>
                    </w:rPr>
                  </w:pPr>
                </w:p>
              </w:tc>
              <w:tc>
                <w:tcPr>
                  <w:tcW w:w="442" w:type="pct"/>
                  <w:vMerge w:val="continue"/>
                  <w:vAlign w:val="center"/>
                </w:tcPr>
                <w:p w14:paraId="39FEA766">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b/>
                      <w:bCs/>
                      <w:color w:val="auto"/>
                      <w:kern w:val="2"/>
                      <w:sz w:val="21"/>
                      <w:szCs w:val="21"/>
                      <w:highlight w:val="none"/>
                    </w:rPr>
                  </w:pPr>
                </w:p>
              </w:tc>
              <w:tc>
                <w:tcPr>
                  <w:tcW w:w="603" w:type="pct"/>
                  <w:vMerge w:val="continue"/>
                  <w:vAlign w:val="center"/>
                </w:tcPr>
                <w:p w14:paraId="4AE9BFE7">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b/>
                      <w:bCs/>
                      <w:color w:val="auto"/>
                      <w:kern w:val="2"/>
                      <w:sz w:val="21"/>
                      <w:szCs w:val="21"/>
                      <w:highlight w:val="none"/>
                    </w:rPr>
                  </w:pPr>
                </w:p>
              </w:tc>
              <w:tc>
                <w:tcPr>
                  <w:tcW w:w="335" w:type="pct"/>
                  <w:vMerge w:val="continue"/>
                  <w:vAlign w:val="center"/>
                </w:tcPr>
                <w:p w14:paraId="1AC555B1">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b/>
                      <w:bCs/>
                      <w:color w:val="auto"/>
                      <w:kern w:val="2"/>
                      <w:sz w:val="21"/>
                      <w:szCs w:val="21"/>
                      <w:highlight w:val="none"/>
                    </w:rPr>
                  </w:pPr>
                </w:p>
              </w:tc>
              <w:tc>
                <w:tcPr>
                  <w:tcW w:w="297" w:type="pct"/>
                  <w:vAlign w:val="center"/>
                </w:tcPr>
                <w:p w14:paraId="377868FC">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rPr>
                    <w:t>名称</w:t>
                  </w:r>
                </w:p>
              </w:tc>
              <w:tc>
                <w:tcPr>
                  <w:tcW w:w="646" w:type="pct"/>
                  <w:vAlign w:val="center"/>
                </w:tcPr>
                <w:p w14:paraId="1BA6B123">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rPr>
                    <w:t>污染物种类</w:t>
                  </w:r>
                </w:p>
              </w:tc>
              <w:tc>
                <w:tcPr>
                  <w:tcW w:w="935" w:type="pct"/>
                  <w:vAlign w:val="center"/>
                </w:tcPr>
                <w:p w14:paraId="4777ADCA">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rPr>
                    <w:t>国家或地方污染物排放标准浓度限值/(mg/L)</w:t>
                  </w:r>
                </w:p>
              </w:tc>
            </w:tr>
            <w:tr w14:paraId="5E14C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02" w:type="pct"/>
                  <w:vMerge w:val="restart"/>
                  <w:vAlign w:val="center"/>
                </w:tcPr>
                <w:p w14:paraId="3FB9B55C">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DW0</w:t>
                  </w:r>
                  <w:r>
                    <w:rPr>
                      <w:rFonts w:hint="default" w:ascii="Times New Roman" w:hAnsi="Times New Roman" w:cs="Times New Roman"/>
                      <w:color w:val="auto"/>
                      <w:kern w:val="2"/>
                      <w:sz w:val="21"/>
                      <w:szCs w:val="21"/>
                      <w:highlight w:val="none"/>
                      <w:lang w:val="en-US" w:eastAsia="zh-CN"/>
                    </w:rPr>
                    <w:t>0</w:t>
                  </w:r>
                  <w:r>
                    <w:rPr>
                      <w:rFonts w:hint="default" w:ascii="Times New Roman" w:hAnsi="Times New Roman" w:cs="Times New Roman"/>
                      <w:color w:val="auto"/>
                      <w:kern w:val="2"/>
                      <w:sz w:val="21"/>
                      <w:szCs w:val="21"/>
                      <w:highlight w:val="none"/>
                    </w:rPr>
                    <w:t>1</w:t>
                  </w:r>
                </w:p>
              </w:tc>
              <w:tc>
                <w:tcPr>
                  <w:tcW w:w="330" w:type="pct"/>
                  <w:vMerge w:val="restart"/>
                  <w:vAlign w:val="center"/>
                </w:tcPr>
                <w:p w14:paraId="30B8B2BF">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rPr>
                    <w:t>生活污水</w:t>
                  </w:r>
                  <w:r>
                    <w:rPr>
                      <w:rFonts w:hint="default" w:ascii="Times New Roman" w:hAnsi="Times New Roman" w:cs="Times New Roman"/>
                      <w:color w:val="auto"/>
                      <w:kern w:val="2"/>
                      <w:sz w:val="21"/>
                      <w:szCs w:val="21"/>
                      <w:highlight w:val="none"/>
                    </w:rPr>
                    <w:t>排放口</w:t>
                  </w:r>
                </w:p>
              </w:tc>
              <w:tc>
                <w:tcPr>
                  <w:tcW w:w="392" w:type="pct"/>
                  <w:vMerge w:val="restart"/>
                  <w:vAlign w:val="center"/>
                </w:tcPr>
                <w:p w14:paraId="7EFC7176">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113.241266299°</w:t>
                  </w:r>
                </w:p>
              </w:tc>
              <w:tc>
                <w:tcPr>
                  <w:tcW w:w="353" w:type="pct"/>
                  <w:vMerge w:val="restart"/>
                  <w:vAlign w:val="center"/>
                </w:tcPr>
                <w:p w14:paraId="01BA1D79">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25.090683187°</w:t>
                  </w:r>
                </w:p>
              </w:tc>
              <w:tc>
                <w:tcPr>
                  <w:tcW w:w="359" w:type="pct"/>
                  <w:vMerge w:val="restart"/>
                  <w:vAlign w:val="center"/>
                </w:tcPr>
                <w:p w14:paraId="118D1DEA">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2"/>
                      <w:sz w:val="21"/>
                      <w:szCs w:val="21"/>
                      <w:highlight w:val="none"/>
                      <w:u w:val="none"/>
                      <w:lang w:val="en-US" w:eastAsia="zh-CN" w:bidi="ar-SA"/>
                    </w:rPr>
                    <w:t>0.</w:t>
                  </w:r>
                  <w:r>
                    <w:rPr>
                      <w:rFonts w:hint="eastAsia" w:ascii="Times New Roman" w:hAnsi="Times New Roman" w:eastAsia="宋体" w:cs="Times New Roman"/>
                      <w:i w:val="0"/>
                      <w:iCs w:val="0"/>
                      <w:color w:val="auto"/>
                      <w:kern w:val="2"/>
                      <w:sz w:val="21"/>
                      <w:szCs w:val="21"/>
                      <w:highlight w:val="none"/>
                      <w:u w:val="none"/>
                      <w:lang w:val="en-US" w:eastAsia="zh-CN" w:bidi="ar-SA"/>
                    </w:rPr>
                    <w:t>0756</w:t>
                  </w:r>
                </w:p>
              </w:tc>
              <w:tc>
                <w:tcPr>
                  <w:tcW w:w="442" w:type="pct"/>
                  <w:vMerge w:val="restart"/>
                  <w:vAlign w:val="center"/>
                </w:tcPr>
                <w:p w14:paraId="576F2258">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集中式工业污水处理厂</w:t>
                  </w:r>
                </w:p>
              </w:tc>
              <w:tc>
                <w:tcPr>
                  <w:tcW w:w="603" w:type="pct"/>
                  <w:vMerge w:val="restart"/>
                  <w:vAlign w:val="center"/>
                </w:tcPr>
                <w:p w14:paraId="78E630C5">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间歇排放，流量不稳定，但不属于冲击型排放</w:t>
                  </w:r>
                </w:p>
              </w:tc>
              <w:tc>
                <w:tcPr>
                  <w:tcW w:w="335" w:type="pct"/>
                  <w:vMerge w:val="restart"/>
                  <w:vAlign w:val="center"/>
                </w:tcPr>
                <w:p w14:paraId="525935DE">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一般排放口</w:t>
                  </w:r>
                </w:p>
              </w:tc>
              <w:tc>
                <w:tcPr>
                  <w:tcW w:w="297" w:type="pct"/>
                  <w:vMerge w:val="restart"/>
                  <w:vAlign w:val="center"/>
                </w:tcPr>
                <w:p w14:paraId="2752A9DA">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b w:val="0"/>
                      <w:bCs w:val="0"/>
                      <w:color w:val="auto"/>
                      <w:kern w:val="2"/>
                      <w:sz w:val="21"/>
                      <w:szCs w:val="21"/>
                      <w:highlight w:val="none"/>
                    </w:rPr>
                  </w:pPr>
                  <w:r>
                    <w:rPr>
                      <w:rFonts w:hint="default" w:ascii="Times New Roman" w:hAnsi="Times New Roman" w:cs="Times New Roman"/>
                      <w:b w:val="0"/>
                      <w:bCs w:val="0"/>
                      <w:color w:val="auto"/>
                      <w:kern w:val="2"/>
                      <w:sz w:val="21"/>
                      <w:szCs w:val="21"/>
                      <w:highlight w:val="none"/>
                      <w:lang w:val="en-US" w:eastAsia="zh-CN"/>
                    </w:rPr>
                    <w:t>乐昌产业转移工业园污水处理厂</w:t>
                  </w:r>
                </w:p>
              </w:tc>
              <w:tc>
                <w:tcPr>
                  <w:tcW w:w="646" w:type="pct"/>
                  <w:vAlign w:val="center"/>
                </w:tcPr>
                <w:p w14:paraId="01E81A45">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b w:val="0"/>
                      <w:bCs w:val="0"/>
                      <w:color w:val="auto"/>
                      <w:kern w:val="2"/>
                      <w:sz w:val="21"/>
                      <w:szCs w:val="21"/>
                      <w:highlight w:val="none"/>
                    </w:rPr>
                  </w:pPr>
                  <w:r>
                    <w:rPr>
                      <w:rFonts w:hint="default" w:ascii="Times New Roman" w:hAnsi="Times New Roman" w:cs="Times New Roman"/>
                      <w:b w:val="0"/>
                      <w:bCs w:val="0"/>
                      <w:color w:val="auto"/>
                      <w:kern w:val="2"/>
                      <w:sz w:val="21"/>
                      <w:szCs w:val="21"/>
                      <w:highlight w:val="none"/>
                    </w:rPr>
                    <w:t>pH</w:t>
                  </w:r>
                </w:p>
              </w:tc>
              <w:tc>
                <w:tcPr>
                  <w:tcW w:w="935" w:type="pct"/>
                  <w:vAlign w:val="center"/>
                </w:tcPr>
                <w:p w14:paraId="33DC18CA">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6~9</w:t>
                  </w:r>
                </w:p>
              </w:tc>
            </w:tr>
            <w:tr w14:paraId="14F79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02" w:type="pct"/>
                  <w:vMerge w:val="continue"/>
                  <w:vAlign w:val="center"/>
                </w:tcPr>
                <w:p w14:paraId="72AF98FD">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330" w:type="pct"/>
                  <w:vMerge w:val="continue"/>
                  <w:vAlign w:val="center"/>
                </w:tcPr>
                <w:p w14:paraId="55A42C38">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392" w:type="pct"/>
                  <w:vMerge w:val="continue"/>
                  <w:vAlign w:val="center"/>
                </w:tcPr>
                <w:p w14:paraId="48DCE87D">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353" w:type="pct"/>
                  <w:vMerge w:val="continue"/>
                  <w:vAlign w:val="center"/>
                </w:tcPr>
                <w:p w14:paraId="31B1F8FF">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359" w:type="pct"/>
                  <w:vMerge w:val="continue"/>
                  <w:vAlign w:val="center"/>
                </w:tcPr>
                <w:p w14:paraId="45A2719C">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442" w:type="pct"/>
                  <w:vMerge w:val="continue"/>
                  <w:vAlign w:val="center"/>
                </w:tcPr>
                <w:p w14:paraId="0C056DF9">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603" w:type="pct"/>
                  <w:vMerge w:val="continue"/>
                  <w:vAlign w:val="center"/>
                </w:tcPr>
                <w:p w14:paraId="261F973D">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335" w:type="pct"/>
                  <w:vMerge w:val="continue"/>
                  <w:vAlign w:val="center"/>
                </w:tcPr>
                <w:p w14:paraId="056C3A01">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297" w:type="pct"/>
                  <w:vMerge w:val="continue"/>
                  <w:vAlign w:val="center"/>
                </w:tcPr>
                <w:p w14:paraId="47BA3E06">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b w:val="0"/>
                      <w:bCs w:val="0"/>
                      <w:color w:val="auto"/>
                      <w:kern w:val="2"/>
                      <w:sz w:val="21"/>
                      <w:szCs w:val="21"/>
                      <w:highlight w:val="none"/>
                    </w:rPr>
                  </w:pPr>
                </w:p>
              </w:tc>
              <w:tc>
                <w:tcPr>
                  <w:tcW w:w="646" w:type="pct"/>
                  <w:vAlign w:val="center"/>
                </w:tcPr>
                <w:p w14:paraId="57430D7A">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b w:val="0"/>
                      <w:bCs w:val="0"/>
                      <w:color w:val="auto"/>
                      <w:kern w:val="2"/>
                      <w:sz w:val="21"/>
                      <w:szCs w:val="21"/>
                      <w:highlight w:val="none"/>
                    </w:rPr>
                  </w:pPr>
                  <w:r>
                    <w:rPr>
                      <w:rFonts w:hint="default" w:ascii="Times New Roman" w:hAnsi="Times New Roman" w:cs="Times New Roman"/>
                      <w:b w:val="0"/>
                      <w:bCs w:val="0"/>
                      <w:color w:val="auto"/>
                      <w:kern w:val="2"/>
                      <w:sz w:val="21"/>
                      <w:szCs w:val="21"/>
                      <w:highlight w:val="none"/>
                    </w:rPr>
                    <w:t>COD</w:t>
                  </w:r>
                  <w:r>
                    <w:rPr>
                      <w:rFonts w:hint="default" w:ascii="Times New Roman" w:hAnsi="Times New Roman" w:cs="Times New Roman"/>
                      <w:b w:val="0"/>
                      <w:bCs w:val="0"/>
                      <w:color w:val="auto"/>
                      <w:kern w:val="2"/>
                      <w:sz w:val="21"/>
                      <w:szCs w:val="21"/>
                      <w:highlight w:val="none"/>
                      <w:vertAlign w:val="subscript"/>
                    </w:rPr>
                    <w:t>Cr</w:t>
                  </w:r>
                </w:p>
              </w:tc>
              <w:tc>
                <w:tcPr>
                  <w:tcW w:w="935" w:type="pct"/>
                  <w:vAlign w:val="center"/>
                </w:tcPr>
                <w:p w14:paraId="000E389B">
                  <w:pPr>
                    <w:keepNext w:val="0"/>
                    <w:keepLines w:val="0"/>
                    <w:pageBreakBefore w:val="0"/>
                    <w:suppressLineNumbers w:val="0"/>
                    <w:kinsoku/>
                    <w:overflowPunct/>
                    <w:topLinePunct w:val="0"/>
                    <w:bidi w:val="0"/>
                    <w:adjustRightInd/>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40</w:t>
                  </w:r>
                </w:p>
              </w:tc>
            </w:tr>
            <w:tr w14:paraId="14C5D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02" w:type="pct"/>
                  <w:vMerge w:val="continue"/>
                  <w:vAlign w:val="center"/>
                </w:tcPr>
                <w:p w14:paraId="1EDA78D0">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330" w:type="pct"/>
                  <w:vMerge w:val="continue"/>
                  <w:vAlign w:val="center"/>
                </w:tcPr>
                <w:p w14:paraId="6CE31506">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392" w:type="pct"/>
                  <w:vMerge w:val="continue"/>
                  <w:vAlign w:val="center"/>
                </w:tcPr>
                <w:p w14:paraId="52F1FD58">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353" w:type="pct"/>
                  <w:vMerge w:val="continue"/>
                  <w:vAlign w:val="center"/>
                </w:tcPr>
                <w:p w14:paraId="1C985D39">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359" w:type="pct"/>
                  <w:vMerge w:val="continue"/>
                  <w:vAlign w:val="center"/>
                </w:tcPr>
                <w:p w14:paraId="6B05A172">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442" w:type="pct"/>
                  <w:vMerge w:val="continue"/>
                  <w:vAlign w:val="center"/>
                </w:tcPr>
                <w:p w14:paraId="4C85EFA7">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603" w:type="pct"/>
                  <w:vMerge w:val="continue"/>
                  <w:vAlign w:val="center"/>
                </w:tcPr>
                <w:p w14:paraId="247E1472">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335" w:type="pct"/>
                  <w:vMerge w:val="continue"/>
                  <w:vAlign w:val="center"/>
                </w:tcPr>
                <w:p w14:paraId="71CC6782">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297" w:type="pct"/>
                  <w:vMerge w:val="continue"/>
                  <w:vAlign w:val="center"/>
                </w:tcPr>
                <w:p w14:paraId="7B6F988B">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b w:val="0"/>
                      <w:bCs w:val="0"/>
                      <w:color w:val="auto"/>
                      <w:kern w:val="2"/>
                      <w:sz w:val="21"/>
                      <w:szCs w:val="21"/>
                      <w:highlight w:val="none"/>
                    </w:rPr>
                  </w:pPr>
                </w:p>
              </w:tc>
              <w:tc>
                <w:tcPr>
                  <w:tcW w:w="646" w:type="pct"/>
                  <w:vAlign w:val="center"/>
                </w:tcPr>
                <w:p w14:paraId="4ACE4FBE">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b w:val="0"/>
                      <w:bCs w:val="0"/>
                      <w:color w:val="auto"/>
                      <w:kern w:val="2"/>
                      <w:sz w:val="21"/>
                      <w:szCs w:val="21"/>
                      <w:highlight w:val="none"/>
                    </w:rPr>
                  </w:pPr>
                  <w:r>
                    <w:rPr>
                      <w:rFonts w:hint="default" w:ascii="Times New Roman" w:hAnsi="Times New Roman" w:cs="Times New Roman"/>
                      <w:b w:val="0"/>
                      <w:bCs w:val="0"/>
                      <w:color w:val="auto"/>
                      <w:kern w:val="2"/>
                      <w:sz w:val="21"/>
                      <w:szCs w:val="21"/>
                      <w:highlight w:val="none"/>
                    </w:rPr>
                    <w:t>BOD</w:t>
                  </w:r>
                  <w:r>
                    <w:rPr>
                      <w:rFonts w:hint="default" w:ascii="Times New Roman" w:hAnsi="Times New Roman" w:cs="Times New Roman"/>
                      <w:b w:val="0"/>
                      <w:bCs w:val="0"/>
                      <w:color w:val="auto"/>
                      <w:kern w:val="2"/>
                      <w:sz w:val="21"/>
                      <w:szCs w:val="21"/>
                      <w:highlight w:val="none"/>
                      <w:vertAlign w:val="subscript"/>
                    </w:rPr>
                    <w:t>5</w:t>
                  </w:r>
                </w:p>
              </w:tc>
              <w:tc>
                <w:tcPr>
                  <w:tcW w:w="935" w:type="pct"/>
                  <w:vAlign w:val="center"/>
                </w:tcPr>
                <w:p w14:paraId="385104BD">
                  <w:pPr>
                    <w:keepNext w:val="0"/>
                    <w:keepLines w:val="0"/>
                    <w:pageBreakBefore w:val="0"/>
                    <w:suppressLineNumbers w:val="0"/>
                    <w:kinsoku/>
                    <w:overflowPunct/>
                    <w:topLinePunct w:val="0"/>
                    <w:bidi w:val="0"/>
                    <w:adjustRightInd/>
                    <w:snapToGrid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lang w:val="en-US" w:eastAsia="zh-CN"/>
                    </w:rPr>
                    <w:t>2</w:t>
                  </w:r>
                  <w:r>
                    <w:rPr>
                      <w:rFonts w:hint="default" w:ascii="Times New Roman" w:hAnsi="Times New Roman" w:cs="Times New Roman"/>
                      <w:bCs/>
                      <w:color w:val="auto"/>
                      <w:sz w:val="21"/>
                      <w:szCs w:val="21"/>
                      <w:highlight w:val="none"/>
                    </w:rPr>
                    <w:t>0</w:t>
                  </w:r>
                </w:p>
              </w:tc>
            </w:tr>
            <w:tr w14:paraId="693D1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02" w:type="pct"/>
                  <w:vMerge w:val="continue"/>
                  <w:tcBorders>
                    <w:bottom w:val="single" w:color="000000" w:sz="4" w:space="0"/>
                  </w:tcBorders>
                  <w:vAlign w:val="center"/>
                </w:tcPr>
                <w:p w14:paraId="4E0716C1">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330" w:type="pct"/>
                  <w:vMerge w:val="continue"/>
                  <w:tcBorders>
                    <w:bottom w:val="single" w:color="000000" w:sz="4" w:space="0"/>
                  </w:tcBorders>
                  <w:vAlign w:val="center"/>
                </w:tcPr>
                <w:p w14:paraId="297F05AE">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392" w:type="pct"/>
                  <w:vMerge w:val="continue"/>
                  <w:tcBorders>
                    <w:bottom w:val="single" w:color="000000" w:sz="4" w:space="0"/>
                  </w:tcBorders>
                  <w:vAlign w:val="center"/>
                </w:tcPr>
                <w:p w14:paraId="57ECD534">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353" w:type="pct"/>
                  <w:vMerge w:val="continue"/>
                  <w:tcBorders>
                    <w:bottom w:val="single" w:color="000000" w:sz="4" w:space="0"/>
                  </w:tcBorders>
                  <w:vAlign w:val="center"/>
                </w:tcPr>
                <w:p w14:paraId="4DBEAADA">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359" w:type="pct"/>
                  <w:vMerge w:val="continue"/>
                  <w:tcBorders>
                    <w:bottom w:val="single" w:color="000000" w:sz="4" w:space="0"/>
                  </w:tcBorders>
                  <w:vAlign w:val="center"/>
                </w:tcPr>
                <w:p w14:paraId="2BE3BFFD">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442" w:type="pct"/>
                  <w:vMerge w:val="continue"/>
                  <w:tcBorders>
                    <w:bottom w:val="single" w:color="000000" w:sz="4" w:space="0"/>
                  </w:tcBorders>
                  <w:vAlign w:val="center"/>
                </w:tcPr>
                <w:p w14:paraId="6D69B4CA">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603" w:type="pct"/>
                  <w:vMerge w:val="continue"/>
                  <w:tcBorders>
                    <w:bottom w:val="single" w:color="000000" w:sz="4" w:space="0"/>
                  </w:tcBorders>
                  <w:vAlign w:val="center"/>
                </w:tcPr>
                <w:p w14:paraId="45A71717">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335" w:type="pct"/>
                  <w:vMerge w:val="continue"/>
                  <w:tcBorders>
                    <w:bottom w:val="single" w:color="000000" w:sz="4" w:space="0"/>
                  </w:tcBorders>
                  <w:vAlign w:val="center"/>
                </w:tcPr>
                <w:p w14:paraId="2C99E172">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297" w:type="pct"/>
                  <w:vMerge w:val="continue"/>
                  <w:vAlign w:val="center"/>
                </w:tcPr>
                <w:p w14:paraId="2B69AD01">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646" w:type="pct"/>
                  <w:tcBorders>
                    <w:bottom w:val="single" w:color="000000" w:sz="4" w:space="0"/>
                  </w:tcBorders>
                  <w:vAlign w:val="center"/>
                </w:tcPr>
                <w:p w14:paraId="71578A5B">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leftChars="0" w:right="0" w:right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SS</w:t>
                  </w:r>
                </w:p>
              </w:tc>
              <w:tc>
                <w:tcPr>
                  <w:tcW w:w="935" w:type="pct"/>
                  <w:vAlign w:val="center"/>
                </w:tcPr>
                <w:p w14:paraId="11036005">
                  <w:pPr>
                    <w:keepNext w:val="0"/>
                    <w:keepLines w:val="0"/>
                    <w:pageBreakBefore w:val="0"/>
                    <w:suppressLineNumbers w:val="0"/>
                    <w:kinsoku/>
                    <w:overflowPunct/>
                    <w:topLinePunct w:val="0"/>
                    <w:bidi w:val="0"/>
                    <w:adjustRightInd/>
                    <w:snapToGrid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20</w:t>
                  </w:r>
                </w:p>
              </w:tc>
            </w:tr>
            <w:tr w14:paraId="25AEE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02" w:type="pct"/>
                  <w:vMerge w:val="continue"/>
                  <w:tcBorders>
                    <w:bottom w:val="single" w:color="000000" w:sz="4" w:space="0"/>
                  </w:tcBorders>
                  <w:vAlign w:val="center"/>
                </w:tcPr>
                <w:p w14:paraId="123E0345">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330" w:type="pct"/>
                  <w:vMerge w:val="continue"/>
                  <w:tcBorders>
                    <w:bottom w:val="single" w:color="000000" w:sz="4" w:space="0"/>
                  </w:tcBorders>
                  <w:vAlign w:val="center"/>
                </w:tcPr>
                <w:p w14:paraId="628A51F9">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392" w:type="pct"/>
                  <w:vMerge w:val="continue"/>
                  <w:tcBorders>
                    <w:bottom w:val="single" w:color="000000" w:sz="4" w:space="0"/>
                  </w:tcBorders>
                  <w:vAlign w:val="center"/>
                </w:tcPr>
                <w:p w14:paraId="430A791F">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353" w:type="pct"/>
                  <w:vMerge w:val="continue"/>
                  <w:tcBorders>
                    <w:bottom w:val="single" w:color="000000" w:sz="4" w:space="0"/>
                  </w:tcBorders>
                  <w:vAlign w:val="center"/>
                </w:tcPr>
                <w:p w14:paraId="1AA76DA0">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359" w:type="pct"/>
                  <w:vMerge w:val="continue"/>
                  <w:tcBorders>
                    <w:bottom w:val="single" w:color="000000" w:sz="4" w:space="0"/>
                  </w:tcBorders>
                  <w:vAlign w:val="center"/>
                </w:tcPr>
                <w:p w14:paraId="4644F462">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442" w:type="pct"/>
                  <w:vMerge w:val="continue"/>
                  <w:tcBorders>
                    <w:bottom w:val="single" w:color="000000" w:sz="4" w:space="0"/>
                  </w:tcBorders>
                  <w:vAlign w:val="center"/>
                </w:tcPr>
                <w:p w14:paraId="49D59F23">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603" w:type="pct"/>
                  <w:vMerge w:val="continue"/>
                  <w:tcBorders>
                    <w:bottom w:val="single" w:color="000000" w:sz="4" w:space="0"/>
                  </w:tcBorders>
                  <w:vAlign w:val="center"/>
                </w:tcPr>
                <w:p w14:paraId="6A90ECDA">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335" w:type="pct"/>
                  <w:vMerge w:val="continue"/>
                  <w:tcBorders>
                    <w:bottom w:val="single" w:color="000000" w:sz="4" w:space="0"/>
                  </w:tcBorders>
                  <w:vAlign w:val="center"/>
                </w:tcPr>
                <w:p w14:paraId="24A203B2">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297" w:type="pct"/>
                  <w:vMerge w:val="continue"/>
                  <w:vAlign w:val="center"/>
                </w:tcPr>
                <w:p w14:paraId="79FEBFCE">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646" w:type="pct"/>
                  <w:tcBorders>
                    <w:bottom w:val="single" w:color="000000" w:sz="4" w:space="0"/>
                  </w:tcBorders>
                  <w:vAlign w:val="center"/>
                </w:tcPr>
                <w:p w14:paraId="4990CDF2">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leftChars="0" w:right="0" w:right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氨氮</w:t>
                  </w:r>
                </w:p>
              </w:tc>
              <w:tc>
                <w:tcPr>
                  <w:tcW w:w="935" w:type="pct"/>
                  <w:vAlign w:val="center"/>
                </w:tcPr>
                <w:p w14:paraId="71B65C51">
                  <w:pPr>
                    <w:keepNext w:val="0"/>
                    <w:keepLines w:val="0"/>
                    <w:pageBreakBefore w:val="0"/>
                    <w:suppressLineNumbers w:val="0"/>
                    <w:kinsoku/>
                    <w:overflowPunct/>
                    <w:topLinePunct w:val="0"/>
                    <w:bidi w:val="0"/>
                    <w:adjustRightInd/>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8</w:t>
                  </w:r>
                </w:p>
              </w:tc>
            </w:tr>
            <w:tr w14:paraId="33C4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02" w:type="pct"/>
                  <w:vMerge w:val="restart"/>
                  <w:tcBorders>
                    <w:top w:val="single" w:color="000000" w:sz="4" w:space="0"/>
                  </w:tcBorders>
                  <w:vAlign w:val="center"/>
                </w:tcPr>
                <w:p w14:paraId="74C10B8C">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leftChars="0" w:right="0" w:rightChars="0"/>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rPr>
                    <w:t>DW0</w:t>
                  </w:r>
                  <w:r>
                    <w:rPr>
                      <w:rFonts w:hint="default" w:ascii="Times New Roman" w:hAnsi="Times New Roman" w:cs="Times New Roman"/>
                      <w:color w:val="auto"/>
                      <w:kern w:val="2"/>
                      <w:sz w:val="21"/>
                      <w:szCs w:val="21"/>
                      <w:highlight w:val="none"/>
                      <w:lang w:val="en-US" w:eastAsia="zh-CN"/>
                    </w:rPr>
                    <w:t>02</w:t>
                  </w:r>
                </w:p>
              </w:tc>
              <w:tc>
                <w:tcPr>
                  <w:tcW w:w="330" w:type="pct"/>
                  <w:vMerge w:val="restart"/>
                  <w:tcBorders>
                    <w:top w:val="single" w:color="000000" w:sz="4" w:space="0"/>
                  </w:tcBorders>
                  <w:vAlign w:val="center"/>
                </w:tcPr>
                <w:p w14:paraId="56A8BBC1">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leftChars="0" w:right="0" w:rightChars="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rPr>
                    <w:t>生产废水</w:t>
                  </w:r>
                  <w:r>
                    <w:rPr>
                      <w:rFonts w:hint="default" w:ascii="Times New Roman" w:hAnsi="Times New Roman" w:cs="Times New Roman"/>
                      <w:color w:val="auto"/>
                      <w:kern w:val="2"/>
                      <w:sz w:val="21"/>
                      <w:szCs w:val="21"/>
                      <w:highlight w:val="none"/>
                    </w:rPr>
                    <w:t>排放口</w:t>
                  </w:r>
                </w:p>
              </w:tc>
              <w:tc>
                <w:tcPr>
                  <w:tcW w:w="392" w:type="pct"/>
                  <w:vMerge w:val="restart"/>
                  <w:tcBorders>
                    <w:top w:val="single" w:color="000000" w:sz="4" w:space="0"/>
                  </w:tcBorders>
                  <w:vAlign w:val="center"/>
                </w:tcPr>
                <w:p w14:paraId="6CF8248B">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leftChars="0" w:right="0" w:right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113.241639019°</w:t>
                  </w:r>
                </w:p>
              </w:tc>
              <w:tc>
                <w:tcPr>
                  <w:tcW w:w="353" w:type="pct"/>
                  <w:vMerge w:val="restart"/>
                  <w:tcBorders>
                    <w:top w:val="single" w:color="000000" w:sz="4" w:space="0"/>
                  </w:tcBorders>
                  <w:vAlign w:val="center"/>
                </w:tcPr>
                <w:p w14:paraId="705601E6">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leftChars="0" w:right="0" w:rightChars="0"/>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25.090761883°</w:t>
                  </w:r>
                </w:p>
              </w:tc>
              <w:tc>
                <w:tcPr>
                  <w:tcW w:w="359" w:type="pct"/>
                  <w:vMerge w:val="restart"/>
                  <w:tcBorders>
                    <w:top w:val="single" w:color="000000" w:sz="4" w:space="0"/>
                  </w:tcBorders>
                  <w:vAlign w:val="center"/>
                </w:tcPr>
                <w:p w14:paraId="32512FC7">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leftChars="0" w:right="0" w:rightChars="0"/>
                    <w:rPr>
                      <w:rFonts w:hint="default" w:ascii="Times New Roman" w:hAnsi="Times New Roman" w:cs="Times New Roman"/>
                      <w:color w:val="auto"/>
                      <w:kern w:val="2"/>
                      <w:sz w:val="21"/>
                      <w:szCs w:val="21"/>
                      <w:highlight w:val="none"/>
                      <w:lang w:val="en-US"/>
                    </w:rPr>
                  </w:pPr>
                  <w:r>
                    <w:rPr>
                      <w:rFonts w:hint="default" w:ascii="Times New Roman" w:hAnsi="Times New Roman" w:eastAsia="宋体" w:cs="Times New Roman"/>
                      <w:i w:val="0"/>
                      <w:iCs w:val="0"/>
                      <w:color w:val="auto"/>
                      <w:kern w:val="2"/>
                      <w:sz w:val="21"/>
                      <w:szCs w:val="21"/>
                      <w:highlight w:val="none"/>
                      <w:u w:val="none"/>
                      <w:lang w:val="en-US" w:eastAsia="zh-CN" w:bidi="ar-SA"/>
                    </w:rPr>
                    <w:t>0.</w:t>
                  </w:r>
                  <w:r>
                    <w:rPr>
                      <w:rFonts w:hint="eastAsia" w:cs="Times New Roman"/>
                      <w:i w:val="0"/>
                      <w:iCs w:val="0"/>
                      <w:color w:val="auto"/>
                      <w:kern w:val="2"/>
                      <w:sz w:val="21"/>
                      <w:szCs w:val="21"/>
                      <w:highlight w:val="none"/>
                      <w:u w:val="none"/>
                      <w:lang w:val="en-US" w:eastAsia="zh-CN" w:bidi="ar-SA"/>
                    </w:rPr>
                    <w:t>2508</w:t>
                  </w:r>
                </w:p>
              </w:tc>
              <w:tc>
                <w:tcPr>
                  <w:tcW w:w="442" w:type="pct"/>
                  <w:vMerge w:val="restart"/>
                  <w:tcBorders>
                    <w:top w:val="single" w:color="000000" w:sz="4" w:space="0"/>
                  </w:tcBorders>
                  <w:vAlign w:val="center"/>
                </w:tcPr>
                <w:p w14:paraId="47DAFD20">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集中式工业污水处理厂</w:t>
                  </w:r>
                </w:p>
              </w:tc>
              <w:tc>
                <w:tcPr>
                  <w:tcW w:w="603" w:type="pct"/>
                  <w:vMerge w:val="restart"/>
                  <w:tcBorders>
                    <w:top w:val="single" w:color="000000" w:sz="4" w:space="0"/>
                  </w:tcBorders>
                  <w:vAlign w:val="center"/>
                </w:tcPr>
                <w:p w14:paraId="58E56C53">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leftChars="0" w:right="0" w:rightChars="0"/>
                    <w:rPr>
                      <w:rFonts w:hint="default" w:ascii="Times New Roman" w:hAnsi="Times New Roman" w:cs="Times New Roman"/>
                      <w:color w:val="auto"/>
                      <w:kern w:val="2"/>
                      <w:sz w:val="21"/>
                      <w:szCs w:val="21"/>
                      <w:highlight w:val="none"/>
                    </w:rPr>
                  </w:pPr>
                  <w:r>
                    <w:rPr>
                      <w:rFonts w:hint="eastAsia" w:cs="Times New Roman"/>
                      <w:color w:val="auto"/>
                      <w:kern w:val="2"/>
                      <w:sz w:val="21"/>
                      <w:szCs w:val="21"/>
                      <w:highlight w:val="none"/>
                      <w:lang w:val="en-US" w:eastAsia="zh-CN"/>
                    </w:rPr>
                    <w:t>连续</w:t>
                  </w:r>
                  <w:r>
                    <w:rPr>
                      <w:rFonts w:hint="default" w:ascii="Times New Roman" w:hAnsi="Times New Roman" w:cs="Times New Roman"/>
                      <w:color w:val="auto"/>
                      <w:kern w:val="2"/>
                      <w:sz w:val="21"/>
                      <w:szCs w:val="21"/>
                      <w:highlight w:val="none"/>
                    </w:rPr>
                    <w:t>排放，流量不稳定，但不属于冲击型排放</w:t>
                  </w:r>
                </w:p>
              </w:tc>
              <w:tc>
                <w:tcPr>
                  <w:tcW w:w="335" w:type="pct"/>
                  <w:vMerge w:val="restart"/>
                  <w:tcBorders>
                    <w:top w:val="single" w:color="000000" w:sz="4" w:space="0"/>
                  </w:tcBorders>
                  <w:vAlign w:val="center"/>
                </w:tcPr>
                <w:p w14:paraId="0AF368DC">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leftChars="0" w:right="0" w:rightChars="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一般排放口</w:t>
                  </w:r>
                </w:p>
              </w:tc>
              <w:tc>
                <w:tcPr>
                  <w:tcW w:w="297" w:type="pct"/>
                  <w:vMerge w:val="continue"/>
                  <w:vAlign w:val="center"/>
                </w:tcPr>
                <w:p w14:paraId="0BEFB5C9">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646" w:type="pct"/>
                  <w:tcBorders>
                    <w:top w:val="single" w:color="000000" w:sz="4" w:space="0"/>
                  </w:tcBorders>
                  <w:vAlign w:val="center"/>
                </w:tcPr>
                <w:p w14:paraId="3439AC08">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leftChars="0" w:right="0" w:right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总磷</w:t>
                  </w:r>
                </w:p>
              </w:tc>
              <w:tc>
                <w:tcPr>
                  <w:tcW w:w="935" w:type="pct"/>
                  <w:vAlign w:val="center"/>
                </w:tcPr>
                <w:p w14:paraId="6EC04236">
                  <w:pPr>
                    <w:keepNext w:val="0"/>
                    <w:keepLines w:val="0"/>
                    <w:pageBreakBefore w:val="0"/>
                    <w:suppressLineNumbers w:val="0"/>
                    <w:kinsoku/>
                    <w:overflowPunct/>
                    <w:topLinePunct w:val="0"/>
                    <w:bidi w:val="0"/>
                    <w:adjustRightInd/>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0.5</w:t>
                  </w:r>
                </w:p>
              </w:tc>
            </w:tr>
            <w:tr w14:paraId="7A9A8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02" w:type="pct"/>
                  <w:vMerge w:val="continue"/>
                  <w:vAlign w:val="center"/>
                </w:tcPr>
                <w:p w14:paraId="6A58E06C">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330" w:type="pct"/>
                  <w:vMerge w:val="continue"/>
                  <w:vAlign w:val="center"/>
                </w:tcPr>
                <w:p w14:paraId="34A4613B">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392" w:type="pct"/>
                  <w:vMerge w:val="continue"/>
                  <w:vAlign w:val="center"/>
                </w:tcPr>
                <w:p w14:paraId="4CB1A42E">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353" w:type="pct"/>
                  <w:vMerge w:val="continue"/>
                  <w:vAlign w:val="center"/>
                </w:tcPr>
                <w:p w14:paraId="11D1A8A1">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359" w:type="pct"/>
                  <w:vMerge w:val="continue"/>
                  <w:vAlign w:val="center"/>
                </w:tcPr>
                <w:p w14:paraId="1ABAAA63">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442" w:type="pct"/>
                  <w:vMerge w:val="continue"/>
                  <w:vAlign w:val="center"/>
                </w:tcPr>
                <w:p w14:paraId="2B2B9343">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603" w:type="pct"/>
                  <w:vMerge w:val="continue"/>
                  <w:vAlign w:val="center"/>
                </w:tcPr>
                <w:p w14:paraId="2576A0ED">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335" w:type="pct"/>
                  <w:vMerge w:val="continue"/>
                  <w:vAlign w:val="center"/>
                </w:tcPr>
                <w:p w14:paraId="6BF16BE8">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297" w:type="pct"/>
                  <w:vMerge w:val="continue"/>
                  <w:vAlign w:val="center"/>
                </w:tcPr>
                <w:p w14:paraId="4D0613C7">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646" w:type="pct"/>
                  <w:vAlign w:val="center"/>
                </w:tcPr>
                <w:p w14:paraId="43672BF1">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阴离子表面活性剂</w:t>
                  </w:r>
                </w:p>
              </w:tc>
              <w:tc>
                <w:tcPr>
                  <w:tcW w:w="935" w:type="pct"/>
                  <w:vAlign w:val="center"/>
                </w:tcPr>
                <w:p w14:paraId="24B1E8D1">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1.0</w:t>
                  </w:r>
                </w:p>
              </w:tc>
            </w:tr>
            <w:tr w14:paraId="53E8D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02" w:type="pct"/>
                  <w:vMerge w:val="continue"/>
                  <w:vAlign w:val="center"/>
                </w:tcPr>
                <w:p w14:paraId="497BECAB">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330" w:type="pct"/>
                  <w:vMerge w:val="continue"/>
                  <w:vAlign w:val="center"/>
                </w:tcPr>
                <w:p w14:paraId="70B6ED09">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392" w:type="pct"/>
                  <w:vMerge w:val="continue"/>
                  <w:vAlign w:val="center"/>
                </w:tcPr>
                <w:p w14:paraId="61243250">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353" w:type="pct"/>
                  <w:vMerge w:val="continue"/>
                  <w:vAlign w:val="center"/>
                </w:tcPr>
                <w:p w14:paraId="6A247C05">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359" w:type="pct"/>
                  <w:vMerge w:val="continue"/>
                  <w:vAlign w:val="center"/>
                </w:tcPr>
                <w:p w14:paraId="0EECAE9B">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442" w:type="pct"/>
                  <w:vMerge w:val="continue"/>
                  <w:vAlign w:val="center"/>
                </w:tcPr>
                <w:p w14:paraId="0CE3BD65">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603" w:type="pct"/>
                  <w:vMerge w:val="continue"/>
                  <w:vAlign w:val="center"/>
                </w:tcPr>
                <w:p w14:paraId="05F32CE7">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335" w:type="pct"/>
                  <w:vMerge w:val="continue"/>
                  <w:vAlign w:val="center"/>
                </w:tcPr>
                <w:p w14:paraId="30F4A1E3">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297" w:type="pct"/>
                  <w:vMerge w:val="continue"/>
                  <w:vAlign w:val="center"/>
                </w:tcPr>
                <w:p w14:paraId="3E74D3D0">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p>
              </w:tc>
              <w:tc>
                <w:tcPr>
                  <w:tcW w:w="646" w:type="pct"/>
                  <w:vAlign w:val="center"/>
                </w:tcPr>
                <w:p w14:paraId="312600DC">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石油类</w:t>
                  </w:r>
                </w:p>
              </w:tc>
              <w:tc>
                <w:tcPr>
                  <w:tcW w:w="935" w:type="pct"/>
                  <w:vAlign w:val="center"/>
                </w:tcPr>
                <w:p w14:paraId="0BB46570">
                  <w:pPr>
                    <w:pStyle w:val="61"/>
                    <w:keepNext w:val="0"/>
                    <w:keepLines w:val="0"/>
                    <w:pageBreakBefore w:val="0"/>
                    <w:widowControl/>
                    <w:suppressLineNumbers w:val="0"/>
                    <w:kinsoku/>
                    <w:overflowPunct/>
                    <w:topLinePunct w:val="0"/>
                    <w:bidi w:val="0"/>
                    <w:adjustRightInd/>
                    <w:snapToGrid w:val="0"/>
                    <w:spacing w:before="0" w:beforeAutospacing="0" w:after="0" w:afterAutospacing="0" w:line="240" w:lineRule="auto"/>
                    <w:ind w:left="0" w:right="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3</w:t>
                  </w:r>
                </w:p>
              </w:tc>
            </w:tr>
          </w:tbl>
          <w:p w14:paraId="7BE961B5">
            <w:pPr>
              <w:keepNext w:val="0"/>
              <w:keepLines w:val="0"/>
              <w:pageBreakBefore w:val="0"/>
              <w:widowControl w:val="0"/>
              <w:numPr>
                <w:ilvl w:val="0"/>
                <w:numId w:val="10"/>
              </w:numPr>
              <w:kinsoku/>
              <w:wordWrap w:val="0"/>
              <w:overflowPunct/>
              <w:topLinePunct w:val="0"/>
              <w:autoSpaceDE/>
              <w:autoSpaceDN/>
              <w:bidi w:val="0"/>
              <w:adjustRightInd/>
              <w:snapToGrid/>
              <w:spacing w:line="240" w:lineRule="auto"/>
              <w:ind w:left="0" w:leftChars="0" w:hanging="1"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废水污染物排放信息表</w:t>
            </w:r>
          </w:p>
          <w:tbl>
            <w:tblPr>
              <w:tblStyle w:val="43"/>
              <w:tblW w:w="0" w:type="auto"/>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08"/>
              <w:gridCol w:w="1030"/>
              <w:gridCol w:w="1396"/>
              <w:gridCol w:w="1603"/>
              <w:gridCol w:w="1749"/>
              <w:gridCol w:w="1585"/>
            </w:tblGrid>
            <w:tr w14:paraId="13CAD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850150">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0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7590AB">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排放口编号</w:t>
                  </w:r>
                </w:p>
              </w:tc>
              <w:tc>
                <w:tcPr>
                  <w:tcW w:w="13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85A892">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污染物种类</w:t>
                  </w:r>
                </w:p>
              </w:tc>
              <w:tc>
                <w:tcPr>
                  <w:tcW w:w="16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A13310">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排放浓度</w:t>
                  </w:r>
                  <w:r>
                    <w:rPr>
                      <w:rFonts w:hint="default" w:ascii="Times New Roman" w:hAnsi="Times New Roman" w:eastAsia="宋体" w:cs="Times New Roman"/>
                      <w:b/>
                      <w:bCs/>
                      <w:i w:val="0"/>
                      <w:iCs w:val="0"/>
                      <w:color w:val="auto"/>
                      <w:kern w:val="0"/>
                      <w:sz w:val="21"/>
                      <w:szCs w:val="21"/>
                      <w:highlight w:val="none"/>
                      <w:u w:val="none"/>
                      <w:lang w:val="en-US" w:eastAsia="zh-CN" w:bidi="ar"/>
                    </w:rPr>
                    <w:t>/</w:t>
                  </w:r>
                  <w:r>
                    <w:rPr>
                      <w:rFonts w:hint="eastAsia" w:ascii="宋体" w:hAnsi="宋体" w:eastAsia="宋体" w:cs="宋体"/>
                      <w:b/>
                      <w:bCs/>
                      <w:i w:val="0"/>
                      <w:iCs w:val="0"/>
                      <w:color w:val="auto"/>
                      <w:kern w:val="0"/>
                      <w:sz w:val="21"/>
                      <w:szCs w:val="21"/>
                      <w:highlight w:val="none"/>
                      <w:u w:val="none"/>
                      <w:lang w:val="en-US" w:eastAsia="zh-CN" w:bidi="ar"/>
                    </w:rPr>
                    <w:t>（</w:t>
                  </w:r>
                  <w:r>
                    <w:rPr>
                      <w:rFonts w:hint="default" w:ascii="Times New Roman" w:hAnsi="Times New Roman" w:eastAsia="宋体" w:cs="Times New Roman"/>
                      <w:b/>
                      <w:bCs/>
                      <w:i w:val="0"/>
                      <w:iCs w:val="0"/>
                      <w:color w:val="auto"/>
                      <w:kern w:val="0"/>
                      <w:sz w:val="21"/>
                      <w:szCs w:val="21"/>
                      <w:highlight w:val="none"/>
                      <w:u w:val="none"/>
                      <w:lang w:val="en-US" w:eastAsia="zh-CN" w:bidi="ar"/>
                    </w:rPr>
                    <w:t>mg/L</w:t>
                  </w:r>
                  <w:r>
                    <w:rPr>
                      <w:rFonts w:hint="eastAsia" w:ascii="宋体" w:hAnsi="宋体" w:eastAsia="宋体" w:cs="宋体"/>
                      <w:b/>
                      <w:bCs/>
                      <w:i w:val="0"/>
                      <w:iCs w:val="0"/>
                      <w:color w:val="auto"/>
                      <w:kern w:val="0"/>
                      <w:sz w:val="21"/>
                      <w:szCs w:val="21"/>
                      <w:highlight w:val="none"/>
                      <w:u w:val="none"/>
                      <w:lang w:val="en-US" w:eastAsia="zh-CN" w:bidi="ar"/>
                    </w:rPr>
                    <w:t>）</w:t>
                  </w:r>
                </w:p>
              </w:tc>
              <w:tc>
                <w:tcPr>
                  <w:tcW w:w="17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EC32D8">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全厂日排放量</w:t>
                  </w:r>
                  <w:r>
                    <w:rPr>
                      <w:rFonts w:hint="default" w:ascii="Times New Roman" w:hAnsi="Times New Roman" w:eastAsia="宋体" w:cs="Times New Roman"/>
                      <w:b/>
                      <w:bCs/>
                      <w:i w:val="0"/>
                      <w:iCs w:val="0"/>
                      <w:color w:val="auto"/>
                      <w:kern w:val="0"/>
                      <w:sz w:val="21"/>
                      <w:szCs w:val="21"/>
                      <w:highlight w:val="none"/>
                      <w:u w:val="none"/>
                      <w:lang w:val="en-US" w:eastAsia="zh-CN" w:bidi="ar"/>
                    </w:rPr>
                    <w:t>/</w:t>
                  </w:r>
                  <w:r>
                    <w:rPr>
                      <w:rFonts w:hint="eastAsia" w:ascii="宋体" w:hAnsi="宋体" w:eastAsia="宋体" w:cs="宋体"/>
                      <w:b/>
                      <w:bCs/>
                      <w:i w:val="0"/>
                      <w:iCs w:val="0"/>
                      <w:color w:val="auto"/>
                      <w:kern w:val="0"/>
                      <w:sz w:val="21"/>
                      <w:szCs w:val="21"/>
                      <w:highlight w:val="none"/>
                      <w:u w:val="none"/>
                      <w:lang w:val="en-US" w:eastAsia="zh-CN" w:bidi="ar"/>
                    </w:rPr>
                    <w:t>（</w:t>
                  </w:r>
                  <w:r>
                    <w:rPr>
                      <w:rFonts w:hint="default" w:ascii="Times New Roman" w:hAnsi="Times New Roman" w:eastAsia="宋体" w:cs="Times New Roman"/>
                      <w:b/>
                      <w:bCs/>
                      <w:i w:val="0"/>
                      <w:iCs w:val="0"/>
                      <w:color w:val="auto"/>
                      <w:kern w:val="0"/>
                      <w:sz w:val="21"/>
                      <w:szCs w:val="21"/>
                      <w:highlight w:val="none"/>
                      <w:u w:val="none"/>
                      <w:lang w:val="en-US" w:eastAsia="zh-CN" w:bidi="ar"/>
                    </w:rPr>
                    <w:t>kg/d</w:t>
                  </w:r>
                  <w:r>
                    <w:rPr>
                      <w:rFonts w:hint="eastAsia" w:ascii="宋体" w:hAnsi="宋体" w:eastAsia="宋体" w:cs="宋体"/>
                      <w:b/>
                      <w:bCs/>
                      <w:i w:val="0"/>
                      <w:iCs w:val="0"/>
                      <w:color w:val="auto"/>
                      <w:kern w:val="0"/>
                      <w:sz w:val="21"/>
                      <w:szCs w:val="21"/>
                      <w:highlight w:val="none"/>
                      <w:u w:val="none"/>
                      <w:lang w:val="en-US" w:eastAsia="zh-CN" w:bidi="ar"/>
                    </w:rPr>
                    <w:t>）</w:t>
                  </w:r>
                </w:p>
              </w:tc>
              <w:tc>
                <w:tcPr>
                  <w:tcW w:w="1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399ADF">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全厂年排放量</w:t>
                  </w:r>
                  <w:r>
                    <w:rPr>
                      <w:rFonts w:hint="default" w:ascii="Times New Roman" w:hAnsi="Times New Roman" w:eastAsia="宋体" w:cs="Times New Roman"/>
                      <w:b/>
                      <w:bCs/>
                      <w:i w:val="0"/>
                      <w:iCs w:val="0"/>
                      <w:color w:val="auto"/>
                      <w:kern w:val="0"/>
                      <w:sz w:val="21"/>
                      <w:szCs w:val="21"/>
                      <w:highlight w:val="none"/>
                      <w:u w:val="none"/>
                      <w:lang w:val="en-US" w:eastAsia="zh-CN" w:bidi="ar"/>
                    </w:rPr>
                    <w:t>/</w:t>
                  </w:r>
                  <w:r>
                    <w:rPr>
                      <w:rFonts w:hint="eastAsia" w:ascii="宋体" w:hAnsi="宋体" w:eastAsia="宋体" w:cs="宋体"/>
                      <w:b/>
                      <w:bCs/>
                      <w:i w:val="0"/>
                      <w:iCs w:val="0"/>
                      <w:color w:val="auto"/>
                      <w:kern w:val="0"/>
                      <w:sz w:val="21"/>
                      <w:szCs w:val="21"/>
                      <w:highlight w:val="none"/>
                      <w:u w:val="none"/>
                      <w:lang w:val="en-US" w:eastAsia="zh-CN" w:bidi="ar"/>
                    </w:rPr>
                    <w:t>（</w:t>
                  </w:r>
                  <w:r>
                    <w:rPr>
                      <w:rFonts w:hint="default" w:ascii="Times New Roman" w:hAnsi="Times New Roman" w:eastAsia="宋体" w:cs="Times New Roman"/>
                      <w:b/>
                      <w:bCs/>
                      <w:i w:val="0"/>
                      <w:iCs w:val="0"/>
                      <w:color w:val="auto"/>
                      <w:kern w:val="0"/>
                      <w:sz w:val="21"/>
                      <w:szCs w:val="21"/>
                      <w:highlight w:val="none"/>
                      <w:u w:val="none"/>
                      <w:lang w:val="en-US" w:eastAsia="zh-CN" w:bidi="ar"/>
                    </w:rPr>
                    <w:t>t/a</w:t>
                  </w:r>
                  <w:r>
                    <w:rPr>
                      <w:rFonts w:hint="eastAsia" w:ascii="宋体" w:hAnsi="宋体" w:eastAsia="宋体" w:cs="宋体"/>
                      <w:b/>
                      <w:bCs/>
                      <w:i w:val="0"/>
                      <w:iCs w:val="0"/>
                      <w:color w:val="auto"/>
                      <w:kern w:val="0"/>
                      <w:sz w:val="21"/>
                      <w:szCs w:val="21"/>
                      <w:highlight w:val="none"/>
                      <w:u w:val="none"/>
                      <w:lang w:val="en-US" w:eastAsia="zh-CN" w:bidi="ar"/>
                    </w:rPr>
                    <w:t>）</w:t>
                  </w:r>
                </w:p>
              </w:tc>
            </w:tr>
            <w:tr w14:paraId="653F9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3EFB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03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AFFB5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DW001</w:t>
                  </w:r>
                </w:p>
              </w:tc>
              <w:tc>
                <w:tcPr>
                  <w:tcW w:w="13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03EE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CODCr</w:t>
                  </w: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EF9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1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CEF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0.504 </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14C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0.151 </w:t>
                  </w:r>
                </w:p>
              </w:tc>
            </w:tr>
            <w:tr w14:paraId="34A2C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5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19EC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0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94CB3C">
                  <w:pPr>
                    <w:jc w:val="center"/>
                    <w:rPr>
                      <w:rFonts w:hint="default" w:ascii="Times New Roman" w:hAnsi="Times New Roman" w:eastAsia="宋体" w:cs="Times New Roman"/>
                      <w:i w:val="0"/>
                      <w:iCs w:val="0"/>
                      <w:color w:val="auto"/>
                      <w:sz w:val="21"/>
                      <w:szCs w:val="21"/>
                      <w:highlight w:val="none"/>
                      <w:u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E3E1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098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1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576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0.176 </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B9E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0.053 </w:t>
                  </w:r>
                </w:p>
              </w:tc>
            </w:tr>
            <w:tr w14:paraId="15AAD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E5BB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0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156619">
                  <w:pPr>
                    <w:jc w:val="center"/>
                    <w:rPr>
                      <w:rFonts w:hint="default" w:ascii="Times New Roman" w:hAnsi="Times New Roman" w:eastAsia="宋体" w:cs="Times New Roman"/>
                      <w:i w:val="0"/>
                      <w:iCs w:val="0"/>
                      <w:color w:val="auto"/>
                      <w:sz w:val="21"/>
                      <w:szCs w:val="21"/>
                      <w:highlight w:val="none"/>
                      <w:u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BF84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BOD₅</w:t>
                  </w: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0F0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78.1</w:t>
                  </w:r>
                </w:p>
              </w:tc>
              <w:tc>
                <w:tcPr>
                  <w:tcW w:w="1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2C3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0.197 </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31D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0.059 </w:t>
                  </w:r>
                </w:p>
              </w:tc>
            </w:tr>
            <w:tr w14:paraId="44106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5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FA9B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10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CFF925">
                  <w:pPr>
                    <w:jc w:val="center"/>
                    <w:rPr>
                      <w:rFonts w:hint="default" w:ascii="Times New Roman" w:hAnsi="Times New Roman" w:eastAsia="宋体" w:cs="Times New Roman"/>
                      <w:i w:val="0"/>
                      <w:iCs w:val="0"/>
                      <w:color w:val="auto"/>
                      <w:sz w:val="21"/>
                      <w:szCs w:val="21"/>
                      <w:highlight w:val="none"/>
                      <w:u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2070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氨氮</w:t>
                  </w: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6D7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19.4</w:t>
                  </w:r>
                </w:p>
              </w:tc>
              <w:tc>
                <w:tcPr>
                  <w:tcW w:w="1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EBA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0.049 </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9DD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0.015 </w:t>
                  </w:r>
                </w:p>
              </w:tc>
            </w:tr>
            <w:tr w14:paraId="6B3EA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5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7D29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03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5CDF7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DW002</w:t>
                  </w:r>
                </w:p>
              </w:tc>
              <w:tc>
                <w:tcPr>
                  <w:tcW w:w="13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303E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CODCr</w:t>
                  </w: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A9F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56.3 </w:t>
                  </w:r>
                </w:p>
              </w:tc>
              <w:tc>
                <w:tcPr>
                  <w:tcW w:w="1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4EE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0.471 </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47D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0.141 </w:t>
                  </w:r>
                </w:p>
              </w:tc>
            </w:tr>
            <w:tr w14:paraId="1C3C8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2559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0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8FE3A1">
                  <w:pPr>
                    <w:jc w:val="center"/>
                    <w:rPr>
                      <w:rFonts w:hint="default" w:ascii="Times New Roman" w:hAnsi="Times New Roman" w:eastAsia="宋体" w:cs="Times New Roman"/>
                      <w:i w:val="0"/>
                      <w:iCs w:val="0"/>
                      <w:color w:val="auto"/>
                      <w:sz w:val="21"/>
                      <w:szCs w:val="21"/>
                      <w:highlight w:val="none"/>
                      <w:u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4A70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29F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4.3 </w:t>
                  </w:r>
                </w:p>
              </w:tc>
              <w:tc>
                <w:tcPr>
                  <w:tcW w:w="1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075C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0.036 </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1ED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0.011 </w:t>
                  </w:r>
                </w:p>
              </w:tc>
            </w:tr>
            <w:tr w14:paraId="5F7F0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0F52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0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B7E3EC">
                  <w:pPr>
                    <w:jc w:val="center"/>
                    <w:rPr>
                      <w:rFonts w:hint="default" w:ascii="Times New Roman" w:hAnsi="Times New Roman" w:eastAsia="宋体" w:cs="Times New Roman"/>
                      <w:i w:val="0"/>
                      <w:iCs w:val="0"/>
                      <w:color w:val="auto"/>
                      <w:sz w:val="21"/>
                      <w:szCs w:val="21"/>
                      <w:highlight w:val="none"/>
                      <w:u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A23F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BOD₅</w:t>
                  </w: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5EA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18.8 </w:t>
                  </w:r>
                </w:p>
              </w:tc>
              <w:tc>
                <w:tcPr>
                  <w:tcW w:w="1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CC1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0.157 </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7F1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0.047 </w:t>
                  </w:r>
                </w:p>
              </w:tc>
            </w:tr>
            <w:tr w14:paraId="07B0B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5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1D2A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10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448B8A">
                  <w:pPr>
                    <w:jc w:val="center"/>
                    <w:rPr>
                      <w:rFonts w:hint="default" w:ascii="Times New Roman" w:hAnsi="Times New Roman" w:eastAsia="宋体" w:cs="Times New Roman"/>
                      <w:i w:val="0"/>
                      <w:iCs w:val="0"/>
                      <w:color w:val="auto"/>
                      <w:sz w:val="21"/>
                      <w:szCs w:val="21"/>
                      <w:highlight w:val="none"/>
                      <w:u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CA5F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氨氮</w:t>
                  </w: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928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4.4 </w:t>
                  </w:r>
                </w:p>
              </w:tc>
              <w:tc>
                <w:tcPr>
                  <w:tcW w:w="1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0FC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0.037 </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8D2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0.011 </w:t>
                  </w:r>
                </w:p>
              </w:tc>
            </w:tr>
            <w:tr w14:paraId="193B8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5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B21B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10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B16048">
                  <w:pPr>
                    <w:jc w:val="center"/>
                    <w:rPr>
                      <w:rFonts w:hint="default" w:ascii="Times New Roman" w:hAnsi="Times New Roman" w:eastAsia="宋体" w:cs="Times New Roman"/>
                      <w:i w:val="0"/>
                      <w:iCs w:val="0"/>
                      <w:color w:val="auto"/>
                      <w:sz w:val="21"/>
                      <w:szCs w:val="21"/>
                      <w:highlight w:val="none"/>
                      <w:u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A8CF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LAS</w:t>
                  </w: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FA1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 </w:t>
                  </w:r>
                </w:p>
              </w:tc>
              <w:tc>
                <w:tcPr>
                  <w:tcW w:w="1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19B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0.0006 </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E65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0.0002 </w:t>
                  </w:r>
                </w:p>
              </w:tc>
            </w:tr>
            <w:tr w14:paraId="7EC11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1" w:hRule="atLeast"/>
              </w:trPr>
              <w:tc>
                <w:tcPr>
                  <w:tcW w:w="5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CEE7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10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CF6886">
                  <w:pPr>
                    <w:jc w:val="center"/>
                    <w:rPr>
                      <w:rFonts w:hint="default" w:ascii="Times New Roman" w:hAnsi="Times New Roman" w:eastAsia="宋体" w:cs="Times New Roman"/>
                      <w:i w:val="0"/>
                      <w:iCs w:val="0"/>
                      <w:color w:val="auto"/>
                      <w:sz w:val="21"/>
                      <w:szCs w:val="21"/>
                      <w:highlight w:val="none"/>
                      <w:u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C106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TP</w:t>
                  </w: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0ED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7.1 </w:t>
                  </w:r>
                </w:p>
              </w:tc>
              <w:tc>
                <w:tcPr>
                  <w:tcW w:w="1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1F5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0.059 </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16A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0.018 </w:t>
                  </w:r>
                </w:p>
              </w:tc>
            </w:tr>
            <w:tr w14:paraId="4D805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CEEB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10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EB1A2F">
                  <w:pPr>
                    <w:jc w:val="center"/>
                    <w:rPr>
                      <w:rFonts w:hint="default" w:ascii="Times New Roman" w:hAnsi="Times New Roman" w:eastAsia="宋体" w:cs="Times New Roman"/>
                      <w:i w:val="0"/>
                      <w:iCs w:val="0"/>
                      <w:color w:val="auto"/>
                      <w:sz w:val="21"/>
                      <w:szCs w:val="21"/>
                      <w:highlight w:val="none"/>
                      <w:u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070BA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石油类</w:t>
                  </w: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62F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0.9 </w:t>
                  </w:r>
                </w:p>
              </w:tc>
              <w:tc>
                <w:tcPr>
                  <w:tcW w:w="1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32B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0.007 </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6A9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0.002 </w:t>
                  </w:r>
                </w:p>
              </w:tc>
            </w:tr>
            <w:tr w14:paraId="7A6B4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6564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10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65A5C6">
                  <w:pPr>
                    <w:jc w:val="center"/>
                    <w:rPr>
                      <w:rFonts w:hint="default" w:ascii="Times New Roman" w:hAnsi="Times New Roman" w:eastAsia="宋体" w:cs="Times New Roman"/>
                      <w:i w:val="0"/>
                      <w:iCs w:val="0"/>
                      <w:color w:val="auto"/>
                      <w:sz w:val="21"/>
                      <w:szCs w:val="21"/>
                      <w:highlight w:val="none"/>
                      <w:u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EAEAC">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TN</w:t>
                  </w: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1309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2.9 </w:t>
                  </w:r>
                </w:p>
              </w:tc>
              <w:tc>
                <w:tcPr>
                  <w:tcW w:w="1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2355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0.024 </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309C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0.007 </w:t>
                  </w:r>
                </w:p>
              </w:tc>
            </w:tr>
            <w:tr w14:paraId="209ED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3605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10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7102BE">
                  <w:pPr>
                    <w:jc w:val="center"/>
                    <w:rPr>
                      <w:rFonts w:hint="default" w:ascii="Times New Roman" w:hAnsi="Times New Roman" w:eastAsia="宋体" w:cs="Times New Roman"/>
                      <w:i w:val="0"/>
                      <w:iCs w:val="0"/>
                      <w:color w:val="auto"/>
                      <w:sz w:val="21"/>
                      <w:szCs w:val="21"/>
                      <w:highlight w:val="none"/>
                      <w:u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9396B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总锌</w:t>
                  </w: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7F3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 </w:t>
                  </w:r>
                </w:p>
              </w:tc>
              <w:tc>
                <w:tcPr>
                  <w:tcW w:w="1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A8B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0.003 </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F62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0.0010 </w:t>
                  </w:r>
                </w:p>
              </w:tc>
            </w:tr>
            <w:tr w14:paraId="4B183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EE6430">
                  <w:pPr>
                    <w:keepNext w:val="0"/>
                    <w:keepLines w:val="0"/>
                    <w:widowControl/>
                    <w:suppressLineNumbers w:val="0"/>
                    <w:jc w:val="center"/>
                    <w:textAlignment w:val="center"/>
                    <w:rPr>
                      <w:rFonts w:hint="eastAsia"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10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940707">
                  <w:pPr>
                    <w:jc w:val="center"/>
                    <w:rPr>
                      <w:rFonts w:hint="default" w:ascii="Times New Roman" w:hAnsi="Times New Roman" w:eastAsia="宋体" w:cs="Times New Roman"/>
                      <w:i w:val="0"/>
                      <w:iCs w:val="0"/>
                      <w:color w:val="auto"/>
                      <w:sz w:val="21"/>
                      <w:szCs w:val="21"/>
                      <w:highlight w:val="none"/>
                      <w:u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82B6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氟化物</w:t>
                  </w:r>
                </w:p>
              </w:tc>
              <w:tc>
                <w:tcPr>
                  <w:tcW w:w="16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187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9.9 </w:t>
                  </w:r>
                </w:p>
              </w:tc>
              <w:tc>
                <w:tcPr>
                  <w:tcW w:w="1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965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0.083 </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660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0.0248 </w:t>
                  </w:r>
                </w:p>
              </w:tc>
            </w:tr>
            <w:tr w14:paraId="7DE70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A2CD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103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8402F5">
                  <w:pPr>
                    <w:jc w:val="center"/>
                    <w:rPr>
                      <w:rFonts w:hint="default" w:ascii="Times New Roman" w:hAnsi="Times New Roman" w:eastAsia="宋体" w:cs="Times New Roman"/>
                      <w:i w:val="0"/>
                      <w:iCs w:val="0"/>
                      <w:color w:val="auto"/>
                      <w:sz w:val="21"/>
                      <w:szCs w:val="21"/>
                      <w:highlight w:val="none"/>
                      <w:u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BBA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总铁</w:t>
                  </w:r>
                </w:p>
              </w:tc>
              <w:tc>
                <w:tcPr>
                  <w:tcW w:w="1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163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 </w:t>
                  </w:r>
                </w:p>
              </w:tc>
              <w:tc>
                <w:tcPr>
                  <w:tcW w:w="1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D56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0.003 </w:t>
                  </w:r>
                </w:p>
              </w:tc>
              <w:tc>
                <w:tcPr>
                  <w:tcW w:w="1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7B6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0.0010 </w:t>
                  </w:r>
                </w:p>
              </w:tc>
            </w:tr>
            <w:tr w14:paraId="46FBB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538"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02F8FF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全厂排放口合计</w:t>
                  </w:r>
                </w:p>
              </w:tc>
              <w:tc>
                <w:tcPr>
                  <w:tcW w:w="474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BA97C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CODCr</w:t>
                  </w:r>
                </w:p>
              </w:tc>
              <w:tc>
                <w:tcPr>
                  <w:tcW w:w="1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1A25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0.292 </w:t>
                  </w:r>
                </w:p>
              </w:tc>
            </w:tr>
            <w:tr w14:paraId="135BF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538"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854C12">
                  <w:pPr>
                    <w:jc w:val="center"/>
                    <w:rPr>
                      <w:rFonts w:hint="eastAsia" w:ascii="宋体" w:hAnsi="宋体" w:eastAsia="宋体" w:cs="宋体"/>
                      <w:i w:val="0"/>
                      <w:iCs w:val="0"/>
                      <w:color w:val="auto"/>
                      <w:sz w:val="21"/>
                      <w:szCs w:val="21"/>
                      <w:highlight w:val="none"/>
                      <w:u w:val="none"/>
                    </w:rPr>
                  </w:pPr>
                </w:p>
              </w:tc>
              <w:tc>
                <w:tcPr>
                  <w:tcW w:w="474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3DDBB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1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7612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0.064 </w:t>
                  </w:r>
                </w:p>
              </w:tc>
            </w:tr>
            <w:tr w14:paraId="7112E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538"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38DD0C">
                  <w:pPr>
                    <w:jc w:val="center"/>
                    <w:rPr>
                      <w:rFonts w:hint="eastAsia" w:ascii="宋体" w:hAnsi="宋体" w:eastAsia="宋体" w:cs="宋体"/>
                      <w:i w:val="0"/>
                      <w:iCs w:val="0"/>
                      <w:color w:val="auto"/>
                      <w:sz w:val="21"/>
                      <w:szCs w:val="21"/>
                      <w:highlight w:val="none"/>
                      <w:u w:val="none"/>
                    </w:rPr>
                  </w:pPr>
                </w:p>
              </w:tc>
              <w:tc>
                <w:tcPr>
                  <w:tcW w:w="474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6FDC1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BOD₅</w:t>
                  </w:r>
                </w:p>
              </w:tc>
              <w:tc>
                <w:tcPr>
                  <w:tcW w:w="1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83D0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0.106 </w:t>
                  </w:r>
                </w:p>
              </w:tc>
            </w:tr>
            <w:tr w14:paraId="08738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1538"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B24E3E">
                  <w:pPr>
                    <w:jc w:val="center"/>
                    <w:rPr>
                      <w:rFonts w:hint="eastAsia" w:ascii="宋体" w:hAnsi="宋体" w:eastAsia="宋体" w:cs="宋体"/>
                      <w:i w:val="0"/>
                      <w:iCs w:val="0"/>
                      <w:color w:val="auto"/>
                      <w:sz w:val="21"/>
                      <w:szCs w:val="21"/>
                      <w:highlight w:val="none"/>
                      <w:u w:val="none"/>
                    </w:rPr>
                  </w:pPr>
                </w:p>
              </w:tc>
              <w:tc>
                <w:tcPr>
                  <w:tcW w:w="474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594FF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氨氮</w:t>
                  </w:r>
                </w:p>
              </w:tc>
              <w:tc>
                <w:tcPr>
                  <w:tcW w:w="1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1C22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0.026 </w:t>
                  </w:r>
                </w:p>
              </w:tc>
            </w:tr>
            <w:tr w14:paraId="2781F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538"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68DD95">
                  <w:pPr>
                    <w:jc w:val="center"/>
                    <w:rPr>
                      <w:rFonts w:hint="eastAsia" w:ascii="宋体" w:hAnsi="宋体" w:eastAsia="宋体" w:cs="宋体"/>
                      <w:i w:val="0"/>
                      <w:iCs w:val="0"/>
                      <w:color w:val="auto"/>
                      <w:sz w:val="21"/>
                      <w:szCs w:val="21"/>
                      <w:highlight w:val="none"/>
                      <w:u w:val="none"/>
                    </w:rPr>
                  </w:pPr>
                </w:p>
              </w:tc>
              <w:tc>
                <w:tcPr>
                  <w:tcW w:w="474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2C7090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LAS</w:t>
                  </w:r>
                </w:p>
              </w:tc>
              <w:tc>
                <w:tcPr>
                  <w:tcW w:w="1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7433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0.0002 </w:t>
                  </w:r>
                </w:p>
              </w:tc>
            </w:tr>
            <w:tr w14:paraId="09040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538"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419BED">
                  <w:pPr>
                    <w:jc w:val="center"/>
                    <w:rPr>
                      <w:rFonts w:hint="eastAsia" w:ascii="宋体" w:hAnsi="宋体" w:eastAsia="宋体" w:cs="宋体"/>
                      <w:i w:val="0"/>
                      <w:iCs w:val="0"/>
                      <w:color w:val="auto"/>
                      <w:sz w:val="21"/>
                      <w:szCs w:val="21"/>
                      <w:highlight w:val="none"/>
                      <w:u w:val="none"/>
                    </w:rPr>
                  </w:pPr>
                </w:p>
              </w:tc>
              <w:tc>
                <w:tcPr>
                  <w:tcW w:w="474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EC237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TP</w:t>
                  </w:r>
                </w:p>
              </w:tc>
              <w:tc>
                <w:tcPr>
                  <w:tcW w:w="1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4E6D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0.0178 </w:t>
                  </w:r>
                </w:p>
              </w:tc>
            </w:tr>
            <w:tr w14:paraId="1F8DD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538"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3B7EF0">
                  <w:pPr>
                    <w:jc w:val="center"/>
                    <w:rPr>
                      <w:rFonts w:hint="eastAsia" w:ascii="宋体" w:hAnsi="宋体" w:eastAsia="宋体" w:cs="宋体"/>
                      <w:i w:val="0"/>
                      <w:iCs w:val="0"/>
                      <w:color w:val="auto"/>
                      <w:sz w:val="21"/>
                      <w:szCs w:val="21"/>
                      <w:highlight w:val="none"/>
                      <w:u w:val="none"/>
                    </w:rPr>
                  </w:pPr>
                </w:p>
              </w:tc>
              <w:tc>
                <w:tcPr>
                  <w:tcW w:w="474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6534A1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石油类</w:t>
                  </w:r>
                </w:p>
              </w:tc>
              <w:tc>
                <w:tcPr>
                  <w:tcW w:w="1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03969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0.0022 </w:t>
                  </w:r>
                </w:p>
              </w:tc>
            </w:tr>
            <w:tr w14:paraId="38B38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538"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2F5D61">
                  <w:pPr>
                    <w:jc w:val="center"/>
                    <w:rPr>
                      <w:rFonts w:hint="eastAsia" w:ascii="宋体" w:hAnsi="宋体" w:eastAsia="宋体" w:cs="宋体"/>
                      <w:i w:val="0"/>
                      <w:iCs w:val="0"/>
                      <w:color w:val="auto"/>
                      <w:sz w:val="21"/>
                      <w:szCs w:val="21"/>
                      <w:highlight w:val="none"/>
                      <w:u w:val="none"/>
                    </w:rPr>
                  </w:pPr>
                </w:p>
              </w:tc>
              <w:tc>
                <w:tcPr>
                  <w:tcW w:w="474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394415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TN</w:t>
                  </w:r>
                </w:p>
              </w:tc>
              <w:tc>
                <w:tcPr>
                  <w:tcW w:w="1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022F8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0.0072 </w:t>
                  </w:r>
                </w:p>
              </w:tc>
            </w:tr>
            <w:tr w14:paraId="38E39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538"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B06F1D">
                  <w:pPr>
                    <w:jc w:val="center"/>
                    <w:rPr>
                      <w:rFonts w:hint="eastAsia" w:ascii="宋体" w:hAnsi="宋体" w:eastAsia="宋体" w:cs="宋体"/>
                      <w:i w:val="0"/>
                      <w:iCs w:val="0"/>
                      <w:color w:val="auto"/>
                      <w:sz w:val="21"/>
                      <w:szCs w:val="21"/>
                      <w:highlight w:val="none"/>
                      <w:u w:val="none"/>
                    </w:rPr>
                  </w:pPr>
                </w:p>
              </w:tc>
              <w:tc>
                <w:tcPr>
                  <w:tcW w:w="474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68F5AF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总锌</w:t>
                  </w:r>
                </w:p>
              </w:tc>
              <w:tc>
                <w:tcPr>
                  <w:tcW w:w="1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C5C83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0.0010 </w:t>
                  </w:r>
                </w:p>
              </w:tc>
            </w:tr>
            <w:tr w14:paraId="7235A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538"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CF0953">
                  <w:pPr>
                    <w:jc w:val="center"/>
                    <w:rPr>
                      <w:rFonts w:hint="eastAsia" w:ascii="宋体" w:hAnsi="宋体" w:eastAsia="宋体" w:cs="宋体"/>
                      <w:i w:val="0"/>
                      <w:iCs w:val="0"/>
                      <w:color w:val="auto"/>
                      <w:sz w:val="21"/>
                      <w:szCs w:val="21"/>
                      <w:highlight w:val="none"/>
                      <w:u w:val="none"/>
                    </w:rPr>
                  </w:pPr>
                </w:p>
              </w:tc>
              <w:tc>
                <w:tcPr>
                  <w:tcW w:w="474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8C8794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氟化物</w:t>
                  </w:r>
                </w:p>
              </w:tc>
              <w:tc>
                <w:tcPr>
                  <w:tcW w:w="1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00ED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0.0248 </w:t>
                  </w:r>
                </w:p>
              </w:tc>
            </w:tr>
            <w:tr w14:paraId="6230B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538"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A04DD8">
                  <w:pPr>
                    <w:jc w:val="center"/>
                    <w:rPr>
                      <w:rFonts w:hint="eastAsia" w:ascii="宋体" w:hAnsi="宋体" w:eastAsia="宋体" w:cs="宋体"/>
                      <w:i w:val="0"/>
                      <w:iCs w:val="0"/>
                      <w:color w:val="auto"/>
                      <w:sz w:val="21"/>
                      <w:szCs w:val="21"/>
                      <w:highlight w:val="none"/>
                      <w:u w:val="none"/>
                    </w:rPr>
                  </w:pPr>
                </w:p>
              </w:tc>
              <w:tc>
                <w:tcPr>
                  <w:tcW w:w="474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69993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总铁</w:t>
                  </w:r>
                </w:p>
              </w:tc>
              <w:tc>
                <w:tcPr>
                  <w:tcW w:w="1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3B12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0.0010 </w:t>
                  </w:r>
                </w:p>
              </w:tc>
            </w:tr>
          </w:tbl>
          <w:p w14:paraId="4950A26F">
            <w:pPr>
              <w:keepNext/>
              <w:keepLines/>
              <w:suppressLineNumbers w:val="0"/>
              <w:tabs>
                <w:tab w:val="left" w:pos="0"/>
              </w:tabs>
              <w:spacing w:before="0" w:beforeAutospacing="0" w:after="0" w:afterAutospacing="0" w:line="360" w:lineRule="auto"/>
              <w:ind w:left="0" w:right="0" w:firstLine="480" w:firstLineChars="200"/>
              <w:outlineLvl w:val="3"/>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3、</w:t>
            </w:r>
            <w:r>
              <w:rPr>
                <w:rFonts w:hint="eastAsia" w:cs="Times New Roman"/>
                <w:b/>
                <w:bCs/>
                <w:color w:val="auto"/>
                <w:sz w:val="24"/>
                <w:szCs w:val="24"/>
                <w:highlight w:val="none"/>
                <w:lang w:val="en-US" w:eastAsia="zh-CN"/>
              </w:rPr>
              <w:t>钼</w:t>
            </w:r>
            <w:r>
              <w:rPr>
                <w:rFonts w:hint="default" w:ascii="Times New Roman" w:hAnsi="Times New Roman" w:cs="Times New Roman"/>
                <w:b/>
                <w:bCs/>
                <w:color w:val="auto"/>
                <w:sz w:val="24"/>
                <w:szCs w:val="24"/>
                <w:highlight w:val="none"/>
                <w:lang w:val="en-US" w:eastAsia="zh-CN"/>
              </w:rPr>
              <w:t>、钛离子影响分析</w:t>
            </w:r>
          </w:p>
          <w:p w14:paraId="23A921F6">
            <w:pPr>
              <w:keepNext/>
              <w:keepLines/>
              <w:suppressLineNumbers w:val="0"/>
              <w:tabs>
                <w:tab w:val="left" w:pos="0"/>
              </w:tabs>
              <w:spacing w:before="0" w:beforeAutospacing="0" w:after="0" w:afterAutospacing="0" w:line="360" w:lineRule="auto"/>
              <w:ind w:left="0" w:right="0" w:firstLine="480" w:firstLineChars="200"/>
              <w:outlineLvl w:val="3"/>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lang w:val="en-US" w:eastAsia="zh-CN"/>
              </w:rPr>
              <w:t>由于项目</w:t>
            </w:r>
            <w:r>
              <w:rPr>
                <w:rFonts w:hint="eastAsia" w:ascii="Times New Roman" w:hAnsi="Times New Roman" w:cs="Times New Roman"/>
                <w:color w:val="auto"/>
                <w:sz w:val="24"/>
                <w:szCs w:val="24"/>
                <w:highlight w:val="none"/>
                <w:lang w:val="en-US" w:eastAsia="zh-CN"/>
              </w:rPr>
              <w:t>磷化</w:t>
            </w:r>
            <w:r>
              <w:rPr>
                <w:rFonts w:hint="default" w:ascii="Times New Roman" w:hAnsi="Times New Roman" w:cs="Times New Roman"/>
                <w:color w:val="auto"/>
                <w:sz w:val="24"/>
                <w:szCs w:val="24"/>
                <w:highlight w:val="none"/>
                <w:lang w:val="en-US" w:eastAsia="zh-CN"/>
              </w:rPr>
              <w:t>剂中含钼酸盐及钛酸盐，会有少量</w:t>
            </w:r>
            <w:r>
              <w:rPr>
                <w:rFonts w:hint="eastAsia" w:ascii="Times New Roman" w:hAnsi="Times New Roman" w:cs="Times New Roman"/>
                <w:color w:val="auto"/>
                <w:sz w:val="24"/>
                <w:szCs w:val="24"/>
                <w:highlight w:val="none"/>
                <w:lang w:val="en-US" w:eastAsia="zh-CN"/>
              </w:rPr>
              <w:t>钼</w:t>
            </w:r>
            <w:r>
              <w:rPr>
                <w:rFonts w:hint="default" w:ascii="Times New Roman" w:hAnsi="Times New Roman" w:cs="Times New Roman"/>
                <w:color w:val="auto"/>
                <w:sz w:val="24"/>
                <w:szCs w:val="24"/>
                <w:highlight w:val="none"/>
                <w:lang w:val="en-US" w:eastAsia="zh-CN"/>
              </w:rPr>
              <w:t>离子和钛离子产生，但目前</w:t>
            </w:r>
            <w:r>
              <w:rPr>
                <w:rFonts w:hint="eastAsia" w:ascii="Times New Roman" w:hAnsi="Times New Roman" w:cs="Times New Roman"/>
                <w:color w:val="auto"/>
                <w:sz w:val="24"/>
                <w:szCs w:val="24"/>
                <w:highlight w:val="none"/>
                <w:lang w:val="en-US" w:eastAsia="zh-CN"/>
              </w:rPr>
              <w:t>钼</w:t>
            </w:r>
            <w:r>
              <w:rPr>
                <w:rFonts w:hint="default" w:ascii="Times New Roman" w:hAnsi="Times New Roman" w:cs="Times New Roman"/>
                <w:color w:val="auto"/>
                <w:sz w:val="24"/>
                <w:szCs w:val="24"/>
                <w:highlight w:val="none"/>
                <w:lang w:val="en-US" w:eastAsia="zh-CN"/>
              </w:rPr>
              <w:t>、钛未有相关排放标准要求，且项目</w:t>
            </w:r>
            <w:r>
              <w:rPr>
                <w:rFonts w:hint="eastAsia" w:ascii="Times New Roman" w:hAnsi="Times New Roman" w:cs="Times New Roman"/>
                <w:color w:val="auto"/>
                <w:sz w:val="24"/>
                <w:szCs w:val="24"/>
                <w:highlight w:val="none"/>
                <w:lang w:val="en-US" w:eastAsia="zh-CN"/>
              </w:rPr>
              <w:t>磷化</w:t>
            </w:r>
            <w:r>
              <w:rPr>
                <w:rFonts w:hint="default" w:ascii="Times New Roman" w:hAnsi="Times New Roman" w:cs="Times New Roman"/>
                <w:color w:val="auto"/>
                <w:sz w:val="24"/>
                <w:szCs w:val="24"/>
                <w:highlight w:val="none"/>
                <w:lang w:val="en-US" w:eastAsia="zh-CN"/>
              </w:rPr>
              <w:t>剂使用量较少，本项目不将</w:t>
            </w:r>
            <w:r>
              <w:rPr>
                <w:rFonts w:hint="eastAsia" w:ascii="Times New Roman" w:hAnsi="Times New Roman" w:cs="Times New Roman"/>
                <w:color w:val="auto"/>
                <w:sz w:val="24"/>
                <w:szCs w:val="24"/>
                <w:highlight w:val="none"/>
                <w:lang w:val="en-US" w:eastAsia="zh-CN"/>
              </w:rPr>
              <w:t>钼</w:t>
            </w:r>
            <w:r>
              <w:rPr>
                <w:rFonts w:hint="default" w:ascii="Times New Roman" w:hAnsi="Times New Roman" w:cs="Times New Roman"/>
                <w:color w:val="auto"/>
                <w:sz w:val="24"/>
                <w:szCs w:val="24"/>
                <w:highlight w:val="none"/>
                <w:lang w:val="en-US" w:eastAsia="zh-CN"/>
              </w:rPr>
              <w:t>和钛作为控制标准，但为进一步考虑环境影响，本项目将</w:t>
            </w:r>
            <w:r>
              <w:rPr>
                <w:rFonts w:hint="eastAsia" w:ascii="Times New Roman" w:hAnsi="Times New Roman" w:cs="Times New Roman"/>
                <w:color w:val="auto"/>
                <w:sz w:val="24"/>
                <w:szCs w:val="24"/>
                <w:highlight w:val="none"/>
                <w:lang w:val="en-US" w:eastAsia="zh-CN"/>
              </w:rPr>
              <w:t>钼</w:t>
            </w:r>
            <w:r>
              <w:rPr>
                <w:rFonts w:hint="default" w:ascii="Times New Roman" w:hAnsi="Times New Roman" w:cs="Times New Roman"/>
                <w:color w:val="auto"/>
                <w:sz w:val="24"/>
                <w:szCs w:val="24"/>
                <w:highlight w:val="none"/>
                <w:lang w:val="en-US" w:eastAsia="zh-CN"/>
              </w:rPr>
              <w:t>、钛定量分析，论证本项目废水处理工艺是否能对上述污染物进行有效处理。本项目</w:t>
            </w:r>
            <w:r>
              <w:rPr>
                <w:rFonts w:hint="eastAsia" w:ascii="Times New Roman" w:hAnsi="Times New Roman" w:cs="Times New Roman"/>
                <w:color w:val="auto"/>
                <w:sz w:val="24"/>
                <w:szCs w:val="24"/>
                <w:highlight w:val="none"/>
                <w:lang w:val="en-US" w:eastAsia="zh-CN"/>
              </w:rPr>
              <w:t>磷化</w:t>
            </w:r>
            <w:r>
              <w:rPr>
                <w:rFonts w:hint="default" w:ascii="Times New Roman" w:hAnsi="Times New Roman" w:cs="Times New Roman"/>
                <w:color w:val="auto"/>
                <w:sz w:val="24"/>
                <w:szCs w:val="24"/>
                <w:highlight w:val="none"/>
                <w:lang w:val="en-US" w:eastAsia="zh-CN"/>
              </w:rPr>
              <w:t>剂用量为</w:t>
            </w: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.5t/a</w:t>
            </w:r>
            <w:r>
              <w:rPr>
                <w:rFonts w:hint="eastAsia" w:ascii="Times New Roman" w:hAnsi="Times New Roman" w:cs="Times New Roman"/>
                <w:color w:val="auto"/>
                <w:sz w:val="24"/>
                <w:szCs w:val="24"/>
                <w:highlight w:val="none"/>
                <w:lang w:val="en-US" w:eastAsia="zh-CN"/>
              </w:rPr>
              <w:t>、表调剂用量为0.5t/a。磷化剂中含</w:t>
            </w:r>
            <w:r>
              <w:rPr>
                <w:rFonts w:hint="default" w:ascii="Times New Roman" w:hAnsi="Times New Roman" w:cs="Times New Roman"/>
                <w:color w:val="auto"/>
                <w:sz w:val="24"/>
                <w:szCs w:val="24"/>
                <w:highlight w:val="none"/>
                <w:lang w:val="en-US" w:eastAsia="zh-CN"/>
              </w:rPr>
              <w:t>钼酸盐及钛酸盐含量均为</w:t>
            </w: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%～10%，项目按最大占比10%计算</w:t>
            </w:r>
            <w:r>
              <w:rPr>
                <w:rFonts w:hint="eastAsia" w:ascii="Times New Roman" w:hAnsi="Times New Roman" w:cs="Times New Roman"/>
                <w:color w:val="auto"/>
                <w:sz w:val="24"/>
                <w:szCs w:val="24"/>
                <w:highlight w:val="none"/>
                <w:lang w:val="en-US" w:eastAsia="zh-CN"/>
              </w:rPr>
              <w:t>。表调剂不含钼酸盐，其氟钛酸钾含量为30%。钼酸盐和钛酸盐</w:t>
            </w:r>
            <w:r>
              <w:rPr>
                <w:rFonts w:hint="default" w:ascii="Times New Roman" w:hAnsi="Times New Roman" w:cs="Times New Roman"/>
                <w:color w:val="auto"/>
                <w:sz w:val="24"/>
                <w:szCs w:val="24"/>
                <w:highlight w:val="none"/>
                <w:lang w:val="en-US" w:eastAsia="zh-CN"/>
              </w:rPr>
              <w:t>分子式分别为</w:t>
            </w:r>
            <w:r>
              <w:rPr>
                <w:rFonts w:hint="eastAsia" w:ascii="Times New Roman" w:hAnsi="Times New Roman" w:cs="Times New Roman"/>
                <w:color w:val="auto"/>
                <w:sz w:val="24"/>
                <w:szCs w:val="24"/>
                <w:highlight w:val="none"/>
                <w:lang w:val="en-US" w:eastAsia="zh-CN"/>
              </w:rPr>
              <w:t>Na</w:t>
            </w:r>
            <w:r>
              <w:rPr>
                <w:rFonts w:hint="default" w:ascii="Times New Roman" w:hAnsi="Times New Roman" w:cs="Times New Roman"/>
                <w:color w:val="auto"/>
                <w:sz w:val="24"/>
                <w:szCs w:val="24"/>
                <w:highlight w:val="none"/>
                <w:vertAlign w:val="subscript"/>
                <w:lang w:val="en-US" w:eastAsia="zh-CN"/>
              </w:rPr>
              <w:t>2</w:t>
            </w:r>
            <w:r>
              <w:rPr>
                <w:rFonts w:hint="eastAsia" w:ascii="Times New Roman" w:hAnsi="Times New Roman" w:cs="Times New Roman"/>
                <w:color w:val="auto"/>
                <w:sz w:val="24"/>
                <w:szCs w:val="24"/>
                <w:highlight w:val="none"/>
                <w:vertAlign w:val="baseline"/>
                <w:lang w:val="en-US" w:eastAsia="zh-CN"/>
              </w:rPr>
              <w:t>MoO</w:t>
            </w:r>
            <w:r>
              <w:rPr>
                <w:rFonts w:hint="eastAsia" w:ascii="Times New Roman" w:hAnsi="Times New Roman" w:cs="Times New Roman"/>
                <w:color w:val="auto"/>
                <w:sz w:val="24"/>
                <w:szCs w:val="24"/>
                <w:highlight w:val="none"/>
                <w:vertAlign w:val="subscript"/>
                <w:lang w:val="en-US" w:eastAsia="zh-CN"/>
              </w:rPr>
              <w:t>4</w:t>
            </w:r>
            <w:r>
              <w:rPr>
                <w:rFonts w:hint="default" w:ascii="Times New Roman" w:hAnsi="Times New Roman" w:cs="Times New Roman"/>
                <w:color w:val="auto"/>
                <w:sz w:val="24"/>
                <w:szCs w:val="24"/>
                <w:highlight w:val="none"/>
                <w:lang w:val="en-US" w:eastAsia="zh-CN"/>
              </w:rPr>
              <w:t>、H</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lang w:val="en-US" w:eastAsia="zh-CN"/>
              </w:rPr>
              <w:t>TiF</w:t>
            </w:r>
            <w:r>
              <w:rPr>
                <w:rFonts w:hint="default" w:ascii="Times New Roman" w:hAnsi="Times New Roman" w:cs="Times New Roman"/>
                <w:color w:val="auto"/>
                <w:sz w:val="24"/>
                <w:szCs w:val="24"/>
                <w:highlight w:val="none"/>
                <w:vertAlign w:val="subscript"/>
                <w:lang w:val="en-US" w:eastAsia="zh-CN"/>
              </w:rPr>
              <w:t>6</w:t>
            </w:r>
            <w:r>
              <w:rPr>
                <w:rFonts w:hint="default" w:ascii="Times New Roman" w:hAnsi="Times New Roman" w:cs="Times New Roman"/>
                <w:color w:val="auto"/>
                <w:sz w:val="24"/>
                <w:szCs w:val="24"/>
                <w:highlight w:val="none"/>
                <w:vertAlign w:val="baseline"/>
                <w:lang w:val="en-US" w:eastAsia="zh-CN"/>
              </w:rPr>
              <w:t>，按照原子质量占比计算得</w:t>
            </w:r>
            <w:r>
              <w:rPr>
                <w:rFonts w:hint="eastAsia" w:ascii="Times New Roman" w:hAnsi="Times New Roman" w:cs="Times New Roman"/>
                <w:color w:val="auto"/>
                <w:sz w:val="24"/>
                <w:szCs w:val="24"/>
                <w:highlight w:val="none"/>
                <w:vertAlign w:val="baseline"/>
                <w:lang w:val="en-US" w:eastAsia="zh-CN"/>
              </w:rPr>
              <w:t>Mo</w:t>
            </w:r>
            <w:r>
              <w:rPr>
                <w:rFonts w:hint="default" w:ascii="Times New Roman" w:hAnsi="Times New Roman" w:cs="Times New Roman"/>
                <w:color w:val="auto"/>
                <w:sz w:val="24"/>
                <w:szCs w:val="24"/>
                <w:highlight w:val="none"/>
                <w:vertAlign w:val="baseline"/>
                <w:lang w:val="en-US" w:eastAsia="zh-CN"/>
              </w:rPr>
              <w:t>产生量为0.</w:t>
            </w:r>
            <w:r>
              <w:rPr>
                <w:rFonts w:hint="eastAsia" w:ascii="Times New Roman" w:hAnsi="Times New Roman" w:cs="Times New Roman"/>
                <w:color w:val="auto"/>
                <w:sz w:val="24"/>
                <w:szCs w:val="24"/>
                <w:highlight w:val="none"/>
                <w:vertAlign w:val="baseline"/>
                <w:lang w:val="en-US" w:eastAsia="zh-CN"/>
              </w:rPr>
              <w:t>0699</w:t>
            </w:r>
            <w:r>
              <w:rPr>
                <w:rFonts w:hint="default" w:ascii="Times New Roman" w:hAnsi="Times New Roman" w:cs="Times New Roman"/>
                <w:color w:val="auto"/>
                <w:sz w:val="24"/>
                <w:szCs w:val="24"/>
                <w:highlight w:val="none"/>
                <w:vertAlign w:val="baseline"/>
                <w:lang w:val="en-US" w:eastAsia="zh-CN"/>
              </w:rPr>
              <w:t>t/a，Ti产生量为</w:t>
            </w:r>
            <w:bookmarkStart w:id="127" w:name="OLE_LINK42"/>
            <w:r>
              <w:rPr>
                <w:rFonts w:hint="default" w:ascii="Times New Roman" w:hAnsi="Times New Roman" w:cs="Times New Roman"/>
                <w:color w:val="auto"/>
                <w:sz w:val="24"/>
                <w:szCs w:val="24"/>
                <w:highlight w:val="none"/>
                <w:vertAlign w:val="baseline"/>
                <w:lang w:val="en-US" w:eastAsia="zh-CN"/>
              </w:rPr>
              <w:t>0.</w:t>
            </w:r>
            <w:bookmarkEnd w:id="127"/>
            <w:r>
              <w:rPr>
                <w:rFonts w:hint="eastAsia" w:ascii="Times New Roman" w:hAnsi="Times New Roman" w:cs="Times New Roman"/>
                <w:color w:val="auto"/>
                <w:sz w:val="24"/>
                <w:szCs w:val="24"/>
                <w:highlight w:val="none"/>
                <w:vertAlign w:val="baseline"/>
                <w:lang w:val="en-US" w:eastAsia="zh-CN"/>
              </w:rPr>
              <w:t>0737</w:t>
            </w:r>
            <w:r>
              <w:rPr>
                <w:rFonts w:hint="default" w:ascii="Times New Roman" w:hAnsi="Times New Roman" w:cs="Times New Roman"/>
                <w:color w:val="auto"/>
                <w:sz w:val="24"/>
                <w:szCs w:val="24"/>
                <w:highlight w:val="none"/>
                <w:vertAlign w:val="baseline"/>
                <w:lang w:val="en-US" w:eastAsia="zh-CN"/>
              </w:rPr>
              <w:t>t/a，本项目生产废水产生量为</w:t>
            </w:r>
            <w:r>
              <w:rPr>
                <w:rFonts w:hint="eastAsia" w:ascii="Times New Roman" w:hAnsi="Times New Roman" w:cs="Times New Roman"/>
                <w:color w:val="auto"/>
                <w:sz w:val="24"/>
                <w:szCs w:val="24"/>
                <w:highlight w:val="none"/>
                <w:vertAlign w:val="baseline"/>
                <w:lang w:val="en-US" w:eastAsia="zh-CN"/>
              </w:rPr>
              <w:t>2508</w:t>
            </w:r>
            <w:r>
              <w:rPr>
                <w:rFonts w:hint="default" w:ascii="Times New Roman" w:hAnsi="Times New Roman" w:cs="Times New Roman"/>
                <w:color w:val="auto"/>
                <w:sz w:val="24"/>
                <w:szCs w:val="24"/>
                <w:highlight w:val="none"/>
                <w:vertAlign w:val="baseline"/>
                <w:lang w:val="en-US" w:eastAsia="zh-CN"/>
              </w:rPr>
              <w:t>t/a，按最不利情况，折算得出</w:t>
            </w:r>
            <w:r>
              <w:rPr>
                <w:rFonts w:hint="eastAsia" w:ascii="Times New Roman" w:hAnsi="Times New Roman" w:cs="Times New Roman"/>
                <w:color w:val="auto"/>
                <w:sz w:val="24"/>
                <w:szCs w:val="24"/>
                <w:highlight w:val="none"/>
                <w:vertAlign w:val="baseline"/>
                <w:lang w:val="en-US" w:eastAsia="zh-CN"/>
              </w:rPr>
              <w:t>Mo</w:t>
            </w:r>
            <w:r>
              <w:rPr>
                <w:rFonts w:hint="default" w:ascii="Times New Roman" w:hAnsi="Times New Roman" w:cs="Times New Roman"/>
                <w:color w:val="auto"/>
                <w:sz w:val="24"/>
                <w:szCs w:val="24"/>
                <w:highlight w:val="none"/>
                <w:vertAlign w:val="baseline"/>
                <w:lang w:val="en-US" w:eastAsia="zh-CN"/>
              </w:rPr>
              <w:t>和Ti产生浓度分别为</w:t>
            </w:r>
            <w:r>
              <w:rPr>
                <w:rFonts w:hint="eastAsia" w:ascii="Times New Roman" w:hAnsi="Times New Roman" w:cs="Times New Roman"/>
                <w:color w:val="auto"/>
                <w:sz w:val="24"/>
                <w:szCs w:val="24"/>
                <w:highlight w:val="none"/>
                <w:vertAlign w:val="baseline"/>
                <w:lang w:val="en-US" w:eastAsia="zh-CN"/>
              </w:rPr>
              <w:t>27.87</w:t>
            </w:r>
            <w:r>
              <w:rPr>
                <w:rFonts w:hint="default" w:ascii="Times New Roman" w:hAnsi="Times New Roman" w:cs="Times New Roman"/>
                <w:color w:val="auto"/>
                <w:sz w:val="24"/>
                <w:szCs w:val="24"/>
                <w:highlight w:val="none"/>
                <w:vertAlign w:val="baseline"/>
                <w:lang w:val="en-US" w:eastAsia="zh-CN"/>
              </w:rPr>
              <w:t>mg/L和</w:t>
            </w:r>
            <w:r>
              <w:rPr>
                <w:rFonts w:hint="eastAsia" w:ascii="Times New Roman" w:hAnsi="Times New Roman" w:cs="Times New Roman"/>
                <w:color w:val="auto"/>
                <w:sz w:val="24"/>
                <w:szCs w:val="24"/>
                <w:highlight w:val="none"/>
                <w:vertAlign w:val="baseline"/>
                <w:lang w:val="en-US" w:eastAsia="zh-CN"/>
              </w:rPr>
              <w:t>34.94</w:t>
            </w:r>
            <w:r>
              <w:rPr>
                <w:rFonts w:hint="default" w:ascii="Times New Roman" w:hAnsi="Times New Roman" w:cs="Times New Roman"/>
                <w:color w:val="auto"/>
                <w:sz w:val="24"/>
                <w:szCs w:val="24"/>
                <w:highlight w:val="none"/>
                <w:vertAlign w:val="baseline"/>
                <w:lang w:val="en-US" w:eastAsia="zh-CN"/>
              </w:rPr>
              <w:t>mg/L。</w:t>
            </w:r>
          </w:p>
          <w:p w14:paraId="7E69C32F">
            <w:pPr>
              <w:keepNext/>
              <w:keepLines/>
              <w:suppressLineNumbers w:val="0"/>
              <w:tabs>
                <w:tab w:val="left" w:pos="0"/>
              </w:tabs>
              <w:spacing w:before="0" w:beforeAutospacing="0" w:after="0" w:afterAutospacing="0" w:line="360" w:lineRule="auto"/>
              <w:ind w:left="0" w:right="0" w:firstLine="480" w:firstLineChars="200"/>
              <w:outlineLvl w:val="3"/>
              <w:rPr>
                <w:rFonts w:hint="default" w:ascii="Times New Roman" w:hAnsi="Times New Roman" w:eastAsia="宋体" w:cs="Times New Roman"/>
                <w:b w:val="0"/>
                <w:bCs w:val="0"/>
                <w:color w:val="auto"/>
                <w:sz w:val="24"/>
                <w:szCs w:val="24"/>
                <w:highlight w:val="none"/>
                <w:vertAlign w:val="baseline"/>
                <w:lang w:val="en-US"/>
              </w:rPr>
            </w:pPr>
            <w:r>
              <w:rPr>
                <w:rFonts w:hint="default" w:ascii="Times New Roman" w:hAnsi="Times New Roman" w:eastAsia="宋体" w:cs="Times New Roman"/>
                <w:b w:val="0"/>
                <w:bCs w:val="0"/>
                <w:color w:val="auto"/>
                <w:sz w:val="24"/>
                <w:szCs w:val="24"/>
                <w:highlight w:val="none"/>
                <w:vertAlign w:val="baseline"/>
                <w:lang w:val="en-US"/>
              </w:rPr>
              <w:t>“中和调节+混凝沉淀+二级除磷+水解酸化+接触氧化+MBR膜池”组合工艺对</w:t>
            </w:r>
            <w:r>
              <w:rPr>
                <w:rFonts w:hint="eastAsia" w:ascii="Times New Roman" w:hAnsi="Times New Roman" w:cs="Times New Roman"/>
                <w:b w:val="0"/>
                <w:bCs w:val="0"/>
                <w:color w:val="auto"/>
                <w:sz w:val="24"/>
                <w:szCs w:val="24"/>
                <w:highlight w:val="none"/>
                <w:vertAlign w:val="baseline"/>
                <w:lang w:val="en-US" w:eastAsia="zh-CN"/>
              </w:rPr>
              <w:t>钼</w:t>
            </w:r>
            <w:r>
              <w:rPr>
                <w:rFonts w:hint="default" w:ascii="Times New Roman" w:hAnsi="Times New Roman" w:eastAsia="宋体" w:cs="Times New Roman"/>
                <w:b w:val="0"/>
                <w:bCs w:val="0"/>
                <w:color w:val="auto"/>
                <w:sz w:val="24"/>
                <w:szCs w:val="24"/>
                <w:highlight w:val="none"/>
                <w:vertAlign w:val="baseline"/>
                <w:lang w:val="en-US"/>
              </w:rPr>
              <w:t>（</w:t>
            </w:r>
            <w:r>
              <w:rPr>
                <w:rFonts w:hint="eastAsia" w:ascii="Times New Roman" w:hAnsi="Times New Roman" w:cs="Times New Roman"/>
                <w:b w:val="0"/>
                <w:bCs w:val="0"/>
                <w:color w:val="auto"/>
                <w:sz w:val="24"/>
                <w:szCs w:val="24"/>
                <w:highlight w:val="none"/>
                <w:vertAlign w:val="baseline"/>
                <w:lang w:val="en-US" w:eastAsia="zh-CN"/>
              </w:rPr>
              <w:t>Mo</w:t>
            </w:r>
            <w:r>
              <w:rPr>
                <w:rFonts w:hint="default" w:ascii="Times New Roman" w:hAnsi="Times New Roman" w:eastAsia="宋体" w:cs="Times New Roman"/>
                <w:b w:val="0"/>
                <w:bCs w:val="0"/>
                <w:color w:val="auto"/>
                <w:sz w:val="24"/>
                <w:szCs w:val="24"/>
                <w:highlight w:val="none"/>
                <w:vertAlign w:val="baseline"/>
                <w:lang w:val="en-US"/>
              </w:rPr>
              <w:t>）和钛（Ti）的处理效率预计可达85%</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rPr>
              <w:t>95%。中和调节通过精准控制pH（</w:t>
            </w:r>
            <w:r>
              <w:rPr>
                <w:rFonts w:hint="eastAsia" w:ascii="Times New Roman" w:hAnsi="Times New Roman" w:cs="Times New Roman"/>
                <w:b w:val="0"/>
                <w:bCs w:val="0"/>
                <w:color w:val="auto"/>
                <w:sz w:val="24"/>
                <w:szCs w:val="24"/>
                <w:highlight w:val="none"/>
                <w:vertAlign w:val="baseline"/>
                <w:lang w:val="en-US" w:eastAsia="zh-CN"/>
              </w:rPr>
              <w:t>Mo</w:t>
            </w:r>
            <w:r>
              <w:rPr>
                <w:rFonts w:hint="default" w:ascii="Times New Roman" w:hAnsi="Times New Roman" w:eastAsia="宋体" w:cs="Times New Roman"/>
                <w:b w:val="0"/>
                <w:bCs w:val="0"/>
                <w:color w:val="auto"/>
                <w:sz w:val="24"/>
                <w:szCs w:val="24"/>
                <w:highlight w:val="none"/>
                <w:vertAlign w:val="baseline"/>
                <w:lang w:val="en-US"/>
              </w:rPr>
              <w:t>r:</w:t>
            </w:r>
            <w:r>
              <w:rPr>
                <w:rFonts w:hint="eastAsia" w:ascii="Times New Roman" w:hAnsi="Times New Roman" w:cs="Times New Roman"/>
                <w:b w:val="0"/>
                <w:bCs w:val="0"/>
                <w:color w:val="auto"/>
                <w:sz w:val="24"/>
                <w:szCs w:val="24"/>
                <w:highlight w:val="none"/>
                <w:vertAlign w:val="baseline"/>
                <w:lang w:val="en-US" w:eastAsia="zh-CN"/>
              </w:rPr>
              <w:t>3.5</w:t>
            </w:r>
            <w:r>
              <w:rPr>
                <w:rFonts w:hint="default" w:ascii="Times New Roman" w:hAnsi="Times New Roman" w:eastAsia="宋体" w:cs="Times New Roman"/>
                <w:b w:val="0"/>
                <w:bCs w:val="0"/>
                <w:color w:val="auto"/>
                <w:sz w:val="24"/>
                <w:szCs w:val="24"/>
                <w:highlight w:val="none"/>
                <w:vertAlign w:val="baseline"/>
                <w:lang w:val="en-US"/>
              </w:rPr>
              <w:t>~</w:t>
            </w:r>
            <w:r>
              <w:rPr>
                <w:rFonts w:hint="eastAsia" w:ascii="Times New Roman" w:hAnsi="Times New Roman" w:cs="Times New Roman"/>
                <w:b w:val="0"/>
                <w:bCs w:val="0"/>
                <w:color w:val="auto"/>
                <w:sz w:val="24"/>
                <w:szCs w:val="24"/>
                <w:highlight w:val="none"/>
                <w:vertAlign w:val="baseline"/>
                <w:lang w:val="en-US" w:eastAsia="zh-CN"/>
              </w:rPr>
              <w:t>5</w:t>
            </w:r>
            <w:r>
              <w:rPr>
                <w:rFonts w:hint="default" w:ascii="Times New Roman" w:hAnsi="Times New Roman" w:eastAsia="宋体" w:cs="Times New Roman"/>
                <w:b w:val="0"/>
                <w:bCs w:val="0"/>
                <w:color w:val="auto"/>
                <w:sz w:val="24"/>
                <w:szCs w:val="24"/>
                <w:highlight w:val="none"/>
                <w:vertAlign w:val="baseline"/>
                <w:lang w:val="en-US"/>
              </w:rPr>
              <w:t>，Ti:6~8），</w:t>
            </w:r>
            <w:r>
              <w:rPr>
                <w:rFonts w:hint="eastAsia" w:ascii="Times New Roman" w:hAnsi="Times New Roman" w:cs="Times New Roman"/>
                <w:b w:val="0"/>
                <w:bCs w:val="0"/>
                <w:color w:val="auto"/>
                <w:sz w:val="24"/>
                <w:szCs w:val="24"/>
                <w:highlight w:val="none"/>
                <w:vertAlign w:val="baseline"/>
                <w:lang w:val="en-US" w:eastAsia="zh-CN"/>
              </w:rPr>
              <w:t>促使</w:t>
            </w:r>
            <w:r>
              <w:rPr>
                <w:rFonts w:hint="default" w:ascii="Times New Roman" w:hAnsi="Times New Roman" w:eastAsia="宋体" w:cs="Times New Roman"/>
                <w:b w:val="0"/>
                <w:bCs w:val="0"/>
                <w:color w:val="auto"/>
                <w:sz w:val="24"/>
                <w:szCs w:val="24"/>
                <w:highlight w:val="none"/>
                <w:vertAlign w:val="baseline"/>
                <w:lang w:val="en-US"/>
              </w:rPr>
              <w:t>Ti⁴⁺形成难溶氢氧化物沉淀（如Ti(OH)₄），初步去除率约50%</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rPr>
              <w:t>80%，类比氟化钙沉淀的pH依赖性（pH6.5~7.0时氟去除率&gt;90%）；</w:t>
            </w:r>
            <w:r>
              <w:rPr>
                <w:rFonts w:hint="eastAsia" w:ascii="Times New Roman" w:hAnsi="Times New Roman" w:cs="Times New Roman"/>
                <w:b w:val="0"/>
                <w:bCs w:val="0"/>
                <w:color w:val="auto"/>
                <w:sz w:val="24"/>
                <w:szCs w:val="24"/>
                <w:highlight w:val="none"/>
                <w:vertAlign w:val="baseline"/>
                <w:lang w:val="en-US" w:eastAsia="zh-CN"/>
              </w:rPr>
              <w:t>钼主要以 MoO</w:t>
            </w:r>
            <w:r>
              <w:rPr>
                <w:rFonts w:hint="eastAsia" w:ascii="Times New Roman" w:hAnsi="Times New Roman" w:cs="Times New Roman"/>
                <w:b w:val="0"/>
                <w:bCs w:val="0"/>
                <w:color w:val="auto"/>
                <w:sz w:val="24"/>
                <w:szCs w:val="24"/>
                <w:highlight w:val="none"/>
                <w:vertAlign w:val="subscript"/>
                <w:lang w:val="en-US" w:eastAsia="zh-CN"/>
              </w:rPr>
              <w:t>4</w:t>
            </w:r>
            <w:r>
              <w:rPr>
                <w:rFonts w:hint="eastAsia" w:ascii="Times New Roman" w:hAnsi="Times New Roman" w:cs="Times New Roman"/>
                <w:b w:val="0"/>
                <w:bCs w:val="0"/>
                <w:color w:val="auto"/>
                <w:sz w:val="24"/>
                <w:szCs w:val="24"/>
                <w:highlight w:val="none"/>
                <w:vertAlign w:val="superscript"/>
                <w:lang w:val="en-US" w:eastAsia="zh-CN"/>
              </w:rPr>
              <w:t>2-</w:t>
            </w:r>
            <w:r>
              <w:rPr>
                <w:rFonts w:hint="eastAsia" w:ascii="Times New Roman" w:hAnsi="Times New Roman" w:cs="Times New Roman"/>
                <w:b w:val="0"/>
                <w:bCs w:val="0"/>
                <w:color w:val="auto"/>
                <w:sz w:val="24"/>
                <w:szCs w:val="24"/>
                <w:highlight w:val="none"/>
                <w:vertAlign w:val="baseline"/>
                <w:lang w:val="en-US" w:eastAsia="zh-CN"/>
              </w:rPr>
              <w:t>（钼酸根） 存在于磷化废水中；采用铁盐混凝沉淀（pH 3.5～5）时，钼主要通过 吸附于 Fe (OH)₃ 絮体形成共沉淀去除，沉淀主要成分为 氢氧化铁及吸附态钼酸根。在处理工艺中</w:t>
            </w:r>
            <w:r>
              <w:rPr>
                <w:rFonts w:hint="default" w:ascii="Times New Roman" w:hAnsi="Times New Roman" w:eastAsia="宋体" w:cs="Times New Roman"/>
                <w:b w:val="0"/>
                <w:bCs w:val="0"/>
                <w:color w:val="auto"/>
                <w:sz w:val="24"/>
                <w:szCs w:val="24"/>
                <w:highlight w:val="none"/>
                <w:vertAlign w:val="baseline"/>
                <w:lang w:val="en-US"/>
              </w:rPr>
              <w:t>混凝沉淀中铝盐（PAC）或铁盐（聚合硫酸铁）水解生成Al(OH)₃/Fe(OH)₃胶体，通过电荷中和与共沉淀吸附残留金属离子，提升效率10%</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rPr>
              <w:t>30%（参考铁盐对氟的去除率&gt;96%）；气浮利用微小气泡（如电凝聚产生的H₂/O₂）强化絮体分离，减少悬浮物残留，提升总去除率5%</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rPr>
              <w:t>15%。</w:t>
            </w:r>
          </w:p>
          <w:p w14:paraId="625854B2">
            <w:pPr>
              <w:keepNext/>
              <w:keepLines/>
              <w:pageBreakBefore w:val="0"/>
              <w:tabs>
                <w:tab w:val="left" w:pos="0"/>
              </w:tabs>
              <w:kinsoku/>
              <w:wordWrap w:val="0"/>
              <w:overflowPunct/>
              <w:topLinePunct w:val="0"/>
              <w:bidi w:val="0"/>
              <w:ind w:firstLine="480" w:firstLineChars="200"/>
              <w:outlineLvl w:val="3"/>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本项目</w:t>
            </w:r>
            <w:r>
              <w:rPr>
                <w:rFonts w:hint="default" w:ascii="Times New Roman" w:hAnsi="Times New Roman" w:eastAsia="宋体" w:cs="Times New Roman"/>
                <w:b w:val="0"/>
                <w:bCs w:val="0"/>
                <w:color w:val="auto"/>
                <w:sz w:val="24"/>
                <w:szCs w:val="24"/>
                <w:highlight w:val="none"/>
                <w:vertAlign w:val="baseline"/>
                <w:lang w:val="en-US"/>
              </w:rPr>
              <w:t>“中和调节+混凝沉淀+二级除磷+水解酸化+接触氧化+MBR膜池”</w:t>
            </w:r>
            <w:r>
              <w:rPr>
                <w:rFonts w:hint="default" w:ascii="Times New Roman" w:hAnsi="Times New Roman" w:eastAsia="宋体" w:cs="Times New Roman"/>
                <w:b w:val="0"/>
                <w:bCs w:val="0"/>
                <w:color w:val="auto"/>
                <w:sz w:val="24"/>
                <w:szCs w:val="24"/>
                <w:highlight w:val="none"/>
                <w:vertAlign w:val="baseline"/>
                <w:lang w:val="en-US" w:eastAsia="zh-CN"/>
              </w:rPr>
              <w:t>对</w:t>
            </w:r>
            <w:r>
              <w:rPr>
                <w:rFonts w:hint="eastAsia" w:ascii="Times New Roman" w:hAnsi="Times New Roman" w:cs="Times New Roman"/>
                <w:b w:val="0"/>
                <w:bCs w:val="0"/>
                <w:color w:val="auto"/>
                <w:sz w:val="24"/>
                <w:szCs w:val="24"/>
                <w:highlight w:val="none"/>
                <w:vertAlign w:val="baseline"/>
                <w:lang w:val="en-US" w:eastAsia="zh-CN"/>
              </w:rPr>
              <w:t>Mo</w:t>
            </w:r>
            <w:r>
              <w:rPr>
                <w:rFonts w:hint="eastAsia"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Ti保守按8</w:t>
            </w:r>
            <w:r>
              <w:rPr>
                <w:rFonts w:hint="eastAsia" w:ascii="Times New Roman" w:hAnsi="Times New Roman" w:cs="Times New Roman"/>
                <w:b w:val="0"/>
                <w:bCs w:val="0"/>
                <w:color w:val="auto"/>
                <w:sz w:val="24"/>
                <w:szCs w:val="24"/>
                <w:highlight w:val="none"/>
                <w:vertAlign w:val="baseline"/>
                <w:lang w:val="en-US" w:eastAsia="zh-CN"/>
              </w:rPr>
              <w:t>5</w:t>
            </w:r>
            <w:r>
              <w:rPr>
                <w:rFonts w:hint="default" w:ascii="Times New Roman" w:hAnsi="Times New Roman" w:eastAsia="宋体" w:cs="Times New Roman"/>
                <w:b w:val="0"/>
                <w:bCs w:val="0"/>
                <w:color w:val="auto"/>
                <w:sz w:val="24"/>
                <w:szCs w:val="24"/>
                <w:highlight w:val="none"/>
                <w:vertAlign w:val="baseline"/>
                <w:lang w:val="en-US" w:eastAsia="zh-CN"/>
              </w:rPr>
              <w:t>%处理效率计算。计算得出</w:t>
            </w:r>
            <w:r>
              <w:rPr>
                <w:rFonts w:hint="eastAsia" w:ascii="Times New Roman" w:hAnsi="Times New Roman" w:cs="Times New Roman"/>
                <w:b w:val="0"/>
                <w:bCs w:val="0"/>
                <w:color w:val="auto"/>
                <w:sz w:val="24"/>
                <w:szCs w:val="24"/>
                <w:highlight w:val="none"/>
                <w:vertAlign w:val="baseline"/>
                <w:lang w:val="en-US" w:eastAsia="zh-CN"/>
              </w:rPr>
              <w:t>Mo</w:t>
            </w:r>
            <w:r>
              <w:rPr>
                <w:rFonts w:hint="eastAsia"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Ti排放浓度分别为</w:t>
            </w:r>
            <w:r>
              <w:rPr>
                <w:rFonts w:hint="eastAsia" w:ascii="Times New Roman" w:hAnsi="Times New Roman" w:cs="Times New Roman"/>
                <w:b w:val="0"/>
                <w:bCs w:val="0"/>
                <w:color w:val="auto"/>
                <w:sz w:val="24"/>
                <w:szCs w:val="24"/>
                <w:highlight w:val="none"/>
                <w:vertAlign w:val="baseline"/>
                <w:lang w:val="en-US" w:eastAsia="zh-CN"/>
              </w:rPr>
              <w:t>4.18</w:t>
            </w:r>
            <w:r>
              <w:rPr>
                <w:rFonts w:hint="default" w:ascii="Times New Roman" w:hAnsi="Times New Roman" w:eastAsia="宋体" w:cs="Times New Roman"/>
                <w:b w:val="0"/>
                <w:bCs w:val="0"/>
                <w:color w:val="auto"/>
                <w:sz w:val="24"/>
                <w:szCs w:val="24"/>
                <w:highlight w:val="none"/>
                <w:vertAlign w:val="baseline"/>
                <w:lang w:val="en-US" w:eastAsia="zh-CN"/>
              </w:rPr>
              <w:t>mg/L</w:t>
            </w:r>
            <w:r>
              <w:rPr>
                <w:rFonts w:hint="eastAsia" w:cs="Times New Roman"/>
                <w:b w:val="0"/>
                <w:bCs w:val="0"/>
                <w:color w:val="auto"/>
                <w:sz w:val="24"/>
                <w:szCs w:val="24"/>
                <w:highlight w:val="none"/>
                <w:vertAlign w:val="baseline"/>
                <w:lang w:val="en-US" w:eastAsia="zh-CN"/>
              </w:rPr>
              <w:t>、</w:t>
            </w:r>
            <w:r>
              <w:rPr>
                <w:rFonts w:hint="eastAsia" w:ascii="Times New Roman" w:hAnsi="Times New Roman" w:cs="Times New Roman"/>
                <w:b w:val="0"/>
                <w:bCs w:val="0"/>
                <w:color w:val="auto"/>
                <w:sz w:val="24"/>
                <w:szCs w:val="24"/>
                <w:highlight w:val="none"/>
                <w:vertAlign w:val="baseline"/>
                <w:lang w:val="en-US" w:eastAsia="zh-CN"/>
              </w:rPr>
              <w:t>5.24</w:t>
            </w:r>
            <w:r>
              <w:rPr>
                <w:rFonts w:hint="default" w:ascii="Times New Roman" w:hAnsi="Times New Roman" w:eastAsia="宋体" w:cs="Times New Roman"/>
                <w:b w:val="0"/>
                <w:bCs w:val="0"/>
                <w:color w:val="auto"/>
                <w:sz w:val="24"/>
                <w:szCs w:val="24"/>
                <w:highlight w:val="none"/>
                <w:vertAlign w:val="baseline"/>
                <w:lang w:val="en-US" w:eastAsia="zh-CN"/>
              </w:rPr>
              <w:t>mg/L，此排放浓度较低，经过与其他废水混合稀释后排入园区污水处理厂再进一步处理，对外环境影响很小。</w:t>
            </w:r>
          </w:p>
          <w:p w14:paraId="52F38D91">
            <w:pPr>
              <w:keepNext/>
              <w:keepLines/>
              <w:pageBreakBefore w:val="0"/>
              <w:tabs>
                <w:tab w:val="left" w:pos="0"/>
              </w:tabs>
              <w:kinsoku/>
              <w:wordWrap w:val="0"/>
              <w:overflowPunct/>
              <w:topLinePunct w:val="0"/>
              <w:bidi w:val="0"/>
              <w:ind w:firstLine="480" w:firstLineChars="200"/>
              <w:outlineLvl w:val="3"/>
              <w:rPr>
                <w:rFonts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rPr>
              <w:t>4</w:t>
            </w:r>
            <w:r>
              <w:rPr>
                <w:rFonts w:ascii="Times New Roman" w:hAnsi="Times New Roman" w:eastAsia="宋体" w:cs="Times New Roman"/>
                <w:b/>
                <w:bCs/>
                <w:color w:val="auto"/>
                <w:highlight w:val="none"/>
              </w:rPr>
              <w:t>、污染治理设施情况</w:t>
            </w:r>
          </w:p>
          <w:p w14:paraId="48003D1B">
            <w:pPr>
              <w:pageBreakBefore w:val="0"/>
              <w:kinsoku/>
              <w:wordWrap w:val="0"/>
              <w:overflowPunct/>
              <w:topLinePunct w:val="0"/>
              <w:bidi w:val="0"/>
              <w:adjustRightInd w:val="0"/>
              <w:ind w:firstLine="480" w:firstLineChars="200"/>
              <w:rPr>
                <w:rFonts w:hint="eastAsia" w:cs="Times New Roman"/>
                <w:b/>
                <w:bCs/>
                <w:color w:val="auto"/>
                <w:highlight w:val="none"/>
                <w:lang w:val="en-US" w:eastAsia="zh-CN"/>
              </w:rPr>
            </w:pPr>
            <w:r>
              <w:rPr>
                <w:rFonts w:hint="eastAsia" w:cs="Times New Roman"/>
                <w:b/>
                <w:bCs/>
                <w:color w:val="auto"/>
                <w:highlight w:val="none"/>
                <w:lang w:val="en-US" w:eastAsia="zh-CN"/>
              </w:rPr>
              <w:t>4.1废水收集处理情况</w:t>
            </w:r>
          </w:p>
          <w:p w14:paraId="13D5F60F">
            <w:pPr>
              <w:pageBreakBefore w:val="0"/>
              <w:kinsoku/>
              <w:wordWrap w:val="0"/>
              <w:overflowPunct/>
              <w:topLinePunct w:val="0"/>
              <w:bidi w:val="0"/>
              <w:adjustRightInd w:val="0"/>
              <w:ind w:firstLine="480" w:firstLineChars="200"/>
              <w:rPr>
                <w:rFonts w:hint="default" w:ascii="Times New Roman" w:hAnsi="Times New Roman" w:eastAsia="宋体" w:cs="Times New Roman"/>
                <w:b/>
                <w:color w:val="auto"/>
                <w:sz w:val="21"/>
                <w:szCs w:val="21"/>
                <w:highlight w:val="none"/>
              </w:rPr>
            </w:pPr>
            <w:r>
              <w:rPr>
                <w:rFonts w:hint="eastAsia" w:ascii="Times New Roman" w:hAnsi="Times New Roman" w:eastAsia="宋体" w:cs="Times New Roman"/>
                <w:color w:val="auto"/>
                <w:highlight w:val="none"/>
              </w:rPr>
              <w:t>本项目位于园区污水处理厂纳污范围内，生活污水经</w:t>
            </w:r>
            <w:r>
              <w:rPr>
                <w:rFonts w:hint="eastAsia" w:cs="Times New Roman"/>
                <w:color w:val="auto"/>
                <w:highlight w:val="none"/>
                <w:lang w:eastAsia="zh-CN"/>
              </w:rPr>
              <w:t>三级化粪池</w:t>
            </w:r>
            <w:r>
              <w:rPr>
                <w:rFonts w:hint="eastAsia" w:ascii="Times New Roman" w:hAnsi="Times New Roman" w:eastAsia="宋体" w:cs="Times New Roman"/>
                <w:color w:val="auto"/>
                <w:highlight w:val="none"/>
              </w:rPr>
              <w:t>预处理</w:t>
            </w:r>
            <w:r>
              <w:rPr>
                <w:rFonts w:hint="eastAsia" w:cs="Times New Roman"/>
                <w:color w:val="auto"/>
                <w:highlight w:val="none"/>
                <w:lang w:val="en-US" w:eastAsia="zh-CN"/>
              </w:rPr>
              <w:t>后经</w:t>
            </w:r>
            <w:r>
              <w:rPr>
                <w:rFonts w:hint="eastAsia" w:ascii="Times New Roman" w:hAnsi="Times New Roman" w:eastAsia="宋体" w:cs="Times New Roman"/>
                <w:color w:val="auto"/>
                <w:highlight w:val="none"/>
              </w:rPr>
              <w:t>废水排放口DW001进入园区污水处理</w:t>
            </w:r>
            <w:r>
              <w:rPr>
                <w:rFonts w:hint="eastAsia" w:ascii="Times New Roman" w:hAnsi="Times New Roman" w:eastAsia="宋体" w:cs="Times New Roman"/>
                <w:color w:val="auto"/>
                <w:highlight w:val="none"/>
                <w:lang w:eastAsia="zh-CN"/>
              </w:rPr>
              <w:t>厂</w:t>
            </w:r>
            <w:r>
              <w:rPr>
                <w:rFonts w:hint="eastAsia" w:ascii="Times New Roman" w:hAnsi="Times New Roman" w:eastAsia="宋体" w:cs="Times New Roman"/>
                <w:color w:val="auto"/>
                <w:highlight w:val="none"/>
              </w:rPr>
              <w:t>处理。</w:t>
            </w:r>
            <w:r>
              <w:rPr>
                <w:rFonts w:hint="eastAsia" w:ascii="Times New Roman" w:hAnsi="Times New Roman" w:eastAsia="宋体" w:cs="Times New Roman"/>
                <w:color w:val="auto"/>
                <w:highlight w:val="none"/>
                <w:lang w:val="en-US" w:eastAsia="zh-CN"/>
              </w:rPr>
              <w:t>生产废水</w:t>
            </w:r>
            <w:r>
              <w:rPr>
                <w:rFonts w:hint="eastAsia" w:ascii="Times New Roman" w:hAnsi="Times New Roman" w:eastAsia="宋体" w:cs="Times New Roman"/>
                <w:color w:val="auto"/>
                <w:highlight w:val="none"/>
              </w:rPr>
              <w:t>经自建污水处理站（</w:t>
            </w:r>
            <w:r>
              <w:rPr>
                <w:rFonts w:hint="eastAsia" w:cs="Times New Roman"/>
                <w:color w:val="auto"/>
                <w:highlight w:val="none"/>
                <w:lang w:eastAsia="zh-CN"/>
              </w:rPr>
              <w:t>中和调节+混凝沉淀+二级除磷+水解酸化+接触氧化+MBR膜池</w:t>
            </w:r>
            <w:r>
              <w:rPr>
                <w:rFonts w:hint="eastAsia" w:ascii="Times New Roman" w:hAnsi="Times New Roman" w:eastAsia="宋体" w:cs="Times New Roman"/>
                <w:color w:val="auto"/>
                <w:highlight w:val="none"/>
              </w:rPr>
              <w:t>）处理</w:t>
            </w:r>
            <w:r>
              <w:rPr>
                <w:rFonts w:hint="eastAsia" w:cs="Times New Roman"/>
                <w:color w:val="auto"/>
                <w:highlight w:val="none"/>
                <w:lang w:val="en-US" w:eastAsia="zh-CN"/>
              </w:rPr>
              <w:t>后经</w:t>
            </w:r>
            <w:r>
              <w:rPr>
                <w:rFonts w:hint="eastAsia" w:ascii="Times New Roman" w:hAnsi="Times New Roman" w:eastAsia="宋体" w:cs="Times New Roman"/>
                <w:color w:val="auto"/>
                <w:highlight w:val="none"/>
              </w:rPr>
              <w:t>废水排放口DW00</w:t>
            </w: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rPr>
              <w:t>进入园区污水处理</w:t>
            </w:r>
            <w:r>
              <w:rPr>
                <w:rFonts w:hint="eastAsia" w:ascii="Times New Roman" w:hAnsi="Times New Roman" w:eastAsia="宋体" w:cs="Times New Roman"/>
                <w:color w:val="auto"/>
                <w:highlight w:val="none"/>
                <w:lang w:eastAsia="zh-CN"/>
              </w:rPr>
              <w:t>厂</w:t>
            </w:r>
            <w:r>
              <w:rPr>
                <w:rFonts w:hint="eastAsia" w:ascii="Times New Roman" w:hAnsi="Times New Roman" w:eastAsia="宋体" w:cs="Times New Roman"/>
                <w:color w:val="auto"/>
                <w:highlight w:val="none"/>
              </w:rPr>
              <w:t>处理。</w:t>
            </w:r>
            <w:r>
              <w:rPr>
                <w:rFonts w:hint="eastAsia" w:ascii="Times New Roman" w:hAnsi="Times New Roman" w:eastAsia="宋体" w:cs="Times New Roman"/>
                <w:color w:val="auto"/>
                <w:highlight w:val="none"/>
                <w:lang w:val="en-US" w:eastAsia="zh-CN"/>
              </w:rPr>
              <w:t>生活污水</w:t>
            </w:r>
            <w:r>
              <w:rPr>
                <w:rFonts w:hint="eastAsia" w:ascii="Times New Roman" w:hAnsi="Times New Roman" w:eastAsia="宋体" w:cs="Times New Roman"/>
                <w:color w:val="auto"/>
                <w:highlight w:val="none"/>
              </w:rPr>
              <w:t>处理后达到广东省地方标准《水污染物排放限值》（DB44/26-2001）第二时段三级标准及园区污水处理厂接管水质要求两者较严值</w:t>
            </w:r>
            <w:r>
              <w:rPr>
                <w:rFonts w:hint="eastAsia" w:cs="Times New Roman"/>
                <w:color w:val="auto"/>
                <w:highlight w:val="none"/>
                <w:lang w:eastAsia="zh-CN"/>
              </w:rPr>
              <w:t>；</w:t>
            </w:r>
            <w:r>
              <w:rPr>
                <w:rFonts w:hint="eastAsia" w:cs="Times New Roman"/>
                <w:color w:val="auto"/>
                <w:highlight w:val="none"/>
                <w:lang w:val="en-US" w:eastAsia="zh-CN"/>
              </w:rPr>
              <w:t>生产废水达到《电镀水污染物排放标准》（DB44/1597-2015）表2新建项目水污染物排放限值、</w:t>
            </w:r>
            <w:r>
              <w:rPr>
                <w:rFonts w:hint="eastAsia" w:cs="Times New Roman"/>
                <w:snapToGrid w:val="0"/>
                <w:color w:val="auto"/>
                <w:kern w:val="0"/>
                <w:sz w:val="24"/>
                <w:szCs w:val="21"/>
                <w:highlight w:val="none"/>
                <w:lang w:val="en-US" w:eastAsia="zh-CN" w:bidi="ar-SA"/>
              </w:rPr>
              <w:t>广东省《水污染物排放限值》（DB44/26-2001）第二时段三级标准</w:t>
            </w:r>
            <w:r>
              <w:rPr>
                <w:rFonts w:hint="eastAsia" w:cs="Times New Roman"/>
                <w:color w:val="auto"/>
                <w:highlight w:val="none"/>
                <w:lang w:val="en-US" w:eastAsia="zh-CN"/>
              </w:rPr>
              <w:t>及园区污水处理厂接管水质要求三者较严值</w:t>
            </w:r>
            <w:r>
              <w:rPr>
                <w:rFonts w:hint="eastAsia" w:cs="Times New Roman"/>
                <w:color w:val="auto"/>
                <w:highlight w:val="none"/>
                <w:lang w:eastAsia="zh-CN"/>
              </w:rPr>
              <w:t>；</w:t>
            </w:r>
            <w:r>
              <w:rPr>
                <w:rFonts w:hint="eastAsia" w:cs="Times New Roman"/>
                <w:color w:val="auto"/>
                <w:highlight w:val="none"/>
                <w:lang w:val="en-US" w:eastAsia="zh-CN"/>
              </w:rPr>
              <w:t>两股废水</w:t>
            </w:r>
            <w:r>
              <w:rPr>
                <w:rFonts w:hint="eastAsia" w:ascii="Times New Roman" w:hAnsi="Times New Roman" w:eastAsia="宋体" w:cs="Times New Roman"/>
                <w:color w:val="auto"/>
                <w:highlight w:val="none"/>
              </w:rPr>
              <w:t>排入园区污水处理厂</w:t>
            </w:r>
            <w:r>
              <w:rPr>
                <w:rFonts w:ascii="Times New Roman" w:hAnsi="Times New Roman" w:eastAsia="宋体" w:cs="Times New Roman"/>
                <w:color w:val="auto"/>
                <w:highlight w:val="none"/>
              </w:rPr>
              <w:t>。</w:t>
            </w:r>
          </w:p>
          <w:p w14:paraId="6EAE2FCD">
            <w:pPr>
              <w:keepNext w:val="0"/>
              <w:keepLines w:val="0"/>
              <w:pageBreakBefore w:val="0"/>
              <w:widowControl w:val="0"/>
              <w:numPr>
                <w:ilvl w:val="0"/>
                <w:numId w:val="10"/>
              </w:numPr>
              <w:kinsoku/>
              <w:wordWrap w:val="0"/>
              <w:overflowPunct/>
              <w:topLinePunct w:val="0"/>
              <w:autoSpaceDE/>
              <w:autoSpaceDN/>
              <w:bidi w:val="0"/>
              <w:adjustRightInd/>
              <w:snapToGrid/>
              <w:spacing w:line="240" w:lineRule="auto"/>
              <w:ind w:left="0" w:leftChars="0" w:hanging="1"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eastAsia"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lang w:val="en-US" w:eastAsia="zh-CN"/>
              </w:rPr>
              <w:t>废水</w:t>
            </w:r>
            <w:r>
              <w:rPr>
                <w:rFonts w:hint="default" w:ascii="Times New Roman" w:hAnsi="Times New Roman" w:eastAsia="宋体" w:cs="Times New Roman"/>
                <w:b/>
                <w:color w:val="auto"/>
                <w:kern w:val="2"/>
                <w:sz w:val="21"/>
                <w:szCs w:val="21"/>
                <w:highlight w:val="none"/>
                <w:lang w:val="en-US" w:eastAsia="zh-CN" w:bidi="ar-SA"/>
              </w:rPr>
              <w:t>类别、污染物及污染治理设施信息表</w:t>
            </w:r>
          </w:p>
          <w:tbl>
            <w:tblPr>
              <w:tblStyle w:val="43"/>
              <w:tblW w:w="4998"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0" w:type="dxa"/>
                <w:bottom w:w="0" w:type="dxa"/>
                <w:right w:w="0" w:type="dxa"/>
              </w:tblCellMar>
            </w:tblPr>
            <w:tblGrid>
              <w:gridCol w:w="528"/>
              <w:gridCol w:w="1077"/>
              <w:gridCol w:w="508"/>
              <w:gridCol w:w="884"/>
              <w:gridCol w:w="665"/>
              <w:gridCol w:w="780"/>
              <w:gridCol w:w="744"/>
              <w:gridCol w:w="521"/>
              <w:gridCol w:w="769"/>
              <w:gridCol w:w="1382"/>
            </w:tblGrid>
            <w:tr w14:paraId="6AEBC00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36" w:type="pct"/>
                  <w:vMerge w:val="restart"/>
                  <w:vAlign w:val="center"/>
                </w:tcPr>
                <w:p w14:paraId="11DA4B5B">
                  <w:pPr>
                    <w:pStyle w:val="61"/>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right="0"/>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rPr>
                    <w:t>废水类别</w:t>
                  </w:r>
                </w:p>
              </w:tc>
              <w:tc>
                <w:tcPr>
                  <w:tcW w:w="685" w:type="pct"/>
                  <w:vMerge w:val="restart"/>
                  <w:vAlign w:val="center"/>
                </w:tcPr>
                <w:p w14:paraId="4A456D4F">
                  <w:pPr>
                    <w:pStyle w:val="61"/>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right="0"/>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rPr>
                    <w:t>污染物种类</w:t>
                  </w:r>
                </w:p>
              </w:tc>
              <w:tc>
                <w:tcPr>
                  <w:tcW w:w="323" w:type="pct"/>
                  <w:vMerge w:val="restart"/>
                  <w:vAlign w:val="center"/>
                </w:tcPr>
                <w:p w14:paraId="6FE31361">
                  <w:pPr>
                    <w:pStyle w:val="61"/>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right="0"/>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rPr>
                    <w:t>排放去向</w:t>
                  </w:r>
                </w:p>
              </w:tc>
              <w:tc>
                <w:tcPr>
                  <w:tcW w:w="562" w:type="pct"/>
                  <w:vMerge w:val="restart"/>
                  <w:vAlign w:val="center"/>
                </w:tcPr>
                <w:p w14:paraId="32C47B62">
                  <w:pPr>
                    <w:pStyle w:val="61"/>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right="0"/>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rPr>
                    <w:t>排放规律</w:t>
                  </w:r>
                </w:p>
              </w:tc>
              <w:tc>
                <w:tcPr>
                  <w:tcW w:w="1392" w:type="pct"/>
                  <w:gridSpan w:val="3"/>
                  <w:vAlign w:val="center"/>
                </w:tcPr>
                <w:p w14:paraId="183AD998">
                  <w:pPr>
                    <w:pStyle w:val="61"/>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right="0"/>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rPr>
                    <w:t>污染治理设施</w:t>
                  </w:r>
                </w:p>
              </w:tc>
              <w:tc>
                <w:tcPr>
                  <w:tcW w:w="331" w:type="pct"/>
                  <w:vMerge w:val="restart"/>
                  <w:vAlign w:val="center"/>
                </w:tcPr>
                <w:p w14:paraId="4AAB5D56">
                  <w:pPr>
                    <w:pStyle w:val="61"/>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right="0"/>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rPr>
                    <w:t>排放口编号</w:t>
                  </w:r>
                </w:p>
              </w:tc>
              <w:tc>
                <w:tcPr>
                  <w:tcW w:w="489" w:type="pct"/>
                  <w:vMerge w:val="restart"/>
                  <w:vAlign w:val="center"/>
                </w:tcPr>
                <w:p w14:paraId="61E1CFEF">
                  <w:pPr>
                    <w:pStyle w:val="61"/>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right="0"/>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rPr>
                    <w:t>排放口设置是否符合要求</w:t>
                  </w:r>
                </w:p>
              </w:tc>
              <w:tc>
                <w:tcPr>
                  <w:tcW w:w="878" w:type="pct"/>
                  <w:vMerge w:val="restart"/>
                  <w:vAlign w:val="center"/>
                </w:tcPr>
                <w:p w14:paraId="61B52CC1">
                  <w:pPr>
                    <w:pStyle w:val="61"/>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right="0"/>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rPr>
                    <w:t>排放口类型</w:t>
                  </w:r>
                </w:p>
              </w:tc>
            </w:tr>
            <w:tr w14:paraId="2169DBE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36" w:type="pct"/>
                  <w:vMerge w:val="continue"/>
                  <w:vAlign w:val="center"/>
                </w:tcPr>
                <w:p w14:paraId="043795F8">
                  <w:pPr>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685" w:type="pct"/>
                  <w:vMerge w:val="continue"/>
                  <w:vAlign w:val="center"/>
                </w:tcPr>
                <w:p w14:paraId="74115260">
                  <w:pPr>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323" w:type="pct"/>
                  <w:vMerge w:val="continue"/>
                  <w:vAlign w:val="center"/>
                </w:tcPr>
                <w:p w14:paraId="7858D1EF">
                  <w:pPr>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562" w:type="pct"/>
                  <w:vMerge w:val="continue"/>
                  <w:vAlign w:val="center"/>
                </w:tcPr>
                <w:p w14:paraId="263449A4">
                  <w:pPr>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423" w:type="pct"/>
                  <w:vAlign w:val="center"/>
                </w:tcPr>
                <w:p w14:paraId="5236C9DE">
                  <w:pPr>
                    <w:pStyle w:val="61"/>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right="0"/>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rPr>
                    <w:t>污染治理设施编号</w:t>
                  </w:r>
                </w:p>
              </w:tc>
              <w:tc>
                <w:tcPr>
                  <w:tcW w:w="496" w:type="pct"/>
                  <w:vAlign w:val="center"/>
                </w:tcPr>
                <w:p w14:paraId="1F8A2265">
                  <w:pPr>
                    <w:pStyle w:val="61"/>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right="0"/>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rPr>
                    <w:t>污染治理设施名称</w:t>
                  </w:r>
                </w:p>
              </w:tc>
              <w:tc>
                <w:tcPr>
                  <w:tcW w:w="473" w:type="pct"/>
                  <w:vAlign w:val="center"/>
                </w:tcPr>
                <w:p w14:paraId="0BF36C13">
                  <w:pPr>
                    <w:pStyle w:val="61"/>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right="0"/>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rPr>
                    <w:t>污染治理设施工艺</w:t>
                  </w:r>
                </w:p>
              </w:tc>
              <w:tc>
                <w:tcPr>
                  <w:tcW w:w="331" w:type="pct"/>
                  <w:vMerge w:val="continue"/>
                  <w:vAlign w:val="center"/>
                </w:tcPr>
                <w:p w14:paraId="1D2BF8FF">
                  <w:pPr>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489" w:type="pct"/>
                  <w:vMerge w:val="continue"/>
                  <w:vAlign w:val="center"/>
                </w:tcPr>
                <w:p w14:paraId="07D1D29B">
                  <w:pPr>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878" w:type="pct"/>
                  <w:vMerge w:val="continue"/>
                  <w:vAlign w:val="center"/>
                </w:tcPr>
                <w:p w14:paraId="49E01FF2">
                  <w:pPr>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r>
            <w:tr w14:paraId="4F0208A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36" w:type="pct"/>
                  <w:vAlign w:val="center"/>
                </w:tcPr>
                <w:p w14:paraId="4730E42D">
                  <w:pPr>
                    <w:pStyle w:val="61"/>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生活污水</w:t>
                  </w:r>
                </w:p>
              </w:tc>
              <w:tc>
                <w:tcPr>
                  <w:tcW w:w="685" w:type="pct"/>
                  <w:vAlign w:val="center"/>
                </w:tcPr>
                <w:p w14:paraId="3E3143FC">
                  <w:pPr>
                    <w:pStyle w:val="61"/>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right="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rPr>
                    <w:t>pH、COD</w:t>
                  </w:r>
                  <w:r>
                    <w:rPr>
                      <w:rFonts w:hint="default" w:ascii="Times New Roman" w:hAnsi="Times New Roman" w:cs="Times New Roman"/>
                      <w:color w:val="auto"/>
                      <w:kern w:val="2"/>
                      <w:sz w:val="21"/>
                      <w:szCs w:val="21"/>
                      <w:highlight w:val="none"/>
                      <w:vertAlign w:val="subscript"/>
                    </w:rPr>
                    <w:t>Cr</w:t>
                  </w:r>
                  <w:r>
                    <w:rPr>
                      <w:rFonts w:hint="default" w:ascii="Times New Roman" w:hAnsi="Times New Roman" w:cs="Times New Roman"/>
                      <w:color w:val="auto"/>
                      <w:kern w:val="2"/>
                      <w:sz w:val="21"/>
                      <w:szCs w:val="21"/>
                      <w:highlight w:val="none"/>
                    </w:rPr>
                    <w:t>、BOD</w:t>
                  </w:r>
                  <w:r>
                    <w:rPr>
                      <w:rFonts w:hint="default" w:ascii="Times New Roman" w:hAnsi="Times New Roman" w:cs="Times New Roman"/>
                      <w:color w:val="auto"/>
                      <w:kern w:val="2"/>
                      <w:sz w:val="21"/>
                      <w:szCs w:val="21"/>
                      <w:highlight w:val="none"/>
                      <w:vertAlign w:val="subscript"/>
                    </w:rPr>
                    <w:t>5</w:t>
                  </w:r>
                  <w:r>
                    <w:rPr>
                      <w:rFonts w:hint="default" w:ascii="Times New Roman" w:hAnsi="Times New Roman" w:cs="Times New Roman"/>
                      <w:color w:val="auto"/>
                      <w:kern w:val="2"/>
                      <w:sz w:val="21"/>
                      <w:szCs w:val="21"/>
                      <w:highlight w:val="none"/>
                    </w:rPr>
                    <w:t>、SS、氨氮</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color w:val="auto"/>
                      <w:kern w:val="2"/>
                      <w:sz w:val="21"/>
                      <w:szCs w:val="21"/>
                      <w:highlight w:val="none"/>
                      <w:lang w:val="en-US" w:eastAsia="zh-CN"/>
                    </w:rPr>
                    <w:t>总磷、动植物油</w:t>
                  </w:r>
                </w:p>
              </w:tc>
              <w:tc>
                <w:tcPr>
                  <w:tcW w:w="323" w:type="pct"/>
                  <w:vMerge w:val="restart"/>
                  <w:vAlign w:val="center"/>
                </w:tcPr>
                <w:p w14:paraId="5E055037">
                  <w:pPr>
                    <w:pStyle w:val="61"/>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进入</w:t>
                  </w:r>
                  <w:r>
                    <w:rPr>
                      <w:rFonts w:hint="default" w:ascii="Times New Roman" w:hAnsi="Times New Roman" w:cs="Times New Roman"/>
                      <w:color w:val="auto"/>
                      <w:kern w:val="2"/>
                      <w:sz w:val="21"/>
                      <w:szCs w:val="21"/>
                      <w:highlight w:val="none"/>
                      <w:lang w:val="en-US" w:eastAsia="zh-CN"/>
                    </w:rPr>
                    <w:t>城镇</w:t>
                  </w:r>
                  <w:r>
                    <w:rPr>
                      <w:rFonts w:hint="default" w:ascii="Times New Roman" w:hAnsi="Times New Roman" w:cs="Times New Roman"/>
                      <w:color w:val="auto"/>
                      <w:kern w:val="2"/>
                      <w:sz w:val="21"/>
                      <w:szCs w:val="21"/>
                      <w:highlight w:val="none"/>
                    </w:rPr>
                    <w:t>污水处理厂</w:t>
                  </w:r>
                </w:p>
              </w:tc>
              <w:tc>
                <w:tcPr>
                  <w:tcW w:w="562" w:type="pct"/>
                  <w:vMerge w:val="restart"/>
                  <w:vAlign w:val="center"/>
                </w:tcPr>
                <w:p w14:paraId="3811DDCF">
                  <w:pPr>
                    <w:pStyle w:val="61"/>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间歇排放，流量不稳定，但不属于冲击型排放</w:t>
                  </w:r>
                </w:p>
              </w:tc>
              <w:tc>
                <w:tcPr>
                  <w:tcW w:w="423" w:type="pct"/>
                  <w:vAlign w:val="center"/>
                </w:tcPr>
                <w:p w14:paraId="016E6944">
                  <w:pPr>
                    <w:pStyle w:val="61"/>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TW001</w:t>
                  </w:r>
                </w:p>
              </w:tc>
              <w:tc>
                <w:tcPr>
                  <w:tcW w:w="496" w:type="pct"/>
                  <w:vAlign w:val="center"/>
                </w:tcPr>
                <w:p w14:paraId="694F67E7">
                  <w:pPr>
                    <w:pStyle w:val="61"/>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right="0"/>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eastAsia="zh-CN"/>
                    </w:rPr>
                    <w:t>三级化粪池</w:t>
                  </w:r>
                </w:p>
              </w:tc>
              <w:tc>
                <w:tcPr>
                  <w:tcW w:w="473" w:type="pct"/>
                  <w:vAlign w:val="center"/>
                </w:tcPr>
                <w:p w14:paraId="35922891">
                  <w:pPr>
                    <w:pStyle w:val="61"/>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化粪池</w:t>
                  </w:r>
                </w:p>
              </w:tc>
              <w:tc>
                <w:tcPr>
                  <w:tcW w:w="331" w:type="pct"/>
                  <w:vAlign w:val="center"/>
                </w:tcPr>
                <w:p w14:paraId="6E8CEF1D">
                  <w:pPr>
                    <w:pStyle w:val="61"/>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DW001</w:t>
                  </w:r>
                </w:p>
              </w:tc>
              <w:tc>
                <w:tcPr>
                  <w:tcW w:w="489" w:type="pct"/>
                  <w:vAlign w:val="center"/>
                </w:tcPr>
                <w:p w14:paraId="233C9A6F">
                  <w:pPr>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是</w:t>
                  </w:r>
                </w:p>
                <w:p w14:paraId="1DB4E447">
                  <w:pPr>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否</w:t>
                  </w:r>
                </w:p>
              </w:tc>
              <w:tc>
                <w:tcPr>
                  <w:tcW w:w="878" w:type="pct"/>
                  <w:vAlign w:val="center"/>
                </w:tcPr>
                <w:p w14:paraId="22DCB0CA">
                  <w:pPr>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企业总排</w:t>
                  </w:r>
                </w:p>
                <w:p w14:paraId="4BCFA0A5">
                  <w:pPr>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雨水排放</w:t>
                  </w:r>
                </w:p>
                <w:p w14:paraId="2D7FE8AB">
                  <w:pPr>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清净下水排放</w:t>
                  </w:r>
                </w:p>
                <w:p w14:paraId="34D159E3">
                  <w:pPr>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温排水排放</w:t>
                  </w:r>
                </w:p>
                <w:p w14:paraId="092180DC">
                  <w:pPr>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车间或车间处理设施排放口</w:t>
                  </w:r>
                </w:p>
              </w:tc>
            </w:tr>
            <w:tr w14:paraId="5BE9E59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36" w:type="pct"/>
                  <w:tcBorders>
                    <w:bottom w:val="single" w:color="auto" w:sz="4" w:space="0"/>
                  </w:tcBorders>
                  <w:vAlign w:val="center"/>
                </w:tcPr>
                <w:p w14:paraId="5BE3F3CF">
                  <w:pPr>
                    <w:pStyle w:val="61"/>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生产废水</w:t>
                  </w:r>
                </w:p>
              </w:tc>
              <w:tc>
                <w:tcPr>
                  <w:tcW w:w="685" w:type="pct"/>
                  <w:tcBorders>
                    <w:bottom w:val="single" w:color="auto" w:sz="4" w:space="0"/>
                  </w:tcBorders>
                  <w:vAlign w:val="center"/>
                </w:tcPr>
                <w:p w14:paraId="528B4E6E">
                  <w:pPr>
                    <w:pStyle w:val="61"/>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leftChars="0" w:right="0" w:right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rPr>
                    <w:t>pH、COD</w:t>
                  </w:r>
                  <w:r>
                    <w:rPr>
                      <w:rFonts w:hint="default" w:ascii="Times New Roman" w:hAnsi="Times New Roman" w:cs="Times New Roman"/>
                      <w:color w:val="auto"/>
                      <w:kern w:val="2"/>
                      <w:sz w:val="21"/>
                      <w:szCs w:val="21"/>
                      <w:highlight w:val="none"/>
                      <w:vertAlign w:val="subscript"/>
                    </w:rPr>
                    <w:t>Cr</w:t>
                  </w:r>
                  <w:r>
                    <w:rPr>
                      <w:rFonts w:hint="default" w:ascii="Times New Roman" w:hAnsi="Times New Roman" w:cs="Times New Roman"/>
                      <w:color w:val="auto"/>
                      <w:kern w:val="2"/>
                      <w:sz w:val="21"/>
                      <w:szCs w:val="21"/>
                      <w:highlight w:val="none"/>
                    </w:rPr>
                    <w:t>、</w:t>
                  </w:r>
                  <w:r>
                    <w:rPr>
                      <w:rFonts w:hint="default" w:ascii="Times New Roman" w:hAnsi="Times New Roman" w:cs="Times New Roman"/>
                      <w:color w:val="auto"/>
                      <w:sz w:val="21"/>
                      <w:szCs w:val="21"/>
                      <w:highlight w:val="none"/>
                      <w:lang w:val="en-US" w:eastAsia="zh-CN"/>
                    </w:rPr>
                    <w:t>BOD</w:t>
                  </w:r>
                  <w:r>
                    <w:rPr>
                      <w:rFonts w:hint="default" w:ascii="Times New Roman" w:hAnsi="Times New Roman" w:cs="Times New Roman"/>
                      <w:color w:val="auto"/>
                      <w:sz w:val="21"/>
                      <w:szCs w:val="21"/>
                      <w:highlight w:val="none"/>
                      <w:vertAlign w:val="subscript"/>
                      <w:lang w:val="en-US" w:eastAsia="zh-CN"/>
                    </w:rPr>
                    <w:t>5</w:t>
                  </w:r>
                  <w:r>
                    <w:rPr>
                      <w:rFonts w:hint="default" w:ascii="Times New Roman" w:hAnsi="Times New Roman" w:cs="Times New Roman"/>
                      <w:color w:val="auto"/>
                      <w:sz w:val="21"/>
                      <w:szCs w:val="21"/>
                      <w:highlight w:val="none"/>
                      <w:lang w:val="en-US" w:eastAsia="zh-CN"/>
                    </w:rPr>
                    <w:t>、NH</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lang w:val="en-US" w:eastAsia="zh-CN"/>
                    </w:rPr>
                    <w:t>-N、</w:t>
                  </w:r>
                  <w:r>
                    <w:rPr>
                      <w:rFonts w:hint="default" w:ascii="Times New Roman" w:hAnsi="Times New Roman" w:cs="Times New Roman"/>
                      <w:color w:val="auto"/>
                      <w:kern w:val="2"/>
                      <w:sz w:val="21"/>
                      <w:szCs w:val="21"/>
                      <w:highlight w:val="none"/>
                    </w:rPr>
                    <w:t>SS、阴离子表面活性剂、</w:t>
                  </w:r>
                  <w:r>
                    <w:rPr>
                      <w:rFonts w:hint="eastAsia" w:ascii="Times New Roman" w:hAnsi="Times New Roman" w:cs="Times New Roman"/>
                      <w:color w:val="auto"/>
                      <w:kern w:val="2"/>
                      <w:sz w:val="21"/>
                      <w:szCs w:val="21"/>
                      <w:highlight w:val="none"/>
                      <w:lang w:val="en-US" w:eastAsia="zh-CN"/>
                    </w:rPr>
                    <w:t>TP、TN</w:t>
                  </w:r>
                  <w:r>
                    <w:rPr>
                      <w:rFonts w:hint="default" w:ascii="Times New Roman" w:hAnsi="Times New Roman" w:cs="Times New Roman"/>
                      <w:color w:val="auto"/>
                      <w:kern w:val="2"/>
                      <w:sz w:val="21"/>
                      <w:szCs w:val="21"/>
                      <w:highlight w:val="none"/>
                    </w:rPr>
                    <w:t>、石油类</w:t>
                  </w:r>
                  <w:r>
                    <w:rPr>
                      <w:rFonts w:hint="eastAsia" w:cs="Times New Roman"/>
                      <w:color w:val="auto"/>
                      <w:kern w:val="2"/>
                      <w:sz w:val="21"/>
                      <w:szCs w:val="21"/>
                      <w:highlight w:val="none"/>
                      <w:lang w:eastAsia="zh-CN"/>
                    </w:rPr>
                    <w:t>、</w:t>
                  </w:r>
                  <w:r>
                    <w:rPr>
                      <w:rFonts w:hint="eastAsia" w:cs="Times New Roman"/>
                      <w:color w:val="auto"/>
                      <w:kern w:val="2"/>
                      <w:sz w:val="21"/>
                      <w:szCs w:val="21"/>
                      <w:highlight w:val="none"/>
                      <w:lang w:val="en-US" w:eastAsia="zh-CN"/>
                    </w:rPr>
                    <w:t>总铁、总锌、氟化物</w:t>
                  </w:r>
                </w:p>
              </w:tc>
              <w:tc>
                <w:tcPr>
                  <w:tcW w:w="323" w:type="pct"/>
                  <w:vMerge w:val="continue"/>
                  <w:tcBorders>
                    <w:bottom w:val="single" w:color="auto" w:sz="4" w:space="0"/>
                  </w:tcBorders>
                  <w:vAlign w:val="center"/>
                </w:tcPr>
                <w:p w14:paraId="09FE88B4">
                  <w:pPr>
                    <w:pStyle w:val="61"/>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leftChars="0" w:right="0" w:rightChars="0"/>
                    <w:rPr>
                      <w:rFonts w:hint="default" w:ascii="Times New Roman" w:hAnsi="Times New Roman" w:cs="Times New Roman"/>
                      <w:color w:val="auto"/>
                      <w:kern w:val="2"/>
                      <w:sz w:val="21"/>
                      <w:szCs w:val="21"/>
                      <w:highlight w:val="none"/>
                    </w:rPr>
                  </w:pPr>
                </w:p>
              </w:tc>
              <w:tc>
                <w:tcPr>
                  <w:tcW w:w="562" w:type="pct"/>
                  <w:vMerge w:val="continue"/>
                  <w:tcBorders>
                    <w:bottom w:val="single" w:color="auto" w:sz="4" w:space="0"/>
                  </w:tcBorders>
                  <w:vAlign w:val="center"/>
                </w:tcPr>
                <w:p w14:paraId="0EADB883">
                  <w:pPr>
                    <w:pStyle w:val="61"/>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leftChars="0" w:right="0" w:rightChars="0"/>
                    <w:rPr>
                      <w:rFonts w:hint="default" w:ascii="Times New Roman" w:hAnsi="Times New Roman" w:cs="Times New Roman"/>
                      <w:color w:val="auto"/>
                      <w:kern w:val="2"/>
                      <w:sz w:val="21"/>
                      <w:szCs w:val="21"/>
                      <w:highlight w:val="none"/>
                    </w:rPr>
                  </w:pPr>
                </w:p>
              </w:tc>
              <w:tc>
                <w:tcPr>
                  <w:tcW w:w="423" w:type="pct"/>
                  <w:tcBorders>
                    <w:bottom w:val="single" w:color="auto" w:sz="4" w:space="0"/>
                  </w:tcBorders>
                  <w:vAlign w:val="center"/>
                </w:tcPr>
                <w:p w14:paraId="0D68F7C8">
                  <w:pPr>
                    <w:pStyle w:val="61"/>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TW002</w:t>
                  </w:r>
                </w:p>
              </w:tc>
              <w:tc>
                <w:tcPr>
                  <w:tcW w:w="496" w:type="pct"/>
                  <w:tcBorders>
                    <w:bottom w:val="single" w:color="auto" w:sz="4" w:space="0"/>
                  </w:tcBorders>
                  <w:vAlign w:val="center"/>
                </w:tcPr>
                <w:p w14:paraId="4C0AE135">
                  <w:pPr>
                    <w:pStyle w:val="61"/>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right="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废水处理站</w:t>
                  </w:r>
                </w:p>
              </w:tc>
              <w:tc>
                <w:tcPr>
                  <w:tcW w:w="473" w:type="pct"/>
                  <w:tcBorders>
                    <w:bottom w:val="single" w:color="auto" w:sz="4" w:space="0"/>
                  </w:tcBorders>
                  <w:vAlign w:val="center"/>
                </w:tcPr>
                <w:p w14:paraId="6BCE2559">
                  <w:pPr>
                    <w:pStyle w:val="61"/>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right="0"/>
                    <w:rPr>
                      <w:rFonts w:hint="eastAsia" w:ascii="Times New Roman" w:hAnsi="Times New Roman" w:eastAsia="宋体" w:cs="Times New Roman"/>
                      <w:color w:val="auto"/>
                      <w:kern w:val="2"/>
                      <w:sz w:val="21"/>
                      <w:szCs w:val="21"/>
                      <w:highlight w:val="none"/>
                      <w:lang w:eastAsia="zh-CN"/>
                    </w:rPr>
                  </w:pPr>
                  <w:r>
                    <w:rPr>
                      <w:rFonts w:hint="eastAsia" w:cs="Times New Roman"/>
                      <w:color w:val="auto"/>
                      <w:kern w:val="2"/>
                      <w:sz w:val="21"/>
                      <w:szCs w:val="21"/>
                      <w:highlight w:val="none"/>
                      <w:lang w:eastAsia="zh-CN"/>
                    </w:rPr>
                    <w:t>中和调节+混凝沉淀+二级除磷+水解酸化+接触氧化+MBR膜池</w:t>
                  </w:r>
                </w:p>
              </w:tc>
              <w:tc>
                <w:tcPr>
                  <w:tcW w:w="331" w:type="pct"/>
                  <w:tcBorders>
                    <w:bottom w:val="single" w:color="auto" w:sz="4" w:space="0"/>
                  </w:tcBorders>
                  <w:vAlign w:val="center"/>
                </w:tcPr>
                <w:p w14:paraId="19E6BEEB">
                  <w:pPr>
                    <w:pStyle w:val="61"/>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leftChars="0" w:right="0" w:right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rPr>
                    <w:t>DW00</w:t>
                  </w:r>
                  <w:r>
                    <w:rPr>
                      <w:rFonts w:hint="default" w:ascii="Times New Roman" w:hAnsi="Times New Roman" w:cs="Times New Roman"/>
                      <w:color w:val="auto"/>
                      <w:kern w:val="2"/>
                      <w:sz w:val="21"/>
                      <w:szCs w:val="21"/>
                      <w:highlight w:val="none"/>
                      <w:lang w:val="en-US" w:eastAsia="zh-CN"/>
                    </w:rPr>
                    <w:t>2</w:t>
                  </w:r>
                </w:p>
              </w:tc>
              <w:tc>
                <w:tcPr>
                  <w:tcW w:w="489" w:type="pct"/>
                  <w:tcBorders>
                    <w:bottom w:val="single" w:color="auto" w:sz="4" w:space="0"/>
                  </w:tcBorders>
                  <w:vAlign w:val="center"/>
                </w:tcPr>
                <w:p w14:paraId="40920E00">
                  <w:pPr>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是</w:t>
                  </w:r>
                </w:p>
                <w:p w14:paraId="12A19E80">
                  <w:pPr>
                    <w:keepNext/>
                    <w:keepLines/>
                    <w:pageBreakBefore w:val="0"/>
                    <w:widowControl w:val="0"/>
                    <w:suppressLineNumbers w:val="0"/>
                    <w:kinsoku/>
                    <w:overflowPunct/>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否</w:t>
                  </w:r>
                </w:p>
              </w:tc>
              <w:tc>
                <w:tcPr>
                  <w:tcW w:w="878" w:type="pct"/>
                  <w:tcBorders>
                    <w:bottom w:val="single" w:color="auto" w:sz="4" w:space="0"/>
                  </w:tcBorders>
                  <w:vAlign w:val="center"/>
                </w:tcPr>
                <w:p w14:paraId="3CB273B2">
                  <w:pPr>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企业总排</w:t>
                  </w:r>
                </w:p>
                <w:p w14:paraId="2D3B880A">
                  <w:pPr>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雨水排放</w:t>
                  </w:r>
                </w:p>
                <w:p w14:paraId="20A66BA4">
                  <w:pPr>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清净下水排放</w:t>
                  </w:r>
                </w:p>
                <w:p w14:paraId="15AADF00">
                  <w:pPr>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温排水排放</w:t>
                  </w:r>
                </w:p>
                <w:p w14:paraId="01F7162F">
                  <w:pPr>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车间或车间处理设施排放口</w:t>
                  </w:r>
                </w:p>
              </w:tc>
            </w:tr>
          </w:tbl>
          <w:p w14:paraId="130EC1D3">
            <w:pPr>
              <w:pageBreakBefore w:val="0"/>
              <w:kinsoku/>
              <w:wordWrap w:val="0"/>
              <w:overflowPunct/>
              <w:topLinePunct w:val="0"/>
              <w:bidi w:val="0"/>
              <w:adjustRightInd w:val="0"/>
              <w:ind w:firstLine="480" w:firstLineChars="200"/>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4.4废水处理工艺简介</w:t>
            </w:r>
          </w:p>
          <w:p w14:paraId="2BF59CC2">
            <w:pPr>
              <w:pageBreakBefore w:val="0"/>
              <w:kinsoku/>
              <w:wordWrap w:val="0"/>
              <w:overflowPunct/>
              <w:topLinePunct w:val="0"/>
              <w:bidi w:val="0"/>
              <w:adjustRightInd w:val="0"/>
              <w:ind w:firstLine="480" w:firstLineChars="200"/>
              <w:rPr>
                <w:rFonts w:hint="eastAsia"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生产废水处理工艺如图所示：</w:t>
            </w:r>
          </w:p>
          <w:p w14:paraId="627215FC">
            <w:pPr>
              <w:pageBreakBefore w:val="0"/>
              <w:kinsoku/>
              <w:wordWrap w:val="0"/>
              <w:overflowPunct/>
              <w:topLinePunct w:val="0"/>
              <w:bidi w:val="0"/>
              <w:adjustRightInd w:val="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drawing>
                <wp:inline distT="0" distB="0" distL="0" distR="0">
                  <wp:extent cx="4996180" cy="5420360"/>
                  <wp:effectExtent l="0" t="0" r="0" b="0"/>
                  <wp:docPr id="1055" name="图片 1" descr="废水5工艺"/>
                  <wp:cNvGraphicFramePr/>
                  <a:graphic xmlns:a="http://schemas.openxmlformats.org/drawingml/2006/main">
                    <a:graphicData uri="http://schemas.openxmlformats.org/drawingml/2006/picture">
                      <pic:pic xmlns:pic="http://schemas.openxmlformats.org/drawingml/2006/picture">
                        <pic:nvPicPr>
                          <pic:cNvPr id="1055" name="图片 1" descr="废水5工艺"/>
                          <pic:cNvPicPr/>
                        </pic:nvPicPr>
                        <pic:blipFill>
                          <a:blip r:embed="rId21" cstate="print"/>
                          <a:srcRect t="5445" b="14004"/>
                          <a:stretch>
                            <a:fillRect/>
                          </a:stretch>
                        </pic:blipFill>
                        <pic:spPr>
                          <a:xfrm>
                            <a:off x="0" y="0"/>
                            <a:ext cx="4996180" cy="5420360"/>
                          </a:xfrm>
                          <a:prstGeom prst="rect">
                            <a:avLst/>
                          </a:prstGeom>
                        </pic:spPr>
                      </pic:pic>
                    </a:graphicData>
                  </a:graphic>
                </wp:inline>
              </w:drawing>
            </w:r>
          </w:p>
          <w:p w14:paraId="5304D3BB">
            <w:pPr>
              <w:pageBreakBefore w:val="0"/>
              <w:numPr>
                <w:ilvl w:val="0"/>
                <w:numId w:val="0"/>
              </w:numPr>
              <w:tabs>
                <w:tab w:val="left" w:pos="0"/>
              </w:tabs>
              <w:kinsoku/>
              <w:wordWrap w:val="0"/>
              <w:overflowPunct/>
              <w:topLinePunct w:val="0"/>
              <w:bidi w:val="0"/>
              <w:adjustRightInd w:val="0"/>
              <w:ind w:leftChars="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图4-</w:t>
            </w:r>
            <w:r>
              <w:rPr>
                <w:rFonts w:hint="eastAsia" w:cs="Times New Roman"/>
                <w:b/>
                <w:bCs/>
                <w:color w:val="auto"/>
                <w:sz w:val="21"/>
                <w:szCs w:val="21"/>
                <w:highlight w:val="none"/>
                <w:lang w:val="en-US" w:eastAsia="zh-CN"/>
              </w:rPr>
              <w:t>3</w:t>
            </w:r>
            <w:r>
              <w:rPr>
                <w:rFonts w:hint="eastAsia" w:ascii="Times New Roman" w:hAnsi="Times New Roman" w:eastAsia="宋体" w:cs="Times New Roman"/>
                <w:b/>
                <w:bCs/>
                <w:color w:val="auto"/>
                <w:sz w:val="21"/>
                <w:szCs w:val="21"/>
                <w:highlight w:val="none"/>
                <w:lang w:val="en-US" w:eastAsia="zh-CN"/>
              </w:rPr>
              <w:t>项目废水处理工艺流程图</w:t>
            </w:r>
          </w:p>
          <w:p w14:paraId="41C17EA4">
            <w:pPr>
              <w:pageBreakBefore w:val="0"/>
              <w:kinsoku/>
              <w:wordWrap w:val="0"/>
              <w:overflowPunct/>
              <w:topLinePunct w:val="0"/>
              <w:bidi w:val="0"/>
              <w:adjustRightInd w:val="0"/>
              <w:ind w:firstLine="480" w:firstLineChars="200"/>
              <w:jc w:val="left"/>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工艺流程简介：</w:t>
            </w:r>
          </w:p>
          <w:p w14:paraId="38294239">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highlight w:val="none"/>
                <w:lang w:val="en-US" w:eastAsia="zh-CN"/>
              </w:rPr>
              <w:t>1.</w:t>
            </w:r>
            <w:r>
              <w:rPr>
                <w:rFonts w:hint="default" w:ascii="Times New Roman" w:hAnsi="Times New Roman" w:eastAsia="宋体" w:cs="Times New Roman"/>
                <w:b w:val="0"/>
                <w:bCs w:val="0"/>
                <w:color w:val="auto"/>
                <w:kern w:val="0"/>
                <w:sz w:val="24"/>
                <w:szCs w:val="24"/>
                <w:highlight w:val="none"/>
                <w:lang w:val="en-US" w:eastAsia="zh-CN"/>
              </w:rPr>
              <w:t>中和调节池</w:t>
            </w:r>
          </w:p>
          <w:p w14:paraId="442AF820">
            <w:pPr>
              <w:keepNext/>
              <w:keepLines/>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3"/>
              <w:rPr>
                <w:rFonts w:hint="default" w:ascii="Times New Roman" w:hAnsi="Times New Roman" w:eastAsia="宋体" w:cs="Times New Roman"/>
                <w:i w:val="0"/>
                <w:iCs w:val="0"/>
                <w:caps w:val="0"/>
                <w:color w:val="auto"/>
                <w:spacing w:val="0"/>
                <w:sz w:val="24"/>
                <w:szCs w:val="24"/>
                <w:highlight w:val="none"/>
                <w:shd w:val="clear" w:color="auto" w:fill="FFFFFF"/>
                <w:lang w:val="en-US" w:eastAsia="zh-CN"/>
              </w:rPr>
            </w:pPr>
            <w:r>
              <w:rPr>
                <w:rFonts w:hint="default" w:ascii="Times New Roman" w:hAnsi="Times New Roman" w:eastAsia="Segoe UI" w:cs="Times New Roman"/>
                <w:i w:val="0"/>
                <w:iCs w:val="0"/>
                <w:caps w:val="0"/>
                <w:color w:val="auto"/>
                <w:spacing w:val="0"/>
                <w:sz w:val="24"/>
                <w:szCs w:val="24"/>
                <w:highlight w:val="none"/>
                <w:shd w:val="clear" w:color="auto" w:fill="FFFFFF"/>
              </w:rPr>
              <w:t>生产废水进入中和调节池，通过8-12小时水力停留实现水质水量均衡。池内配备机械搅拌装置和pH在线监测系统，自动投加H₂SO₄或NaOH调节pH至6-9范围，液位控制器联动提升泵稳定输送均质废水至后续单元。</w:t>
            </w:r>
            <w:r>
              <w:rPr>
                <w:rFonts w:hint="default" w:ascii="Times New Roman" w:hAnsi="Times New Roman" w:eastAsia="宋体" w:cs="Times New Roman"/>
                <w:i w:val="0"/>
                <w:iCs w:val="0"/>
                <w:caps w:val="0"/>
                <w:color w:val="auto"/>
                <w:spacing w:val="0"/>
                <w:sz w:val="24"/>
                <w:szCs w:val="24"/>
                <w:highlight w:val="none"/>
                <w:shd w:val="clear" w:color="auto" w:fill="FFFFFF"/>
                <w:lang w:val="en-US" w:eastAsia="zh-CN"/>
              </w:rPr>
              <w:t>本项目前处理废水主要来自脱脂池排出的槽液以及水洗池排出的水洗废水，其中脱脂池排出的槽液为高浓度的酸性废水，</w:t>
            </w:r>
            <w:r>
              <w:rPr>
                <w:rFonts w:hint="default" w:ascii="Times New Roman" w:hAnsi="Times New Roman" w:eastAsia="Segoe UI" w:cs="Times New Roman"/>
                <w:i w:val="0"/>
                <w:iCs w:val="0"/>
                <w:caps w:val="0"/>
                <w:color w:val="auto"/>
                <w:spacing w:val="0"/>
                <w:sz w:val="24"/>
                <w:szCs w:val="24"/>
                <w:highlight w:val="none"/>
                <w:shd w:val="clear" w:color="auto" w:fill="FFFFFF"/>
                <w:lang w:val="en-US" w:eastAsia="zh-CN"/>
              </w:rPr>
              <w:t>参考</w:t>
            </w:r>
            <w:r>
              <w:rPr>
                <w:rFonts w:hint="default" w:ascii="Times New Roman" w:hAnsi="Times New Roman" w:eastAsia="Segoe UI" w:cs="Times New Roman"/>
                <w:i w:val="0"/>
                <w:iCs w:val="0"/>
                <w:caps w:val="0"/>
                <w:color w:val="auto"/>
                <w:spacing w:val="0"/>
                <w:sz w:val="24"/>
                <w:szCs w:val="24"/>
                <w:highlight w:val="none"/>
                <w:shd w:val="clear" w:color="auto" w:fill="FFFFFF"/>
              </w:rPr>
              <w:t>《电镀废水处理技术规范》</w:t>
            </w:r>
            <w:r>
              <w:rPr>
                <w:rFonts w:hint="default" w:ascii="Times New Roman" w:hAnsi="Times New Roman" w:eastAsia="宋体" w:cs="Times New Roman"/>
                <w:i w:val="0"/>
                <w:iCs w:val="0"/>
                <w:caps w:val="0"/>
                <w:color w:val="auto"/>
                <w:spacing w:val="0"/>
                <w:sz w:val="24"/>
                <w:szCs w:val="24"/>
                <w:highlight w:val="none"/>
                <w:shd w:val="clear" w:color="auto" w:fill="FFFFFF"/>
                <w:lang w:eastAsia="zh-CN"/>
              </w:rPr>
              <w:t>（</w:t>
            </w:r>
            <w:r>
              <w:rPr>
                <w:rFonts w:hint="default" w:ascii="Times New Roman" w:hAnsi="Times New Roman" w:eastAsia="Segoe UI" w:cs="Times New Roman"/>
                <w:i w:val="0"/>
                <w:iCs w:val="0"/>
                <w:caps w:val="0"/>
                <w:color w:val="auto"/>
                <w:spacing w:val="0"/>
                <w:sz w:val="24"/>
                <w:szCs w:val="24"/>
                <w:highlight w:val="none"/>
                <w:shd w:val="clear" w:color="auto" w:fill="FFFFFF"/>
              </w:rPr>
              <w:t>HJ 2002-2010</w:t>
            </w:r>
            <w:r>
              <w:rPr>
                <w:rFonts w:hint="default" w:ascii="Times New Roman" w:hAnsi="Times New Roman" w:eastAsia="宋体" w:cs="Times New Roman"/>
                <w:i w:val="0"/>
                <w:iCs w:val="0"/>
                <w:caps w:val="0"/>
                <w:color w:val="auto"/>
                <w:spacing w:val="0"/>
                <w:sz w:val="24"/>
                <w:szCs w:val="24"/>
                <w:highlight w:val="none"/>
                <w:shd w:val="clear" w:color="auto" w:fill="FFFFFF"/>
                <w:lang w:eastAsia="zh-CN"/>
              </w:rPr>
              <w:t>）</w:t>
            </w:r>
            <w:r>
              <w:rPr>
                <w:rFonts w:hint="default" w:ascii="Times New Roman" w:hAnsi="Times New Roman" w:eastAsia="Segoe UI" w:cs="Times New Roman"/>
                <w:i w:val="0"/>
                <w:iCs w:val="0"/>
                <w:caps w:val="0"/>
                <w:color w:val="auto"/>
                <w:spacing w:val="0"/>
                <w:sz w:val="24"/>
                <w:szCs w:val="24"/>
                <w:highlight w:val="none"/>
                <w:shd w:val="clear" w:color="auto" w:fill="FFFFFF"/>
              </w:rPr>
              <w:t>附录案例</w:t>
            </w:r>
            <w:r>
              <w:rPr>
                <w:rFonts w:hint="default" w:ascii="Times New Roman" w:hAnsi="Times New Roman" w:eastAsia="宋体" w:cs="Times New Roman"/>
                <w:i w:val="0"/>
                <w:iCs w:val="0"/>
                <w:caps w:val="0"/>
                <w:color w:val="auto"/>
                <w:spacing w:val="0"/>
                <w:sz w:val="24"/>
                <w:szCs w:val="24"/>
                <w:highlight w:val="none"/>
                <w:shd w:val="clear" w:color="auto" w:fill="FFFFFF"/>
                <w:lang w:eastAsia="zh-CN"/>
              </w:rPr>
              <w:t>，</w:t>
            </w:r>
            <w:r>
              <w:rPr>
                <w:rFonts w:hint="default" w:ascii="Times New Roman" w:hAnsi="Times New Roman" w:eastAsia="Segoe UI" w:cs="Times New Roman"/>
                <w:i w:val="0"/>
                <w:iCs w:val="0"/>
                <w:caps w:val="0"/>
                <w:color w:val="auto"/>
                <w:spacing w:val="0"/>
                <w:sz w:val="24"/>
                <w:szCs w:val="24"/>
                <w:highlight w:val="none"/>
                <w:shd w:val="clear" w:color="auto" w:fill="FFFFFF"/>
              </w:rPr>
              <w:t>中和</w:t>
            </w:r>
            <w:r>
              <w:rPr>
                <w:rFonts w:hint="default" w:ascii="Times New Roman" w:hAnsi="Times New Roman" w:eastAsia="宋体" w:cs="Times New Roman"/>
                <w:i w:val="0"/>
                <w:iCs w:val="0"/>
                <w:caps w:val="0"/>
                <w:color w:val="auto"/>
                <w:spacing w:val="0"/>
                <w:sz w:val="24"/>
                <w:szCs w:val="24"/>
                <w:highlight w:val="none"/>
                <w:shd w:val="clear" w:color="auto" w:fill="FFFFFF"/>
                <w:lang w:val="en-US" w:eastAsia="zh-CN"/>
              </w:rPr>
              <w:t>调节</w:t>
            </w:r>
            <w:r>
              <w:rPr>
                <w:rFonts w:hint="default" w:ascii="Times New Roman" w:hAnsi="Times New Roman" w:eastAsia="Segoe UI" w:cs="Times New Roman"/>
                <w:i w:val="0"/>
                <w:iCs w:val="0"/>
                <w:caps w:val="0"/>
                <w:color w:val="auto"/>
                <w:spacing w:val="0"/>
                <w:sz w:val="24"/>
                <w:szCs w:val="24"/>
                <w:highlight w:val="none"/>
                <w:shd w:val="clear" w:color="auto" w:fill="FFFFFF"/>
              </w:rPr>
              <w:t>后COD去除率约12%～18%</w:t>
            </w:r>
            <w:r>
              <w:rPr>
                <w:rFonts w:hint="default" w:ascii="Times New Roman" w:hAnsi="Times New Roman" w:eastAsia="宋体" w:cs="Times New Roman"/>
                <w:i w:val="0"/>
                <w:iCs w:val="0"/>
                <w:caps w:val="0"/>
                <w:color w:val="auto"/>
                <w:spacing w:val="0"/>
                <w:sz w:val="24"/>
                <w:szCs w:val="24"/>
                <w:highlight w:val="none"/>
                <w:shd w:val="clear" w:color="auto" w:fill="FFFFFF"/>
                <w:lang w:val="en-US" w:eastAsia="zh-CN"/>
              </w:rPr>
              <w:t>。</w:t>
            </w:r>
          </w:p>
          <w:p w14:paraId="237083A7">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2.</w:t>
            </w:r>
            <w:r>
              <w:rPr>
                <w:rFonts w:hint="default" w:ascii="Times New Roman" w:hAnsi="Times New Roman" w:eastAsia="宋体" w:cs="Times New Roman"/>
                <w:b/>
                <w:bCs/>
                <w:color w:val="auto"/>
                <w:kern w:val="0"/>
                <w:sz w:val="24"/>
                <w:szCs w:val="24"/>
                <w:highlight w:val="none"/>
                <w:lang w:val="en-US" w:eastAsia="zh-CN"/>
              </w:rPr>
              <w:t>混凝沉淀</w:t>
            </w:r>
          </w:p>
          <w:p w14:paraId="06F9A26D">
            <w:pPr>
              <w:keepNext/>
              <w:keepLines/>
              <w:pageBreakBefore w:val="0"/>
              <w:widowControl w:val="0"/>
              <w:suppressLineNumbers w:val="0"/>
              <w:tabs>
                <w:tab w:val="left" w:pos="0"/>
              </w:tabs>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3"/>
              <w:rPr>
                <w:color w:val="auto"/>
                <w:highlight w:val="none"/>
              </w:rPr>
            </w:pPr>
            <w:r>
              <w:rPr>
                <w:rFonts w:hint="default" w:ascii="Times New Roman" w:hAnsi="Times New Roman" w:eastAsia="Segoe UI" w:cs="Times New Roman"/>
                <w:i w:val="0"/>
                <w:iCs w:val="0"/>
                <w:caps w:val="0"/>
                <w:color w:val="auto"/>
                <w:spacing w:val="0"/>
                <w:sz w:val="24"/>
                <w:szCs w:val="24"/>
                <w:highlight w:val="none"/>
                <w:shd w:val="clear" w:color="auto" w:fill="FFFFFF"/>
              </w:rPr>
              <w:t>均质废水经提升泵进入混凝反应池，依次投加PAC和PAM，快混阶段实现胶体脱稳，慢混阶段形成毫米级矾花。混合液进入斜板沉淀池，污泥沉降至泥斗定期排放</w:t>
            </w:r>
            <w:r>
              <w:rPr>
                <w:rFonts w:hint="default" w:ascii="Times New Roman" w:hAnsi="Times New Roman" w:eastAsia="宋体" w:cs="Times New Roman"/>
                <w:i w:val="0"/>
                <w:iCs w:val="0"/>
                <w:caps w:val="0"/>
                <w:color w:val="auto"/>
                <w:spacing w:val="0"/>
                <w:sz w:val="24"/>
                <w:szCs w:val="24"/>
                <w:highlight w:val="none"/>
                <w:shd w:val="clear" w:color="auto" w:fill="FFFFFF"/>
                <w:lang w:eastAsia="zh-CN"/>
              </w:rPr>
              <w:t>。</w:t>
            </w:r>
            <w:r>
              <w:rPr>
                <w:rFonts w:hint="default" w:ascii="Times New Roman" w:hAnsi="Times New Roman" w:eastAsia="宋体" w:cs="Times New Roman"/>
                <w:i w:val="0"/>
                <w:iCs w:val="0"/>
                <w:caps w:val="0"/>
                <w:color w:val="auto"/>
                <w:spacing w:val="0"/>
                <w:sz w:val="24"/>
                <w:szCs w:val="24"/>
                <w:highlight w:val="none"/>
                <w:shd w:val="clear" w:color="auto" w:fill="FFFFFF"/>
                <w:lang w:val="en-US" w:eastAsia="zh-CN"/>
              </w:rPr>
              <w:t>根据《污水处理工程技术规范》（HJ 2008-2010）中“5.3.2 混凝沉淀工艺的设计参数及处理效率”提到污染物去除效率分别为SS：</w:t>
            </w:r>
            <w:r>
              <w:rPr>
                <w:rFonts w:hint="eastAsia" w:cs="Times New Roman"/>
                <w:i w:val="0"/>
                <w:iCs w:val="0"/>
                <w:caps w:val="0"/>
                <w:color w:val="auto"/>
                <w:spacing w:val="0"/>
                <w:sz w:val="24"/>
                <w:szCs w:val="24"/>
                <w:highlight w:val="none"/>
                <w:shd w:val="clear" w:color="auto" w:fill="FFFFFF"/>
                <w:lang w:val="en-US" w:eastAsia="zh-CN"/>
              </w:rPr>
              <w:t>6</w:t>
            </w:r>
            <w:r>
              <w:rPr>
                <w:rFonts w:hint="default" w:ascii="Times New Roman" w:hAnsi="Times New Roman" w:eastAsia="宋体" w:cs="Times New Roman"/>
                <w:i w:val="0"/>
                <w:iCs w:val="0"/>
                <w:caps w:val="0"/>
                <w:color w:val="auto"/>
                <w:spacing w:val="0"/>
                <w:sz w:val="24"/>
                <w:szCs w:val="24"/>
                <w:highlight w:val="none"/>
                <w:shd w:val="clear" w:color="auto" w:fill="FFFFFF"/>
                <w:lang w:val="en-US" w:eastAsia="zh-CN"/>
              </w:rPr>
              <w:t>0%、COD</w:t>
            </w:r>
            <w:r>
              <w:rPr>
                <w:rFonts w:hint="default" w:ascii="Times New Roman" w:hAnsi="Times New Roman" w:eastAsia="宋体" w:cs="Times New Roman"/>
                <w:i w:val="0"/>
                <w:iCs w:val="0"/>
                <w:caps w:val="0"/>
                <w:color w:val="auto"/>
                <w:spacing w:val="0"/>
                <w:sz w:val="24"/>
                <w:szCs w:val="24"/>
                <w:highlight w:val="none"/>
                <w:shd w:val="clear" w:color="auto" w:fill="FFFFFF"/>
                <w:vertAlign w:val="subscript"/>
                <w:lang w:val="en-US" w:eastAsia="zh-CN"/>
              </w:rPr>
              <w:t>Cr</w:t>
            </w:r>
            <w:r>
              <w:rPr>
                <w:rFonts w:hint="default" w:ascii="Times New Roman" w:hAnsi="Times New Roman" w:eastAsia="宋体" w:cs="Times New Roman"/>
                <w:i w:val="0"/>
                <w:iCs w:val="0"/>
                <w:caps w:val="0"/>
                <w:color w:val="auto"/>
                <w:spacing w:val="0"/>
                <w:sz w:val="24"/>
                <w:szCs w:val="24"/>
                <w:highlight w:val="none"/>
                <w:shd w:val="clear" w:color="auto" w:fill="FFFFFF"/>
                <w:lang w:val="en-US" w:eastAsia="zh-CN"/>
              </w:rPr>
              <w:t>：</w:t>
            </w:r>
            <w:r>
              <w:rPr>
                <w:rFonts w:hint="eastAsia" w:cs="Times New Roman"/>
                <w:i w:val="0"/>
                <w:iCs w:val="0"/>
                <w:caps w:val="0"/>
                <w:color w:val="auto"/>
                <w:spacing w:val="0"/>
                <w:sz w:val="24"/>
                <w:szCs w:val="24"/>
                <w:highlight w:val="none"/>
                <w:shd w:val="clear" w:color="auto" w:fill="FFFFFF"/>
                <w:lang w:val="en-US" w:eastAsia="zh-CN"/>
              </w:rPr>
              <w:t>5</w:t>
            </w:r>
            <w:r>
              <w:rPr>
                <w:rFonts w:hint="default" w:ascii="Times New Roman" w:hAnsi="Times New Roman" w:eastAsia="宋体" w:cs="Times New Roman"/>
                <w:i w:val="0"/>
                <w:iCs w:val="0"/>
                <w:caps w:val="0"/>
                <w:color w:val="auto"/>
                <w:spacing w:val="0"/>
                <w:sz w:val="24"/>
                <w:szCs w:val="24"/>
                <w:highlight w:val="none"/>
                <w:shd w:val="clear" w:color="auto" w:fill="FFFFFF"/>
                <w:lang w:val="en-US" w:eastAsia="zh-CN"/>
              </w:rPr>
              <w:t>0%。</w:t>
            </w:r>
          </w:p>
          <w:p w14:paraId="5A83ED95">
            <w:pPr>
              <w:pageBreakBefore w:val="0"/>
              <w:kinsoku/>
              <w:wordWrap w:val="0"/>
              <w:overflowPunct/>
              <w:topLinePunct w:val="0"/>
              <w:bidi w:val="0"/>
              <w:adjustRightInd w:val="0"/>
              <w:ind w:firstLine="480" w:firstLineChars="200"/>
              <w:jc w:val="left"/>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3. 二级除磷池</w:t>
            </w:r>
          </w:p>
          <w:p w14:paraId="5BB6F1ED">
            <w:pPr>
              <w:pageBreakBefore w:val="0"/>
              <w:kinsoku/>
              <w:wordWrap w:val="0"/>
              <w:overflowPunct/>
              <w:topLinePunct w:val="0"/>
              <w:bidi w:val="0"/>
              <w:adjustRightInd w:val="0"/>
              <w:ind w:firstLine="480" w:firstLineChars="200"/>
              <w:jc w:val="left"/>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针对磷化废水总磷浓度高的特点，投加铁盐 / 铝盐专用除磷剂，与水体中残留正磷、聚合磷酸盐发生化学反应，生成难溶性磷酸盐沉淀物，深度高效去除总磷；同时进一步截留少量细小悬浮物与微量有机物，是本项目核心除磷单元，</w:t>
            </w:r>
            <w:r>
              <w:rPr>
                <w:rFonts w:hint="eastAsia" w:ascii="Times New Roman" w:hAnsi="Times New Roman" w:eastAsia="宋体" w:cs="Times New Roman"/>
                <w:b w:val="0"/>
                <w:bCs w:val="0"/>
                <w:color w:val="auto"/>
                <w:highlight w:val="none"/>
                <w:lang w:val="en-US" w:eastAsia="zh-CN"/>
              </w:rPr>
              <w:t>对TP的去除效率为</w:t>
            </w:r>
            <w:r>
              <w:rPr>
                <w:rFonts w:hint="eastAsia" w:cs="Times New Roman"/>
                <w:b w:val="0"/>
                <w:bCs w:val="0"/>
                <w:color w:val="auto"/>
                <w:highlight w:val="none"/>
                <w:lang w:val="en-US" w:eastAsia="zh-CN"/>
              </w:rPr>
              <w:t>75</w:t>
            </w:r>
            <w:r>
              <w:rPr>
                <w:rFonts w:hint="eastAsia" w:ascii="Times New Roman" w:hAnsi="Times New Roman" w:eastAsia="宋体" w:cs="Times New Roman"/>
                <w:b w:val="0"/>
                <w:bCs w:val="0"/>
                <w:color w:val="auto"/>
                <w:highlight w:val="none"/>
                <w:lang w:val="en-US" w:eastAsia="zh-CN"/>
              </w:rPr>
              <w:t>%，</w:t>
            </w:r>
            <w:r>
              <w:rPr>
                <w:rFonts w:hint="default" w:ascii="Times New Roman" w:hAnsi="Times New Roman" w:eastAsia="宋体" w:cs="Times New Roman"/>
                <w:b w:val="0"/>
                <w:bCs w:val="0"/>
                <w:color w:val="auto"/>
                <w:highlight w:val="none"/>
                <w:lang w:val="en-US" w:eastAsia="zh-CN"/>
              </w:rPr>
              <w:t>保障总磷稳定达标。</w:t>
            </w:r>
          </w:p>
          <w:p w14:paraId="01138C56">
            <w:pPr>
              <w:pageBreakBefore w:val="0"/>
              <w:kinsoku/>
              <w:wordWrap w:val="0"/>
              <w:overflowPunct/>
              <w:topLinePunct w:val="0"/>
              <w:bidi w:val="0"/>
              <w:adjustRightInd w:val="0"/>
              <w:ind w:firstLine="480" w:firstLineChars="200"/>
              <w:jc w:val="left"/>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4. 水解酸化池</w:t>
            </w:r>
          </w:p>
          <w:p w14:paraId="0DA86A8D">
            <w:pPr>
              <w:pageBreakBefore w:val="0"/>
              <w:kinsoku/>
              <w:wordWrap w:val="0"/>
              <w:overflowPunct/>
              <w:topLinePunct w:val="0"/>
              <w:bidi w:val="0"/>
              <w:adjustRightInd w:val="0"/>
              <w:ind w:firstLine="480" w:firstLineChars="200"/>
              <w:jc w:val="left"/>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废水自流进入水解酸化池，池内设置弹性填料，控制溶解氧 DO≤0.2 mg/L，水力停留时间（HRT）约4–6 h。在兼氧微生物作用下，废水中的大分子、难降解有机物被水解为小分子易降解有机物，大幅提高废水可生化性（B/C 比提升 0.2 以上），同时去除约 20%–30% 的 COD，降低后续系统有机负荷。</w:t>
            </w:r>
          </w:p>
          <w:p w14:paraId="1CC0158C">
            <w:pPr>
              <w:pageBreakBefore w:val="0"/>
              <w:kinsoku/>
              <w:wordWrap w:val="0"/>
              <w:overflowPunct/>
              <w:topLinePunct w:val="0"/>
              <w:bidi w:val="0"/>
              <w:adjustRightInd w:val="0"/>
              <w:ind w:firstLine="480" w:firstLineChars="200"/>
              <w:jc w:val="left"/>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5.</w:t>
            </w:r>
            <w:r>
              <w:rPr>
                <w:rFonts w:hint="default" w:ascii="Times New Roman" w:hAnsi="Times New Roman" w:eastAsia="宋体" w:cs="Times New Roman"/>
                <w:b/>
                <w:bCs/>
                <w:color w:val="auto"/>
                <w:highlight w:val="none"/>
                <w:lang w:val="en-US" w:eastAsia="zh-CN"/>
              </w:rPr>
              <w:t>接触氧化池</w:t>
            </w:r>
          </w:p>
          <w:p w14:paraId="1E0D1A49">
            <w:pPr>
              <w:pageBreakBefore w:val="0"/>
              <w:kinsoku/>
              <w:wordWrap w:val="0"/>
              <w:overflowPunct/>
              <w:topLinePunct w:val="0"/>
              <w:bidi w:val="0"/>
              <w:adjustRightInd w:val="0"/>
              <w:ind w:firstLine="480" w:firstLineChars="200"/>
              <w:jc w:val="left"/>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水解酸化池出水进入接触氧化池，池内装填组合式生物填料，配套微孔曝气系统，控制溶解氧 DO=2–4 mg/L，水力停留时间约6–8 h。池内附着的好氧生物膜对废水中的 COD、BOD₅、氨氮等污染物进行高效降解，COD 去除率可达 70%–80%，氨氮硝化效率≥85%。</w:t>
            </w:r>
          </w:p>
          <w:p w14:paraId="734A12EC">
            <w:pPr>
              <w:pageBreakBefore w:val="0"/>
              <w:kinsoku/>
              <w:wordWrap w:val="0"/>
              <w:overflowPunct/>
              <w:topLinePunct w:val="0"/>
              <w:bidi w:val="0"/>
              <w:adjustRightInd w:val="0"/>
              <w:ind w:firstLine="480" w:firstLineChars="200"/>
              <w:jc w:val="left"/>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6.</w:t>
            </w:r>
            <w:r>
              <w:rPr>
                <w:rFonts w:hint="default" w:ascii="Times New Roman" w:hAnsi="Times New Roman" w:eastAsia="宋体" w:cs="Times New Roman"/>
                <w:b/>
                <w:bCs/>
                <w:color w:val="auto"/>
                <w:highlight w:val="none"/>
                <w:lang w:val="en-US" w:eastAsia="zh-CN"/>
              </w:rPr>
              <w:t>MBR 膜池</w:t>
            </w:r>
          </w:p>
          <w:p w14:paraId="54EF8E65">
            <w:pPr>
              <w:pageBreakBefore w:val="0"/>
              <w:kinsoku/>
              <w:wordWrap w:val="0"/>
              <w:overflowPunct/>
              <w:topLinePunct w:val="0"/>
              <w:bidi w:val="0"/>
              <w:adjustRightInd w:val="0"/>
              <w:ind w:firstLine="480" w:firstLineChars="200"/>
              <w:jc w:val="left"/>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val="0"/>
                <w:bCs w:val="0"/>
                <w:color w:val="auto"/>
                <w:highlight w:val="none"/>
                <w:lang w:val="en-US" w:eastAsia="zh-CN"/>
              </w:rPr>
              <w:t>接触氧化池出水进入 MBR 膜池，池内采用中空纤维超滤膜组件（膜孔径 0.1–0.2 μm），配套间歇式曝气系统，控制溶解氧 DO=3–5 mg/L，水力停留时间约2–3 h。通过膜分离实现高效固液分离，彻底截留活性污泥、悬浮物及胶体污染物，膜池污泥浓度（MLSS）控制在 6–8 g/L，出水 SS＜10 mg/L，确保出水水质稳定达标。</w:t>
            </w:r>
          </w:p>
          <w:p w14:paraId="4DD1C4A1">
            <w:pPr>
              <w:pageBreakBefore w:val="0"/>
              <w:kinsoku/>
              <w:wordWrap w:val="0"/>
              <w:overflowPunct/>
              <w:topLinePunct w:val="0"/>
              <w:bidi w:val="0"/>
              <w:adjustRightInd w:val="0"/>
              <w:ind w:firstLine="480" w:firstLineChars="200"/>
              <w:jc w:val="left"/>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7.</w:t>
            </w:r>
            <w:r>
              <w:rPr>
                <w:rFonts w:hint="default" w:ascii="Times New Roman" w:hAnsi="Times New Roman" w:eastAsia="宋体" w:cs="Times New Roman"/>
                <w:b/>
                <w:bCs/>
                <w:color w:val="auto"/>
                <w:highlight w:val="none"/>
                <w:lang w:val="en-US" w:eastAsia="zh-CN"/>
              </w:rPr>
              <w:t>污泥系统</w:t>
            </w:r>
          </w:p>
          <w:p w14:paraId="67C9559B">
            <w:pPr>
              <w:pageBreakBefore w:val="0"/>
              <w:kinsoku/>
              <w:wordWrap w:val="0"/>
              <w:overflowPunct/>
              <w:topLinePunct w:val="0"/>
              <w:bidi w:val="0"/>
              <w:adjustRightInd w:val="0"/>
              <w:ind w:firstLine="480" w:firstLineChars="200"/>
              <w:jc w:val="left"/>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MBR 池及接触氧化池产生的混合液部分回流至水解酸化池前端，回流比控制在50%–100%，维持系统污泥浓度与反硝化脱氮效果；剩余污泥定期排入污泥暂存池，经浓缩后委托有资质单位处置。处理后的废水经膜过滤后达标排放。</w:t>
            </w:r>
          </w:p>
          <w:p w14:paraId="1B5C21B6">
            <w:pPr>
              <w:pageBreakBefore w:val="0"/>
              <w:kinsoku/>
              <w:wordWrap w:val="0"/>
              <w:overflowPunct/>
              <w:topLinePunct w:val="0"/>
              <w:bidi w:val="0"/>
              <w:adjustRightInd w:val="0"/>
              <w:ind w:firstLine="480" w:firstLineChars="200"/>
              <w:jc w:val="left"/>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中和调节+混凝沉淀+二级除磷+水解酸化+接触氧化+MBR膜池组合工艺对锌（Zn）处理效率预计可达88%～96%。中和调节通过精准控制pH（Zn：7.5～9.0），促使Zn²⁺形成难溶氢氧化物沉淀Zn(OH)₂，初步去除率约55%～82%，类比氟化钙沉淀的pH依赖性（pH6.5~7.0时氟去除率&gt;90%）；锌主要以Zn²⁺、少量络合态锌离子存在于表面处理漂洗废水中；采用铁盐/铝盐混凝沉淀（pH 7.5～9.0）时，锌离子一方面直接水解生成氢氧化锌沉淀物，另一方面通过吸附于Fe(OH)₃、Al(OH)₃絮体形成共沉淀去除，沉淀主要成分为氢氧化锌、氢氧化铁/氢氧化铝及吸附态锌盐。在处理工艺中混凝沉淀中投加铝盐（PAC）或铁盐（聚合硫酸铁）水解生成Al(OH)₃/Fe(OH)₃胶体，通过电荷中和、网捕卷扫与共沉淀吸附残留溶解态、微量络合态锌离子，提升去除效率12%～32%（参考铁盐对氟的去除率&gt;96%）；气浮利用微小气泡（如电凝聚产生的H₂/O₂）强化含锌絮体分离，减少悬浮态锌夹带残留，提升总去除率4%～16%。 </w:t>
            </w:r>
          </w:p>
          <w:p w14:paraId="4A76B854">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val="0"/>
                <w:bCs w:val="0"/>
                <w:color w:val="auto"/>
                <w:highlight w:val="none"/>
                <w:lang w:val="en-US" w:eastAsia="zh-CN"/>
              </w:rPr>
              <w:t>综上，工艺前段主要调 pH、除油、除悬浮物、化学深度除磷，后段生化主攻降解有机物、脱氨氮、脱总氮、降解表面活性剂，该工艺对磷化废水水质去除效率好，运行稳定、达标可靠。</w:t>
            </w:r>
            <w:r>
              <w:rPr>
                <w:rFonts w:hint="default" w:ascii="Times New Roman" w:hAnsi="Times New Roman" w:eastAsia="宋体" w:cs="Times New Roman"/>
                <w:b w:val="0"/>
                <w:bCs w:val="0"/>
                <w:color w:val="auto"/>
                <w:kern w:val="0"/>
                <w:sz w:val="24"/>
                <w:szCs w:val="24"/>
                <w:highlight w:val="none"/>
                <w:lang w:val="en-US" w:eastAsia="zh-CN"/>
              </w:rPr>
              <w:t>根据建设单位提供的废水处理方案，本项目废水处理设施处理能力为</w:t>
            </w:r>
            <w:r>
              <w:rPr>
                <w:rFonts w:hint="eastAsia" w:ascii="Times New Roman" w:hAnsi="Times New Roman" w:cs="Times New Roman"/>
                <w:b w:val="0"/>
                <w:bCs w:val="0"/>
                <w:color w:val="auto"/>
                <w:kern w:val="0"/>
                <w:sz w:val="24"/>
                <w:szCs w:val="24"/>
                <w:highlight w:val="none"/>
                <w:lang w:val="en-US" w:eastAsia="zh-CN"/>
              </w:rPr>
              <w:t>10</w:t>
            </w:r>
            <w:r>
              <w:rPr>
                <w:rFonts w:hint="default" w:ascii="Times New Roman" w:hAnsi="Times New Roman" w:eastAsia="宋体" w:cs="Times New Roman"/>
                <w:b w:val="0"/>
                <w:bCs w:val="0"/>
                <w:color w:val="auto"/>
                <w:kern w:val="0"/>
                <w:sz w:val="24"/>
                <w:szCs w:val="24"/>
                <w:highlight w:val="none"/>
                <w:lang w:val="en-US" w:eastAsia="zh-CN"/>
              </w:rPr>
              <w:t>m</w:t>
            </w:r>
            <w:r>
              <w:rPr>
                <w:rFonts w:hint="default" w:ascii="Times New Roman" w:hAnsi="Times New Roman" w:eastAsia="宋体" w:cs="Times New Roman"/>
                <w:b w:val="0"/>
                <w:bCs w:val="0"/>
                <w:color w:val="auto"/>
                <w:kern w:val="0"/>
                <w:sz w:val="24"/>
                <w:szCs w:val="24"/>
                <w:highlight w:val="none"/>
                <w:vertAlign w:val="superscript"/>
                <w:lang w:val="en-US" w:eastAsia="zh-CN"/>
              </w:rPr>
              <w:t>3</w:t>
            </w:r>
            <w:r>
              <w:rPr>
                <w:rFonts w:hint="default" w:ascii="Times New Roman" w:hAnsi="Times New Roman" w:eastAsia="宋体" w:cs="Times New Roman"/>
                <w:b w:val="0"/>
                <w:bCs w:val="0"/>
                <w:color w:val="auto"/>
                <w:kern w:val="0"/>
                <w:sz w:val="24"/>
                <w:szCs w:val="24"/>
                <w:highlight w:val="none"/>
                <w:lang w:val="en-US" w:eastAsia="zh-CN"/>
              </w:rPr>
              <w:t>/d，项目废水处理设施主要</w:t>
            </w:r>
            <w:r>
              <w:rPr>
                <w:rFonts w:hint="eastAsia" w:ascii="Times New Roman" w:hAnsi="Times New Roman" w:eastAsia="宋体" w:cs="Times New Roman"/>
                <w:b w:val="0"/>
                <w:bCs w:val="0"/>
                <w:color w:val="auto"/>
                <w:kern w:val="0"/>
                <w:sz w:val="24"/>
                <w:szCs w:val="24"/>
                <w:highlight w:val="none"/>
                <w:lang w:val="en-US" w:eastAsia="zh-CN"/>
              </w:rPr>
              <w:t>去除效率见下表。</w:t>
            </w:r>
          </w:p>
          <w:p w14:paraId="67113B96">
            <w:pPr>
              <w:keepNext w:val="0"/>
              <w:keepLines w:val="0"/>
              <w:pageBreakBefore w:val="0"/>
              <w:widowControl w:val="0"/>
              <w:numPr>
                <w:ilvl w:val="0"/>
                <w:numId w:val="10"/>
              </w:numPr>
              <w:kinsoku/>
              <w:wordWrap w:val="0"/>
              <w:overflowPunct/>
              <w:topLinePunct w:val="0"/>
              <w:autoSpaceDE/>
              <w:autoSpaceDN/>
              <w:bidi w:val="0"/>
              <w:adjustRightInd/>
              <w:snapToGrid/>
              <w:spacing w:line="240" w:lineRule="auto"/>
              <w:ind w:left="0" w:leftChars="0" w:hanging="1" w:firstLineChars="0"/>
              <w:jc w:val="center"/>
              <w:textAlignment w:val="auto"/>
              <w:rPr>
                <w:rFonts w:hint="eastAsia"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lang w:val="en-US" w:eastAsia="zh-CN"/>
              </w:rPr>
              <w:t>项目</w:t>
            </w:r>
            <w:r>
              <w:rPr>
                <w:rFonts w:hint="default" w:ascii="Times New Roman" w:hAnsi="Times New Roman" w:eastAsia="宋体" w:cs="Times New Roman"/>
                <w:b/>
                <w:bCs/>
                <w:color w:val="auto"/>
                <w:kern w:val="0"/>
                <w:sz w:val="24"/>
                <w:szCs w:val="24"/>
                <w:highlight w:val="none"/>
                <w:lang w:val="en-US" w:eastAsia="zh-CN"/>
              </w:rPr>
              <w:t>废水处理设施主要</w:t>
            </w:r>
            <w:r>
              <w:rPr>
                <w:rFonts w:hint="eastAsia" w:ascii="Times New Roman" w:hAnsi="Times New Roman" w:eastAsia="宋体" w:cs="Times New Roman"/>
                <w:b/>
                <w:bCs/>
                <w:color w:val="auto"/>
                <w:kern w:val="0"/>
                <w:sz w:val="24"/>
                <w:szCs w:val="24"/>
                <w:highlight w:val="none"/>
                <w:lang w:val="en-US" w:eastAsia="zh-CN"/>
              </w:rPr>
              <w:t>去除效率</w:t>
            </w:r>
          </w:p>
          <w:tbl>
            <w:tblPr>
              <w:tblStyle w:val="4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97"/>
              <w:gridCol w:w="688"/>
              <w:gridCol w:w="377"/>
              <w:gridCol w:w="504"/>
              <w:gridCol w:w="412"/>
              <w:gridCol w:w="460"/>
              <w:gridCol w:w="377"/>
              <w:gridCol w:w="613"/>
              <w:gridCol w:w="377"/>
              <w:gridCol w:w="412"/>
              <w:gridCol w:w="613"/>
              <w:gridCol w:w="412"/>
            </w:tblGrid>
            <w:tr w14:paraId="11B5F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4A58BC7">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处理单元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A157812">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highlight w:val="none"/>
                      <w:u w:val="none"/>
                    </w:rPr>
                  </w:pPr>
                  <w:r>
                    <w:rPr>
                      <w:rFonts w:hint="default" w:ascii="Times New Roman" w:hAnsi="Times New Roman" w:eastAsia="宋体" w:cs="Times New Roman"/>
                      <w:b/>
                      <w:bCs/>
                      <w:i w:val="0"/>
                      <w:iCs w:val="0"/>
                      <w:color w:val="auto"/>
                      <w:kern w:val="0"/>
                      <w:sz w:val="20"/>
                      <w:szCs w:val="20"/>
                      <w:highlight w:val="none"/>
                      <w:u w:val="none"/>
                      <w:lang w:val="en-US" w:eastAsia="zh-CN" w:bidi="ar"/>
                    </w:rPr>
                    <w:t>CODCr</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9408AF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highlight w:val="none"/>
                      <w:u w:val="none"/>
                    </w:rPr>
                  </w:pPr>
                  <w:r>
                    <w:rPr>
                      <w:rFonts w:hint="default" w:ascii="Times New Roman" w:hAnsi="Times New Roman" w:eastAsia="宋体" w:cs="Times New Roman"/>
                      <w:b/>
                      <w:bCs/>
                      <w:i w:val="0"/>
                      <w:iCs w:val="0"/>
                      <w:color w:val="auto"/>
                      <w:kern w:val="0"/>
                      <w:sz w:val="20"/>
                      <w:szCs w:val="20"/>
                      <w:highlight w:val="none"/>
                      <w:u w:val="none"/>
                      <w:lang w:val="en-US" w:eastAsia="zh-CN" w:bidi="ar"/>
                    </w:rPr>
                    <w:t>SS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577BDA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highlight w:val="none"/>
                      <w:u w:val="none"/>
                    </w:rPr>
                  </w:pPr>
                  <w:r>
                    <w:rPr>
                      <w:rFonts w:hint="default" w:ascii="Times New Roman" w:hAnsi="Times New Roman" w:eastAsia="宋体" w:cs="Times New Roman"/>
                      <w:b/>
                      <w:bCs/>
                      <w:i w:val="0"/>
                      <w:iCs w:val="0"/>
                      <w:color w:val="auto"/>
                      <w:kern w:val="0"/>
                      <w:sz w:val="20"/>
                      <w:szCs w:val="20"/>
                      <w:highlight w:val="none"/>
                      <w:u w:val="none"/>
                      <w:lang w:val="en-US" w:eastAsia="zh-CN" w:bidi="ar"/>
                    </w:rPr>
                    <w:t>BOD₅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CC79C42">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default" w:ascii="Times New Roman" w:hAnsi="Times New Roman" w:eastAsia="宋体" w:cs="Times New Roman"/>
                      <w:b/>
                      <w:bCs/>
                      <w:i w:val="0"/>
                      <w:iCs w:val="0"/>
                      <w:color w:val="auto"/>
                      <w:kern w:val="0"/>
                      <w:sz w:val="20"/>
                      <w:szCs w:val="20"/>
                      <w:highlight w:val="none"/>
                      <w:u w:val="none"/>
                      <w:lang w:val="en-US" w:eastAsia="zh-CN" w:bidi="ar"/>
                    </w:rPr>
                    <w:t>氨氮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67F4F250">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highlight w:val="none"/>
                      <w:u w:val="none"/>
                    </w:rPr>
                  </w:pPr>
                  <w:r>
                    <w:rPr>
                      <w:rFonts w:hint="default" w:ascii="Times New Roman" w:hAnsi="Times New Roman" w:eastAsia="宋体" w:cs="Times New Roman"/>
                      <w:b/>
                      <w:bCs/>
                      <w:i w:val="0"/>
                      <w:iCs w:val="0"/>
                      <w:color w:val="auto"/>
                      <w:kern w:val="0"/>
                      <w:sz w:val="20"/>
                      <w:szCs w:val="20"/>
                      <w:highlight w:val="none"/>
                      <w:u w:val="none"/>
                      <w:lang w:val="en-US" w:eastAsia="zh-CN" w:bidi="ar"/>
                    </w:rPr>
                    <w:t>LAS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29CE57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highlight w:val="none"/>
                      <w:u w:val="none"/>
                    </w:rPr>
                  </w:pPr>
                  <w:r>
                    <w:rPr>
                      <w:rFonts w:hint="default" w:ascii="Times New Roman" w:hAnsi="Times New Roman" w:eastAsia="宋体" w:cs="Times New Roman"/>
                      <w:b/>
                      <w:bCs/>
                      <w:i w:val="0"/>
                      <w:iCs w:val="0"/>
                      <w:color w:val="auto"/>
                      <w:kern w:val="0"/>
                      <w:sz w:val="20"/>
                      <w:szCs w:val="20"/>
                      <w:highlight w:val="none"/>
                      <w:u w:val="none"/>
                      <w:lang w:val="en-US" w:eastAsia="zh-CN" w:bidi="ar"/>
                    </w:rPr>
                    <w:t>TP</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0E5DF8C">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default" w:ascii="Times New Roman" w:hAnsi="Times New Roman" w:eastAsia="宋体" w:cs="Times New Roman"/>
                      <w:b/>
                      <w:bCs/>
                      <w:i w:val="0"/>
                      <w:iCs w:val="0"/>
                      <w:color w:val="auto"/>
                      <w:kern w:val="0"/>
                      <w:sz w:val="20"/>
                      <w:szCs w:val="20"/>
                      <w:highlight w:val="none"/>
                      <w:u w:val="none"/>
                      <w:lang w:val="en-US" w:eastAsia="zh-CN" w:bidi="ar"/>
                    </w:rPr>
                    <w:t>石油类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3303B38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0"/>
                      <w:szCs w:val="20"/>
                      <w:highlight w:val="none"/>
                      <w:u w:val="none"/>
                    </w:rPr>
                  </w:pPr>
                  <w:r>
                    <w:rPr>
                      <w:rFonts w:hint="default" w:ascii="Times New Roman" w:hAnsi="Times New Roman" w:eastAsia="宋体" w:cs="Times New Roman"/>
                      <w:b/>
                      <w:bCs/>
                      <w:i w:val="0"/>
                      <w:iCs w:val="0"/>
                      <w:color w:val="auto"/>
                      <w:kern w:val="0"/>
                      <w:sz w:val="20"/>
                      <w:szCs w:val="20"/>
                      <w:highlight w:val="none"/>
                      <w:u w:val="none"/>
                      <w:lang w:val="en-US" w:eastAsia="zh-CN" w:bidi="ar"/>
                    </w:rPr>
                    <w:t>TN</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DAE35A6">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default" w:ascii="Times New Roman" w:hAnsi="Times New Roman" w:eastAsia="宋体" w:cs="Times New Roman"/>
                      <w:b/>
                      <w:bCs/>
                      <w:i w:val="0"/>
                      <w:iCs w:val="0"/>
                      <w:color w:val="auto"/>
                      <w:kern w:val="0"/>
                      <w:sz w:val="20"/>
                      <w:szCs w:val="20"/>
                      <w:highlight w:val="none"/>
                      <w:u w:val="none"/>
                      <w:lang w:val="en-US" w:eastAsia="zh-CN" w:bidi="ar"/>
                    </w:rPr>
                    <w:t>总锌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3E70F964">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default" w:ascii="Times New Roman" w:hAnsi="Times New Roman" w:eastAsia="宋体" w:cs="Times New Roman"/>
                      <w:b/>
                      <w:bCs/>
                      <w:i w:val="0"/>
                      <w:iCs w:val="0"/>
                      <w:color w:val="auto"/>
                      <w:kern w:val="0"/>
                      <w:sz w:val="20"/>
                      <w:szCs w:val="20"/>
                      <w:highlight w:val="none"/>
                      <w:u w:val="none"/>
                      <w:lang w:val="en-US" w:eastAsia="zh-CN" w:bidi="ar"/>
                    </w:rPr>
                    <w:t>氟化物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73FEAC3">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highlight w:val="none"/>
                      <w:u w:val="none"/>
                      <w:lang w:val="en-US" w:eastAsia="zh-CN"/>
                    </w:rPr>
                  </w:pPr>
                  <w:r>
                    <w:rPr>
                      <w:rFonts w:hint="default" w:ascii="Times New Roman" w:hAnsi="Times New Roman" w:eastAsia="宋体" w:cs="Times New Roman"/>
                      <w:b/>
                      <w:bCs/>
                      <w:i w:val="0"/>
                      <w:iCs w:val="0"/>
                      <w:color w:val="auto"/>
                      <w:kern w:val="0"/>
                      <w:sz w:val="20"/>
                      <w:szCs w:val="20"/>
                      <w:highlight w:val="none"/>
                      <w:u w:val="none"/>
                      <w:lang w:val="en-US" w:eastAsia="zh-CN" w:bidi="ar"/>
                    </w:rPr>
                    <w:t>总铁</w:t>
                  </w:r>
                </w:p>
              </w:tc>
            </w:tr>
            <w:tr w14:paraId="56891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33C2EB2E">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进水浓度（</w:t>
                  </w:r>
                  <w:r>
                    <w:rPr>
                      <w:rFonts w:hint="default" w:ascii="Times New Roman" w:hAnsi="Times New Roman" w:eastAsia="宋体" w:cs="Times New Roman"/>
                      <w:b/>
                      <w:bCs/>
                      <w:i w:val="0"/>
                      <w:iCs w:val="0"/>
                      <w:color w:val="auto"/>
                      <w:kern w:val="0"/>
                      <w:sz w:val="21"/>
                      <w:szCs w:val="21"/>
                      <w:highlight w:val="none"/>
                      <w:u w:val="none"/>
                      <w:lang w:val="en-US" w:eastAsia="zh-CN" w:bidi="ar"/>
                    </w:rPr>
                    <w:t>mg/L</w:t>
                  </w:r>
                  <w:r>
                    <w:rPr>
                      <w:rFonts w:hint="eastAsia" w:ascii="宋体" w:hAnsi="宋体" w:eastAsia="宋体" w:cs="宋体"/>
                      <w:b/>
                      <w:bCs/>
                      <w:i w:val="0"/>
                      <w:iCs w:val="0"/>
                      <w:color w:val="auto"/>
                      <w:kern w:val="0"/>
                      <w:sz w:val="21"/>
                      <w:szCs w:val="21"/>
                      <w:highlight w:val="none"/>
                      <w:u w:val="none"/>
                      <w:lang w:val="en-US" w:eastAsia="zh-CN" w:bidi="ar"/>
                    </w:rPr>
                    <w:t>）</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05CBD1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593.0 </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23FA47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29.0 </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EC3473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197.7 </w:t>
                  </w: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782DCA0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9.5 </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18046D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0.146 </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ADE042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68.1 </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1EF5F0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36.6 </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9A27F8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8.1 </w:t>
                  </w: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67DEF13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1.5 </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21988D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20.8 </w:t>
                  </w: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5FF56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1.5 </w:t>
                  </w:r>
                </w:p>
              </w:tc>
            </w:tr>
            <w:tr w14:paraId="027E7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706D65F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 xml:space="preserve">pH </w:t>
                  </w:r>
                  <w:r>
                    <w:rPr>
                      <w:rFonts w:hint="eastAsia" w:ascii="宋体" w:hAnsi="宋体" w:eastAsia="宋体" w:cs="宋体"/>
                      <w:b/>
                      <w:bCs/>
                      <w:i w:val="0"/>
                      <w:iCs w:val="0"/>
                      <w:color w:val="auto"/>
                      <w:kern w:val="0"/>
                      <w:sz w:val="21"/>
                      <w:szCs w:val="21"/>
                      <w:highlight w:val="none"/>
                      <w:u w:val="none"/>
                      <w:lang w:val="en-US" w:eastAsia="zh-CN" w:bidi="ar"/>
                    </w:rPr>
                    <w:t>调节池</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035090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5%</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7CAA244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8%</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32A2CCB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5%</w:t>
                  </w: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37E69510">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0%</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347671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7DE5D68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5%</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5388DE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5%</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B64FB6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5%</w:t>
                  </w: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D1E3A6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5%</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3D5A0230">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0%</w:t>
                  </w: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C8A5E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rPr>
                  </w:pPr>
                  <w:r>
                    <w:rPr>
                      <w:rFonts w:hint="default" w:ascii="Times New Roman" w:hAnsi="Times New Roman" w:eastAsia="宋体" w:cs="Times New Roman"/>
                      <w:i w:val="0"/>
                      <w:iCs w:val="0"/>
                      <w:color w:val="auto"/>
                      <w:kern w:val="0"/>
                      <w:sz w:val="20"/>
                      <w:szCs w:val="20"/>
                      <w:highlight w:val="none"/>
                      <w:u w:val="none"/>
                      <w:lang w:val="en-US" w:eastAsia="zh-CN" w:bidi="ar"/>
                    </w:rPr>
                    <w:t>5%</w:t>
                  </w:r>
                </w:p>
              </w:tc>
            </w:tr>
            <w:tr w14:paraId="0FB53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E89C827">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处理后浓度（</w:t>
                  </w:r>
                  <w:r>
                    <w:rPr>
                      <w:rFonts w:hint="default" w:ascii="Times New Roman" w:hAnsi="Times New Roman" w:eastAsia="宋体" w:cs="Times New Roman"/>
                      <w:b/>
                      <w:bCs/>
                      <w:i w:val="0"/>
                      <w:iCs w:val="0"/>
                      <w:color w:val="auto"/>
                      <w:kern w:val="0"/>
                      <w:sz w:val="21"/>
                      <w:szCs w:val="21"/>
                      <w:highlight w:val="none"/>
                      <w:u w:val="none"/>
                      <w:lang w:val="en-US" w:eastAsia="zh-CN" w:bidi="ar"/>
                    </w:rPr>
                    <w:t>mg/L</w:t>
                  </w:r>
                  <w:r>
                    <w:rPr>
                      <w:rFonts w:hint="eastAsia" w:ascii="宋体" w:hAnsi="宋体" w:eastAsia="宋体" w:cs="宋体"/>
                      <w:b/>
                      <w:bCs/>
                      <w:i w:val="0"/>
                      <w:iCs w:val="0"/>
                      <w:color w:val="auto"/>
                      <w:kern w:val="0"/>
                      <w:sz w:val="21"/>
                      <w:szCs w:val="21"/>
                      <w:highlight w:val="none"/>
                      <w:u w:val="none"/>
                      <w:lang w:val="en-US" w:eastAsia="zh-CN" w:bidi="ar"/>
                    </w:rPr>
                    <w:t>）</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03C92B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563.3 </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3278000">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26.7 </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6D77C02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187.8 </w:t>
                  </w: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449DBD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9.5 </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BC7700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0.1 </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796157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64.7 </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F1E7A7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34.8 </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AEF3A2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7.7 </w:t>
                  </w: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7E8E93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1.4 </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DAFCCE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20.8 </w:t>
                  </w: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2AB7B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1.5 </w:t>
                  </w:r>
                </w:p>
              </w:tc>
            </w:tr>
            <w:tr w14:paraId="548D0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7D368534">
                  <w:pPr>
                    <w:keepNext w:val="0"/>
                    <w:keepLines w:val="0"/>
                    <w:widowControl/>
                    <w:suppressLineNumbers w:val="0"/>
                    <w:jc w:val="center"/>
                    <w:textAlignment w:val="center"/>
                    <w:rPr>
                      <w:rFonts w:hint="default" w:ascii="宋体" w:hAnsi="宋体" w:eastAsia="宋体" w:cs="宋体"/>
                      <w:b/>
                      <w:bCs/>
                      <w:i w:val="0"/>
                      <w:iCs w:val="0"/>
                      <w:color w:val="auto"/>
                      <w:sz w:val="21"/>
                      <w:szCs w:val="21"/>
                      <w:highlight w:val="none"/>
                      <w:u w:val="none"/>
                      <w:lang w:val="en-US"/>
                    </w:rPr>
                  </w:pPr>
                  <w:r>
                    <w:rPr>
                      <w:rFonts w:hint="eastAsia" w:ascii="宋体" w:hAnsi="宋体" w:eastAsia="宋体" w:cs="宋体"/>
                      <w:b/>
                      <w:bCs/>
                      <w:i w:val="0"/>
                      <w:iCs w:val="0"/>
                      <w:color w:val="auto"/>
                      <w:kern w:val="0"/>
                      <w:sz w:val="21"/>
                      <w:szCs w:val="21"/>
                      <w:highlight w:val="none"/>
                      <w:u w:val="none"/>
                      <w:lang w:val="en-US" w:eastAsia="zh-CN" w:bidi="ar"/>
                    </w:rPr>
                    <w:t>两级混凝沉淀</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7682C49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50%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015DDD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60%</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6D0E76F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50%</w:t>
                  </w: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AE0D15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5%</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1E7CCE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5%</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67DDA4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45%</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7A7B89C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90%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620F597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20%</w:t>
                  </w: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A1FE33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70%</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70074F6E">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50%</w:t>
                  </w: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0F65C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r>
            <w:tr w14:paraId="7EB77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36EA969">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处理后浓度（mg/L）</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3596905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281.7 </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007746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10.7 </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5E04A8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93.9 </w:t>
                  </w: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62208F9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9.1 </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C00EA0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0.1 </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DF2033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35.6 </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1D395E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3.5 </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75AEA25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6.1 </w:t>
                  </w: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3767646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0.4 </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810891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10.4 </w:t>
                  </w: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B612D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0.4 </w:t>
                  </w:r>
                </w:p>
              </w:tc>
            </w:tr>
            <w:tr w14:paraId="55BCF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F82E7F3">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二级除磷池</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74F4976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50%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2A263C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20%</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C1FF53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50%</w:t>
                  </w: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C5D6BB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3C3B453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3%</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B1DDC1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75%</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3A36B1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70%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3C45712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15%</w:t>
                  </w: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BBBCF0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5%</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67373B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5%</w:t>
                  </w: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790ABC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rPr>
                  </w:pPr>
                  <w:r>
                    <w:rPr>
                      <w:rFonts w:hint="default" w:ascii="Times New Roman" w:hAnsi="Times New Roman" w:eastAsia="宋体" w:cs="Times New Roman"/>
                      <w:i w:val="0"/>
                      <w:iCs w:val="0"/>
                      <w:color w:val="auto"/>
                      <w:kern w:val="0"/>
                      <w:sz w:val="20"/>
                      <w:szCs w:val="20"/>
                      <w:highlight w:val="none"/>
                      <w:u w:val="none"/>
                      <w:lang w:val="en-US" w:eastAsia="zh-CN" w:bidi="ar"/>
                    </w:rPr>
                    <w:t>5%</w:t>
                  </w:r>
                </w:p>
              </w:tc>
            </w:tr>
            <w:tr w14:paraId="669CA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318131A">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处理后浓度（mg/L）</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2182CB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140.8 </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15EC09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8.5 </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62C3B5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46.9 </w:t>
                  </w: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6154D94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8.8 </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6909B83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0.1 </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6B145C0">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8.9 </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4EA497E">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1.0 </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62E47F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5.2 </w:t>
                  </w: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332B530">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0.4 </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845097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9.9 </w:t>
                  </w: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F6554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0.4 </w:t>
                  </w:r>
                </w:p>
              </w:tc>
            </w:tr>
            <w:tr w14:paraId="78F85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CCE742F">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生化系统</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A95FC3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60%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C9DD8E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50%</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4D83AF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60%</w:t>
                  </w: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6E78199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50%</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616CEC9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50%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F4C31E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20%</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7CC29F2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15%</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AE4BCE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45%</w:t>
                  </w: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4FC670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5%</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760BCC2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0%</w:t>
                  </w: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2AC9B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rPr>
                  </w:pPr>
                  <w:r>
                    <w:rPr>
                      <w:rFonts w:hint="default" w:ascii="Times New Roman" w:hAnsi="Times New Roman" w:eastAsia="宋体" w:cs="Times New Roman"/>
                      <w:i w:val="0"/>
                      <w:iCs w:val="0"/>
                      <w:color w:val="auto"/>
                      <w:kern w:val="0"/>
                      <w:sz w:val="20"/>
                      <w:szCs w:val="20"/>
                      <w:highlight w:val="none"/>
                      <w:u w:val="none"/>
                      <w:lang w:val="en-US" w:eastAsia="zh-CN" w:bidi="ar"/>
                    </w:rPr>
                    <w:t>5%</w:t>
                  </w:r>
                </w:p>
              </w:tc>
            </w:tr>
            <w:tr w14:paraId="52690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E1E83CD">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处理后浓度（mg/L）</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764A61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56.3 </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15EB75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4.3 </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37C4E25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18.8 </w:t>
                  </w: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3A85C72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4.4 </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7BA548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0.1 </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6BB5C0B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7.1 </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77FCE7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0.9 </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65504E9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2.9 </w:t>
                  </w: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5C2339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0.4 </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9AA832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9.9 </w:t>
                  </w: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CAE65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0.4 </w:t>
                  </w:r>
                </w:p>
              </w:tc>
            </w:tr>
            <w:tr w14:paraId="11082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71214D9">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综合总去除率</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7FC3B29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91%</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289870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85%</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E3B8D7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91%</w:t>
                  </w: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6026B910">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54%</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22AB1B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54%</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E095F9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90%</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B36282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98%</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6F440B6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64%</w:t>
                  </w: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737BAF50">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74%</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64D923E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53%</w:t>
                  </w: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8B7F3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rPr>
                  </w:pPr>
                  <w:r>
                    <w:rPr>
                      <w:rFonts w:hint="default" w:ascii="Times New Roman" w:hAnsi="Times New Roman" w:eastAsia="宋体" w:cs="Times New Roman"/>
                      <w:i w:val="0"/>
                      <w:iCs w:val="0"/>
                      <w:color w:val="auto"/>
                      <w:kern w:val="0"/>
                      <w:sz w:val="20"/>
                      <w:szCs w:val="20"/>
                      <w:highlight w:val="none"/>
                      <w:u w:val="none"/>
                      <w:lang w:val="en-US" w:eastAsia="zh-CN" w:bidi="ar"/>
                    </w:rPr>
                    <w:t>74%</w:t>
                  </w:r>
                </w:p>
              </w:tc>
            </w:tr>
            <w:tr w14:paraId="50FCB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A7EF0B0">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执行标准排放限值（</w:t>
                  </w:r>
                  <w:r>
                    <w:rPr>
                      <w:rFonts w:hint="default" w:ascii="Times New Roman" w:hAnsi="Times New Roman" w:eastAsia="宋体" w:cs="Times New Roman"/>
                      <w:b/>
                      <w:bCs/>
                      <w:i w:val="0"/>
                      <w:iCs w:val="0"/>
                      <w:color w:val="auto"/>
                      <w:kern w:val="0"/>
                      <w:sz w:val="21"/>
                      <w:szCs w:val="21"/>
                      <w:highlight w:val="none"/>
                      <w:u w:val="none"/>
                      <w:lang w:val="en-US" w:eastAsia="zh-CN" w:bidi="ar"/>
                    </w:rPr>
                    <w:t>mg/L</w:t>
                  </w:r>
                  <w:r>
                    <w:rPr>
                      <w:rFonts w:hint="eastAsia" w:ascii="宋体" w:hAnsi="宋体" w:eastAsia="宋体" w:cs="宋体"/>
                      <w:b/>
                      <w:bCs/>
                      <w:i w:val="0"/>
                      <w:iCs w:val="0"/>
                      <w:color w:val="auto"/>
                      <w:kern w:val="0"/>
                      <w:sz w:val="21"/>
                      <w:szCs w:val="21"/>
                      <w:highlight w:val="none"/>
                      <w:u w:val="none"/>
                      <w:lang w:val="en-US" w:eastAsia="zh-CN" w:bidi="ar"/>
                    </w:rPr>
                    <w:t>）</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606FF1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≤80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761CFA0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≤30</w:t>
                  </w:r>
                </w:p>
              </w:tc>
              <w:tc>
                <w:tcPr>
                  <w:tcW w:w="504"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2AE076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≤150</w:t>
                  </w: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6B78197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≤15</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1ACE54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≤20</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1696ED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≤10</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822470E">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≤2</w:t>
                  </w:r>
                </w:p>
              </w:tc>
              <w:tc>
                <w:tcPr>
                  <w:tcW w:w="37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32C0C93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≤20</w:t>
                  </w: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E21FB6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≤1</w:t>
                  </w:r>
                </w:p>
              </w:tc>
              <w:tc>
                <w:tcPr>
                  <w:tcW w:w="613"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6F2639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highlight w:val="none"/>
                      <w:u w:val="none"/>
                    </w:rPr>
                  </w:pPr>
                  <w:r>
                    <w:rPr>
                      <w:rFonts w:hint="default" w:ascii="Times New Roman" w:hAnsi="Times New Roman" w:eastAsia="宋体" w:cs="Times New Roman"/>
                      <w:i w:val="0"/>
                      <w:iCs w:val="0"/>
                      <w:color w:val="auto"/>
                      <w:kern w:val="0"/>
                      <w:sz w:val="20"/>
                      <w:szCs w:val="20"/>
                      <w:highlight w:val="none"/>
                      <w:u w:val="none"/>
                      <w:lang w:val="en-US" w:eastAsia="zh-CN" w:bidi="ar"/>
                    </w:rPr>
                    <w:t>≤10</w:t>
                  </w:r>
                </w:p>
              </w:tc>
              <w:tc>
                <w:tcPr>
                  <w:tcW w:w="41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85B29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rPr>
                  </w:pPr>
                  <w:r>
                    <w:rPr>
                      <w:rFonts w:hint="default" w:ascii="Times New Roman" w:hAnsi="Times New Roman" w:eastAsia="宋体" w:cs="Times New Roman"/>
                      <w:i w:val="0"/>
                      <w:iCs w:val="0"/>
                      <w:color w:val="auto"/>
                      <w:kern w:val="0"/>
                      <w:sz w:val="20"/>
                      <w:szCs w:val="20"/>
                      <w:highlight w:val="none"/>
                      <w:u w:val="none"/>
                      <w:lang w:val="en-US" w:eastAsia="zh-CN" w:bidi="ar"/>
                    </w:rPr>
                    <w:t>≤2</w:t>
                  </w:r>
                </w:p>
              </w:tc>
            </w:tr>
          </w:tbl>
          <w:p w14:paraId="68980248">
            <w:pPr>
              <w:keepNext/>
              <w:keepLines/>
              <w:pageBreakBefore w:val="0"/>
              <w:tabs>
                <w:tab w:val="left" w:pos="0"/>
              </w:tabs>
              <w:kinsoku/>
              <w:wordWrap w:val="0"/>
              <w:overflowPunct/>
              <w:topLinePunct w:val="0"/>
              <w:bidi w:val="0"/>
              <w:ind w:firstLine="480" w:firstLineChars="200"/>
              <w:outlineLvl w:val="3"/>
              <w:rPr>
                <w:rFonts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rPr>
              <w:t>5</w:t>
            </w:r>
            <w:r>
              <w:rPr>
                <w:rFonts w:ascii="Times New Roman" w:hAnsi="Times New Roman" w:eastAsia="宋体" w:cs="Times New Roman"/>
                <w:b/>
                <w:bCs/>
                <w:color w:val="auto"/>
                <w:highlight w:val="none"/>
              </w:rPr>
              <w:t>、达标情况分析</w:t>
            </w:r>
          </w:p>
          <w:p w14:paraId="1DDBA020">
            <w:pPr>
              <w:pageBreakBefore w:val="0"/>
              <w:widowControl w:val="0"/>
              <w:kinsoku/>
              <w:wordWrap w:val="0"/>
              <w:overflowPunct/>
              <w:topLinePunct w:val="0"/>
              <w:bidi w:val="0"/>
              <w:spacing w:line="360" w:lineRule="auto"/>
              <w:ind w:firstLine="480" w:firstLineChars="200"/>
              <w:jc w:val="both"/>
              <w:rPr>
                <w:rFonts w:ascii="Times New Roman" w:hAnsi="Times New Roman" w:eastAsia="宋体" w:cs="Times New Roman"/>
                <w:b/>
                <w:bCs/>
                <w:color w:val="auto"/>
                <w:kern w:val="2"/>
                <w:sz w:val="24"/>
                <w:szCs w:val="24"/>
                <w:highlight w:val="none"/>
                <w:lang w:val="en-US" w:eastAsia="zh-CN" w:bidi="ar-SA"/>
              </w:rPr>
            </w:pPr>
            <w:r>
              <w:rPr>
                <w:rFonts w:ascii="Times New Roman" w:hAnsi="Times New Roman" w:eastAsia="宋体" w:cs="Times New Roman"/>
                <w:b/>
                <w:bCs/>
                <w:color w:val="auto"/>
                <w:kern w:val="2"/>
                <w:sz w:val="24"/>
                <w:szCs w:val="24"/>
                <w:highlight w:val="none"/>
                <w:lang w:val="en-US" w:eastAsia="zh-CN" w:bidi="ar-SA"/>
              </w:rPr>
              <w:t>（1）可行性技术分析</w:t>
            </w:r>
          </w:p>
          <w:p w14:paraId="225A9E05">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0"/>
                <w:highlight w:val="none"/>
                <w:lang w:val="en-US" w:eastAsia="zh-CN" w:bidi="ar-SA"/>
              </w:rPr>
            </w:pPr>
            <w:r>
              <w:rPr>
                <w:rFonts w:hint="default" w:ascii="Times New Roman" w:hAnsi="Times New Roman" w:cs="Times New Roman"/>
                <w:color w:val="auto"/>
                <w:sz w:val="24"/>
                <w:szCs w:val="24"/>
                <w:highlight w:val="none"/>
              </w:rPr>
              <w:t>参考《排污许可证申请与核发技术规范铁路、船舶、航空航天和其他运输设备制造业》（HJ 1124—2020）中表A.7表面处理（涂装）排污单位废水污染防治推荐可行技术可知，本项目生产废水采用“</w:t>
            </w:r>
            <w:r>
              <w:rPr>
                <w:rFonts w:hint="eastAsia" w:cs="Times New Roman"/>
                <w:color w:val="auto"/>
                <w:kern w:val="0"/>
                <w:sz w:val="24"/>
                <w:szCs w:val="20"/>
                <w:highlight w:val="none"/>
                <w:lang w:val="en-US" w:eastAsia="zh-CN" w:bidi="ar-SA"/>
              </w:rPr>
              <w:t>中和调节+混凝沉淀+二级除磷+水解酸化+接触氧化+MBR膜池</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处理和</w:t>
            </w:r>
            <w:r>
              <w:rPr>
                <w:rFonts w:hint="default" w:ascii="Times New Roman" w:hAnsi="Times New Roman" w:cs="Times New Roman"/>
                <w:color w:val="auto"/>
                <w:sz w:val="24"/>
                <w:szCs w:val="24"/>
                <w:highlight w:val="none"/>
              </w:rPr>
              <w:t>生活污水采用</w:t>
            </w:r>
            <w:r>
              <w:rPr>
                <w:rFonts w:hint="eastAsia" w:cs="Times New Roman"/>
                <w:color w:val="auto"/>
                <w:sz w:val="24"/>
                <w:szCs w:val="24"/>
                <w:highlight w:val="none"/>
                <w:lang w:eastAsia="zh-CN"/>
              </w:rPr>
              <w:t>三级化粪池</w:t>
            </w:r>
            <w:r>
              <w:rPr>
                <w:rFonts w:hint="default" w:ascii="Times New Roman" w:hAnsi="Times New Roman" w:cs="Times New Roman"/>
                <w:color w:val="auto"/>
                <w:sz w:val="24"/>
                <w:szCs w:val="24"/>
                <w:highlight w:val="none"/>
              </w:rPr>
              <w:t>处理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所用技术均</w:t>
            </w:r>
            <w:r>
              <w:rPr>
                <w:rFonts w:hint="default" w:ascii="Times New Roman" w:hAnsi="Times New Roman" w:cs="Times New Roman"/>
                <w:color w:val="auto"/>
                <w:sz w:val="24"/>
                <w:szCs w:val="24"/>
                <w:highlight w:val="none"/>
              </w:rPr>
              <w:t>属于可行技术。因此，项目废水处理措施可行</w:t>
            </w:r>
            <w:r>
              <w:rPr>
                <w:rFonts w:hint="eastAsia" w:ascii="Times New Roman" w:hAnsi="Times New Roman" w:cs="Times New Roman"/>
                <w:color w:val="auto"/>
                <w:sz w:val="24"/>
                <w:szCs w:val="24"/>
                <w:highlight w:val="none"/>
                <w:lang w:eastAsia="zh-CN"/>
              </w:rPr>
              <w:t>。</w:t>
            </w:r>
            <w:r>
              <w:rPr>
                <w:rFonts w:hint="eastAsia" w:cs="Times New Roman"/>
                <w:color w:val="auto"/>
                <w:kern w:val="0"/>
                <w:sz w:val="24"/>
                <w:szCs w:val="20"/>
                <w:highlight w:val="none"/>
                <w:lang w:val="en-US" w:eastAsia="zh-CN" w:bidi="ar-SA"/>
              </w:rPr>
              <w:t>项目废水排放量少，水质简单，污水管网已敷设至厂区附近。</w:t>
            </w:r>
            <w:r>
              <w:rPr>
                <w:rFonts w:hint="eastAsia" w:ascii="Times New Roman" w:hAnsi="Times New Roman" w:eastAsia="宋体" w:cs="Times New Roman"/>
                <w:color w:val="auto"/>
                <w:kern w:val="0"/>
                <w:sz w:val="24"/>
                <w:szCs w:val="20"/>
                <w:highlight w:val="none"/>
                <w:lang w:val="en-US" w:eastAsia="zh-CN" w:bidi="ar-SA"/>
              </w:rPr>
              <w:t>因此，本项目纳入园区污水处理厂处理从技术上是完全可行的。</w:t>
            </w:r>
          </w:p>
          <w:p w14:paraId="3D24DE47">
            <w:pPr>
              <w:pageBreakBefore w:val="0"/>
              <w:widowControl w:val="0"/>
              <w:kinsoku/>
              <w:wordWrap w:val="0"/>
              <w:overflowPunct/>
              <w:topLinePunct w:val="0"/>
              <w:bidi w:val="0"/>
              <w:spacing w:line="360" w:lineRule="auto"/>
              <w:ind w:firstLine="480" w:firstLineChars="200"/>
              <w:jc w:val="both"/>
              <w:rPr>
                <w:rFonts w:ascii="Times New Roman" w:hAnsi="Times New Roman" w:eastAsia="宋体" w:cs="Times New Roman"/>
                <w:b/>
                <w:bCs/>
                <w:color w:val="auto"/>
                <w:kern w:val="2"/>
                <w:sz w:val="24"/>
                <w:szCs w:val="24"/>
                <w:highlight w:val="none"/>
                <w:lang w:val="en-US" w:eastAsia="zh-CN" w:bidi="ar-SA"/>
              </w:rPr>
            </w:pPr>
            <w:r>
              <w:rPr>
                <w:rFonts w:ascii="Times New Roman" w:hAnsi="Times New Roman" w:eastAsia="宋体" w:cs="Times New Roman"/>
                <w:b/>
                <w:bCs/>
                <w:color w:val="auto"/>
                <w:kern w:val="2"/>
                <w:sz w:val="24"/>
                <w:szCs w:val="24"/>
                <w:highlight w:val="none"/>
                <w:lang w:val="en-US" w:eastAsia="zh-CN" w:bidi="ar-SA"/>
              </w:rPr>
              <w:t>（2）水污染物控制和水环境影响减缓措施有效性评价</w:t>
            </w:r>
          </w:p>
          <w:p w14:paraId="1840DB6B">
            <w:pPr>
              <w:pStyle w:val="19"/>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本项目位于广东省韶关市乐昌市乐昌产业转移工业园内，属于园区污水处理</w:t>
            </w:r>
            <w:r>
              <w:rPr>
                <w:rFonts w:hint="default" w:ascii="Times New Roman" w:hAnsi="Times New Roman" w:cs="Times New Roman"/>
                <w:color w:val="auto"/>
                <w:sz w:val="24"/>
                <w:szCs w:val="24"/>
                <w:highlight w:val="none"/>
                <w:lang w:val="en-US" w:eastAsia="zh-CN"/>
              </w:rPr>
              <w:t>厂纳污</w:t>
            </w:r>
            <w:r>
              <w:rPr>
                <w:rFonts w:hint="default" w:ascii="Times New Roman" w:hAnsi="Times New Roman" w:cs="Times New Roman"/>
                <w:color w:val="auto"/>
                <w:sz w:val="24"/>
                <w:szCs w:val="24"/>
                <w:highlight w:val="none"/>
              </w:rPr>
              <w:t>范围</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园区污水处理厂纳污管网图见附图1</w:t>
            </w:r>
            <w:r>
              <w:rPr>
                <w:rFonts w:hint="eastAsia"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。项目生活污水经</w:t>
            </w:r>
            <w:r>
              <w:rPr>
                <w:rFonts w:hint="eastAsia" w:cs="Times New Roman"/>
                <w:color w:val="auto"/>
                <w:sz w:val="24"/>
                <w:szCs w:val="24"/>
                <w:highlight w:val="none"/>
                <w:lang w:eastAsia="zh-CN"/>
              </w:rPr>
              <w:t>三级化粪池</w:t>
            </w:r>
            <w:r>
              <w:rPr>
                <w:rFonts w:hint="default" w:ascii="Times New Roman" w:hAnsi="Times New Roman" w:cs="Times New Roman"/>
                <w:color w:val="auto"/>
                <w:sz w:val="24"/>
                <w:szCs w:val="24"/>
                <w:highlight w:val="none"/>
              </w:rPr>
              <w:t>预处理、生产废水经自建废水处理设施处理后，进入园区污水处理厂深度处理，处理后的尾水排入武江（乐昌城-犁市河段）。</w:t>
            </w:r>
          </w:p>
          <w:p w14:paraId="5D906C57">
            <w:pPr>
              <w:pStyle w:val="21"/>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自建废水处理设施设计处理能力为</w:t>
            </w:r>
            <w:r>
              <w:rPr>
                <w:rFonts w:hint="eastAsia"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default" w:ascii="Times New Roman" w:hAnsi="Times New Roman" w:cs="Times New Roman"/>
                <w:color w:val="auto"/>
                <w:sz w:val="24"/>
                <w:szCs w:val="24"/>
                <w:highlight w:val="none"/>
                <w:lang w:val="en-US" w:eastAsia="zh-CN"/>
              </w:rPr>
              <w:t>为避免槽液更换期间，更换废水一并进入自建污水处理站造成水质冲击，本项目处理池及污水排放管网设置有阀门，自建污水处理站设置流量调节装置，可将槽液更换期间产生的废水分批次纳入调节池中，另建设单位应加强废水管理，避免所有处理池排放废水在同一天排入自建污水处理站中，废水处理设计处理能力为</w:t>
            </w:r>
            <w:r>
              <w:rPr>
                <w:rFonts w:hint="eastAsia"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/d，</w:t>
            </w:r>
            <w:r>
              <w:rPr>
                <w:rFonts w:hint="default" w:ascii="Times New Roman" w:hAnsi="Times New Roman" w:cs="Times New Roman"/>
                <w:color w:val="auto"/>
                <w:sz w:val="24"/>
                <w:szCs w:val="24"/>
                <w:highlight w:val="none"/>
              </w:rPr>
              <w:t>满足本项目所需处理的废水量</w:t>
            </w:r>
            <w:r>
              <w:rPr>
                <w:rFonts w:hint="eastAsia" w:cs="Times New Roman"/>
                <w:color w:val="auto"/>
                <w:sz w:val="24"/>
                <w:szCs w:val="24"/>
                <w:highlight w:val="none"/>
                <w:lang w:val="en-US" w:eastAsia="zh-CN"/>
              </w:rPr>
              <w:t>8.3</w:t>
            </w:r>
            <w:r>
              <w:rPr>
                <w:rFonts w:hint="eastAsia"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/d</w:t>
            </w:r>
            <w:r>
              <w:rPr>
                <w:rFonts w:hint="default" w:ascii="Times New Roman" w:hAnsi="Times New Roman" w:cs="Times New Roman"/>
                <w:color w:val="auto"/>
                <w:sz w:val="24"/>
                <w:szCs w:val="24"/>
                <w:highlight w:val="none"/>
              </w:rPr>
              <w:t>。</w:t>
            </w:r>
          </w:p>
          <w:p w14:paraId="2EAEC4A7">
            <w:pPr>
              <w:pStyle w:val="21"/>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szCs w:val="24"/>
                <w:highlight w:val="none"/>
              </w:rPr>
            </w:pPr>
            <w:r>
              <w:rPr>
                <w:rFonts w:hint="eastAsia"/>
                <w:color w:val="auto"/>
                <w:sz w:val="24"/>
                <w:szCs w:val="24"/>
                <w:highlight w:val="none"/>
                <w:lang w:val="en-US" w:eastAsia="zh-CN"/>
              </w:rPr>
              <w:t>根据废水产生情况，槽液更换量最大为9.6m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，每次更换一个槽池，假设更换槽液时其他池子正常作业（即溢流废水正常产生），则单日最大废水产生量为9.6+2160÷300=16.8t/d，项目废水处理站设置调节池容积为20m</w:t>
            </w:r>
            <w:r>
              <w:rPr>
                <w:rFonts w:hint="eastAsia"/>
                <w:color w:val="auto"/>
                <w:sz w:val="24"/>
                <w:szCs w:val="24"/>
                <w:highlight w:val="none"/>
                <w:vertAlign w:val="superscript"/>
                <w:lang w:val="en-US" w:eastAsia="zh-CN"/>
              </w:rPr>
              <w:t>3</w:t>
            </w:r>
            <w:r>
              <w:rPr>
                <w:rFonts w:hint="eastAsia"/>
                <w:color w:val="auto"/>
                <w:sz w:val="24"/>
                <w:szCs w:val="24"/>
                <w:highlight w:val="none"/>
                <w:vertAlign w:val="baseline"/>
                <w:lang w:val="en-US" w:eastAsia="zh-CN"/>
              </w:rPr>
              <w:t>，大于单日最大废水产生量，调节池容积足以缓冲水量冲击负荷。</w:t>
            </w:r>
          </w:p>
          <w:p w14:paraId="296B423F">
            <w:pPr>
              <w:pageBreakBefore w:val="0"/>
              <w:widowControl w:val="0"/>
              <w:kinsoku/>
              <w:wordWrap w:val="0"/>
              <w:overflowPunct/>
              <w:topLinePunct w:val="0"/>
              <w:bidi w:val="0"/>
              <w:spacing w:line="360" w:lineRule="auto"/>
              <w:ind w:firstLine="480" w:firstLineChars="200"/>
              <w:jc w:val="both"/>
              <w:rPr>
                <w:rFonts w:hint="eastAsia" w:ascii="宋体" w:hAnsi="宋体" w:eastAsia="宋体" w:cs="宋体"/>
                <w:color w:val="auto"/>
                <w:kern w:val="0"/>
                <w:sz w:val="24"/>
                <w:szCs w:val="24"/>
                <w:highlight w:val="none"/>
                <w:lang w:val="en-US" w:eastAsia="zh-CN"/>
              </w:rPr>
            </w:pPr>
            <w:r>
              <w:rPr>
                <w:rFonts w:hint="default" w:ascii="Times New Roman" w:hAnsi="Times New Roman" w:cs="Times New Roman"/>
                <w:color w:val="auto"/>
                <w:kern w:val="0"/>
                <w:sz w:val="24"/>
                <w:szCs w:val="24"/>
                <w:highlight w:val="none"/>
              </w:rPr>
              <w:t>园区污水处理厂出水水质执行《城镇污水处理厂污染物排放标准》（GB18918-2002）中一级B标准和广东省《水污染物排放限值》（DB44/26-2001）中的第二时段一级排放标准较严者，对周围环境影响较小。</w:t>
            </w:r>
          </w:p>
          <w:p w14:paraId="25B97932">
            <w:pPr>
              <w:pageBreakBefore w:val="0"/>
              <w:widowControl w:val="0"/>
              <w:kinsoku/>
              <w:wordWrap w:val="0"/>
              <w:overflowPunct/>
              <w:topLinePunct w:val="0"/>
              <w:bidi w:val="0"/>
              <w:spacing w:line="360" w:lineRule="auto"/>
              <w:ind w:firstLine="480" w:firstLineChars="200"/>
              <w:jc w:val="both"/>
              <w:rPr>
                <w:rFonts w:ascii="Times New Roman" w:hAnsi="Times New Roman" w:eastAsia="宋体" w:cs="Times New Roman"/>
                <w:b/>
                <w:bCs/>
                <w:color w:val="auto"/>
                <w:kern w:val="2"/>
                <w:sz w:val="24"/>
                <w:szCs w:val="24"/>
                <w:highlight w:val="none"/>
                <w:lang w:val="en-US" w:eastAsia="zh-CN" w:bidi="ar-SA"/>
              </w:rPr>
            </w:pPr>
            <w:r>
              <w:rPr>
                <w:rFonts w:ascii="Times New Roman" w:hAnsi="Times New Roman" w:eastAsia="宋体" w:cs="Times New Roman"/>
                <w:b/>
                <w:bCs/>
                <w:color w:val="auto"/>
                <w:kern w:val="2"/>
                <w:sz w:val="24"/>
                <w:szCs w:val="24"/>
                <w:highlight w:val="none"/>
                <w:lang w:val="en-US" w:eastAsia="zh-CN" w:bidi="ar-SA"/>
              </w:rPr>
              <w:t>（</w:t>
            </w:r>
            <w:r>
              <w:rPr>
                <w:rFonts w:hint="eastAsia" w:ascii="Times New Roman" w:hAnsi="Times New Roman" w:eastAsia="宋体" w:cs="Times New Roman"/>
                <w:b/>
                <w:bCs/>
                <w:color w:val="auto"/>
                <w:kern w:val="2"/>
                <w:sz w:val="24"/>
                <w:szCs w:val="24"/>
                <w:highlight w:val="none"/>
                <w:lang w:val="en-US" w:eastAsia="zh-CN" w:bidi="ar-SA"/>
              </w:rPr>
              <w:t>3</w:t>
            </w:r>
            <w:r>
              <w:rPr>
                <w:rFonts w:ascii="Times New Roman" w:hAnsi="Times New Roman" w:eastAsia="宋体" w:cs="Times New Roman"/>
                <w:b/>
                <w:bCs/>
                <w:color w:val="auto"/>
                <w:kern w:val="2"/>
                <w:sz w:val="24"/>
                <w:szCs w:val="24"/>
                <w:highlight w:val="none"/>
                <w:lang w:val="en-US" w:eastAsia="zh-CN" w:bidi="ar-SA"/>
              </w:rPr>
              <w:t>）依托污水设施的环境可行性评价</w:t>
            </w:r>
          </w:p>
          <w:p w14:paraId="6FAE30A9">
            <w:pPr>
              <w:pStyle w:val="21"/>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产业园范围内已有乐昌产业转移工业园污水处理厂，</w:t>
            </w:r>
            <w:r>
              <w:rPr>
                <w:rFonts w:hint="default" w:ascii="Times New Roman" w:hAnsi="Times New Roman" w:cs="Times New Roman"/>
                <w:color w:val="auto"/>
                <w:sz w:val="24"/>
                <w:szCs w:val="24"/>
                <w:highlight w:val="none"/>
                <w:lang w:val="en-US" w:eastAsia="zh-CN"/>
              </w:rPr>
              <w:t>且本项目所在地块已纳入现状排污管收集范围内。</w:t>
            </w:r>
            <w:r>
              <w:rPr>
                <w:rFonts w:hint="default" w:ascii="Times New Roman" w:hAnsi="Times New Roman" w:cs="Times New Roman"/>
                <w:color w:val="auto"/>
                <w:sz w:val="24"/>
                <w:szCs w:val="24"/>
                <w:highlight w:val="none"/>
              </w:rPr>
              <w:t>污水工艺采用循环式活性污泥法（CASS）工艺。出水水质标准执行广东省地方标准《水污染物排放限值》</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DB44/26-2001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第二时段一级标准及国家《城镇污水处理厂污染物排放标准》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GB18918-2002</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一级B标准中较严标准，处理达标后由污水处理厂内提升泵通过已建成6392米长的出水管道输送至武江排放。</w:t>
            </w:r>
          </w:p>
          <w:p w14:paraId="524E94EA">
            <w:pPr>
              <w:pStyle w:val="21"/>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园区污水处理厂主体工艺</w:t>
            </w:r>
            <w:r>
              <w:rPr>
                <w:rFonts w:hint="default" w:ascii="Times New Roman" w:hAnsi="Times New Roman" w:cs="Times New Roman"/>
                <w:color w:val="auto"/>
                <w:sz w:val="24"/>
                <w:szCs w:val="24"/>
                <w:highlight w:val="none"/>
                <w:lang w:eastAsia="zh-CN"/>
              </w:rPr>
              <w:t>采用</w:t>
            </w:r>
            <w:r>
              <w:rPr>
                <w:rFonts w:hint="default" w:ascii="Times New Roman" w:hAnsi="Times New Roman" w:cs="Times New Roman"/>
                <w:color w:val="auto"/>
                <w:sz w:val="24"/>
                <w:szCs w:val="24"/>
                <w:highlight w:val="none"/>
              </w:rPr>
              <w:t>CASS，该工艺运行灵活、耐冲击能力强等优点。对于产业转移工业园工业废水，现状各企业基本无生产废水产生，只产生生活污水。可能对污水厂处理工艺产生影响的主要为产业转移工业园规划引进的企业的生产废水，园区主导行业电子信息、机械、金属制品、轻纺等产业可能产生的生产废水中部分指标较高，对于接入污水厂的生产废水，产业转移工业园要求企业根据生产废水的水质情况进行预处理。其中，如有集成电路生产企业，其生产废水经pH值调节、投药、絮凝沉淀，重点去除F</w:t>
            </w:r>
            <w:r>
              <w:rPr>
                <w:rFonts w:hint="default" w:ascii="Times New Roman" w:hAnsi="Times New Roman" w:cs="Times New Roman"/>
                <w:color w:val="auto"/>
                <w:sz w:val="24"/>
                <w:szCs w:val="24"/>
                <w:highlight w:val="none"/>
                <w:vertAlign w:val="superscript"/>
              </w:rPr>
              <w:t>-</w:t>
            </w:r>
            <w:r>
              <w:rPr>
                <w:rFonts w:hint="default" w:ascii="Times New Roman" w:hAnsi="Times New Roman" w:cs="Times New Roman"/>
                <w:color w:val="auto"/>
                <w:sz w:val="24"/>
                <w:szCs w:val="24"/>
                <w:highlight w:val="none"/>
              </w:rPr>
              <w:t>后，预处理达到广东省《水污染</w:t>
            </w:r>
            <w:r>
              <w:rPr>
                <w:rFonts w:hint="default" w:ascii="Times New Roman" w:hAnsi="Times New Roman" w:cs="Times New Roman"/>
                <w:color w:val="auto"/>
                <w:sz w:val="24"/>
                <w:szCs w:val="24"/>
                <w:highlight w:val="none"/>
                <w:lang w:val="en-US" w:eastAsia="zh-CN"/>
              </w:rPr>
              <w:t>物</w:t>
            </w:r>
            <w:r>
              <w:rPr>
                <w:rFonts w:hint="default" w:ascii="Times New Roman" w:hAnsi="Times New Roman" w:cs="Times New Roman"/>
                <w:color w:val="auto"/>
                <w:sz w:val="24"/>
                <w:szCs w:val="24"/>
                <w:highlight w:val="none"/>
              </w:rPr>
              <w:t>排放限值》</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DB44/26-2001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第二时段三级标准</w:t>
            </w:r>
            <w:r>
              <w:rPr>
                <w:rFonts w:hint="default" w:ascii="Times New Roman" w:hAnsi="Times New Roman" w:cs="Times New Roman"/>
                <w:color w:val="auto"/>
                <w:sz w:val="24"/>
                <w:szCs w:val="24"/>
                <w:highlight w:val="none"/>
                <w:lang w:eastAsia="zh-CN"/>
              </w:rPr>
              <w:t>。</w:t>
            </w:r>
          </w:p>
          <w:p w14:paraId="7275E1A5">
            <w:pPr>
              <w:pStyle w:val="19"/>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产业园污水处理厂目前已建成正常运行，并安装了在线监控设施并</w:t>
            </w:r>
            <w:r>
              <w:rPr>
                <w:rFonts w:hint="default" w:ascii="Times New Roman" w:hAnsi="Times New Roman" w:cs="Times New Roman"/>
                <w:color w:val="auto"/>
                <w:sz w:val="24"/>
                <w:szCs w:val="24"/>
                <w:highlight w:val="none"/>
                <w:lang w:eastAsia="zh-CN"/>
              </w:rPr>
              <w:t>与</w:t>
            </w:r>
            <w:r>
              <w:rPr>
                <w:rFonts w:hint="default" w:ascii="Times New Roman" w:hAnsi="Times New Roman" w:cs="Times New Roman"/>
                <w:color w:val="auto"/>
                <w:sz w:val="24"/>
                <w:szCs w:val="24"/>
                <w:highlight w:val="none"/>
              </w:rPr>
              <w:t>环保部门联网，园区污水处理厂占地面积15400m²，设计处理能力为10000m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/d，分两期建设，一期处理能力5000m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/d，二期处理能力5000m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/d，现状首期5000m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/d已经建成运行。</w:t>
            </w:r>
          </w:p>
          <w:p w14:paraId="0A4E0A82">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根据乐昌产业转移工业园管委会提供的资料显示：2025年1月至6月期间，乐昌市产业转移工业园污水处理厂接纳污水总量为404312</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vertAlign w:val="baseline"/>
                <w:lang w:eastAsia="zh-CN"/>
              </w:rPr>
              <w:t>，</w:t>
            </w:r>
            <w:r>
              <w:rPr>
                <w:rFonts w:hint="default" w:ascii="Times New Roman" w:hAnsi="Times New Roman" w:cs="Times New Roman"/>
                <w:color w:val="auto"/>
                <w:sz w:val="24"/>
                <w:szCs w:val="24"/>
                <w:highlight w:val="none"/>
                <w:vertAlign w:val="baseline"/>
                <w:lang w:val="en-US" w:eastAsia="zh-CN"/>
              </w:rPr>
              <w:t>最大接纳污水量为6月</w:t>
            </w:r>
            <w:r>
              <w:rPr>
                <w:rFonts w:hint="default" w:ascii="Times New Roman" w:hAnsi="Times New Roman" w:cs="Times New Roman"/>
                <w:color w:val="auto"/>
                <w:sz w:val="24"/>
                <w:szCs w:val="24"/>
                <w:highlight w:val="none"/>
                <w:lang w:val="en-US" w:eastAsia="zh-CN"/>
              </w:rPr>
              <w:t>110739</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vertAlign w:val="baseline"/>
                <w:lang w:eastAsia="zh-CN"/>
              </w:rPr>
              <w:t>，</w:t>
            </w:r>
            <w:r>
              <w:rPr>
                <w:rFonts w:hint="default" w:ascii="Times New Roman" w:hAnsi="Times New Roman" w:cs="Times New Roman"/>
                <w:color w:val="auto"/>
                <w:sz w:val="24"/>
                <w:szCs w:val="24"/>
                <w:highlight w:val="none"/>
                <w:vertAlign w:val="baseline"/>
                <w:lang w:val="en-US" w:eastAsia="zh-CN"/>
              </w:rPr>
              <w:t>最小接纳污水量为1月</w:t>
            </w:r>
            <w:r>
              <w:rPr>
                <w:rFonts w:hint="default" w:ascii="Times New Roman" w:hAnsi="Times New Roman" w:cs="Times New Roman"/>
                <w:color w:val="auto"/>
                <w:sz w:val="24"/>
                <w:szCs w:val="24"/>
                <w:highlight w:val="none"/>
                <w:lang w:val="en-US" w:eastAsia="zh-CN"/>
              </w:rPr>
              <w:t>32168</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vertAlign w:val="baseline"/>
                <w:lang w:eastAsia="zh-CN"/>
              </w:rPr>
              <w:t>，</w:t>
            </w:r>
            <w:r>
              <w:rPr>
                <w:rFonts w:hint="default" w:ascii="Times New Roman" w:hAnsi="Times New Roman" w:cs="Times New Roman"/>
                <w:color w:val="auto"/>
                <w:sz w:val="24"/>
                <w:szCs w:val="24"/>
                <w:highlight w:val="none"/>
                <w:vertAlign w:val="baseline"/>
                <w:lang w:val="en-US" w:eastAsia="zh-CN"/>
              </w:rPr>
              <w:t>平均每月接纳污水总量为80862.4</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vertAlign w:val="baseline"/>
                <w:lang w:val="en-US" w:eastAsia="zh-CN"/>
              </w:rPr>
              <w:t>，按每月30日折算</w:t>
            </w:r>
            <w:r>
              <w:rPr>
                <w:rFonts w:hint="default" w:ascii="Times New Roman" w:hAnsi="Times New Roman" w:cs="Times New Roman"/>
                <w:color w:val="auto"/>
                <w:kern w:val="0"/>
                <w:sz w:val="24"/>
                <w:szCs w:val="24"/>
                <w:highlight w:val="none"/>
                <w:lang w:val="en-US" w:eastAsia="zh-CN"/>
              </w:rPr>
              <w:t>日处理量约为2695.4</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kern w:val="0"/>
                <w:sz w:val="24"/>
                <w:szCs w:val="24"/>
                <w:highlight w:val="none"/>
                <w:lang w:val="en-US" w:eastAsia="zh-CN"/>
              </w:rPr>
              <w:t>/d，则剩余接纳污水能力为</w:t>
            </w:r>
            <w:r>
              <w:rPr>
                <w:rFonts w:hint="default" w:ascii="Times New Roman" w:hAnsi="Times New Roman" w:cs="Times New Roman"/>
                <w:color w:val="auto"/>
                <w:sz w:val="24"/>
                <w:szCs w:val="24"/>
                <w:highlight w:val="none"/>
              </w:rPr>
              <w:t>5000m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kern w:val="0"/>
                <w:sz w:val="24"/>
                <w:szCs w:val="24"/>
                <w:highlight w:val="none"/>
                <w:lang w:val="en-US" w:eastAsia="zh-CN"/>
              </w:rPr>
              <w:t>2695.4</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kern w:val="0"/>
                <w:sz w:val="24"/>
                <w:szCs w:val="24"/>
                <w:highlight w:val="none"/>
                <w:lang w:val="en-US" w:eastAsia="zh-CN"/>
              </w:rPr>
              <w:t>/d=2304.6</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kern w:val="0"/>
                <w:sz w:val="24"/>
                <w:szCs w:val="24"/>
                <w:highlight w:val="none"/>
                <w:lang w:val="en-US" w:eastAsia="zh-CN"/>
              </w:rPr>
              <w:t>/d。</w:t>
            </w:r>
          </w:p>
          <w:p w14:paraId="58764E24">
            <w:pPr>
              <w:pStyle w:val="19"/>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本项目纳入污水处理厂的污水排放量</w:t>
            </w:r>
            <w:r>
              <w:rPr>
                <w:rFonts w:hint="eastAsia" w:ascii="Times New Roman" w:hAnsi="Times New Roman" w:cs="Times New Roman"/>
                <w:color w:val="auto"/>
                <w:sz w:val="24"/>
                <w:szCs w:val="24"/>
                <w:highlight w:val="none"/>
                <w:lang w:val="en-US" w:eastAsia="zh-CN"/>
              </w:rPr>
              <w:t>合计</w:t>
            </w:r>
            <w:r>
              <w:rPr>
                <w:rFonts w:hint="default" w:ascii="Times New Roman" w:hAnsi="Times New Roman" w:cs="Times New Roman"/>
                <w:color w:val="auto"/>
                <w:sz w:val="24"/>
                <w:szCs w:val="24"/>
                <w:highlight w:val="none"/>
              </w:rPr>
              <w:t>为</w:t>
            </w:r>
            <w:r>
              <w:rPr>
                <w:rFonts w:hint="eastAsia" w:ascii="Times New Roman" w:hAnsi="Times New Roman" w:cs="Times New Roman"/>
                <w:color w:val="auto"/>
                <w:sz w:val="24"/>
                <w:szCs w:val="24"/>
                <w:highlight w:val="none"/>
                <w:lang w:val="en-US" w:eastAsia="zh-CN"/>
              </w:rPr>
              <w:t>10.88</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包括生产废水8.36</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eastAsia" w:ascii="Times New Roman" w:hAnsi="Times New Roman" w:cs="Times New Roman"/>
                <w:color w:val="auto"/>
                <w:sz w:val="24"/>
                <w:szCs w:val="24"/>
                <w:highlight w:val="none"/>
                <w:lang w:val="en-US" w:eastAsia="zh-CN"/>
              </w:rPr>
              <w:t>和生活污水2.52</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约</w:t>
            </w:r>
            <w:r>
              <w:rPr>
                <w:rFonts w:hint="default" w:ascii="Times New Roman" w:hAnsi="Times New Roman" w:cs="Times New Roman"/>
                <w:color w:val="auto"/>
                <w:sz w:val="24"/>
                <w:szCs w:val="24"/>
                <w:highlight w:val="none"/>
                <w:lang w:eastAsia="zh-CN"/>
              </w:rPr>
              <w:t>占剩余处理能力的</w:t>
            </w:r>
            <w:r>
              <w:rPr>
                <w:rFonts w:hint="eastAsia" w:ascii="Times New Roman" w:hAnsi="Times New Roman" w:cs="Times New Roman"/>
                <w:color w:val="auto"/>
                <w:sz w:val="24"/>
                <w:szCs w:val="24"/>
                <w:highlight w:val="none"/>
                <w:lang w:val="en-US" w:eastAsia="zh-CN"/>
              </w:rPr>
              <w:t>0.47</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污水中的污染物主要为SS、COD</w:t>
            </w:r>
            <w:r>
              <w:rPr>
                <w:rFonts w:hint="default" w:ascii="Times New Roman" w:hAnsi="Times New Roman" w:cs="Times New Roman"/>
                <w:color w:val="auto"/>
                <w:sz w:val="24"/>
                <w:szCs w:val="24"/>
                <w:highlight w:val="none"/>
                <w:vertAlign w:val="subscript"/>
                <w:lang w:val="en-US" w:eastAsia="zh-CN"/>
              </w:rPr>
              <w:t>Cr</w:t>
            </w:r>
            <w:r>
              <w:rPr>
                <w:rFonts w:hint="default" w:ascii="Times New Roman" w:hAnsi="Times New Roman" w:cs="Times New Roman"/>
                <w:color w:val="auto"/>
                <w:sz w:val="24"/>
                <w:szCs w:val="24"/>
                <w:highlight w:val="none"/>
              </w:rPr>
              <w:t>、BOD</w:t>
            </w:r>
            <w:r>
              <w:rPr>
                <w:rFonts w:hint="default" w:ascii="Times New Roman" w:hAnsi="Times New Roman" w:cs="Times New Roman"/>
                <w:color w:val="auto"/>
                <w:sz w:val="24"/>
                <w:szCs w:val="24"/>
                <w:highlight w:val="none"/>
                <w:vertAlign w:val="subscript"/>
                <w:lang w:val="en-US" w:eastAsia="zh-CN"/>
              </w:rPr>
              <w:t>5</w:t>
            </w:r>
            <w:r>
              <w:rPr>
                <w:rFonts w:hint="default" w:ascii="Times New Roman" w:hAnsi="Times New Roman" w:cs="Times New Roman"/>
                <w:color w:val="auto"/>
                <w:sz w:val="24"/>
                <w:szCs w:val="24"/>
                <w:highlight w:val="none"/>
              </w:rPr>
              <w:t>、NH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-N、氟化物、LAS、石油类</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TP、总锌</w:t>
            </w:r>
            <w:r>
              <w:rPr>
                <w:rFonts w:hint="default" w:ascii="Times New Roman" w:hAnsi="Times New Roman" w:cs="Times New Roman"/>
                <w:color w:val="auto"/>
                <w:sz w:val="24"/>
                <w:szCs w:val="24"/>
                <w:highlight w:val="none"/>
              </w:rPr>
              <w:t>等，污染物种类较简单</w:t>
            </w:r>
            <w:r>
              <w:rPr>
                <w:rFonts w:hint="default" w:ascii="Times New Roman" w:hAnsi="Times New Roman" w:cs="Times New Roman"/>
                <w:color w:val="auto"/>
                <w:sz w:val="24"/>
                <w:szCs w:val="24"/>
                <w:highlight w:val="none"/>
                <w:lang w:eastAsia="zh-CN"/>
              </w:rPr>
              <w:t>。</w:t>
            </w:r>
          </w:p>
          <w:p w14:paraId="4DCB16A4">
            <w:pPr>
              <w:pStyle w:val="19"/>
              <w:keepNext w:val="0"/>
              <w:keepLines w:val="0"/>
              <w:suppressLineNumbers w:val="0"/>
              <w:spacing w:before="0" w:beforeAutospacing="0" w:after="0" w:afterAutospacing="0" w:line="360" w:lineRule="auto"/>
              <w:ind w:left="0" w:right="0" w:firstLine="480"/>
              <w:rPr>
                <w:rFonts w:hint="default" w:ascii="Times New Roman" w:hAnsi="Times New Roman" w:cs="Times New Roman"/>
                <w:b/>
                <w:bCs/>
                <w:color w:val="auto"/>
                <w:sz w:val="24"/>
                <w:szCs w:val="24"/>
                <w:highlight w:val="none"/>
                <w:lang w:val="en-US"/>
              </w:rPr>
            </w:pPr>
            <w:r>
              <w:rPr>
                <w:rFonts w:hint="default" w:ascii="Times New Roman" w:hAnsi="Times New Roman" w:cs="Times New Roman"/>
                <w:b/>
                <w:bCs/>
                <w:color w:val="auto"/>
                <w:sz w:val="24"/>
                <w:szCs w:val="24"/>
                <w:highlight w:val="none"/>
                <w:lang w:val="en-US" w:eastAsia="zh-CN"/>
              </w:rPr>
              <w:t>园区污水处理厂对</w:t>
            </w:r>
            <w:bookmarkStart w:id="128" w:name="OLE_LINK49"/>
            <w:r>
              <w:rPr>
                <w:rFonts w:hint="default" w:ascii="Times New Roman" w:hAnsi="Times New Roman" w:cs="Times New Roman"/>
                <w:b/>
                <w:bCs/>
                <w:color w:val="auto"/>
                <w:sz w:val="24"/>
                <w:szCs w:val="24"/>
                <w:highlight w:val="none"/>
                <w:lang w:val="en-US" w:eastAsia="zh-CN"/>
              </w:rPr>
              <w:t>LAS、氟化物</w:t>
            </w:r>
            <w:bookmarkEnd w:id="128"/>
            <w:r>
              <w:rPr>
                <w:rFonts w:hint="eastAsia" w:ascii="Times New Roman" w:hAnsi="Times New Roman" w:cs="Times New Roman"/>
                <w:b/>
                <w:bCs/>
                <w:color w:val="auto"/>
                <w:sz w:val="24"/>
                <w:szCs w:val="24"/>
                <w:highlight w:val="none"/>
                <w:lang w:val="en-US" w:eastAsia="zh-CN"/>
              </w:rPr>
              <w:t>、总钼、总钛</w:t>
            </w:r>
            <w:r>
              <w:rPr>
                <w:rFonts w:hint="default" w:ascii="Times New Roman" w:hAnsi="Times New Roman" w:cs="Times New Roman"/>
                <w:b/>
                <w:bCs/>
                <w:color w:val="auto"/>
                <w:sz w:val="24"/>
                <w:szCs w:val="24"/>
                <w:highlight w:val="none"/>
                <w:lang w:val="en-US" w:eastAsia="zh-CN"/>
              </w:rPr>
              <w:t>的处理能力分析：</w:t>
            </w:r>
          </w:p>
          <w:p w14:paraId="22DAC9B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rPr>
            </w:pPr>
            <w:bookmarkStart w:id="129" w:name="OLE_LINK50"/>
            <w:r>
              <w:rPr>
                <w:rFonts w:hint="default" w:ascii="Times New Roman" w:hAnsi="Times New Roman" w:eastAsia="宋体" w:cs="Times New Roman"/>
                <w:b w:val="0"/>
                <w:bCs w:val="0"/>
                <w:color w:val="auto"/>
                <w:sz w:val="24"/>
                <w:szCs w:val="24"/>
                <w:highlight w:val="none"/>
              </w:rPr>
              <w:t>一、工艺适配性分析</w:t>
            </w:r>
          </w:p>
          <w:p w14:paraId="3C3A196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rPr>
              <w:t>预处理工艺与园区工艺衔接</w:t>
            </w:r>
          </w:p>
          <w:p w14:paraId="1619769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本项目</w:t>
            </w:r>
            <w:r>
              <w:rPr>
                <w:rFonts w:hint="default" w:ascii="Times New Roman" w:hAnsi="Times New Roman" w:eastAsia="宋体" w:cs="Times New Roman"/>
                <w:b w:val="0"/>
                <w:bCs w:val="0"/>
                <w:color w:val="auto"/>
                <w:sz w:val="24"/>
                <w:szCs w:val="24"/>
                <w:highlight w:val="none"/>
              </w:rPr>
              <w:t>采用“</w:t>
            </w:r>
            <w:r>
              <w:rPr>
                <w:rFonts w:hint="eastAsia" w:cs="Times New Roman"/>
                <w:color w:val="auto"/>
                <w:kern w:val="0"/>
                <w:sz w:val="24"/>
                <w:szCs w:val="20"/>
                <w:highlight w:val="none"/>
                <w:lang w:val="en-US" w:eastAsia="zh-CN" w:bidi="ar-SA"/>
              </w:rPr>
              <w:t>中和调节+混凝沉淀+二级除磷+水解酸化+接触氧化+MBR膜池</w:t>
            </w:r>
            <w:r>
              <w:rPr>
                <w:rFonts w:hint="default" w:ascii="Times New Roman" w:hAnsi="Times New Roman" w:eastAsia="宋体" w:cs="Times New Roman"/>
                <w:b w:val="0"/>
                <w:bCs w:val="0"/>
                <w:color w:val="auto"/>
                <w:sz w:val="24"/>
                <w:szCs w:val="24"/>
                <w:highlight w:val="none"/>
              </w:rPr>
              <w:t>”预处理工艺，混凝沉淀通过电荷中和作用破坏LAS胶体稳定性，气浮则通过微气泡吸附将其分离</w:t>
            </w:r>
            <w:r>
              <w:rPr>
                <w:rFonts w:hint="default" w:ascii="Times New Roman" w:hAnsi="Times New Roman" w:eastAsia="宋体" w:cs="Times New Roman"/>
                <w:b w:val="0"/>
                <w:bCs w:val="0"/>
                <w:color w:val="auto"/>
                <w:sz w:val="24"/>
                <w:szCs w:val="24"/>
                <w:highlight w:val="none"/>
                <w:lang w:eastAsia="zh-CN"/>
              </w:rPr>
              <w:t>。预处理工艺</w:t>
            </w:r>
            <w:r>
              <w:rPr>
                <w:rFonts w:hint="default" w:ascii="Times New Roman" w:hAnsi="Times New Roman" w:eastAsia="宋体" w:cs="Times New Roman"/>
                <w:b w:val="0"/>
                <w:bCs w:val="0"/>
                <w:color w:val="auto"/>
                <w:sz w:val="24"/>
                <w:szCs w:val="24"/>
                <w:highlight w:val="none"/>
              </w:rPr>
              <w:t>可有效降低废水中LAS、氟化物、总</w:t>
            </w:r>
            <w:r>
              <w:rPr>
                <w:rFonts w:hint="eastAsia" w:ascii="Times New Roman" w:hAnsi="Times New Roman" w:cs="Times New Roman"/>
                <w:b w:val="0"/>
                <w:bCs w:val="0"/>
                <w:color w:val="auto"/>
                <w:sz w:val="24"/>
                <w:szCs w:val="24"/>
                <w:highlight w:val="none"/>
                <w:lang w:val="en-US" w:eastAsia="zh-CN"/>
              </w:rPr>
              <w:t>钼</w:t>
            </w:r>
            <w:r>
              <w:rPr>
                <w:rFonts w:hint="default" w:ascii="Times New Roman" w:hAnsi="Times New Roman" w:eastAsia="宋体" w:cs="Times New Roman"/>
                <w:b w:val="0"/>
                <w:bCs w:val="0"/>
                <w:color w:val="auto"/>
                <w:sz w:val="24"/>
                <w:szCs w:val="24"/>
                <w:highlight w:val="none"/>
              </w:rPr>
              <w:t>、总钛浓度</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显著减轻园区污水处理厂负荷。</w:t>
            </w:r>
          </w:p>
          <w:p w14:paraId="7507AAD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rPr>
              <w:t>CASS工艺处理能力</w:t>
            </w:r>
          </w:p>
          <w:p w14:paraId="5A1BA59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a</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金属氢氧化物沉淀机理</w:t>
            </w:r>
          </w:p>
          <w:p w14:paraId="1521D34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val="en-US" w:eastAsia="zh-CN"/>
              </w:rPr>
              <w:t xml:space="preserve"> MoO</w:t>
            </w:r>
            <w:r>
              <w:rPr>
                <w:rFonts w:hint="default" w:ascii="Times New Roman" w:hAnsi="Times New Roman" w:eastAsia="宋体" w:cs="Times New Roman"/>
                <w:b w:val="0"/>
                <w:bCs w:val="0"/>
                <w:color w:val="auto"/>
                <w:sz w:val="24"/>
                <w:szCs w:val="24"/>
                <w:highlight w:val="none"/>
                <w:vertAlign w:val="subscript"/>
                <w:lang w:val="en-US" w:eastAsia="zh-CN"/>
              </w:rPr>
              <w:t>4</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lang w:eastAsia="zh-CN"/>
              </w:rPr>
              <w:t>在pH</w:t>
            </w:r>
            <w:r>
              <w:rPr>
                <w:rFonts w:hint="default" w:ascii="Times New Roman" w:hAnsi="Times New Roman" w:eastAsia="宋体" w:cs="Times New Roman"/>
                <w:b w:val="0"/>
                <w:bCs w:val="0"/>
                <w:color w:val="auto"/>
                <w:sz w:val="24"/>
                <w:szCs w:val="24"/>
                <w:highlight w:val="none"/>
                <w:lang w:val="en-US" w:eastAsia="zh-CN"/>
              </w:rPr>
              <w:t>为3.5~5</w:t>
            </w:r>
            <w:r>
              <w:rPr>
                <w:rFonts w:hint="default" w:ascii="Times New Roman" w:hAnsi="Times New Roman" w:eastAsia="宋体" w:cs="Times New Roman"/>
                <w:b w:val="0"/>
                <w:bCs w:val="0"/>
                <w:color w:val="auto"/>
                <w:sz w:val="24"/>
                <w:szCs w:val="24"/>
                <w:highlight w:val="none"/>
                <w:lang w:eastAsia="zh-CN"/>
              </w:rPr>
              <w:t>条件下主要通过 吸附于 Fe (OH)₃ 絮体形成共沉淀去除，</w:t>
            </w:r>
            <w:r>
              <w:rPr>
                <w:rFonts w:hint="default" w:ascii="Times New Roman" w:hAnsi="Times New Roman" w:eastAsia="宋体" w:cs="Times New Roman"/>
                <w:b w:val="0"/>
                <w:bCs w:val="0"/>
                <w:color w:val="auto"/>
                <w:sz w:val="24"/>
                <w:szCs w:val="24"/>
                <w:highlight w:val="none"/>
              </w:rPr>
              <w:t>Ti⁴⁺</w:t>
            </w:r>
            <w:r>
              <w:rPr>
                <w:rFonts w:hint="eastAsia" w:ascii="Times New Roman" w:hAnsi="Times New Roman" w:cs="Times New Roman"/>
                <w:b w:val="0"/>
                <w:bCs w:val="0"/>
                <w:color w:val="auto"/>
                <w:sz w:val="24"/>
                <w:szCs w:val="24"/>
                <w:highlight w:val="none"/>
                <w:lang w:val="en-US" w:eastAsia="zh-CN"/>
              </w:rPr>
              <w:t>在</w:t>
            </w:r>
            <w:r>
              <w:rPr>
                <w:rFonts w:hint="default" w:ascii="Times New Roman" w:hAnsi="Times New Roman" w:eastAsia="宋体" w:cs="Times New Roman"/>
                <w:b w:val="0"/>
                <w:bCs w:val="0"/>
                <w:color w:val="auto"/>
                <w:sz w:val="24"/>
                <w:szCs w:val="24"/>
                <w:highlight w:val="none"/>
              </w:rPr>
              <w:t>pH≥7.</w:t>
            </w:r>
            <w:r>
              <w:rPr>
                <w:rFonts w:hint="eastAsia" w:ascii="Times New Roman" w:hAnsi="Times New Roman" w:cs="Times New Roman"/>
                <w:b w:val="0"/>
                <w:bCs w:val="0"/>
                <w:color w:val="auto"/>
                <w:sz w:val="24"/>
                <w:szCs w:val="24"/>
                <w:highlight w:val="none"/>
                <w:lang w:val="en-US" w:eastAsia="zh-CN"/>
              </w:rPr>
              <w:t>0</w:t>
            </w:r>
            <w:r>
              <w:rPr>
                <w:rFonts w:hint="default" w:ascii="Times New Roman" w:hAnsi="Times New Roman" w:eastAsia="宋体" w:cs="Times New Roman"/>
                <w:b w:val="0"/>
                <w:bCs w:val="0"/>
                <w:color w:val="auto"/>
                <w:sz w:val="24"/>
                <w:szCs w:val="24"/>
                <w:highlight w:val="none"/>
              </w:rPr>
              <w:t>条件下形成Ti(OH)₄胶体（Ksp≈10⁻⁴⁴），投加PAC（聚合氯化铝）和PAM（聚丙烯酰胺）后，通过电荷中和、吸附架桥及网捕作用，形成致密絮体，</w:t>
            </w:r>
            <w:r>
              <w:rPr>
                <w:rFonts w:hint="default" w:ascii="Times New Roman" w:hAnsi="Times New Roman" w:eastAsia="宋体" w:cs="Times New Roman"/>
                <w:b w:val="0"/>
                <w:bCs w:val="0"/>
                <w:color w:val="auto"/>
                <w:sz w:val="24"/>
                <w:szCs w:val="24"/>
                <w:highlight w:val="none"/>
                <w:lang w:val="en-US" w:eastAsia="zh-CN"/>
              </w:rPr>
              <w:t>可</w:t>
            </w:r>
            <w:r>
              <w:rPr>
                <w:rFonts w:hint="default" w:ascii="Times New Roman" w:hAnsi="Times New Roman" w:eastAsia="宋体" w:cs="Times New Roman"/>
                <w:b w:val="0"/>
                <w:bCs w:val="0"/>
                <w:color w:val="auto"/>
                <w:sz w:val="24"/>
                <w:szCs w:val="24"/>
                <w:highlight w:val="none"/>
              </w:rPr>
              <w:t>沉淀</w:t>
            </w:r>
            <w:r>
              <w:rPr>
                <w:rFonts w:hint="default" w:ascii="Times New Roman" w:hAnsi="Times New Roman" w:eastAsia="宋体" w:cs="Times New Roman"/>
                <w:b w:val="0"/>
                <w:bCs w:val="0"/>
                <w:color w:val="auto"/>
                <w:sz w:val="24"/>
                <w:szCs w:val="24"/>
                <w:highlight w:val="none"/>
                <w:lang w:val="en-US" w:eastAsia="zh-CN"/>
              </w:rPr>
              <w:t>去除，沉淀</w:t>
            </w:r>
            <w:r>
              <w:rPr>
                <w:rFonts w:hint="default" w:ascii="Times New Roman" w:hAnsi="Times New Roman" w:eastAsia="宋体" w:cs="Times New Roman"/>
                <w:b w:val="0"/>
                <w:bCs w:val="0"/>
                <w:color w:val="auto"/>
                <w:sz w:val="24"/>
                <w:szCs w:val="24"/>
                <w:highlight w:val="none"/>
              </w:rPr>
              <w:t>效率提升20%</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rPr>
              <w:t>30%</w:t>
            </w:r>
            <w:r>
              <w:rPr>
                <w:rFonts w:hint="default" w:ascii="Times New Roman" w:hAnsi="Times New Roman" w:eastAsia="宋体" w:cs="Times New Roman"/>
                <w:b w:val="0"/>
                <w:bCs w:val="0"/>
                <w:color w:val="auto"/>
                <w:sz w:val="24"/>
                <w:szCs w:val="24"/>
                <w:highlight w:val="none"/>
                <w:lang w:eastAsia="zh-CN"/>
              </w:rPr>
              <w:t>。</w:t>
            </w:r>
          </w:p>
          <w:p w14:paraId="4E128AD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b</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生物吸附机制</w:t>
            </w:r>
          </w:p>
          <w:p w14:paraId="49CCF44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活性污泥中微生物（如假单胞菌、芽孢杆菌）的细胞壁含羧基（-COOH）、羟基（-OH）等官能团，通过离子交换与表面络合吸附</w:t>
            </w:r>
            <w:r>
              <w:rPr>
                <w:rFonts w:hint="eastAsia" w:ascii="Times New Roman" w:hAnsi="Times New Roman" w:cs="Times New Roman"/>
                <w:b w:val="0"/>
                <w:bCs w:val="0"/>
                <w:color w:val="auto"/>
                <w:sz w:val="24"/>
                <w:szCs w:val="24"/>
                <w:highlight w:val="none"/>
                <w:vertAlign w:val="baseline"/>
                <w:lang w:val="en-US" w:eastAsia="zh-CN"/>
              </w:rPr>
              <w:t>MoO</w:t>
            </w:r>
            <w:r>
              <w:rPr>
                <w:rFonts w:hint="eastAsia" w:ascii="Times New Roman" w:hAnsi="Times New Roman" w:cs="Times New Roman"/>
                <w:b w:val="0"/>
                <w:bCs w:val="0"/>
                <w:color w:val="auto"/>
                <w:sz w:val="24"/>
                <w:szCs w:val="24"/>
                <w:highlight w:val="none"/>
                <w:vertAlign w:val="subscript"/>
                <w:lang w:val="en-US" w:eastAsia="zh-CN"/>
              </w:rPr>
              <w:t>4</w:t>
            </w:r>
            <w:r>
              <w:rPr>
                <w:rFonts w:hint="eastAsia" w:ascii="Times New Roman" w:hAnsi="Times New Roman" w:cs="Times New Roman"/>
                <w:b w:val="0"/>
                <w:bCs w:val="0"/>
                <w:color w:val="auto"/>
                <w:sz w:val="24"/>
                <w:szCs w:val="24"/>
                <w:highlight w:val="none"/>
                <w:vertAlign w:val="superscript"/>
                <w:lang w:val="en-US" w:eastAsia="zh-CN"/>
              </w:rPr>
              <w:t>2-</w:t>
            </w:r>
            <w:r>
              <w:rPr>
                <w:rFonts w:hint="default" w:ascii="Times New Roman" w:hAnsi="Times New Roman" w:eastAsia="仿宋" w:cs="Times New Roman"/>
                <w:color w:val="auto"/>
                <w:sz w:val="28"/>
                <w:szCs w:val="28"/>
                <w:highlight w:val="none"/>
              </w:rPr>
              <w:t>、</w:t>
            </w:r>
            <w:r>
              <w:rPr>
                <w:rFonts w:hint="default" w:ascii="Times New Roman" w:hAnsi="Times New Roman" w:eastAsia="宋体" w:cs="Times New Roman"/>
                <w:b w:val="0"/>
                <w:bCs w:val="0"/>
                <w:color w:val="auto"/>
                <w:sz w:val="24"/>
                <w:szCs w:val="24"/>
                <w:highlight w:val="none"/>
              </w:rPr>
              <w:t>Ti⁴⁺，污泥回流设计（污泥龄15</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rPr>
              <w:t>25天）增强吸附容量（5</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rPr>
              <w:t>8mg/g MLSS）</w:t>
            </w:r>
            <w:r>
              <w:rPr>
                <w:rFonts w:hint="default" w:ascii="Times New Roman" w:hAnsi="Times New Roman" w:eastAsia="宋体" w:cs="Times New Roman"/>
                <w:b w:val="0"/>
                <w:bCs w:val="0"/>
                <w:color w:val="auto"/>
                <w:sz w:val="24"/>
                <w:szCs w:val="24"/>
                <w:highlight w:val="none"/>
                <w:lang w:eastAsia="zh-CN"/>
              </w:rPr>
              <w:t>。CASS工艺中活性污泥的微生物（如假单胞菌）可通过生物氧化分解LAS，其长污泥龄（15~25天）增强了对难降解有机物的去除能力。尽管预处理已大幅降低氟化物浓度，CASS工艺通过生物吸附和化学沉淀的协同作用（如微生物胞外聚合物对F</w:t>
            </w:r>
            <w:r>
              <w:rPr>
                <w:rFonts w:hint="default" w:ascii="Times New Roman" w:hAnsi="Times New Roman" w:eastAsia="宋体" w:cs="Times New Roman"/>
                <w:b w:val="0"/>
                <w:bCs w:val="0"/>
                <w:color w:val="auto"/>
                <w:sz w:val="24"/>
                <w:szCs w:val="24"/>
                <w:highlight w:val="none"/>
                <w:vertAlign w:val="superscript"/>
                <w:lang w:eastAsia="zh-CN"/>
              </w:rPr>
              <w:t>−</w:t>
            </w:r>
            <w:r>
              <w:rPr>
                <w:rFonts w:hint="default" w:ascii="Times New Roman" w:hAnsi="Times New Roman" w:eastAsia="宋体" w:cs="Times New Roman"/>
                <w:b w:val="0"/>
                <w:bCs w:val="0"/>
                <w:color w:val="auto"/>
                <w:sz w:val="24"/>
                <w:szCs w:val="24"/>
                <w:highlight w:val="none"/>
                <w:lang w:eastAsia="zh-CN"/>
              </w:rPr>
              <w:t>的络合），可进一步将氟化物浓度降</w:t>
            </w:r>
            <w:r>
              <w:rPr>
                <w:rFonts w:hint="default" w:ascii="Times New Roman" w:hAnsi="Times New Roman" w:eastAsia="宋体" w:cs="Times New Roman"/>
                <w:b w:val="0"/>
                <w:bCs w:val="0"/>
                <w:color w:val="auto"/>
                <w:sz w:val="24"/>
                <w:szCs w:val="24"/>
                <w:highlight w:val="none"/>
                <w:lang w:val="en-US" w:eastAsia="zh-CN"/>
              </w:rPr>
              <w:t>低</w:t>
            </w:r>
            <w:r>
              <w:rPr>
                <w:rFonts w:hint="default" w:ascii="Times New Roman" w:hAnsi="Times New Roman" w:eastAsia="宋体" w:cs="Times New Roman"/>
                <w:b w:val="0"/>
                <w:bCs w:val="0"/>
                <w:color w:val="auto"/>
                <w:sz w:val="24"/>
                <w:szCs w:val="24"/>
                <w:highlight w:val="none"/>
                <w:lang w:eastAsia="zh-CN"/>
              </w:rPr>
              <w:t>，强化达标保障。</w:t>
            </w:r>
          </w:p>
          <w:p w14:paraId="7455704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c</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协同增效效应</w:t>
            </w:r>
          </w:p>
          <w:p w14:paraId="178A979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化学沉淀生成的金属絮体与活性污泥包裹形成“生物-化学复合体”，较单一工艺提升去除率15%</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rPr>
              <w:t>25%。</w:t>
            </w:r>
          </w:p>
          <w:p w14:paraId="0E0A247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深度处理保障：后续絮凝沉淀池及纤维滤池可进一步截留微量金属</w:t>
            </w:r>
            <w:r>
              <w:rPr>
                <w:rFonts w:hint="default" w:ascii="Times New Roman" w:hAnsi="Times New Roman" w:eastAsia="宋体" w:cs="Times New Roman"/>
                <w:b w:val="0"/>
                <w:bCs w:val="0"/>
                <w:color w:val="auto"/>
                <w:sz w:val="24"/>
                <w:szCs w:val="24"/>
                <w:highlight w:val="none"/>
                <w:lang w:val="en-US" w:eastAsia="zh-CN"/>
              </w:rPr>
              <w:t>离子</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对</w:t>
            </w:r>
            <w:r>
              <w:rPr>
                <w:rFonts w:hint="default" w:ascii="Times New Roman" w:hAnsi="Times New Roman" w:eastAsia="宋体" w:cs="Times New Roman"/>
                <w:b w:val="0"/>
                <w:bCs w:val="0"/>
                <w:color w:val="auto"/>
                <w:sz w:val="24"/>
                <w:szCs w:val="24"/>
                <w:highlight w:val="none"/>
              </w:rPr>
              <w:t>污染物</w:t>
            </w:r>
            <w:r>
              <w:rPr>
                <w:rFonts w:hint="default" w:ascii="Times New Roman" w:hAnsi="Times New Roman" w:eastAsia="宋体" w:cs="Times New Roman"/>
                <w:b w:val="0"/>
                <w:bCs w:val="0"/>
                <w:color w:val="auto"/>
                <w:sz w:val="24"/>
                <w:szCs w:val="24"/>
                <w:highlight w:val="none"/>
                <w:lang w:val="en-US" w:eastAsia="zh-CN"/>
              </w:rPr>
              <w:t>进行进一步的</w:t>
            </w:r>
            <w:r>
              <w:rPr>
                <w:rFonts w:hint="default" w:ascii="Times New Roman" w:hAnsi="Times New Roman" w:eastAsia="宋体" w:cs="Times New Roman"/>
                <w:b w:val="0"/>
                <w:bCs w:val="0"/>
                <w:color w:val="auto"/>
                <w:sz w:val="24"/>
                <w:szCs w:val="24"/>
                <w:highlight w:val="none"/>
              </w:rPr>
              <w:t>截留。</w:t>
            </w:r>
          </w:p>
          <w:p w14:paraId="60CA2AD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二、重金属去除效能验证</w:t>
            </w:r>
          </w:p>
          <w:p w14:paraId="351096A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rPr>
              <w:t>污染物浓度与工艺负荷</w:t>
            </w:r>
          </w:p>
          <w:p w14:paraId="0AD9484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本项目</w:t>
            </w:r>
            <w:r>
              <w:rPr>
                <w:rFonts w:hint="default" w:ascii="Times New Roman" w:hAnsi="Times New Roman" w:eastAsia="宋体" w:cs="Times New Roman"/>
                <w:b w:val="0"/>
                <w:bCs w:val="0"/>
                <w:color w:val="auto"/>
                <w:sz w:val="24"/>
                <w:szCs w:val="24"/>
                <w:highlight w:val="none"/>
              </w:rPr>
              <w:t>预处理后浓度</w:t>
            </w:r>
            <w:r>
              <w:rPr>
                <w:rFonts w:hint="default" w:ascii="Times New Roman" w:hAnsi="Times New Roman" w:eastAsia="宋体" w:cs="Times New Roman"/>
                <w:b w:val="0"/>
                <w:bCs w:val="0"/>
                <w:color w:val="auto"/>
                <w:sz w:val="24"/>
                <w:szCs w:val="24"/>
                <w:highlight w:val="none"/>
                <w:lang w:val="en-US" w:eastAsia="zh-CN"/>
              </w:rPr>
              <w:t>约</w:t>
            </w:r>
            <w:r>
              <w:rPr>
                <w:rFonts w:hint="default" w:ascii="Times New Roman" w:hAnsi="Times New Roman" w:eastAsia="宋体" w:cs="Times New Roman"/>
                <w:b w:val="0"/>
                <w:bCs w:val="0"/>
                <w:color w:val="auto"/>
                <w:sz w:val="24"/>
                <w:szCs w:val="24"/>
                <w:highlight w:val="none"/>
              </w:rPr>
              <w:t>为</w:t>
            </w:r>
            <w:r>
              <w:rPr>
                <w:rFonts w:hint="eastAsia" w:ascii="Times New Roman" w:hAnsi="Times New Roman" w:cs="Times New Roman"/>
                <w:b w:val="0"/>
                <w:bCs w:val="0"/>
                <w:color w:val="auto"/>
                <w:sz w:val="24"/>
                <w:szCs w:val="24"/>
                <w:highlight w:val="none"/>
                <w:vertAlign w:val="baseline"/>
                <w:lang w:val="en-US" w:eastAsia="zh-CN"/>
              </w:rPr>
              <w:t>4.18</w:t>
            </w:r>
            <w:r>
              <w:rPr>
                <w:rFonts w:hint="default" w:ascii="Times New Roman" w:hAnsi="Times New Roman" w:eastAsia="宋体" w:cs="Times New Roman"/>
                <w:b w:val="0"/>
                <w:bCs w:val="0"/>
                <w:color w:val="auto"/>
                <w:sz w:val="24"/>
                <w:szCs w:val="24"/>
                <w:highlight w:val="none"/>
                <w:vertAlign w:val="baseline"/>
                <w:lang w:val="en-US" w:eastAsia="zh-CN"/>
              </w:rPr>
              <w:t>mg/L</w:t>
            </w:r>
            <w:r>
              <w:rPr>
                <w:rFonts w:hint="eastAsia" w:cs="Times New Roman"/>
                <w:b w:val="0"/>
                <w:bCs w:val="0"/>
                <w:color w:val="auto"/>
                <w:sz w:val="24"/>
                <w:szCs w:val="24"/>
                <w:highlight w:val="none"/>
                <w:vertAlign w:val="baseline"/>
                <w:lang w:val="en-US" w:eastAsia="zh-CN"/>
              </w:rPr>
              <w:t>、</w:t>
            </w:r>
            <w:r>
              <w:rPr>
                <w:rFonts w:hint="eastAsia" w:ascii="Times New Roman" w:hAnsi="Times New Roman" w:cs="Times New Roman"/>
                <w:b w:val="0"/>
                <w:bCs w:val="0"/>
                <w:color w:val="auto"/>
                <w:sz w:val="24"/>
                <w:szCs w:val="24"/>
                <w:highlight w:val="none"/>
                <w:vertAlign w:val="baseline"/>
                <w:lang w:val="en-US" w:eastAsia="zh-CN"/>
              </w:rPr>
              <w:t>5.24</w:t>
            </w:r>
            <w:r>
              <w:rPr>
                <w:rFonts w:hint="default" w:ascii="Times New Roman" w:hAnsi="Times New Roman" w:eastAsia="宋体" w:cs="Times New Roman"/>
                <w:b w:val="0"/>
                <w:bCs w:val="0"/>
                <w:color w:val="auto"/>
                <w:sz w:val="24"/>
                <w:szCs w:val="24"/>
                <w:highlight w:val="none"/>
                <w:vertAlign w:val="baseline"/>
                <w:lang w:val="en-US" w:eastAsia="zh-CN"/>
              </w:rPr>
              <w:t>mg/L</w:t>
            </w:r>
            <w:r>
              <w:rPr>
                <w:rFonts w:hint="default" w:ascii="Times New Roman" w:hAnsi="Times New Roman" w:eastAsia="宋体" w:cs="Times New Roman"/>
                <w:b w:val="0"/>
                <w:bCs w:val="0"/>
                <w:color w:val="auto"/>
                <w:sz w:val="24"/>
                <w:szCs w:val="24"/>
                <w:highlight w:val="none"/>
              </w:rPr>
              <w:t>，低于园区污水处理厂设计进水重金属综合限值（参照《污水排入城镇下水道水质标准》</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GB/T31962-2015</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，通常设定为10mg/L），工艺安全余量充足。</w:t>
            </w:r>
          </w:p>
          <w:p w14:paraId="7383220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rPr>
              <w:t>水量稀释效应</w:t>
            </w:r>
          </w:p>
          <w:p w14:paraId="1F638A3A">
            <w:pPr>
              <w:pStyle w:val="19"/>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本项目</w:t>
            </w:r>
            <w:r>
              <w:rPr>
                <w:rFonts w:hint="eastAsia" w:ascii="Times New Roman" w:hAnsi="Times New Roman" w:cs="Times New Roman"/>
                <w:color w:val="auto"/>
                <w:sz w:val="24"/>
                <w:szCs w:val="24"/>
                <w:highlight w:val="none"/>
                <w:lang w:val="en-US" w:eastAsia="zh-CN"/>
              </w:rPr>
              <w:t>生产</w:t>
            </w:r>
            <w:r>
              <w:rPr>
                <w:rFonts w:hint="default" w:ascii="Times New Roman" w:hAnsi="Times New Roman" w:eastAsia="宋体" w:cs="Times New Roman"/>
                <w:color w:val="auto"/>
                <w:sz w:val="24"/>
                <w:szCs w:val="24"/>
                <w:highlight w:val="none"/>
              </w:rPr>
              <w:t>废水排放量为</w:t>
            </w:r>
            <w:r>
              <w:rPr>
                <w:rFonts w:hint="eastAsia" w:ascii="Times New Roman" w:hAnsi="Times New Roman" w:cs="Times New Roman"/>
                <w:color w:val="auto"/>
                <w:sz w:val="24"/>
                <w:szCs w:val="24"/>
                <w:highlight w:val="none"/>
                <w:lang w:val="en-US" w:eastAsia="zh-CN"/>
              </w:rPr>
              <w:t>8.36</w:t>
            </w:r>
            <w:r>
              <w:rPr>
                <w:rFonts w:hint="default" w:ascii="Times New Roman" w:hAnsi="Times New Roman" w:eastAsia="宋体" w:cs="Times New Roman"/>
                <w:color w:val="auto"/>
                <w:sz w:val="24"/>
                <w:szCs w:val="24"/>
                <w:highlight w:val="none"/>
              </w:rPr>
              <w:t>m³/d，仅占园区污水处理厂剩余处理能力（</w:t>
            </w:r>
            <w:r>
              <w:rPr>
                <w:rFonts w:hint="default" w:ascii="Times New Roman" w:hAnsi="Times New Roman" w:eastAsia="宋体" w:cs="Times New Roman"/>
                <w:color w:val="auto"/>
                <w:sz w:val="24"/>
                <w:szCs w:val="24"/>
                <w:highlight w:val="none"/>
                <w:lang w:val="en-US" w:eastAsia="zh-CN"/>
              </w:rPr>
              <w:t>2304.6</w:t>
            </w:r>
            <w:r>
              <w:rPr>
                <w:rFonts w:hint="default" w:ascii="Times New Roman" w:hAnsi="Times New Roman" w:eastAsia="宋体" w:cs="Times New Roman"/>
                <w:color w:val="auto"/>
                <w:sz w:val="24"/>
                <w:szCs w:val="24"/>
                <w:highlight w:val="none"/>
              </w:rPr>
              <w:t>m³/d）的</w:t>
            </w:r>
            <w:r>
              <w:rPr>
                <w:rFonts w:hint="eastAsia" w:ascii="Times New Roman" w:hAnsi="Times New Roman" w:cs="Times New Roman"/>
                <w:color w:val="auto"/>
                <w:sz w:val="24"/>
                <w:szCs w:val="24"/>
                <w:highlight w:val="none"/>
                <w:lang w:val="en-US" w:eastAsia="zh-CN"/>
              </w:rPr>
              <w:t>0.36</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。大水量对污染物具有显著稀释作用，结合工艺处理，预计</w:t>
            </w:r>
            <w:r>
              <w:rPr>
                <w:rFonts w:hint="eastAsia" w:ascii="Times New Roman" w:hAnsi="Times New Roman" w:cs="Times New Roman"/>
                <w:b w:val="0"/>
                <w:bCs w:val="0"/>
                <w:color w:val="auto"/>
                <w:sz w:val="24"/>
                <w:szCs w:val="24"/>
                <w:highlight w:val="none"/>
                <w:vertAlign w:val="baseline"/>
                <w:lang w:val="en-US" w:eastAsia="zh-CN"/>
              </w:rPr>
              <w:t>MoO</w:t>
            </w:r>
            <w:r>
              <w:rPr>
                <w:rFonts w:hint="eastAsia" w:ascii="Times New Roman" w:hAnsi="Times New Roman" w:cs="Times New Roman"/>
                <w:b w:val="0"/>
                <w:bCs w:val="0"/>
                <w:color w:val="auto"/>
                <w:sz w:val="24"/>
                <w:szCs w:val="24"/>
                <w:highlight w:val="none"/>
                <w:vertAlign w:val="subscript"/>
                <w:lang w:val="en-US" w:eastAsia="zh-CN"/>
              </w:rPr>
              <w:t>4</w:t>
            </w:r>
            <w:r>
              <w:rPr>
                <w:rFonts w:hint="eastAsia" w:ascii="Times New Roman" w:hAnsi="Times New Roman" w:cs="Times New Roman"/>
                <w:b w:val="0"/>
                <w:bCs w:val="0"/>
                <w:color w:val="auto"/>
                <w:sz w:val="24"/>
                <w:szCs w:val="24"/>
                <w:highlight w:val="none"/>
                <w:vertAlign w:val="superscript"/>
                <w:lang w:val="en-US" w:eastAsia="zh-CN"/>
              </w:rPr>
              <w:t>2-</w:t>
            </w:r>
            <w:r>
              <w:rPr>
                <w:rFonts w:hint="default" w:ascii="Times New Roman" w:hAnsi="Times New Roman" w:eastAsia="仿宋" w:cs="Times New Roman"/>
                <w:color w:val="auto"/>
                <w:sz w:val="28"/>
                <w:szCs w:val="28"/>
                <w:highlight w:val="none"/>
              </w:rPr>
              <w:t>、</w:t>
            </w:r>
            <w:r>
              <w:rPr>
                <w:rFonts w:hint="default" w:ascii="Times New Roman" w:hAnsi="Times New Roman" w:eastAsia="宋体" w:cs="Times New Roman"/>
                <w:b w:val="0"/>
                <w:bCs w:val="0"/>
                <w:color w:val="auto"/>
                <w:sz w:val="24"/>
                <w:szCs w:val="24"/>
                <w:highlight w:val="none"/>
              </w:rPr>
              <w:t>Ti⁴⁺</w:t>
            </w:r>
            <w:r>
              <w:rPr>
                <w:rFonts w:hint="default" w:ascii="Times New Roman" w:hAnsi="Times New Roman" w:eastAsia="宋体" w:cs="Times New Roman"/>
                <w:color w:val="auto"/>
                <w:sz w:val="24"/>
                <w:szCs w:val="24"/>
                <w:highlight w:val="none"/>
              </w:rPr>
              <w:t>浓度可进一步降至0.</w:t>
            </w:r>
            <w:r>
              <w:rPr>
                <w:rFonts w:hint="eastAsia" w:ascii="Times New Roman" w:hAnsi="Times New Roman" w:cs="Times New Roman"/>
                <w:color w:val="auto"/>
                <w:sz w:val="24"/>
                <w:szCs w:val="24"/>
                <w:highlight w:val="none"/>
                <w:lang w:val="en-US" w:eastAsia="zh-CN"/>
              </w:rPr>
              <w:t>02</w:t>
            </w:r>
            <w:r>
              <w:rPr>
                <w:rFonts w:hint="default" w:ascii="Times New Roman" w:hAnsi="Times New Roman" w:eastAsia="宋体" w:cs="Times New Roman"/>
                <w:color w:val="auto"/>
                <w:sz w:val="24"/>
                <w:szCs w:val="24"/>
                <w:highlight w:val="none"/>
              </w:rPr>
              <w:t>mg/L以下，远低于环境风险阈值。</w:t>
            </w:r>
          </w:p>
          <w:bookmarkEnd w:id="129"/>
          <w:p w14:paraId="60FB639D">
            <w:pPr>
              <w:pStyle w:val="19"/>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乐昌产业转移工业园污水处理厂现有CASS工艺具备处理</w:t>
            </w:r>
            <w:r>
              <w:rPr>
                <w:rFonts w:hint="eastAsia" w:ascii="Times New Roman" w:hAnsi="Times New Roman" w:cs="Times New Roman"/>
                <w:color w:val="auto"/>
                <w:sz w:val="24"/>
                <w:szCs w:val="24"/>
                <w:highlight w:val="none"/>
                <w:lang w:val="en-US" w:eastAsia="zh-CN"/>
              </w:rPr>
              <w:t>本项目</w:t>
            </w:r>
            <w:r>
              <w:rPr>
                <w:rFonts w:hint="default" w:ascii="Times New Roman" w:hAnsi="Times New Roman" w:cs="Times New Roman"/>
                <w:color w:val="auto"/>
                <w:sz w:val="24"/>
                <w:szCs w:val="24"/>
                <w:highlight w:val="none"/>
              </w:rPr>
              <w:t>含</w:t>
            </w:r>
            <w:r>
              <w:rPr>
                <w:rFonts w:hint="eastAsia" w:ascii="Times New Roman" w:hAnsi="Times New Roman" w:cs="Times New Roman"/>
                <w:color w:val="auto"/>
                <w:sz w:val="24"/>
                <w:szCs w:val="24"/>
                <w:highlight w:val="none"/>
                <w:lang w:val="en-US" w:eastAsia="zh-CN"/>
              </w:rPr>
              <w:t>钼</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钛废水的能力，预处理后</w:t>
            </w:r>
            <w:r>
              <w:rPr>
                <w:rFonts w:hint="default" w:ascii="Times New Roman" w:hAnsi="Times New Roman" w:cs="Times New Roman"/>
                <w:color w:val="auto"/>
                <w:sz w:val="24"/>
                <w:szCs w:val="24"/>
                <w:highlight w:val="none"/>
                <w:lang w:val="en-US" w:eastAsia="zh-CN"/>
              </w:rPr>
              <w:t>的</w:t>
            </w:r>
            <w:r>
              <w:rPr>
                <w:rFonts w:hint="default" w:ascii="Times New Roman" w:hAnsi="Times New Roman" w:cs="Times New Roman"/>
                <w:color w:val="auto"/>
                <w:sz w:val="24"/>
                <w:szCs w:val="24"/>
                <w:highlight w:val="none"/>
              </w:rPr>
              <w:t>水质及水量均在</w:t>
            </w:r>
            <w:r>
              <w:rPr>
                <w:rFonts w:hint="default" w:ascii="Times New Roman" w:hAnsi="Times New Roman" w:cs="Times New Roman"/>
                <w:color w:val="auto"/>
                <w:sz w:val="24"/>
                <w:szCs w:val="24"/>
                <w:highlight w:val="none"/>
                <w:lang w:val="en-US" w:eastAsia="zh-CN"/>
              </w:rPr>
              <w:t>园区污水处理厂</w:t>
            </w:r>
            <w:r>
              <w:rPr>
                <w:rFonts w:hint="default" w:ascii="Times New Roman" w:hAnsi="Times New Roman" w:cs="Times New Roman"/>
                <w:color w:val="auto"/>
                <w:sz w:val="24"/>
                <w:szCs w:val="24"/>
                <w:highlight w:val="none"/>
              </w:rPr>
              <w:t>工艺耐受范围内，</w:t>
            </w:r>
            <w:r>
              <w:rPr>
                <w:rFonts w:hint="default" w:ascii="Times New Roman" w:hAnsi="Times New Roman" w:cs="Times New Roman"/>
                <w:color w:val="auto"/>
                <w:sz w:val="24"/>
                <w:highlight w:val="none"/>
              </w:rPr>
              <w:t>同意</w:t>
            </w:r>
            <w:r>
              <w:rPr>
                <w:rFonts w:hint="default" w:ascii="Times New Roman" w:hAnsi="Times New Roman" w:cs="Times New Roman"/>
                <w:color w:val="auto"/>
                <w:sz w:val="24"/>
                <w:highlight w:val="none"/>
                <w:lang w:val="en-US" w:eastAsia="zh-CN"/>
              </w:rPr>
              <w:t>本项目生产废水</w:t>
            </w:r>
            <w:r>
              <w:rPr>
                <w:rFonts w:hint="default" w:ascii="Times New Roman" w:hAnsi="Times New Roman" w:cs="Times New Roman"/>
                <w:color w:val="auto"/>
                <w:sz w:val="24"/>
                <w:highlight w:val="none"/>
              </w:rPr>
              <w:t>接入园区</w:t>
            </w:r>
            <w:r>
              <w:rPr>
                <w:rFonts w:hint="default" w:ascii="Times New Roman" w:hAnsi="Times New Roman" w:cs="Times New Roman"/>
                <w:color w:val="auto"/>
                <w:sz w:val="24"/>
                <w:highlight w:val="none"/>
                <w:lang w:val="en-US" w:eastAsia="zh-CN"/>
              </w:rPr>
              <w:t>污水</w:t>
            </w:r>
            <w:r>
              <w:rPr>
                <w:rFonts w:hint="default" w:ascii="Times New Roman" w:hAnsi="Times New Roman" w:cs="Times New Roman"/>
                <w:color w:val="auto"/>
                <w:sz w:val="24"/>
                <w:highlight w:val="none"/>
              </w:rPr>
              <w:t>管网</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详见附件</w:t>
            </w:r>
            <w:r>
              <w:rPr>
                <w:rFonts w:hint="eastAsia" w:ascii="Times New Roman" w:hAnsi="Times New Roman" w:cs="Times New Roman"/>
                <w:color w:val="auto"/>
                <w:sz w:val="24"/>
                <w:highlight w:val="none"/>
                <w:lang w:val="en-US" w:eastAsia="zh-CN"/>
              </w:rPr>
              <w:t>8</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szCs w:val="24"/>
                <w:highlight w:val="none"/>
              </w:rPr>
              <w:t>。根据前</w:t>
            </w:r>
            <w:r>
              <w:rPr>
                <w:rFonts w:hint="default" w:ascii="Times New Roman" w:hAnsi="Times New Roman" w:cs="Times New Roman"/>
                <w:color w:val="auto"/>
                <w:sz w:val="24"/>
                <w:szCs w:val="24"/>
                <w:highlight w:val="none"/>
                <w:lang w:val="en-US" w:eastAsia="zh-CN"/>
              </w:rPr>
              <w:t>文</w:t>
            </w:r>
            <w:r>
              <w:rPr>
                <w:rFonts w:hint="default" w:ascii="Times New Roman" w:hAnsi="Times New Roman" w:cs="Times New Roman"/>
                <w:color w:val="auto"/>
                <w:sz w:val="24"/>
                <w:szCs w:val="24"/>
                <w:highlight w:val="none"/>
              </w:rPr>
              <w:t>分析，</w:t>
            </w:r>
            <w:bookmarkStart w:id="130" w:name="OLE_LINK51"/>
            <w:r>
              <w:rPr>
                <w:rFonts w:hint="default" w:ascii="Times New Roman" w:hAnsi="Times New Roman" w:cs="Times New Roman"/>
                <w:color w:val="auto"/>
                <w:sz w:val="24"/>
                <w:szCs w:val="24"/>
                <w:highlight w:val="none"/>
              </w:rPr>
              <w:t>园区污水处理厂剩余污水处理能力完全可以容纳处理本项目排入的污水，且与园区处理能力匹配</w:t>
            </w:r>
            <w:r>
              <w:rPr>
                <w:rFonts w:hint="default" w:ascii="Times New Roman" w:hAnsi="Times New Roman" w:cs="Times New Roman"/>
                <w:color w:val="auto"/>
                <w:sz w:val="24"/>
                <w:szCs w:val="24"/>
                <w:highlight w:val="none"/>
                <w:lang w:eastAsia="zh-CN"/>
              </w:rPr>
              <w:t>。</w:t>
            </w:r>
            <w:bookmarkEnd w:id="130"/>
            <w:r>
              <w:rPr>
                <w:rFonts w:hint="default" w:ascii="Times New Roman" w:hAnsi="Times New Roman" w:cs="Times New Roman"/>
                <w:color w:val="auto"/>
                <w:sz w:val="24"/>
                <w:szCs w:val="24"/>
                <w:highlight w:val="none"/>
              </w:rPr>
              <w:t>因此，本</w:t>
            </w:r>
            <w:bookmarkStart w:id="131" w:name="OLE_LINK52"/>
            <w:r>
              <w:rPr>
                <w:rFonts w:hint="default" w:ascii="Times New Roman" w:hAnsi="Times New Roman" w:cs="Times New Roman"/>
                <w:color w:val="auto"/>
                <w:sz w:val="24"/>
                <w:szCs w:val="24"/>
                <w:highlight w:val="none"/>
              </w:rPr>
              <w:t>项目产生的</w:t>
            </w:r>
            <w:r>
              <w:rPr>
                <w:rFonts w:hint="default" w:ascii="Times New Roman" w:hAnsi="Times New Roman" w:cs="Times New Roman"/>
                <w:color w:val="auto"/>
                <w:sz w:val="24"/>
                <w:szCs w:val="24"/>
                <w:highlight w:val="none"/>
                <w:lang w:val="en-US" w:eastAsia="zh-CN"/>
              </w:rPr>
              <w:t>废</w:t>
            </w:r>
            <w:r>
              <w:rPr>
                <w:rFonts w:hint="default" w:ascii="Times New Roman" w:hAnsi="Times New Roman" w:cs="Times New Roman"/>
                <w:color w:val="auto"/>
                <w:sz w:val="24"/>
                <w:szCs w:val="24"/>
                <w:highlight w:val="none"/>
              </w:rPr>
              <w:t>水经预处理后排入园区污水处理厂处理具有环境可行性</w:t>
            </w:r>
            <w:bookmarkEnd w:id="131"/>
            <w:r>
              <w:rPr>
                <w:rFonts w:hint="default" w:ascii="Times New Roman" w:hAnsi="Times New Roman" w:cs="Times New Roman"/>
                <w:color w:val="auto"/>
                <w:sz w:val="24"/>
                <w:szCs w:val="24"/>
                <w:highlight w:val="none"/>
              </w:rPr>
              <w:t>。</w:t>
            </w:r>
          </w:p>
          <w:p w14:paraId="43AB0D15">
            <w:pPr>
              <w:pageBreakBefore w:val="0"/>
              <w:widowControl w:val="0"/>
              <w:kinsoku/>
              <w:wordWrap w:val="0"/>
              <w:overflowPunct/>
              <w:topLinePunct w:val="0"/>
              <w:bidi w:val="0"/>
              <w:spacing w:line="360" w:lineRule="auto"/>
              <w:jc w:val="center"/>
              <w:rPr>
                <w:rFonts w:ascii="Times New Roman" w:hAnsi="Times New Roman" w:eastAsia="宋体" w:cs="Times New Roman"/>
                <w:color w:val="auto"/>
                <w:kern w:val="2"/>
                <w:sz w:val="24"/>
                <w:szCs w:val="28"/>
                <w:highlight w:val="none"/>
                <w:lang w:val="en-US" w:eastAsia="zh-CN" w:bidi="ar-SA"/>
              </w:rPr>
            </w:pPr>
            <w:r>
              <w:rPr>
                <w:rFonts w:ascii="Times New Roman" w:hAnsi="Times New Roman" w:eastAsia="宋体" w:cs="Times New Roman"/>
                <w:color w:val="auto"/>
                <w:kern w:val="2"/>
                <w:sz w:val="24"/>
                <w:szCs w:val="28"/>
                <w:highlight w:val="none"/>
                <w:lang w:val="en-US" w:eastAsia="zh-CN" w:bidi="ar-SA"/>
              </w:rPr>
              <w:drawing>
                <wp:inline distT="0" distB="0" distL="0" distR="0">
                  <wp:extent cx="4521835" cy="1967865"/>
                  <wp:effectExtent l="9525" t="9525" r="13334" b="19050"/>
                  <wp:docPr id="1056" name="图片 4"/>
                  <wp:cNvGraphicFramePr/>
                  <a:graphic xmlns:a="http://schemas.openxmlformats.org/drawingml/2006/main">
                    <a:graphicData uri="http://schemas.openxmlformats.org/drawingml/2006/picture">
                      <pic:pic xmlns:pic="http://schemas.openxmlformats.org/drawingml/2006/picture">
                        <pic:nvPicPr>
                          <pic:cNvPr id="1056" name="图片 4"/>
                          <pic:cNvPicPr/>
                        </pic:nvPicPr>
                        <pic:blipFill>
                          <a:blip r:embed="rId22" cstate="print"/>
                          <a:srcRect/>
                          <a:stretch>
                            <a:fillRect/>
                          </a:stretch>
                        </pic:blipFill>
                        <pic:spPr>
                          <a:xfrm>
                            <a:off x="0" y="0"/>
                            <a:ext cx="4521835" cy="1967865"/>
                          </a:xfrm>
                          <a:prstGeom prst="rect">
                            <a:avLst/>
                          </a:prstGeom>
                          <a:ln w="9525" cap="flat" cmpd="sng">
                            <a:solidFill>
                              <a:srgbClr val="000000"/>
                            </a:solidFill>
                            <a:prstDash val="solid"/>
                            <a:round/>
                          </a:ln>
                        </pic:spPr>
                      </pic:pic>
                    </a:graphicData>
                  </a:graphic>
                </wp:inline>
              </w:drawing>
            </w:r>
          </w:p>
          <w:p w14:paraId="1F55BC79">
            <w:pPr>
              <w:keepNext w:val="0"/>
              <w:keepLines w:val="0"/>
              <w:pageBreakBefore w:val="0"/>
              <w:widowControl w:val="0"/>
              <w:kinsoku/>
              <w:wordWrap w:val="0"/>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eastAsia" w:ascii="Times New Roman" w:hAnsi="Times New Roman" w:eastAsia="宋体" w:cs="Times New Roman"/>
                <w:b/>
                <w:color w:val="auto"/>
                <w:kern w:val="2"/>
                <w:sz w:val="21"/>
                <w:szCs w:val="21"/>
                <w:highlight w:val="none"/>
                <w:lang w:val="en-US" w:eastAsia="zh-CN" w:bidi="ar-SA"/>
              </w:rPr>
              <w:t>图4-</w:t>
            </w:r>
            <w:r>
              <w:rPr>
                <w:rFonts w:hint="eastAsia" w:cs="Times New Roman"/>
                <w:b/>
                <w:color w:val="auto"/>
                <w:kern w:val="2"/>
                <w:sz w:val="21"/>
                <w:szCs w:val="21"/>
                <w:highlight w:val="none"/>
                <w:lang w:val="en-US" w:eastAsia="zh-CN" w:bidi="ar-SA"/>
              </w:rPr>
              <w:t>4</w:t>
            </w:r>
            <w:r>
              <w:rPr>
                <w:rFonts w:hint="eastAsia" w:ascii="Times New Roman" w:hAnsi="Times New Roman" w:eastAsia="宋体" w:cs="Times New Roman"/>
                <w:b/>
                <w:color w:val="auto"/>
                <w:kern w:val="2"/>
                <w:sz w:val="21"/>
                <w:szCs w:val="21"/>
                <w:highlight w:val="none"/>
                <w:lang w:val="en-US" w:eastAsia="zh-CN" w:bidi="ar-SA"/>
              </w:rPr>
              <w:t xml:space="preserve"> 园区污水处理厂工艺流程图</w:t>
            </w:r>
          </w:p>
          <w:p w14:paraId="0015E30A">
            <w:pPr>
              <w:pageBreakBefore w:val="0"/>
              <w:widowControl w:val="0"/>
              <w:kinsoku/>
              <w:wordWrap w:val="0"/>
              <w:overflowPunct/>
              <w:topLinePunct w:val="0"/>
              <w:bidi w:val="0"/>
              <w:spacing w:line="360" w:lineRule="auto"/>
              <w:ind w:firstLine="480" w:firstLineChars="200"/>
              <w:jc w:val="both"/>
              <w:rPr>
                <w:rFonts w:ascii="Times New Roman" w:hAnsi="Times New Roman" w:eastAsia="宋体" w:cs="Times New Roman"/>
                <w:b/>
                <w:bCs/>
                <w:color w:val="auto"/>
                <w:kern w:val="2"/>
                <w:sz w:val="24"/>
                <w:szCs w:val="24"/>
                <w:highlight w:val="none"/>
                <w:lang w:val="en-US" w:eastAsia="zh-CN" w:bidi="ar-SA"/>
              </w:rPr>
            </w:pPr>
            <w:r>
              <w:rPr>
                <w:rFonts w:ascii="Times New Roman" w:hAnsi="Times New Roman" w:eastAsia="宋体" w:cs="Times New Roman"/>
                <w:b/>
                <w:bCs/>
                <w:color w:val="auto"/>
                <w:kern w:val="2"/>
                <w:sz w:val="24"/>
                <w:szCs w:val="24"/>
                <w:highlight w:val="none"/>
                <w:lang w:val="en-US" w:eastAsia="zh-CN" w:bidi="ar-SA"/>
              </w:rPr>
              <w:t>5、监测要求</w:t>
            </w:r>
          </w:p>
          <w:p w14:paraId="6CE6021C">
            <w:pPr>
              <w:pageBreakBefore w:val="0"/>
              <w:widowControl w:val="0"/>
              <w:kinsoku/>
              <w:wordWrap w:val="0"/>
              <w:overflowPunct/>
              <w:topLinePunct w:val="0"/>
              <w:bidi w:val="0"/>
              <w:spacing w:line="360" w:lineRule="auto"/>
              <w:ind w:firstLine="480" w:firstLineChars="200"/>
              <w:jc w:val="left"/>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color w:val="auto"/>
                <w:kern w:val="0"/>
                <w:sz w:val="24"/>
                <w:szCs w:val="20"/>
                <w:highlight w:val="none"/>
                <w:lang w:val="en-US" w:eastAsia="zh-CN" w:bidi="ar-SA"/>
              </w:rPr>
              <w:t>根据《排污单位自行监测技术指南总则》(HJ819-2017)</w:t>
            </w:r>
            <w:r>
              <w:rPr>
                <w:rFonts w:hint="eastAsia" w:cs="Times New Roman"/>
                <w:color w:val="auto"/>
                <w:kern w:val="0"/>
                <w:sz w:val="24"/>
                <w:szCs w:val="20"/>
                <w:highlight w:val="none"/>
                <w:lang w:val="en-US" w:eastAsia="zh-CN" w:bidi="ar-SA"/>
              </w:rPr>
              <w:t>、《排污单位自行监测技术指南 涂装》（HJ1086-2020）表1-废水总排放口-非重点排污单位-间接排放</w:t>
            </w:r>
            <w:r>
              <w:rPr>
                <w:rFonts w:hint="eastAsia" w:ascii="Times New Roman" w:hAnsi="Times New Roman" w:eastAsia="宋体" w:cs="Times New Roman"/>
                <w:color w:val="auto"/>
                <w:kern w:val="0"/>
                <w:sz w:val="24"/>
                <w:szCs w:val="20"/>
                <w:highlight w:val="none"/>
                <w:lang w:val="en-US" w:eastAsia="zh-CN" w:bidi="ar-SA"/>
              </w:rPr>
              <w:t>，制定本项目废水自行监测计划</w:t>
            </w:r>
            <w:r>
              <w:rPr>
                <w:rFonts w:ascii="Times New Roman" w:hAnsi="Times New Roman" w:eastAsia="宋体" w:cs="Times New Roman"/>
                <w:color w:val="auto"/>
                <w:kern w:val="0"/>
                <w:sz w:val="24"/>
                <w:szCs w:val="20"/>
                <w:highlight w:val="none"/>
                <w:lang w:val="en-US" w:eastAsia="zh-CN" w:bidi="ar-SA"/>
              </w:rPr>
              <w:t>，监测要求见下表。</w:t>
            </w:r>
          </w:p>
          <w:p w14:paraId="3109F06B">
            <w:pPr>
              <w:keepNext w:val="0"/>
              <w:keepLines w:val="0"/>
              <w:pageBreakBefore w:val="0"/>
              <w:widowControl w:val="0"/>
              <w:numPr>
                <w:ilvl w:val="0"/>
                <w:numId w:val="10"/>
              </w:numPr>
              <w:kinsoku/>
              <w:wordWrap w:val="0"/>
              <w:overflowPunct/>
              <w:topLinePunct w:val="0"/>
              <w:autoSpaceDE/>
              <w:autoSpaceDN/>
              <w:bidi w:val="0"/>
              <w:adjustRightInd/>
              <w:snapToGrid/>
              <w:spacing w:line="240" w:lineRule="auto"/>
              <w:ind w:left="0" w:leftChars="0" w:hanging="1" w:firstLineChars="0"/>
              <w:jc w:val="center"/>
              <w:textAlignment w:val="auto"/>
              <w:rPr>
                <w:rFonts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color w:val="auto"/>
                <w:sz w:val="21"/>
                <w:szCs w:val="21"/>
                <w:highlight w:val="none"/>
                <w:lang w:val="en-US" w:eastAsia="zh-CN"/>
              </w:rPr>
              <w:t xml:space="preserve"> </w:t>
            </w:r>
            <w:r>
              <w:rPr>
                <w:rFonts w:hint="eastAsia" w:cs="Times New Roman"/>
                <w:b/>
                <w:color w:val="auto"/>
                <w:sz w:val="21"/>
                <w:szCs w:val="21"/>
                <w:highlight w:val="none"/>
                <w:lang w:val="en-US" w:eastAsia="zh-CN"/>
              </w:rPr>
              <w:t>废水</w:t>
            </w:r>
            <w:r>
              <w:rPr>
                <w:rFonts w:hint="default" w:ascii="Times New Roman" w:hAnsi="Times New Roman" w:eastAsia="宋体" w:cs="Times New Roman"/>
                <w:b/>
                <w:color w:val="auto"/>
                <w:sz w:val="21"/>
                <w:szCs w:val="21"/>
                <w:highlight w:val="none"/>
                <w:lang w:val="en-US" w:eastAsia="zh-CN"/>
              </w:rPr>
              <w:t>监测</w:t>
            </w:r>
            <w:r>
              <w:rPr>
                <w:rFonts w:ascii="Times New Roman" w:hAnsi="Times New Roman" w:eastAsia="宋体" w:cs="Times New Roman"/>
                <w:b/>
                <w:bCs/>
                <w:color w:val="auto"/>
                <w:kern w:val="2"/>
                <w:sz w:val="21"/>
                <w:szCs w:val="21"/>
                <w:highlight w:val="none"/>
                <w:lang w:val="en-US" w:eastAsia="zh-CN" w:bidi="ar-SA"/>
              </w:rPr>
              <w:t>要求</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1772"/>
              <w:gridCol w:w="1181"/>
              <w:gridCol w:w="3493"/>
            </w:tblGrid>
            <w:tr w14:paraId="31363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0" w:type="pct"/>
                  <w:vAlign w:val="center"/>
                </w:tcPr>
                <w:p w14:paraId="43E52996">
                  <w:pPr>
                    <w:keepNext w:val="0"/>
                    <w:keepLines w:val="0"/>
                    <w:pageBreakBefore w:val="0"/>
                    <w:widowControl w:val="0"/>
                    <w:kinsoku/>
                    <w:wordWrap w:val="0"/>
                    <w:overflowPunct/>
                    <w:topLinePunct w:val="0"/>
                    <w:autoSpaceDE w:val="0"/>
                    <w:autoSpaceDN w:val="0"/>
                    <w:bidi w:val="0"/>
                    <w:adjustRightInd/>
                    <w:snapToGrid/>
                    <w:spacing w:line="240" w:lineRule="auto"/>
                    <w:jc w:val="center"/>
                    <w:textAlignment w:val="center"/>
                    <w:rPr>
                      <w:rFonts w:ascii="Times New Roman" w:hAnsi="Times New Roman" w:eastAsia="宋体" w:cs="Times New Roman"/>
                      <w:b/>
                      <w:bCs/>
                      <w:color w:val="auto"/>
                      <w:position w:val="-10"/>
                      <w:sz w:val="21"/>
                      <w:szCs w:val="21"/>
                      <w:highlight w:val="none"/>
                      <w:lang w:val="en-US" w:eastAsia="zh-CN" w:bidi="ar-SA"/>
                    </w:rPr>
                  </w:pPr>
                  <w:r>
                    <w:rPr>
                      <w:rFonts w:ascii="Times New Roman" w:hAnsi="Times New Roman" w:eastAsia="宋体" w:cs="Times New Roman"/>
                      <w:b/>
                      <w:bCs/>
                      <w:color w:val="auto"/>
                      <w:position w:val="-10"/>
                      <w:sz w:val="21"/>
                      <w:szCs w:val="21"/>
                      <w:highlight w:val="none"/>
                      <w:lang w:val="en-US" w:eastAsia="zh-CN" w:bidi="ar-SA"/>
                    </w:rPr>
                    <w:t>监测点位</w:t>
                  </w:r>
                </w:p>
              </w:tc>
              <w:tc>
                <w:tcPr>
                  <w:tcW w:w="1127" w:type="pct"/>
                  <w:vAlign w:val="center"/>
                </w:tcPr>
                <w:p w14:paraId="07DDCB8D">
                  <w:pPr>
                    <w:keepNext w:val="0"/>
                    <w:keepLines w:val="0"/>
                    <w:pageBreakBefore w:val="0"/>
                    <w:widowControl w:val="0"/>
                    <w:kinsoku/>
                    <w:wordWrap w:val="0"/>
                    <w:overflowPunct/>
                    <w:topLinePunct w:val="0"/>
                    <w:autoSpaceDE w:val="0"/>
                    <w:autoSpaceDN w:val="0"/>
                    <w:bidi w:val="0"/>
                    <w:adjustRightInd/>
                    <w:snapToGrid/>
                    <w:spacing w:line="240" w:lineRule="auto"/>
                    <w:jc w:val="center"/>
                    <w:textAlignment w:val="center"/>
                    <w:rPr>
                      <w:rFonts w:ascii="Times New Roman" w:hAnsi="Times New Roman" w:eastAsia="宋体" w:cs="Times New Roman"/>
                      <w:b/>
                      <w:bCs/>
                      <w:color w:val="auto"/>
                      <w:position w:val="-10"/>
                      <w:sz w:val="21"/>
                      <w:szCs w:val="21"/>
                      <w:highlight w:val="none"/>
                      <w:lang w:val="en-US" w:eastAsia="zh-CN" w:bidi="ar-SA"/>
                    </w:rPr>
                  </w:pPr>
                  <w:r>
                    <w:rPr>
                      <w:rFonts w:ascii="Times New Roman" w:hAnsi="Times New Roman" w:eastAsia="宋体" w:cs="Times New Roman"/>
                      <w:b/>
                      <w:bCs/>
                      <w:color w:val="auto"/>
                      <w:position w:val="-10"/>
                      <w:sz w:val="21"/>
                      <w:szCs w:val="21"/>
                      <w:highlight w:val="none"/>
                      <w:lang w:val="en-US" w:eastAsia="zh-CN" w:bidi="ar-SA"/>
                    </w:rPr>
                    <w:t>监测指标</w:t>
                  </w:r>
                </w:p>
              </w:tc>
              <w:tc>
                <w:tcPr>
                  <w:tcW w:w="751" w:type="pct"/>
                  <w:vAlign w:val="center"/>
                </w:tcPr>
                <w:p w14:paraId="6AE944D3">
                  <w:pPr>
                    <w:keepNext w:val="0"/>
                    <w:keepLines w:val="0"/>
                    <w:pageBreakBefore w:val="0"/>
                    <w:widowControl w:val="0"/>
                    <w:kinsoku/>
                    <w:wordWrap w:val="0"/>
                    <w:overflowPunct/>
                    <w:topLinePunct w:val="0"/>
                    <w:autoSpaceDE w:val="0"/>
                    <w:autoSpaceDN w:val="0"/>
                    <w:bidi w:val="0"/>
                    <w:adjustRightInd/>
                    <w:snapToGrid/>
                    <w:spacing w:line="240" w:lineRule="auto"/>
                    <w:jc w:val="center"/>
                    <w:textAlignment w:val="center"/>
                    <w:rPr>
                      <w:rFonts w:ascii="Times New Roman" w:hAnsi="Times New Roman" w:eastAsia="宋体" w:cs="Times New Roman"/>
                      <w:b/>
                      <w:bCs/>
                      <w:color w:val="auto"/>
                      <w:position w:val="-10"/>
                      <w:sz w:val="21"/>
                      <w:szCs w:val="21"/>
                      <w:highlight w:val="none"/>
                      <w:lang w:val="en-US" w:eastAsia="zh-CN" w:bidi="ar-SA"/>
                    </w:rPr>
                  </w:pPr>
                  <w:r>
                    <w:rPr>
                      <w:rFonts w:ascii="Times New Roman" w:hAnsi="Times New Roman" w:eastAsia="宋体" w:cs="Times New Roman"/>
                      <w:b/>
                      <w:bCs/>
                      <w:color w:val="auto"/>
                      <w:position w:val="-10"/>
                      <w:sz w:val="21"/>
                      <w:szCs w:val="21"/>
                      <w:highlight w:val="none"/>
                      <w:lang w:val="en-US" w:eastAsia="zh-CN" w:bidi="ar-SA"/>
                    </w:rPr>
                    <w:t>监测频次</w:t>
                  </w:r>
                </w:p>
              </w:tc>
              <w:tc>
                <w:tcPr>
                  <w:tcW w:w="2221" w:type="pct"/>
                  <w:vAlign w:val="center"/>
                </w:tcPr>
                <w:p w14:paraId="61C73A9F">
                  <w:pPr>
                    <w:keepNext w:val="0"/>
                    <w:keepLines w:val="0"/>
                    <w:pageBreakBefore w:val="0"/>
                    <w:widowControl w:val="0"/>
                    <w:kinsoku/>
                    <w:wordWrap w:val="0"/>
                    <w:overflowPunct/>
                    <w:topLinePunct w:val="0"/>
                    <w:autoSpaceDE w:val="0"/>
                    <w:autoSpaceDN w:val="0"/>
                    <w:bidi w:val="0"/>
                    <w:adjustRightInd/>
                    <w:snapToGrid/>
                    <w:spacing w:line="240" w:lineRule="auto"/>
                    <w:jc w:val="center"/>
                    <w:textAlignment w:val="center"/>
                    <w:rPr>
                      <w:rFonts w:ascii="Times New Roman" w:hAnsi="Times New Roman" w:eastAsia="宋体" w:cs="Times New Roman"/>
                      <w:b/>
                      <w:bCs/>
                      <w:color w:val="auto"/>
                      <w:position w:val="-10"/>
                      <w:sz w:val="21"/>
                      <w:szCs w:val="21"/>
                      <w:highlight w:val="none"/>
                      <w:lang w:val="en-US" w:eastAsia="zh-CN" w:bidi="ar-SA"/>
                    </w:rPr>
                  </w:pPr>
                  <w:r>
                    <w:rPr>
                      <w:rFonts w:ascii="Times New Roman" w:hAnsi="Times New Roman" w:eastAsia="宋体" w:cs="Times New Roman"/>
                      <w:b/>
                      <w:bCs/>
                      <w:color w:val="auto"/>
                      <w:position w:val="-10"/>
                      <w:sz w:val="21"/>
                      <w:szCs w:val="21"/>
                      <w:highlight w:val="none"/>
                      <w:lang w:val="en-US" w:eastAsia="zh-CN" w:bidi="ar-SA"/>
                    </w:rPr>
                    <w:t>监测标准</w:t>
                  </w:r>
                </w:p>
              </w:tc>
            </w:tr>
            <w:tr w14:paraId="42A18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0" w:type="pct"/>
                  <w:vAlign w:val="center"/>
                </w:tcPr>
                <w:p w14:paraId="33CD4CAA">
                  <w:pPr>
                    <w:pStyle w:val="61"/>
                    <w:keepNext w:val="0"/>
                    <w:keepLines w:val="0"/>
                    <w:widowControl/>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生产</w:t>
                  </w:r>
                  <w:r>
                    <w:rPr>
                      <w:rFonts w:hint="default" w:ascii="Times New Roman" w:hAnsi="Times New Roman" w:cs="Times New Roman"/>
                      <w:color w:val="auto"/>
                      <w:kern w:val="2"/>
                      <w:sz w:val="21"/>
                      <w:szCs w:val="21"/>
                      <w:highlight w:val="none"/>
                    </w:rPr>
                    <w:t>废水排放口</w:t>
                  </w:r>
                  <w:r>
                    <w:rPr>
                      <w:rFonts w:hint="default" w:ascii="Times New Roman" w:hAnsi="Times New Roman" w:cs="Times New Roman"/>
                      <w:color w:val="auto"/>
                      <w:kern w:val="2"/>
                      <w:sz w:val="21"/>
                      <w:szCs w:val="21"/>
                      <w:highlight w:val="none"/>
                      <w:lang w:val="en-US" w:eastAsia="zh-CN"/>
                    </w:rPr>
                    <w:t>DW002</w:t>
                  </w:r>
                </w:p>
              </w:tc>
              <w:tc>
                <w:tcPr>
                  <w:tcW w:w="1127" w:type="pct"/>
                  <w:vAlign w:val="center"/>
                </w:tcPr>
                <w:p w14:paraId="1AC035C1">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eastAsia="宋体"/>
                      <w:color w:val="auto"/>
                      <w:sz w:val="21"/>
                      <w:szCs w:val="21"/>
                      <w:highlight w:val="none"/>
                    </w:rPr>
                    <w:t>流量、pH、COD</w:t>
                  </w:r>
                  <w:r>
                    <w:rPr>
                      <w:rFonts w:hint="default" w:eastAsia="宋体"/>
                      <w:color w:val="auto"/>
                      <w:sz w:val="21"/>
                      <w:szCs w:val="21"/>
                      <w:highlight w:val="none"/>
                      <w:vertAlign w:val="subscript"/>
                    </w:rPr>
                    <w:t>Cr</w:t>
                  </w:r>
                  <w:r>
                    <w:rPr>
                      <w:rFonts w:hint="default" w:eastAsia="宋体"/>
                      <w:color w:val="auto"/>
                      <w:sz w:val="21"/>
                      <w:szCs w:val="21"/>
                      <w:highlight w:val="none"/>
                    </w:rPr>
                    <w:t>、氨氮、悬浮物、氟化物、LAS、石油类、BOD</w:t>
                  </w:r>
                  <w:r>
                    <w:rPr>
                      <w:rFonts w:hint="default" w:eastAsia="宋体"/>
                      <w:color w:val="auto"/>
                      <w:sz w:val="21"/>
                      <w:szCs w:val="21"/>
                      <w:highlight w:val="none"/>
                      <w:vertAlign w:val="subscript"/>
                    </w:rPr>
                    <w:t>5</w:t>
                  </w:r>
                  <w:r>
                    <w:rPr>
                      <w:rFonts w:hint="default" w:eastAsia="宋体"/>
                      <w:color w:val="auto"/>
                      <w:sz w:val="21"/>
                      <w:szCs w:val="21"/>
                      <w:highlight w:val="none"/>
                    </w:rPr>
                    <w:t>、总氮、总磷</w:t>
                  </w:r>
                </w:p>
              </w:tc>
              <w:tc>
                <w:tcPr>
                  <w:tcW w:w="751" w:type="pct"/>
                  <w:vAlign w:val="center"/>
                </w:tcPr>
                <w:p w14:paraId="639C54DF">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leftChars="0" w:right="0" w:rightChars="0" w:firstLine="0" w:firstLineChars="0"/>
                    <w:jc w:val="center"/>
                    <w:textAlignment w:val="auto"/>
                    <w:rPr>
                      <w:rFonts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spacing w:val="-2"/>
                      <w:sz w:val="21"/>
                      <w:szCs w:val="21"/>
                      <w:highlight w:val="none"/>
                    </w:rPr>
                    <w:t>一次/半年</w:t>
                  </w:r>
                </w:p>
              </w:tc>
              <w:tc>
                <w:tcPr>
                  <w:tcW w:w="2221" w:type="pct"/>
                  <w:vAlign w:val="center"/>
                </w:tcPr>
                <w:p w14:paraId="2B572270">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leftChars="0" w:right="0" w:rightChars="0" w:firstLine="0" w:firstLineChars="0"/>
                    <w:jc w:val="center"/>
                    <w:textAlignment w:val="auto"/>
                    <w:rPr>
                      <w:rFonts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spacing w:val="-2"/>
                      <w:sz w:val="21"/>
                      <w:szCs w:val="21"/>
                      <w:highlight w:val="none"/>
                    </w:rPr>
                    <w:t>《排污单位自行监测技术指南 涂装》（HJ1086-2020）表1-废水总排放口-非重点排污单位-间接排放</w:t>
                  </w:r>
                </w:p>
              </w:tc>
            </w:tr>
            <w:tr w14:paraId="257E8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00" w:type="pct"/>
                  <w:vAlign w:val="center"/>
                </w:tcPr>
                <w:p w14:paraId="5F00BC80">
                  <w:pPr>
                    <w:pStyle w:val="61"/>
                    <w:keepNext w:val="0"/>
                    <w:keepLines w:val="0"/>
                    <w:widowControl/>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雨水排放口</w:t>
                  </w:r>
                  <w:r>
                    <w:rPr>
                      <w:rFonts w:hint="eastAsia"/>
                      <w:color w:val="auto"/>
                      <w:highlight w:val="none"/>
                      <w:lang w:val="en-US" w:eastAsia="zh-CN"/>
                    </w:rPr>
                    <w:t>YS01</w:t>
                  </w:r>
                </w:p>
              </w:tc>
              <w:tc>
                <w:tcPr>
                  <w:tcW w:w="1127" w:type="pct"/>
                  <w:vAlign w:val="center"/>
                </w:tcPr>
                <w:p w14:paraId="4AA5064F">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pH、COD</w:t>
                  </w:r>
                  <w:r>
                    <w:rPr>
                      <w:rFonts w:hint="default" w:ascii="Times New Roman" w:hAnsi="Times New Roman" w:eastAsia="宋体" w:cs="Times New Roman"/>
                      <w:color w:val="auto"/>
                      <w:sz w:val="21"/>
                      <w:szCs w:val="21"/>
                      <w:highlight w:val="none"/>
                      <w:vertAlign w:val="subscript"/>
                    </w:rPr>
                    <w:t>Cr</w:t>
                  </w:r>
                  <w:r>
                    <w:rPr>
                      <w:rFonts w:hint="default" w:ascii="Times New Roman" w:hAnsi="Times New Roman" w:eastAsia="宋体" w:cs="Times New Roman"/>
                      <w:color w:val="auto"/>
                      <w:sz w:val="21"/>
                      <w:szCs w:val="21"/>
                      <w:highlight w:val="none"/>
                    </w:rPr>
                    <w:t>、悬浮物</w:t>
                  </w:r>
                </w:p>
              </w:tc>
              <w:tc>
                <w:tcPr>
                  <w:tcW w:w="751" w:type="pct"/>
                  <w:vAlign w:val="center"/>
                </w:tcPr>
                <w:p w14:paraId="5897CA09">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lang w:val="en-US" w:eastAsia="zh-CN"/>
                    </w:rPr>
                  </w:pPr>
                  <w:r>
                    <w:rPr>
                      <w:rFonts w:hint="eastAsia" w:ascii="Times New Roman" w:cs="Times New Roman"/>
                      <w:color w:val="auto"/>
                      <w:spacing w:val="-2"/>
                      <w:sz w:val="21"/>
                      <w:szCs w:val="21"/>
                      <w:highlight w:val="none"/>
                      <w:lang w:val="en-US" w:eastAsia="zh-CN"/>
                    </w:rPr>
                    <w:t>月*</w:t>
                  </w:r>
                </w:p>
              </w:tc>
              <w:tc>
                <w:tcPr>
                  <w:tcW w:w="2221" w:type="pct"/>
                  <w:vAlign w:val="center"/>
                </w:tcPr>
                <w:p w14:paraId="4B8A336E">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《排污单位自行监测技术指南 涂装》（HJ1086-2020）表1</w:t>
                  </w:r>
                </w:p>
              </w:tc>
            </w:tr>
            <w:tr w14:paraId="116C7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vAlign w:val="center"/>
                </w:tcPr>
                <w:p w14:paraId="7CADFD7B">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auto"/>
                      <w:spacing w:val="-2"/>
                      <w:sz w:val="21"/>
                      <w:szCs w:val="21"/>
                      <w:highlight w:val="none"/>
                    </w:rPr>
                  </w:pPr>
                  <w:r>
                    <w:rPr>
                      <w:rFonts w:hint="eastAsia" w:ascii="Times New Roman" w:cs="Times New Roman"/>
                      <w:color w:val="auto"/>
                      <w:spacing w:val="-2"/>
                      <w:sz w:val="21"/>
                      <w:szCs w:val="21"/>
                      <w:highlight w:val="none"/>
                      <w:lang w:val="en-US" w:eastAsia="zh-CN"/>
                    </w:rPr>
                    <w:t>*</w:t>
                  </w:r>
                  <w:r>
                    <w:rPr>
                      <w:rFonts w:hint="default" w:ascii="Times New Roman" w:hAnsi="Times New Roman" w:eastAsia="宋体" w:cs="Times New Roman"/>
                      <w:color w:val="auto"/>
                      <w:spacing w:val="-2"/>
                      <w:sz w:val="21"/>
                      <w:szCs w:val="21"/>
                      <w:highlight w:val="none"/>
                    </w:rPr>
                    <w:t>雨水排放口有流动水排放时按月监测。若监测一年无异常情况，可放宽至每季度开展一次监测</w:t>
                  </w:r>
                </w:p>
              </w:tc>
            </w:tr>
          </w:tbl>
          <w:p w14:paraId="7B2C7D26">
            <w:pPr>
              <w:keepNext/>
              <w:keepLines/>
              <w:pageBreakBefore w:val="0"/>
              <w:tabs>
                <w:tab w:val="left" w:pos="0"/>
              </w:tabs>
              <w:kinsoku/>
              <w:wordWrap w:val="0"/>
              <w:overflowPunct/>
              <w:topLinePunct w:val="0"/>
              <w:bidi w:val="0"/>
              <w:ind w:firstLine="480" w:firstLineChars="200"/>
              <w:outlineLvl w:val="2"/>
              <w:rPr>
                <w:rFonts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rPr>
              <w:t>三、</w:t>
            </w:r>
            <w:r>
              <w:rPr>
                <w:rFonts w:ascii="Times New Roman" w:hAnsi="Times New Roman" w:eastAsia="宋体" w:cs="Times New Roman"/>
                <w:b/>
                <w:bCs/>
                <w:color w:val="auto"/>
                <w:highlight w:val="none"/>
              </w:rPr>
              <w:t>噪声污染源</w:t>
            </w:r>
          </w:p>
          <w:p w14:paraId="1B1BFE1F">
            <w:pPr>
              <w:keepNext/>
              <w:keepLines/>
              <w:pageBreakBefore w:val="0"/>
              <w:tabs>
                <w:tab w:val="left" w:pos="0"/>
              </w:tabs>
              <w:kinsoku/>
              <w:wordWrap w:val="0"/>
              <w:overflowPunct/>
              <w:topLinePunct w:val="0"/>
              <w:bidi w:val="0"/>
              <w:ind w:firstLine="480" w:firstLineChars="200"/>
              <w:outlineLvl w:val="3"/>
              <w:rPr>
                <w:rFonts w:ascii="Times New Roman" w:hAnsi="Times New Roman" w:eastAsia="宋体" w:cs="Times New Roman"/>
                <w:b/>
                <w:bCs/>
                <w:color w:val="auto"/>
                <w:highlight w:val="none"/>
              </w:rPr>
            </w:pPr>
            <w:r>
              <w:rPr>
                <w:rFonts w:ascii="Times New Roman" w:hAnsi="Times New Roman" w:eastAsia="宋体" w:cs="Times New Roman"/>
                <w:b/>
                <w:bCs/>
                <w:color w:val="auto"/>
                <w:highlight w:val="none"/>
              </w:rPr>
              <w:t>1、污染源源强分析</w:t>
            </w:r>
          </w:p>
          <w:p w14:paraId="77268F52">
            <w:pPr>
              <w:pStyle w:val="21"/>
              <w:pageBreakBefore w:val="0"/>
              <w:kinsoku/>
              <w:wordWrap w:val="0"/>
              <w:overflowPunct/>
              <w:topLinePunct w:val="0"/>
              <w:bidi w:val="0"/>
              <w:ind w:firstLine="480"/>
              <w:rPr>
                <w:rFonts w:hint="default" w:ascii="Times New Roman" w:hAnsi="Times New Roman" w:cs="Times New Roman"/>
                <w:color w:val="auto"/>
                <w:kern w:val="0"/>
                <w:highlight w:val="none"/>
              </w:rPr>
            </w:pPr>
            <w:r>
              <w:rPr>
                <w:rFonts w:ascii="Times New Roman" w:hAnsi="Times New Roman" w:eastAsia="宋体" w:cs="Times New Roman"/>
                <w:color w:val="auto"/>
                <w:highlight w:val="none"/>
              </w:rPr>
              <w:t>本项目运营期噪声源主要为生产设备运行产生的噪声。</w:t>
            </w:r>
            <w:r>
              <w:rPr>
                <w:rFonts w:ascii="Times New Roman" w:hAnsi="Times New Roman" w:eastAsia="宋体" w:cs="Times New Roman"/>
                <w:bCs/>
                <w:color w:val="auto"/>
                <w:kern w:val="0"/>
                <w:highlight w:val="none"/>
              </w:rPr>
              <w:t>生产及辅助设备运行时产生的噪声强度值为60~85dB(A)之间。噪声特征以连续性噪声为主，间歇性噪声为辅，噪声污染源强核算结果及相关参数如下表。</w:t>
            </w:r>
          </w:p>
        </w:tc>
      </w:tr>
    </w:tbl>
    <w:p w14:paraId="2A6334F9">
      <w:pPr>
        <w:pageBreakBefore w:val="0"/>
        <w:wordWrap w:val="0"/>
        <w:overflowPunct/>
        <w:bidi w:val="0"/>
        <w:rPr>
          <w:rFonts w:hint="default" w:ascii="Times New Roman" w:hAnsi="Times New Roman" w:eastAsia="宋体" w:cs="Times New Roman"/>
          <w:color w:val="auto"/>
          <w:highlight w:val="none"/>
        </w:rPr>
        <w:sectPr>
          <w:pgSz w:w="11906" w:h="16838"/>
          <w:pgMar w:top="1440" w:right="1797" w:bottom="1440" w:left="1797" w:header="851" w:footer="680" w:gutter="0"/>
          <w:pgBorders>
            <w:top w:val="none" w:sz="0" w:space="0"/>
            <w:left w:val="none" w:sz="0" w:space="0"/>
            <w:bottom w:val="none" w:sz="0" w:space="0"/>
            <w:right w:val="none" w:sz="0" w:space="0"/>
          </w:pgBorders>
          <w:pgNumType w:fmt="decimal"/>
          <w:cols w:space="720" w:num="1"/>
          <w:docGrid w:type="linesAndChars" w:linePitch="312" w:charSpace="0"/>
        </w:sectPr>
      </w:pPr>
    </w:p>
    <w:bookmarkEnd w:id="97"/>
    <w:tbl>
      <w:tblPr>
        <w:tblStyle w:val="44"/>
        <w:tblW w:w="0" w:type="auto"/>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
        <w:gridCol w:w="13835"/>
      </w:tblGrid>
      <w:tr w14:paraId="61BFF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0" w:hRule="atLeast"/>
        </w:trPr>
        <w:tc>
          <w:tcPr>
            <w:tcW w:w="578" w:type="dxa"/>
          </w:tcPr>
          <w:p w14:paraId="1A02EF96">
            <w:pPr>
              <w:pStyle w:val="7"/>
              <w:pageBreakBefore w:val="0"/>
              <w:numPr>
                <w:ilvl w:val="0"/>
                <w:numId w:val="0"/>
              </w:numPr>
              <w:wordWrap w:val="0"/>
              <w:overflowPunct/>
              <w:bidi w:val="0"/>
              <w:rPr>
                <w:rFonts w:hint="default" w:ascii="Times New Roman" w:hAnsi="Times New Roman" w:eastAsia="宋体" w:cs="Times New Roman"/>
                <w:b/>
                <w:color w:val="auto"/>
                <w:sz w:val="21"/>
                <w:szCs w:val="21"/>
                <w:highlight w:val="none"/>
              </w:rPr>
            </w:pPr>
            <w:bookmarkStart w:id="132" w:name="_Toc7465"/>
          </w:p>
        </w:tc>
        <w:tc>
          <w:tcPr>
            <w:tcW w:w="13303" w:type="dxa"/>
          </w:tcPr>
          <w:p w14:paraId="28B7F6B8">
            <w:pPr>
              <w:keepNext w:val="0"/>
              <w:keepLines w:val="0"/>
              <w:pageBreakBefore w:val="0"/>
              <w:widowControl w:val="0"/>
              <w:numPr>
                <w:ilvl w:val="0"/>
                <w:numId w:val="10"/>
              </w:numPr>
              <w:kinsoku/>
              <w:wordWrap w:val="0"/>
              <w:overflowPunct/>
              <w:topLinePunct w:val="0"/>
              <w:autoSpaceDE/>
              <w:autoSpaceDN/>
              <w:bidi w:val="0"/>
              <w:adjustRightInd/>
              <w:snapToGrid/>
              <w:spacing w:line="240" w:lineRule="auto"/>
              <w:ind w:left="0" w:leftChars="0" w:hanging="1" w:firstLineChars="0"/>
              <w:jc w:val="center"/>
              <w:textAlignment w:val="auto"/>
              <w:rPr>
                <w:rFonts w:hint="default" w:ascii="Times New Roman" w:hAnsi="Times New Roman" w:cs="Times New Roman"/>
                <w:b/>
                <w:color w:val="auto"/>
                <w:kern w:val="0"/>
                <w:sz w:val="21"/>
                <w:szCs w:val="21"/>
                <w:highlight w:val="none"/>
                <w:lang w:eastAsia="zh-CN"/>
              </w:rPr>
            </w:pPr>
            <w:r>
              <w:rPr>
                <w:rFonts w:hint="eastAsia" w:ascii="Times New Roman" w:hAnsi="Times New Roman" w:eastAsia="宋体" w:cs="Times New Roman"/>
                <w:b/>
                <w:color w:val="auto"/>
                <w:sz w:val="21"/>
                <w:szCs w:val="21"/>
                <w:highlight w:val="none"/>
                <w:lang w:val="en-US" w:eastAsia="zh-CN"/>
              </w:rPr>
              <w:t xml:space="preserve"> </w:t>
            </w:r>
            <w:r>
              <w:rPr>
                <w:rFonts w:hint="default" w:ascii="Times New Roman" w:hAnsi="Times New Roman" w:cs="Times New Roman"/>
                <w:b/>
                <w:color w:val="auto"/>
                <w:kern w:val="0"/>
                <w:sz w:val="21"/>
                <w:szCs w:val="21"/>
                <w:highlight w:val="none"/>
              </w:rPr>
              <w:t>噪声污染源源强核算结果及相关参数一览表</w:t>
            </w:r>
            <w:r>
              <w:rPr>
                <w:rFonts w:hint="default" w:ascii="Times New Roman" w:hAnsi="Times New Roman" w:cs="Times New Roman"/>
                <w:b/>
                <w:color w:val="auto"/>
                <w:kern w:val="0"/>
                <w:sz w:val="21"/>
                <w:szCs w:val="21"/>
                <w:highlight w:val="none"/>
                <w:lang w:eastAsia="zh-CN"/>
              </w:rPr>
              <w:t>（室</w:t>
            </w:r>
            <w:r>
              <w:rPr>
                <w:rFonts w:hint="eastAsia" w:cs="Times New Roman"/>
                <w:b/>
                <w:color w:val="auto"/>
                <w:kern w:val="0"/>
                <w:sz w:val="21"/>
                <w:szCs w:val="21"/>
                <w:highlight w:val="none"/>
                <w:lang w:val="en-US" w:eastAsia="zh-CN"/>
              </w:rPr>
              <w:t>内</w:t>
            </w:r>
            <w:r>
              <w:rPr>
                <w:rFonts w:hint="default" w:ascii="Times New Roman" w:hAnsi="Times New Roman" w:cs="Times New Roman"/>
                <w:b/>
                <w:color w:val="auto"/>
                <w:kern w:val="0"/>
                <w:sz w:val="21"/>
                <w:szCs w:val="21"/>
                <w:highlight w:val="none"/>
                <w:lang w:eastAsia="zh-CN"/>
              </w:rPr>
              <w:t>声源）</w:t>
            </w:r>
          </w:p>
          <w:tbl>
            <w:tblPr>
              <w:tblStyle w:val="43"/>
              <w:tblW w:w="1309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70"/>
              <w:gridCol w:w="622"/>
              <w:gridCol w:w="420"/>
              <w:gridCol w:w="407"/>
              <w:gridCol w:w="345"/>
              <w:gridCol w:w="1371"/>
              <w:gridCol w:w="906"/>
              <w:gridCol w:w="940"/>
              <w:gridCol w:w="358"/>
              <w:gridCol w:w="358"/>
              <w:gridCol w:w="358"/>
              <w:gridCol w:w="358"/>
              <w:gridCol w:w="358"/>
              <w:gridCol w:w="358"/>
              <w:gridCol w:w="358"/>
              <w:gridCol w:w="358"/>
              <w:gridCol w:w="623"/>
              <w:gridCol w:w="1508"/>
              <w:gridCol w:w="358"/>
              <w:gridCol w:w="358"/>
              <w:gridCol w:w="358"/>
              <w:gridCol w:w="358"/>
              <w:gridCol w:w="303"/>
              <w:gridCol w:w="291"/>
              <w:gridCol w:w="317"/>
              <w:gridCol w:w="190"/>
            </w:tblGrid>
            <w:tr w14:paraId="0338D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372" w:type="pct"/>
                  <w:vMerge w:val="restar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7FB9A19">
                  <w:pPr>
                    <w:keepNext w:val="0"/>
                    <w:keepLines w:val="0"/>
                    <w:widowControl/>
                    <w:suppressLineNumbers w:val="0"/>
                    <w:spacing w:line="240" w:lineRule="auto"/>
                    <w:jc w:val="center"/>
                    <w:textAlignment w:val="center"/>
                    <w:rPr>
                      <w:rFonts w:hint="default" w:ascii="Times New Roman" w:hAnsi="Times New Roman"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rPr>
                    <w:t>声源名称</w:t>
                  </w:r>
                </w:p>
              </w:tc>
              <w:tc>
                <w:tcPr>
                  <w:tcW w:w="217" w:type="pct"/>
                  <w:vMerge w:val="restar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C8853BE">
                  <w:pPr>
                    <w:keepNext w:val="0"/>
                    <w:keepLines w:val="0"/>
                    <w:widowControl/>
                    <w:suppressLineNumbers w:val="0"/>
                    <w:spacing w:line="240" w:lineRule="auto"/>
                    <w:jc w:val="center"/>
                    <w:textAlignment w:val="center"/>
                    <w:rPr>
                      <w:rFonts w:hint="default" w:ascii="Times New Roman" w:hAnsi="Times New Roman"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rPr>
                    <w:t>设备数量</w:t>
                  </w:r>
                </w:p>
              </w:tc>
              <w:tc>
                <w:tcPr>
                  <w:tcW w:w="620" w:type="pct"/>
                  <w:gridSpan w:val="3"/>
                  <w:vMerge w:val="restar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F9C4F96">
                  <w:pPr>
                    <w:keepNext w:val="0"/>
                    <w:keepLines w:val="0"/>
                    <w:widowControl/>
                    <w:suppressLineNumbers w:val="0"/>
                    <w:spacing w:line="240" w:lineRule="auto"/>
                    <w:jc w:val="center"/>
                    <w:textAlignment w:val="center"/>
                    <w:rPr>
                      <w:rFonts w:hint="default" w:ascii="Times New Roman" w:hAnsi="Times New Roman"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rPr>
                    <w:t>空间相对位置/m</w:t>
                  </w:r>
                </w:p>
              </w:tc>
              <w:tc>
                <w:tcPr>
                  <w:tcW w:w="325" w:type="pct"/>
                  <w:vMerge w:val="restar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9D84736">
                  <w:pPr>
                    <w:keepNext w:val="0"/>
                    <w:keepLines w:val="0"/>
                    <w:widowControl/>
                    <w:suppressLineNumbers w:val="0"/>
                    <w:spacing w:line="240" w:lineRule="auto"/>
                    <w:jc w:val="center"/>
                    <w:textAlignment w:val="center"/>
                    <w:rPr>
                      <w:rFonts w:hint="default" w:ascii="Times New Roman" w:hAnsi="Times New Roman"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rPr>
                    <w:t>声源控制措施</w:t>
                  </w:r>
                </w:p>
              </w:tc>
              <w:tc>
                <w:tcPr>
                  <w:tcW w:w="560" w:type="pct"/>
                  <w:gridSpan w:val="2"/>
                  <w:vMerge w:val="restar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5FD1C36B">
                  <w:pPr>
                    <w:keepNext w:val="0"/>
                    <w:keepLines w:val="0"/>
                    <w:widowControl/>
                    <w:suppressLineNumbers w:val="0"/>
                    <w:spacing w:line="240" w:lineRule="auto"/>
                    <w:jc w:val="center"/>
                    <w:textAlignment w:val="center"/>
                    <w:rPr>
                      <w:rFonts w:hint="default" w:ascii="Times New Roman" w:hAnsi="Times New Roman"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rPr>
                    <w:t>声源源强</w:t>
                  </w:r>
                </w:p>
              </w:tc>
              <w:tc>
                <w:tcPr>
                  <w:tcW w:w="744" w:type="pct"/>
                  <w:gridSpan w:val="4"/>
                  <w:vMerge w:val="restar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43ADE1F">
                  <w:pPr>
                    <w:keepNext w:val="0"/>
                    <w:keepLines w:val="0"/>
                    <w:widowControl/>
                    <w:suppressLineNumbers w:val="0"/>
                    <w:spacing w:line="240" w:lineRule="auto"/>
                    <w:jc w:val="center"/>
                    <w:textAlignment w:val="center"/>
                    <w:rPr>
                      <w:rFonts w:hint="default" w:ascii="Times New Roman" w:hAnsi="Times New Roman"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rPr>
                    <w:t>距室内边界距离/m</w:t>
                  </w:r>
                </w:p>
              </w:tc>
              <w:tc>
                <w:tcPr>
                  <w:tcW w:w="750" w:type="pct"/>
                  <w:gridSpan w:val="4"/>
                  <w:vMerge w:val="restar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04C5CAE">
                  <w:pPr>
                    <w:keepNext w:val="0"/>
                    <w:keepLines w:val="0"/>
                    <w:widowControl/>
                    <w:suppressLineNumbers w:val="0"/>
                    <w:spacing w:line="240" w:lineRule="auto"/>
                    <w:jc w:val="center"/>
                    <w:textAlignment w:val="center"/>
                    <w:rPr>
                      <w:rFonts w:hint="default" w:ascii="Times New Roman" w:hAnsi="Times New Roman"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rPr>
                    <w:t>室内边界声级/dB(A)</w:t>
                  </w:r>
                </w:p>
              </w:tc>
              <w:tc>
                <w:tcPr>
                  <w:tcW w:w="127" w:type="pct"/>
                  <w:vMerge w:val="restar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186553A">
                  <w:pPr>
                    <w:keepNext w:val="0"/>
                    <w:keepLines w:val="0"/>
                    <w:widowControl/>
                    <w:suppressLineNumbers w:val="0"/>
                    <w:spacing w:line="240" w:lineRule="auto"/>
                    <w:jc w:val="center"/>
                    <w:textAlignment w:val="center"/>
                    <w:rPr>
                      <w:rFonts w:hint="default" w:ascii="Times New Roman" w:hAnsi="Times New Roman"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rPr>
                    <w:t>运行时段</w:t>
                  </w:r>
                </w:p>
              </w:tc>
              <w:tc>
                <w:tcPr>
                  <w:tcW w:w="209" w:type="pct"/>
                  <w:vMerge w:val="restar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48BD854">
                  <w:pPr>
                    <w:keepNext w:val="0"/>
                    <w:keepLines w:val="0"/>
                    <w:widowControl/>
                    <w:suppressLineNumbers w:val="0"/>
                    <w:spacing w:line="240" w:lineRule="auto"/>
                    <w:jc w:val="center"/>
                    <w:textAlignment w:val="center"/>
                    <w:rPr>
                      <w:rFonts w:hint="default" w:ascii="Times New Roman" w:hAnsi="Times New Roman"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rPr>
                    <w:t>建筑物插入损失/dB(A)</w:t>
                  </w:r>
                </w:p>
              </w:tc>
              <w:tc>
                <w:tcPr>
                  <w:tcW w:w="1068" w:type="pct"/>
                  <w:gridSpan w:val="8"/>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0995E0D">
                  <w:pPr>
                    <w:keepNext w:val="0"/>
                    <w:keepLines w:val="0"/>
                    <w:widowControl/>
                    <w:suppressLineNumbers w:val="0"/>
                    <w:spacing w:line="240" w:lineRule="auto"/>
                    <w:jc w:val="center"/>
                    <w:textAlignment w:val="center"/>
                    <w:rPr>
                      <w:rFonts w:hint="default" w:ascii="Times New Roman" w:hAnsi="Times New Roman"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rPr>
                    <w:t>建筑物外噪音</w:t>
                  </w:r>
                </w:p>
              </w:tc>
            </w:tr>
            <w:tr w14:paraId="53E70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372" w:type="pct"/>
                  <w:vMerge w:val="continue"/>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69C6CA9">
                  <w:pPr>
                    <w:spacing w:line="240" w:lineRule="auto"/>
                    <w:jc w:val="center"/>
                    <w:rPr>
                      <w:rFonts w:hint="default" w:ascii="Times New Roman" w:hAnsi="Times New Roman" w:cs="Times New Roman"/>
                      <w:b/>
                      <w:bCs/>
                      <w:i w:val="0"/>
                      <w:iCs w:val="0"/>
                      <w:color w:val="auto"/>
                      <w:sz w:val="18"/>
                      <w:szCs w:val="18"/>
                      <w:highlight w:val="none"/>
                      <w:u w:val="none"/>
                    </w:rPr>
                  </w:pPr>
                </w:p>
              </w:tc>
              <w:tc>
                <w:tcPr>
                  <w:tcW w:w="217" w:type="pct"/>
                  <w:vMerge w:val="continue"/>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477455E">
                  <w:pPr>
                    <w:spacing w:line="240" w:lineRule="auto"/>
                    <w:jc w:val="center"/>
                    <w:rPr>
                      <w:rFonts w:hint="default" w:ascii="Times New Roman" w:hAnsi="Times New Roman" w:cs="Times New Roman"/>
                      <w:b/>
                      <w:bCs/>
                      <w:i w:val="0"/>
                      <w:iCs w:val="0"/>
                      <w:color w:val="auto"/>
                      <w:sz w:val="18"/>
                      <w:szCs w:val="18"/>
                      <w:highlight w:val="none"/>
                      <w:u w:val="none"/>
                    </w:rPr>
                  </w:pPr>
                </w:p>
              </w:tc>
              <w:tc>
                <w:tcPr>
                  <w:tcW w:w="620" w:type="pct"/>
                  <w:gridSpan w:val="3"/>
                  <w:vMerge w:val="continue"/>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4CAA5DA">
                  <w:pPr>
                    <w:spacing w:line="240" w:lineRule="auto"/>
                    <w:jc w:val="center"/>
                    <w:rPr>
                      <w:rFonts w:hint="default" w:ascii="Times New Roman" w:hAnsi="Times New Roman" w:cs="Times New Roman"/>
                      <w:b/>
                      <w:bCs/>
                      <w:i w:val="0"/>
                      <w:iCs w:val="0"/>
                      <w:color w:val="auto"/>
                      <w:sz w:val="18"/>
                      <w:szCs w:val="18"/>
                      <w:highlight w:val="none"/>
                      <w:u w:val="none"/>
                    </w:rPr>
                  </w:pPr>
                </w:p>
              </w:tc>
              <w:tc>
                <w:tcPr>
                  <w:tcW w:w="325" w:type="pct"/>
                  <w:vMerge w:val="continue"/>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B204FC5">
                  <w:pPr>
                    <w:spacing w:line="240" w:lineRule="auto"/>
                    <w:jc w:val="center"/>
                    <w:rPr>
                      <w:rFonts w:hint="default" w:ascii="Times New Roman" w:hAnsi="Times New Roman" w:cs="Times New Roman"/>
                      <w:b/>
                      <w:bCs/>
                      <w:i w:val="0"/>
                      <w:iCs w:val="0"/>
                      <w:color w:val="auto"/>
                      <w:sz w:val="18"/>
                      <w:szCs w:val="18"/>
                      <w:highlight w:val="none"/>
                      <w:u w:val="none"/>
                    </w:rPr>
                  </w:pPr>
                </w:p>
              </w:tc>
              <w:tc>
                <w:tcPr>
                  <w:tcW w:w="560" w:type="pct"/>
                  <w:gridSpan w:val="2"/>
                  <w:vMerge w:val="continue"/>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117F2C5">
                  <w:pPr>
                    <w:spacing w:line="240" w:lineRule="auto"/>
                    <w:jc w:val="center"/>
                    <w:rPr>
                      <w:rFonts w:hint="default" w:ascii="Times New Roman" w:hAnsi="Times New Roman" w:cs="Times New Roman"/>
                      <w:b/>
                      <w:bCs/>
                      <w:i w:val="0"/>
                      <w:iCs w:val="0"/>
                      <w:color w:val="auto"/>
                      <w:sz w:val="18"/>
                      <w:szCs w:val="18"/>
                      <w:highlight w:val="none"/>
                      <w:u w:val="none"/>
                    </w:rPr>
                  </w:pPr>
                </w:p>
              </w:tc>
              <w:tc>
                <w:tcPr>
                  <w:tcW w:w="744" w:type="pct"/>
                  <w:gridSpan w:val="4"/>
                  <w:vMerge w:val="continue"/>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475DDB0">
                  <w:pPr>
                    <w:spacing w:line="240" w:lineRule="auto"/>
                    <w:jc w:val="center"/>
                    <w:rPr>
                      <w:rFonts w:hint="default" w:ascii="Times New Roman" w:hAnsi="Times New Roman" w:cs="Times New Roman"/>
                      <w:b/>
                      <w:bCs/>
                      <w:i w:val="0"/>
                      <w:iCs w:val="0"/>
                      <w:color w:val="auto"/>
                      <w:sz w:val="18"/>
                      <w:szCs w:val="18"/>
                      <w:highlight w:val="none"/>
                      <w:u w:val="none"/>
                    </w:rPr>
                  </w:pPr>
                </w:p>
              </w:tc>
              <w:tc>
                <w:tcPr>
                  <w:tcW w:w="750" w:type="pct"/>
                  <w:gridSpan w:val="4"/>
                  <w:vMerge w:val="continue"/>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B1016D1">
                  <w:pPr>
                    <w:spacing w:line="240" w:lineRule="auto"/>
                    <w:jc w:val="center"/>
                    <w:rPr>
                      <w:rFonts w:hint="default" w:ascii="Times New Roman" w:hAnsi="Times New Roman" w:cs="Times New Roman"/>
                      <w:b/>
                      <w:bCs/>
                      <w:i w:val="0"/>
                      <w:iCs w:val="0"/>
                      <w:color w:val="auto"/>
                      <w:sz w:val="18"/>
                      <w:szCs w:val="18"/>
                      <w:highlight w:val="none"/>
                      <w:u w:val="none"/>
                    </w:rPr>
                  </w:pPr>
                </w:p>
              </w:tc>
              <w:tc>
                <w:tcPr>
                  <w:tcW w:w="127" w:type="pct"/>
                  <w:vMerge w:val="continue"/>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6B8C59C">
                  <w:pPr>
                    <w:spacing w:line="240" w:lineRule="auto"/>
                    <w:jc w:val="center"/>
                    <w:rPr>
                      <w:rFonts w:hint="default" w:ascii="Times New Roman" w:hAnsi="Times New Roman" w:cs="Times New Roman"/>
                      <w:b/>
                      <w:bCs/>
                      <w:i w:val="0"/>
                      <w:iCs w:val="0"/>
                      <w:color w:val="auto"/>
                      <w:sz w:val="18"/>
                      <w:szCs w:val="18"/>
                      <w:highlight w:val="none"/>
                      <w:u w:val="none"/>
                    </w:rPr>
                  </w:pPr>
                </w:p>
              </w:tc>
              <w:tc>
                <w:tcPr>
                  <w:tcW w:w="209" w:type="pct"/>
                  <w:vMerge w:val="continue"/>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EA7FA8A">
                  <w:pPr>
                    <w:spacing w:line="240" w:lineRule="auto"/>
                    <w:jc w:val="center"/>
                    <w:rPr>
                      <w:rFonts w:hint="default" w:ascii="Times New Roman" w:hAnsi="Times New Roman" w:cs="Times New Roman"/>
                      <w:b/>
                      <w:bCs/>
                      <w:i w:val="0"/>
                      <w:iCs w:val="0"/>
                      <w:color w:val="auto"/>
                      <w:sz w:val="18"/>
                      <w:szCs w:val="18"/>
                      <w:highlight w:val="none"/>
                      <w:u w:val="none"/>
                    </w:rPr>
                  </w:pPr>
                </w:p>
              </w:tc>
              <w:tc>
                <w:tcPr>
                  <w:tcW w:w="725" w:type="pct"/>
                  <w:gridSpan w:val="4"/>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9831E0D">
                  <w:pPr>
                    <w:keepNext w:val="0"/>
                    <w:keepLines w:val="0"/>
                    <w:widowControl/>
                    <w:suppressLineNumbers w:val="0"/>
                    <w:spacing w:line="240" w:lineRule="auto"/>
                    <w:jc w:val="center"/>
                    <w:textAlignment w:val="center"/>
                    <w:rPr>
                      <w:rFonts w:hint="default" w:ascii="Times New Roman" w:hAnsi="Times New Roman"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rPr>
                    <w:t>声压级/dB(A)</w:t>
                  </w:r>
                </w:p>
              </w:tc>
              <w:tc>
                <w:tcPr>
                  <w:tcW w:w="343" w:type="pct"/>
                  <w:gridSpan w:val="4"/>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09C4DD9">
                  <w:pPr>
                    <w:keepNext w:val="0"/>
                    <w:keepLines w:val="0"/>
                    <w:widowControl/>
                    <w:suppressLineNumbers w:val="0"/>
                    <w:spacing w:line="240" w:lineRule="auto"/>
                    <w:jc w:val="center"/>
                    <w:textAlignment w:val="center"/>
                    <w:rPr>
                      <w:rFonts w:hint="default" w:ascii="Times New Roman" w:hAnsi="Times New Roman"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rPr>
                    <w:t>建筑物外距离/m</w:t>
                  </w:r>
                </w:p>
              </w:tc>
            </w:tr>
            <w:tr w14:paraId="219D3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372" w:type="pct"/>
                  <w:vMerge w:val="continue"/>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5442EF7">
                  <w:pPr>
                    <w:spacing w:line="240" w:lineRule="auto"/>
                    <w:jc w:val="center"/>
                    <w:rPr>
                      <w:rFonts w:hint="default" w:ascii="Times New Roman" w:hAnsi="Times New Roman" w:cs="Times New Roman"/>
                      <w:b/>
                      <w:bCs/>
                      <w:i w:val="0"/>
                      <w:iCs w:val="0"/>
                      <w:color w:val="auto"/>
                      <w:sz w:val="18"/>
                      <w:szCs w:val="18"/>
                      <w:highlight w:val="none"/>
                      <w:u w:val="none"/>
                    </w:rPr>
                  </w:pPr>
                </w:p>
              </w:tc>
              <w:tc>
                <w:tcPr>
                  <w:tcW w:w="217" w:type="pct"/>
                  <w:vMerge w:val="continue"/>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CA948E6">
                  <w:pPr>
                    <w:spacing w:line="240" w:lineRule="auto"/>
                    <w:jc w:val="center"/>
                    <w:rPr>
                      <w:rFonts w:hint="default" w:ascii="Times New Roman" w:hAnsi="Times New Roman" w:cs="Times New Roman"/>
                      <w:b/>
                      <w:bCs/>
                      <w:i w:val="0"/>
                      <w:iCs w:val="0"/>
                      <w:color w:val="auto"/>
                      <w:sz w:val="18"/>
                      <w:szCs w:val="18"/>
                      <w:highlight w:val="none"/>
                      <w:u w:val="none"/>
                    </w:rPr>
                  </w:pPr>
                </w:p>
              </w:tc>
              <w:tc>
                <w:tcPr>
                  <w:tcW w:w="23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215E31D">
                  <w:pPr>
                    <w:keepNext w:val="0"/>
                    <w:keepLines w:val="0"/>
                    <w:widowControl/>
                    <w:suppressLineNumbers w:val="0"/>
                    <w:spacing w:line="240" w:lineRule="auto"/>
                    <w:jc w:val="center"/>
                    <w:textAlignment w:val="center"/>
                    <w:rPr>
                      <w:rFonts w:hint="default" w:ascii="Times New Roman" w:hAnsi="Times New Roman"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rPr>
                    <w:t>X</w:t>
                  </w:r>
                </w:p>
              </w:tc>
              <w:tc>
                <w:tcPr>
                  <w:tcW w:w="18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30AEB1D">
                  <w:pPr>
                    <w:keepNext w:val="0"/>
                    <w:keepLines w:val="0"/>
                    <w:widowControl/>
                    <w:suppressLineNumbers w:val="0"/>
                    <w:spacing w:line="240" w:lineRule="auto"/>
                    <w:jc w:val="center"/>
                    <w:textAlignment w:val="center"/>
                    <w:rPr>
                      <w:rFonts w:hint="default" w:ascii="Times New Roman" w:hAnsi="Times New Roman"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rPr>
                    <w:t>Y</w:t>
                  </w:r>
                </w:p>
              </w:tc>
              <w:tc>
                <w:tcPr>
                  <w:tcW w:w="19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B773B1C">
                  <w:pPr>
                    <w:keepNext w:val="0"/>
                    <w:keepLines w:val="0"/>
                    <w:widowControl/>
                    <w:suppressLineNumbers w:val="0"/>
                    <w:spacing w:line="240" w:lineRule="auto"/>
                    <w:jc w:val="center"/>
                    <w:textAlignment w:val="center"/>
                    <w:rPr>
                      <w:rFonts w:hint="default" w:ascii="Times New Roman" w:hAnsi="Times New Roman"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rPr>
                    <w:t>Z</w:t>
                  </w:r>
                </w:p>
              </w:tc>
              <w:tc>
                <w:tcPr>
                  <w:tcW w:w="325" w:type="pct"/>
                  <w:vMerge w:val="continue"/>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FC0F8D4">
                  <w:pPr>
                    <w:spacing w:line="240" w:lineRule="auto"/>
                    <w:jc w:val="center"/>
                    <w:rPr>
                      <w:rFonts w:hint="default" w:ascii="Times New Roman" w:hAnsi="Times New Roman" w:cs="Times New Roman"/>
                      <w:b/>
                      <w:bCs/>
                      <w:i w:val="0"/>
                      <w:iCs w:val="0"/>
                      <w:color w:val="auto"/>
                      <w:sz w:val="18"/>
                      <w:szCs w:val="18"/>
                      <w:highlight w:val="none"/>
                      <w:u w:val="none"/>
                    </w:rPr>
                  </w:pPr>
                </w:p>
              </w:tc>
              <w:tc>
                <w:tcPr>
                  <w:tcW w:w="29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2D81B7F">
                  <w:pPr>
                    <w:keepNext w:val="0"/>
                    <w:keepLines w:val="0"/>
                    <w:widowControl/>
                    <w:suppressLineNumbers w:val="0"/>
                    <w:spacing w:line="240" w:lineRule="auto"/>
                    <w:jc w:val="center"/>
                    <w:textAlignment w:val="center"/>
                    <w:rPr>
                      <w:rFonts w:hint="default" w:ascii="Times New Roman" w:hAnsi="Times New Roman"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rPr>
                    <w:t>声压级/dB(A)</w:t>
                  </w:r>
                </w:p>
              </w:tc>
              <w:tc>
                <w:tcPr>
                  <w:tcW w:w="26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9AEE1DC">
                  <w:pPr>
                    <w:keepNext w:val="0"/>
                    <w:keepLines w:val="0"/>
                    <w:widowControl/>
                    <w:suppressLineNumbers w:val="0"/>
                    <w:spacing w:line="240" w:lineRule="auto"/>
                    <w:jc w:val="center"/>
                    <w:textAlignment w:val="center"/>
                    <w:rPr>
                      <w:rFonts w:hint="default" w:ascii="Times New Roman" w:hAnsi="Times New Roman"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rPr>
                    <w:t>距声源距离/m</w:t>
                  </w:r>
                </w:p>
              </w:tc>
              <w:tc>
                <w:tcPr>
                  <w:tcW w:w="19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29924C9">
                  <w:pPr>
                    <w:keepNext w:val="0"/>
                    <w:keepLines w:val="0"/>
                    <w:widowControl/>
                    <w:suppressLineNumbers w:val="0"/>
                    <w:spacing w:line="240" w:lineRule="auto"/>
                    <w:jc w:val="center"/>
                    <w:textAlignment w:val="center"/>
                    <w:rPr>
                      <w:rFonts w:hint="default" w:ascii="Times New Roman" w:hAnsi="Times New Roman"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rPr>
                    <w:t>东</w:t>
                  </w:r>
                </w:p>
              </w:tc>
              <w:tc>
                <w:tcPr>
                  <w:tcW w:w="19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E723875">
                  <w:pPr>
                    <w:keepNext w:val="0"/>
                    <w:keepLines w:val="0"/>
                    <w:widowControl/>
                    <w:suppressLineNumbers w:val="0"/>
                    <w:spacing w:line="240" w:lineRule="auto"/>
                    <w:jc w:val="center"/>
                    <w:textAlignment w:val="center"/>
                    <w:rPr>
                      <w:rFonts w:hint="default" w:ascii="Times New Roman" w:hAnsi="Times New Roman"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rPr>
                    <w:t>南</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9F73BE5">
                  <w:pPr>
                    <w:keepNext w:val="0"/>
                    <w:keepLines w:val="0"/>
                    <w:widowControl/>
                    <w:suppressLineNumbers w:val="0"/>
                    <w:spacing w:line="240" w:lineRule="auto"/>
                    <w:jc w:val="center"/>
                    <w:textAlignment w:val="center"/>
                    <w:rPr>
                      <w:rFonts w:hint="default" w:ascii="Times New Roman" w:hAnsi="Times New Roman"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rPr>
                    <w:t>西</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4A0A335">
                  <w:pPr>
                    <w:keepNext w:val="0"/>
                    <w:keepLines w:val="0"/>
                    <w:widowControl/>
                    <w:suppressLineNumbers w:val="0"/>
                    <w:spacing w:line="240" w:lineRule="auto"/>
                    <w:jc w:val="center"/>
                    <w:textAlignment w:val="center"/>
                    <w:rPr>
                      <w:rFonts w:hint="default" w:ascii="Times New Roman" w:hAnsi="Times New Roman"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rPr>
                    <w:t>北</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843B5D7">
                  <w:pPr>
                    <w:keepNext w:val="0"/>
                    <w:keepLines w:val="0"/>
                    <w:widowControl/>
                    <w:suppressLineNumbers w:val="0"/>
                    <w:spacing w:line="240" w:lineRule="auto"/>
                    <w:jc w:val="center"/>
                    <w:textAlignment w:val="center"/>
                    <w:rPr>
                      <w:rFonts w:hint="default" w:ascii="Times New Roman" w:hAnsi="Times New Roman"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rPr>
                    <w:t>东</w:t>
                  </w:r>
                </w:p>
              </w:tc>
              <w:tc>
                <w:tcPr>
                  <w:tcW w:w="17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3B6E3A1">
                  <w:pPr>
                    <w:keepNext w:val="0"/>
                    <w:keepLines w:val="0"/>
                    <w:widowControl/>
                    <w:suppressLineNumbers w:val="0"/>
                    <w:spacing w:line="240" w:lineRule="auto"/>
                    <w:jc w:val="center"/>
                    <w:textAlignment w:val="center"/>
                    <w:rPr>
                      <w:rFonts w:hint="default" w:ascii="Times New Roman" w:hAnsi="Times New Roman"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rPr>
                    <w:t>南</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94DADBA">
                  <w:pPr>
                    <w:keepNext w:val="0"/>
                    <w:keepLines w:val="0"/>
                    <w:widowControl/>
                    <w:suppressLineNumbers w:val="0"/>
                    <w:spacing w:line="240" w:lineRule="auto"/>
                    <w:jc w:val="center"/>
                    <w:textAlignment w:val="center"/>
                    <w:rPr>
                      <w:rFonts w:hint="default" w:ascii="Times New Roman" w:hAnsi="Times New Roman"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rPr>
                    <w:t>西</w:t>
                  </w:r>
                </w:p>
              </w:tc>
              <w:tc>
                <w:tcPr>
                  <w:tcW w:w="20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254AF49">
                  <w:pPr>
                    <w:keepNext w:val="0"/>
                    <w:keepLines w:val="0"/>
                    <w:widowControl/>
                    <w:suppressLineNumbers w:val="0"/>
                    <w:spacing w:line="240" w:lineRule="auto"/>
                    <w:jc w:val="center"/>
                    <w:textAlignment w:val="center"/>
                    <w:rPr>
                      <w:rFonts w:hint="default" w:ascii="Times New Roman" w:hAnsi="Times New Roman"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rPr>
                    <w:t>北</w:t>
                  </w:r>
                </w:p>
              </w:tc>
              <w:tc>
                <w:tcPr>
                  <w:tcW w:w="127" w:type="pct"/>
                  <w:vMerge w:val="continue"/>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5D164C34">
                  <w:pPr>
                    <w:spacing w:line="240" w:lineRule="auto"/>
                    <w:jc w:val="center"/>
                    <w:rPr>
                      <w:rFonts w:hint="default" w:ascii="Times New Roman" w:hAnsi="Times New Roman" w:cs="Times New Roman"/>
                      <w:b/>
                      <w:bCs/>
                      <w:i w:val="0"/>
                      <w:iCs w:val="0"/>
                      <w:color w:val="auto"/>
                      <w:sz w:val="18"/>
                      <w:szCs w:val="18"/>
                      <w:highlight w:val="none"/>
                      <w:u w:val="none"/>
                    </w:rPr>
                  </w:pPr>
                </w:p>
              </w:tc>
              <w:tc>
                <w:tcPr>
                  <w:tcW w:w="209" w:type="pct"/>
                  <w:vMerge w:val="continue"/>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713C751">
                  <w:pPr>
                    <w:spacing w:line="240" w:lineRule="auto"/>
                    <w:jc w:val="center"/>
                    <w:rPr>
                      <w:rFonts w:hint="default" w:ascii="Times New Roman" w:hAnsi="Times New Roman" w:cs="Times New Roman"/>
                      <w:b/>
                      <w:bCs/>
                      <w:i w:val="0"/>
                      <w:iCs w:val="0"/>
                      <w:color w:val="auto"/>
                      <w:sz w:val="18"/>
                      <w:szCs w:val="18"/>
                      <w:highlight w:val="none"/>
                      <w:u w:val="none"/>
                    </w:rPr>
                  </w:pP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9285A85">
                  <w:pPr>
                    <w:keepNext w:val="0"/>
                    <w:keepLines w:val="0"/>
                    <w:widowControl/>
                    <w:suppressLineNumbers w:val="0"/>
                    <w:spacing w:line="240" w:lineRule="auto"/>
                    <w:jc w:val="center"/>
                    <w:textAlignment w:val="center"/>
                    <w:rPr>
                      <w:rFonts w:hint="default" w:ascii="Times New Roman" w:hAnsi="Times New Roman"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rPr>
                    <w:t>东</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2148E9C">
                  <w:pPr>
                    <w:keepNext w:val="0"/>
                    <w:keepLines w:val="0"/>
                    <w:widowControl/>
                    <w:suppressLineNumbers w:val="0"/>
                    <w:spacing w:line="240" w:lineRule="auto"/>
                    <w:jc w:val="center"/>
                    <w:textAlignment w:val="center"/>
                    <w:rPr>
                      <w:rFonts w:hint="default" w:ascii="Times New Roman" w:hAnsi="Times New Roman"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rPr>
                    <w:t>南</w:t>
                  </w:r>
                </w:p>
              </w:tc>
              <w:tc>
                <w:tcPr>
                  <w:tcW w:w="17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AF31B47">
                  <w:pPr>
                    <w:keepNext w:val="0"/>
                    <w:keepLines w:val="0"/>
                    <w:widowControl/>
                    <w:suppressLineNumbers w:val="0"/>
                    <w:spacing w:line="240" w:lineRule="auto"/>
                    <w:jc w:val="center"/>
                    <w:textAlignment w:val="center"/>
                    <w:rPr>
                      <w:rFonts w:hint="default" w:ascii="Times New Roman" w:hAnsi="Times New Roman"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rPr>
                    <w:t>西</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7B0DEC0">
                  <w:pPr>
                    <w:keepNext w:val="0"/>
                    <w:keepLines w:val="0"/>
                    <w:widowControl/>
                    <w:suppressLineNumbers w:val="0"/>
                    <w:spacing w:line="240" w:lineRule="auto"/>
                    <w:jc w:val="center"/>
                    <w:textAlignment w:val="center"/>
                    <w:rPr>
                      <w:rFonts w:hint="default" w:ascii="Times New Roman" w:hAnsi="Times New Roman"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rPr>
                    <w:t>北</w:t>
                  </w:r>
                </w:p>
              </w:tc>
              <w:tc>
                <w:tcPr>
                  <w:tcW w:w="95"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2794393">
                  <w:pPr>
                    <w:keepNext w:val="0"/>
                    <w:keepLines w:val="0"/>
                    <w:widowControl/>
                    <w:suppressLineNumbers w:val="0"/>
                    <w:spacing w:line="240" w:lineRule="auto"/>
                    <w:jc w:val="center"/>
                    <w:textAlignment w:val="center"/>
                    <w:rPr>
                      <w:rFonts w:hint="default" w:ascii="Times New Roman" w:hAnsi="Times New Roman"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rPr>
                    <w:t>东</w:t>
                  </w:r>
                </w:p>
              </w:tc>
              <w:tc>
                <w:tcPr>
                  <w:tcW w:w="91"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696835F">
                  <w:pPr>
                    <w:keepNext w:val="0"/>
                    <w:keepLines w:val="0"/>
                    <w:widowControl/>
                    <w:suppressLineNumbers w:val="0"/>
                    <w:spacing w:line="240" w:lineRule="auto"/>
                    <w:jc w:val="center"/>
                    <w:textAlignment w:val="center"/>
                    <w:rPr>
                      <w:rFonts w:hint="default" w:ascii="Times New Roman" w:hAnsi="Times New Roman"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rPr>
                    <w:t>南</w:t>
                  </w:r>
                </w:p>
              </w:tc>
              <w:tc>
                <w:tcPr>
                  <w:tcW w:w="9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E496F55">
                  <w:pPr>
                    <w:keepNext w:val="0"/>
                    <w:keepLines w:val="0"/>
                    <w:widowControl/>
                    <w:suppressLineNumbers w:val="0"/>
                    <w:spacing w:line="240" w:lineRule="auto"/>
                    <w:jc w:val="center"/>
                    <w:textAlignment w:val="center"/>
                    <w:rPr>
                      <w:rFonts w:hint="default" w:ascii="Times New Roman" w:hAnsi="Times New Roman"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rPr>
                    <w:t>西</w:t>
                  </w:r>
                </w:p>
              </w:tc>
              <w:tc>
                <w:tcPr>
                  <w:tcW w:w="5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56B1723">
                  <w:pPr>
                    <w:keepNext w:val="0"/>
                    <w:keepLines w:val="0"/>
                    <w:widowControl/>
                    <w:suppressLineNumbers w:val="0"/>
                    <w:spacing w:line="240" w:lineRule="auto"/>
                    <w:jc w:val="center"/>
                    <w:textAlignment w:val="center"/>
                    <w:rPr>
                      <w:rFonts w:hint="default" w:ascii="Times New Roman" w:hAnsi="Times New Roman"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rPr>
                    <w:t>北</w:t>
                  </w:r>
                </w:p>
              </w:tc>
            </w:tr>
            <w:tr w14:paraId="1266A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372"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5385FF91">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切割机</w:t>
                  </w:r>
                </w:p>
              </w:tc>
              <w:tc>
                <w:tcPr>
                  <w:tcW w:w="21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55A19265">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2</w:t>
                  </w:r>
                </w:p>
              </w:tc>
              <w:tc>
                <w:tcPr>
                  <w:tcW w:w="23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78217D8">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-1.89</w:t>
                  </w:r>
                </w:p>
              </w:tc>
              <w:tc>
                <w:tcPr>
                  <w:tcW w:w="18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6FF7B60">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-19.46</w:t>
                  </w:r>
                </w:p>
              </w:tc>
              <w:tc>
                <w:tcPr>
                  <w:tcW w:w="19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E11386D">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325"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03A0C4D">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距离衰减、减震措施</w:t>
                  </w:r>
                </w:p>
              </w:tc>
              <w:tc>
                <w:tcPr>
                  <w:tcW w:w="29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70A9CF9">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75.00</w:t>
                  </w:r>
                </w:p>
              </w:tc>
              <w:tc>
                <w:tcPr>
                  <w:tcW w:w="26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64022C7">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19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1B6DEFD">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58.59</w:t>
                  </w:r>
                </w:p>
              </w:tc>
              <w:tc>
                <w:tcPr>
                  <w:tcW w:w="19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E003BF1">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5.17</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DE2847C">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54.07</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DB301AE">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43.50</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65FD335">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42.65</w:t>
                  </w:r>
                </w:p>
              </w:tc>
              <w:tc>
                <w:tcPr>
                  <w:tcW w:w="17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1E6C2EE">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63.74</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2F5FA18">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43.35</w:t>
                  </w:r>
                </w:p>
              </w:tc>
              <w:tc>
                <w:tcPr>
                  <w:tcW w:w="20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14DFB09">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45.24</w:t>
                  </w:r>
                </w:p>
              </w:tc>
              <w:tc>
                <w:tcPr>
                  <w:tcW w:w="12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B7A972A">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昼间</w:t>
                  </w:r>
                </w:p>
              </w:tc>
              <w:tc>
                <w:tcPr>
                  <w:tcW w:w="20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560BDC9A">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20</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F7F92AC">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16.51</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7D3D844">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36.20</w:t>
                  </w:r>
                </w:p>
              </w:tc>
              <w:tc>
                <w:tcPr>
                  <w:tcW w:w="17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D7C7C74">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17.19</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1AB60FC">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19.04</w:t>
                  </w:r>
                </w:p>
              </w:tc>
              <w:tc>
                <w:tcPr>
                  <w:tcW w:w="95"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71022DC">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91"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5B22A44">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9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739C565">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5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67E11FC">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r>
            <w:tr w14:paraId="3D048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372"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3AE07A6">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折弯机</w:t>
                  </w:r>
                </w:p>
              </w:tc>
              <w:tc>
                <w:tcPr>
                  <w:tcW w:w="21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7E8D182">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w:t>
                  </w:r>
                </w:p>
              </w:tc>
              <w:tc>
                <w:tcPr>
                  <w:tcW w:w="23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30E98DA">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13.24</w:t>
                  </w:r>
                </w:p>
              </w:tc>
              <w:tc>
                <w:tcPr>
                  <w:tcW w:w="18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FC21868">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-19.46</w:t>
                  </w:r>
                </w:p>
              </w:tc>
              <w:tc>
                <w:tcPr>
                  <w:tcW w:w="19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F377824">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325"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4981F86">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距离衰减、减震措施</w:t>
                  </w:r>
                </w:p>
              </w:tc>
              <w:tc>
                <w:tcPr>
                  <w:tcW w:w="29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1196F77">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70.00</w:t>
                  </w:r>
                </w:p>
              </w:tc>
              <w:tc>
                <w:tcPr>
                  <w:tcW w:w="26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16AB0F3">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19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C74EF09">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43.45</w:t>
                  </w:r>
                </w:p>
              </w:tc>
              <w:tc>
                <w:tcPr>
                  <w:tcW w:w="19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576867BA">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4.77</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A3859F9">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69.21</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3A41AA0">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43.52</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910BD5F">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43.26</w:t>
                  </w:r>
                </w:p>
              </w:tc>
              <w:tc>
                <w:tcPr>
                  <w:tcW w:w="17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5747BE3">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62.45</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8E9EA9C">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39.22</w:t>
                  </w:r>
                </w:p>
              </w:tc>
              <w:tc>
                <w:tcPr>
                  <w:tcW w:w="20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A301E48">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43.25</w:t>
                  </w:r>
                </w:p>
              </w:tc>
              <w:tc>
                <w:tcPr>
                  <w:tcW w:w="12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FFA5213">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昼间</w:t>
                  </w:r>
                </w:p>
              </w:tc>
              <w:tc>
                <w:tcPr>
                  <w:tcW w:w="20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8D8F738">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20</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238D303">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17.06</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501DFB7">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34.79</w:t>
                  </w:r>
                </w:p>
              </w:tc>
              <w:tc>
                <w:tcPr>
                  <w:tcW w:w="17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BB5DF53">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13.09</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8211D99">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17.05</w:t>
                  </w:r>
                </w:p>
              </w:tc>
              <w:tc>
                <w:tcPr>
                  <w:tcW w:w="95"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335868B">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91"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BEC1188">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9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A4C071B">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5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0992024">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r>
            <w:tr w14:paraId="588DF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372"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72A1291">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铆钉机</w:t>
                  </w:r>
                </w:p>
              </w:tc>
              <w:tc>
                <w:tcPr>
                  <w:tcW w:w="21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197AEEA">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w:t>
                  </w:r>
                </w:p>
              </w:tc>
              <w:tc>
                <w:tcPr>
                  <w:tcW w:w="23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98A8E41">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31.08</w:t>
                  </w:r>
                </w:p>
              </w:tc>
              <w:tc>
                <w:tcPr>
                  <w:tcW w:w="18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08FE056">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-20.27</w:t>
                  </w:r>
                </w:p>
              </w:tc>
              <w:tc>
                <w:tcPr>
                  <w:tcW w:w="19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B524A53">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325"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9FA833D">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距离衰减、减震措施</w:t>
                  </w:r>
                </w:p>
              </w:tc>
              <w:tc>
                <w:tcPr>
                  <w:tcW w:w="29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5927663">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70.00</w:t>
                  </w:r>
                </w:p>
              </w:tc>
              <w:tc>
                <w:tcPr>
                  <w:tcW w:w="26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A949788">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19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512C0F2">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25.62</w:t>
                  </w:r>
                </w:p>
              </w:tc>
              <w:tc>
                <w:tcPr>
                  <w:tcW w:w="19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A6286CF">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3.50</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C096A14">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87.06</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300BE2A">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44.35</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CEA3F4D">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47.85</w:t>
                  </w:r>
                </w:p>
              </w:tc>
              <w:tc>
                <w:tcPr>
                  <w:tcW w:w="17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E67BB34">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65.14</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E461CAF">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37.22</w:t>
                  </w:r>
                </w:p>
              </w:tc>
              <w:tc>
                <w:tcPr>
                  <w:tcW w:w="20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B40948F">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43.08</w:t>
                  </w:r>
                </w:p>
              </w:tc>
              <w:tc>
                <w:tcPr>
                  <w:tcW w:w="12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2BF7682">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昼间</w:t>
                  </w:r>
                </w:p>
              </w:tc>
              <w:tc>
                <w:tcPr>
                  <w:tcW w:w="20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DB1797D">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20</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5D35BE8">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21.52</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4F27A51">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36.96</w:t>
                  </w:r>
                </w:p>
              </w:tc>
              <w:tc>
                <w:tcPr>
                  <w:tcW w:w="17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5E6EADD1">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11.12</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D04DC07">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16.89</w:t>
                  </w:r>
                </w:p>
              </w:tc>
              <w:tc>
                <w:tcPr>
                  <w:tcW w:w="95"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F7943E3">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91"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1F4918D">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9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5ABC8FFB">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5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2B71776">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r>
            <w:tr w14:paraId="3C215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372"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51575EA">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电焊机</w:t>
                  </w:r>
                </w:p>
              </w:tc>
              <w:tc>
                <w:tcPr>
                  <w:tcW w:w="21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1629F8B">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6</w:t>
                  </w:r>
                </w:p>
              </w:tc>
              <w:tc>
                <w:tcPr>
                  <w:tcW w:w="23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5360261">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43.78</w:t>
                  </w:r>
                </w:p>
              </w:tc>
              <w:tc>
                <w:tcPr>
                  <w:tcW w:w="18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FB163DC">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-19.19</w:t>
                  </w:r>
                </w:p>
              </w:tc>
              <w:tc>
                <w:tcPr>
                  <w:tcW w:w="19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5BFA615">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325"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165EF94">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距离衰减、减震措施</w:t>
                  </w:r>
                </w:p>
              </w:tc>
              <w:tc>
                <w:tcPr>
                  <w:tcW w:w="29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FA92F6A">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60.00</w:t>
                  </w:r>
                </w:p>
              </w:tc>
              <w:tc>
                <w:tcPr>
                  <w:tcW w:w="26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16327CF">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19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5EB39295">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12.88</w:t>
                  </w:r>
                </w:p>
              </w:tc>
              <w:tc>
                <w:tcPr>
                  <w:tcW w:w="19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8446053">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4.24</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5281529">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99.77</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776B014">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43.29</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AFD970E">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45.58</w:t>
                  </w:r>
                </w:p>
              </w:tc>
              <w:tc>
                <w:tcPr>
                  <w:tcW w:w="17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4E2D63D">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55.23</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EB441E4">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27.80</w:t>
                  </w:r>
                </w:p>
              </w:tc>
              <w:tc>
                <w:tcPr>
                  <w:tcW w:w="20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924305D">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35.05</w:t>
                  </w:r>
                </w:p>
              </w:tc>
              <w:tc>
                <w:tcPr>
                  <w:tcW w:w="12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A5AC869">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昼间</w:t>
                  </w:r>
                </w:p>
              </w:tc>
              <w:tc>
                <w:tcPr>
                  <w:tcW w:w="20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0A85333">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20</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0FE7268">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18.93</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CD38750">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27.39</w:t>
                  </w:r>
                </w:p>
              </w:tc>
              <w:tc>
                <w:tcPr>
                  <w:tcW w:w="17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3C03ED7">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1.71</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8FFD479">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8.86</w:t>
                  </w:r>
                </w:p>
              </w:tc>
              <w:tc>
                <w:tcPr>
                  <w:tcW w:w="95"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BC92A1D">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91"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D8E8EF9">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9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55403118">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5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5A5AE81">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r>
            <w:tr w14:paraId="66D0D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372"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87296E9">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打磨机</w:t>
                  </w:r>
                </w:p>
              </w:tc>
              <w:tc>
                <w:tcPr>
                  <w:tcW w:w="21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7215BB2">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5</w:t>
                  </w:r>
                </w:p>
              </w:tc>
              <w:tc>
                <w:tcPr>
                  <w:tcW w:w="23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F6CA5BE">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37.84</w:t>
                  </w:r>
                </w:p>
              </w:tc>
              <w:tc>
                <w:tcPr>
                  <w:tcW w:w="18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D210407">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20.27</w:t>
                  </w:r>
                </w:p>
              </w:tc>
              <w:tc>
                <w:tcPr>
                  <w:tcW w:w="19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4CFBACE">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325"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5F9E69E">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距离衰减、减震措施</w:t>
                  </w:r>
                </w:p>
              </w:tc>
              <w:tc>
                <w:tcPr>
                  <w:tcW w:w="29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211ACD2">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75.00</w:t>
                  </w:r>
                </w:p>
              </w:tc>
              <w:tc>
                <w:tcPr>
                  <w:tcW w:w="26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F247A6F">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19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52C5051">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17.82</w:t>
                  </w:r>
                </w:p>
              </w:tc>
              <w:tc>
                <w:tcPr>
                  <w:tcW w:w="19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479B3E5">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43.66</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B72B896">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93.72</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722A975">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4.01</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F0D16C5">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56.97</w:t>
                  </w:r>
                </w:p>
              </w:tc>
              <w:tc>
                <w:tcPr>
                  <w:tcW w:w="17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63CB552">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49.19</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59EC7D4B">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42.55</w:t>
                  </w:r>
                </w:p>
              </w:tc>
              <w:tc>
                <w:tcPr>
                  <w:tcW w:w="20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29B13D6">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69.92</w:t>
                  </w:r>
                </w:p>
              </w:tc>
              <w:tc>
                <w:tcPr>
                  <w:tcW w:w="12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2828C0B">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昼间</w:t>
                  </w:r>
                </w:p>
              </w:tc>
              <w:tc>
                <w:tcPr>
                  <w:tcW w:w="20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1222E46">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20</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8E8F8A8">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30.50</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9E863C7">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22.99</w:t>
                  </w:r>
                </w:p>
              </w:tc>
              <w:tc>
                <w:tcPr>
                  <w:tcW w:w="17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D0210E1">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16.46</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A7F109B">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41.99</w:t>
                  </w:r>
                </w:p>
              </w:tc>
              <w:tc>
                <w:tcPr>
                  <w:tcW w:w="95"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FB3C4FE">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91"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927F098">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9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19692E0">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5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648C75A">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r>
            <w:tr w14:paraId="63719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372"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7EDDFD3">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大旋风粉体喷房</w:t>
                  </w:r>
                </w:p>
              </w:tc>
              <w:tc>
                <w:tcPr>
                  <w:tcW w:w="21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6371C4D">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23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6052E09">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-25.41</w:t>
                  </w:r>
                </w:p>
              </w:tc>
              <w:tc>
                <w:tcPr>
                  <w:tcW w:w="18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C4EBB51">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4.59</w:t>
                  </w:r>
                </w:p>
              </w:tc>
              <w:tc>
                <w:tcPr>
                  <w:tcW w:w="19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F576646">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325"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58DD5A2E">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距离衰减、减震措施</w:t>
                  </w:r>
                </w:p>
              </w:tc>
              <w:tc>
                <w:tcPr>
                  <w:tcW w:w="29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B2AED86">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70.00</w:t>
                  </w:r>
                </w:p>
              </w:tc>
              <w:tc>
                <w:tcPr>
                  <w:tcW w:w="26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90FDD64">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19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587E3AE3">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81.50</w:t>
                  </w:r>
                </w:p>
              </w:tc>
              <w:tc>
                <w:tcPr>
                  <w:tcW w:w="19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CF9D4EB">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29.72</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F2CC89B">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30.48</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5F08A412">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19.54</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86692BB">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31.78</w:t>
                  </w:r>
                </w:p>
              </w:tc>
              <w:tc>
                <w:tcPr>
                  <w:tcW w:w="17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E37F46C">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40.54</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619FBA7">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40.32</w:t>
                  </w:r>
                </w:p>
              </w:tc>
              <w:tc>
                <w:tcPr>
                  <w:tcW w:w="20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44C331E">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44.18</w:t>
                  </w:r>
                </w:p>
              </w:tc>
              <w:tc>
                <w:tcPr>
                  <w:tcW w:w="12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53C28586">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昼间</w:t>
                  </w:r>
                </w:p>
              </w:tc>
              <w:tc>
                <w:tcPr>
                  <w:tcW w:w="20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E788311">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20</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FD161DE">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5.67</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211AD65">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14.25</w:t>
                  </w:r>
                </w:p>
              </w:tc>
              <w:tc>
                <w:tcPr>
                  <w:tcW w:w="17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6F7C85B">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14.04</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3F60457">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17.75</w:t>
                  </w:r>
                </w:p>
              </w:tc>
              <w:tc>
                <w:tcPr>
                  <w:tcW w:w="95"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48A6936">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91"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3DE3453">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9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20468D6">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5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6676A9F">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r>
            <w:tr w14:paraId="22BC9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372"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1D284D5">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喷粉房</w:t>
                  </w:r>
                </w:p>
              </w:tc>
              <w:tc>
                <w:tcPr>
                  <w:tcW w:w="21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5F68BBB">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23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A182AC8">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-42.71</w:t>
                  </w:r>
                </w:p>
              </w:tc>
              <w:tc>
                <w:tcPr>
                  <w:tcW w:w="18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FD8E080">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12.43</w:t>
                  </w:r>
                </w:p>
              </w:tc>
              <w:tc>
                <w:tcPr>
                  <w:tcW w:w="19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18B60C9">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325"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1FA7FBC">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距离衰减、减震措施</w:t>
                  </w:r>
                </w:p>
              </w:tc>
              <w:tc>
                <w:tcPr>
                  <w:tcW w:w="29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32AACB2">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70.00</w:t>
                  </w:r>
                </w:p>
              </w:tc>
              <w:tc>
                <w:tcPr>
                  <w:tcW w:w="26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88CC9EE">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19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878DA4E">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98.61</w:t>
                  </w:r>
                </w:p>
              </w:tc>
              <w:tc>
                <w:tcPr>
                  <w:tcW w:w="19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34ECDD7">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37.98</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5B0AB40">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13.15</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33AACAD">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11.72</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5131E2DE">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30.12</w:t>
                  </w:r>
                </w:p>
              </w:tc>
              <w:tc>
                <w:tcPr>
                  <w:tcW w:w="17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57960798">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38.41</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4B06082">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47.62</w:t>
                  </w:r>
                </w:p>
              </w:tc>
              <w:tc>
                <w:tcPr>
                  <w:tcW w:w="20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D12478F">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48.62</w:t>
                  </w:r>
                </w:p>
              </w:tc>
              <w:tc>
                <w:tcPr>
                  <w:tcW w:w="12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2A40E12">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昼间</w:t>
                  </w:r>
                </w:p>
              </w:tc>
              <w:tc>
                <w:tcPr>
                  <w:tcW w:w="20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D48F316">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20</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D2A5D02">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4.03</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52DEB3B8">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12.18</w:t>
                  </w:r>
                </w:p>
              </w:tc>
              <w:tc>
                <w:tcPr>
                  <w:tcW w:w="17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6D69CC2">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20.99</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D0784C2">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21.91</w:t>
                  </w:r>
                </w:p>
              </w:tc>
              <w:tc>
                <w:tcPr>
                  <w:tcW w:w="95"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50D68CFF">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91"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538C30B7">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9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53FBC374">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5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B5ADE6A">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r>
            <w:tr w14:paraId="322C1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372"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A77B7CC">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eastAsia" w:cs="Times New Roman"/>
                      <w:i w:val="0"/>
                      <w:iCs w:val="0"/>
                      <w:color w:val="auto"/>
                      <w:kern w:val="0"/>
                      <w:sz w:val="18"/>
                      <w:szCs w:val="18"/>
                      <w:highlight w:val="none"/>
                      <w:u w:val="none"/>
                      <w:lang w:val="en-US" w:eastAsia="zh-CN"/>
                    </w:rPr>
                    <w:t>1#</w:t>
                  </w:r>
                  <w:r>
                    <w:rPr>
                      <w:rFonts w:hint="default" w:ascii="Times New Roman" w:hAnsi="Times New Roman" w:eastAsia="宋体" w:cs="Times New Roman"/>
                      <w:i w:val="0"/>
                      <w:iCs w:val="0"/>
                      <w:color w:val="auto"/>
                      <w:kern w:val="0"/>
                      <w:sz w:val="18"/>
                      <w:szCs w:val="18"/>
                      <w:highlight w:val="none"/>
                      <w:u w:val="none"/>
                      <w:lang w:val="en-US" w:eastAsia="zh-CN"/>
                    </w:rPr>
                    <w:t>烤炉</w:t>
                  </w:r>
                </w:p>
              </w:tc>
              <w:tc>
                <w:tcPr>
                  <w:tcW w:w="21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B1A1C17">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23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C73FF33">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-22.16</w:t>
                  </w:r>
                </w:p>
              </w:tc>
              <w:tc>
                <w:tcPr>
                  <w:tcW w:w="18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D963D1C">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-7.57</w:t>
                  </w:r>
                </w:p>
              </w:tc>
              <w:tc>
                <w:tcPr>
                  <w:tcW w:w="19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4EF765A">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325"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19C2902">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距离衰减、减震措施</w:t>
                  </w:r>
                </w:p>
              </w:tc>
              <w:tc>
                <w:tcPr>
                  <w:tcW w:w="29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3F3734D">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65.00</w:t>
                  </w:r>
                </w:p>
              </w:tc>
              <w:tc>
                <w:tcPr>
                  <w:tcW w:w="26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53CD1711">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19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6962D84">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78.57</w:t>
                  </w:r>
                </w:p>
              </w:tc>
              <w:tc>
                <w:tcPr>
                  <w:tcW w:w="19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2CAD699">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17.54</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8CF7F40">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33.75</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D1B3622">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31.64</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2289834">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27.09</w:t>
                  </w:r>
                </w:p>
              </w:tc>
              <w:tc>
                <w:tcPr>
                  <w:tcW w:w="17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EC4AF13">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40.12</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44726FB">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34.43</w:t>
                  </w:r>
                </w:p>
              </w:tc>
              <w:tc>
                <w:tcPr>
                  <w:tcW w:w="20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DABA9AC">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34.99</w:t>
                  </w:r>
                </w:p>
              </w:tc>
              <w:tc>
                <w:tcPr>
                  <w:tcW w:w="12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72AE6BA">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昼间</w:t>
                  </w:r>
                </w:p>
              </w:tc>
              <w:tc>
                <w:tcPr>
                  <w:tcW w:w="20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EFF4A7C">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20</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27B0725">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0.98</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6078944">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13.64</w:t>
                  </w:r>
                </w:p>
              </w:tc>
              <w:tc>
                <w:tcPr>
                  <w:tcW w:w="17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520B1347">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8.18</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82E0453">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8.72</w:t>
                  </w:r>
                </w:p>
              </w:tc>
              <w:tc>
                <w:tcPr>
                  <w:tcW w:w="95"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EC8AB72">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91"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16F4B47">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9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1BD3682">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5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561B8181">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r>
            <w:tr w14:paraId="1F503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372"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6C3FAD5">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eastAsia" w:cs="Times New Roman"/>
                      <w:i w:val="0"/>
                      <w:iCs w:val="0"/>
                      <w:color w:val="auto"/>
                      <w:kern w:val="0"/>
                      <w:sz w:val="18"/>
                      <w:szCs w:val="18"/>
                      <w:highlight w:val="none"/>
                      <w:u w:val="none"/>
                      <w:lang w:val="en-US" w:eastAsia="zh-CN"/>
                    </w:rPr>
                    <w:t>2#</w:t>
                  </w:r>
                  <w:r>
                    <w:rPr>
                      <w:rFonts w:hint="default" w:ascii="Times New Roman" w:hAnsi="Times New Roman" w:eastAsia="宋体" w:cs="Times New Roman"/>
                      <w:i w:val="0"/>
                      <w:iCs w:val="0"/>
                      <w:color w:val="auto"/>
                      <w:kern w:val="0"/>
                      <w:sz w:val="18"/>
                      <w:szCs w:val="18"/>
                      <w:highlight w:val="none"/>
                      <w:u w:val="none"/>
                      <w:lang w:val="en-US" w:eastAsia="zh-CN"/>
                    </w:rPr>
                    <w:t>烤炉</w:t>
                  </w:r>
                </w:p>
              </w:tc>
              <w:tc>
                <w:tcPr>
                  <w:tcW w:w="21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5EF9A8EE">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23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18E4B62">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-43.25</w:t>
                  </w:r>
                </w:p>
              </w:tc>
              <w:tc>
                <w:tcPr>
                  <w:tcW w:w="18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9902749">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-5.41</w:t>
                  </w:r>
                </w:p>
              </w:tc>
              <w:tc>
                <w:tcPr>
                  <w:tcW w:w="19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93AF497">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325"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6CF2717">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距离衰减、减震措施</w:t>
                  </w:r>
                </w:p>
              </w:tc>
              <w:tc>
                <w:tcPr>
                  <w:tcW w:w="29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20C6012">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65.00</w:t>
                  </w:r>
                </w:p>
              </w:tc>
              <w:tc>
                <w:tcPr>
                  <w:tcW w:w="26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F79C2BE">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19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F4A5B93">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99.61</w:t>
                  </w:r>
                </w:p>
              </w:tc>
              <w:tc>
                <w:tcPr>
                  <w:tcW w:w="19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B762BAF">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20.24</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5059A14">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12.65</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51229EA9">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29.47</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C63A1AC">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25.03</w:t>
                  </w:r>
                </w:p>
              </w:tc>
              <w:tc>
                <w:tcPr>
                  <w:tcW w:w="17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53071C6">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38.88</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C6D08D8">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42.96</w:t>
                  </w:r>
                </w:p>
              </w:tc>
              <w:tc>
                <w:tcPr>
                  <w:tcW w:w="20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3003B8A">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35.61</w:t>
                  </w:r>
                </w:p>
              </w:tc>
              <w:tc>
                <w:tcPr>
                  <w:tcW w:w="12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29AA9E9">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昼间</w:t>
                  </w:r>
                </w:p>
              </w:tc>
              <w:tc>
                <w:tcPr>
                  <w:tcW w:w="20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2DDD01E">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20</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206FA84">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-1.05</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B697658">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12.46</w:t>
                  </w:r>
                </w:p>
              </w:tc>
              <w:tc>
                <w:tcPr>
                  <w:tcW w:w="17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7B362F3">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16.30</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C47A23A">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9.32</w:t>
                  </w:r>
                </w:p>
              </w:tc>
              <w:tc>
                <w:tcPr>
                  <w:tcW w:w="95"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076D597">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91"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5F4A33E">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9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3ABF5B1">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5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801486B">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r>
            <w:tr w14:paraId="220CF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372"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510CD6D1">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烘干炉</w:t>
                  </w:r>
                </w:p>
              </w:tc>
              <w:tc>
                <w:tcPr>
                  <w:tcW w:w="21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ECFAB7A">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23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6C4CB02">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18.65</w:t>
                  </w:r>
                </w:p>
              </w:tc>
              <w:tc>
                <w:tcPr>
                  <w:tcW w:w="18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52A70D61">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20.54</w:t>
                  </w:r>
                </w:p>
              </w:tc>
              <w:tc>
                <w:tcPr>
                  <w:tcW w:w="19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EDCE4FE">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325"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BD8BF07">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距离衰减、减震措施</w:t>
                  </w:r>
                </w:p>
              </w:tc>
              <w:tc>
                <w:tcPr>
                  <w:tcW w:w="29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8931CB1">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65.00</w:t>
                  </w:r>
                </w:p>
              </w:tc>
              <w:tc>
                <w:tcPr>
                  <w:tcW w:w="26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8CEAC35">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19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67B847A">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37.01</w:t>
                  </w:r>
                </w:p>
              </w:tc>
              <w:tc>
                <w:tcPr>
                  <w:tcW w:w="19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E3E5F9D">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44.44</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5F935C59">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74.51</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F9FF784">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3.72</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8475FFE">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33.63</w:t>
                  </w:r>
                </w:p>
              </w:tc>
              <w:tc>
                <w:tcPr>
                  <w:tcW w:w="17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EDF2182">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32.05</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B52C0DE">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27.56</w:t>
                  </w:r>
                </w:p>
              </w:tc>
              <w:tc>
                <w:tcPr>
                  <w:tcW w:w="20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4A9DB0E">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53.59</w:t>
                  </w:r>
                </w:p>
              </w:tc>
              <w:tc>
                <w:tcPr>
                  <w:tcW w:w="12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727D85E">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昼间</w:t>
                  </w:r>
                </w:p>
              </w:tc>
              <w:tc>
                <w:tcPr>
                  <w:tcW w:w="20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E1949F9">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20</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3E62AA4">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7.40</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89BC97E">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5.85</w:t>
                  </w:r>
                </w:p>
              </w:tc>
              <w:tc>
                <w:tcPr>
                  <w:tcW w:w="17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D0DF8E7">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1.44</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5D350721">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25.52</w:t>
                  </w:r>
                </w:p>
              </w:tc>
              <w:tc>
                <w:tcPr>
                  <w:tcW w:w="95"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4472F18">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91"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CC2267A">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9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51BD1B5F">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5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AF409BB">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r>
            <w:tr w14:paraId="3AA75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372"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F27398E">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lang w:val="en-US"/>
                    </w:rPr>
                  </w:pPr>
                  <w:r>
                    <w:rPr>
                      <w:rFonts w:hint="eastAsia" w:cs="Times New Roman"/>
                      <w:i w:val="0"/>
                      <w:iCs w:val="0"/>
                      <w:color w:val="auto"/>
                      <w:kern w:val="0"/>
                      <w:sz w:val="18"/>
                      <w:szCs w:val="18"/>
                      <w:highlight w:val="none"/>
                      <w:u w:val="none"/>
                      <w:lang w:val="en-US" w:eastAsia="zh-CN"/>
                    </w:rPr>
                    <w:t>3#烤炉</w:t>
                  </w:r>
                </w:p>
              </w:tc>
              <w:tc>
                <w:tcPr>
                  <w:tcW w:w="21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BCCF4F9">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23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61C2AE6">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-9.5</w:t>
                  </w:r>
                </w:p>
              </w:tc>
              <w:tc>
                <w:tcPr>
                  <w:tcW w:w="18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60526E1">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-6.45</w:t>
                  </w:r>
                </w:p>
              </w:tc>
              <w:tc>
                <w:tcPr>
                  <w:tcW w:w="19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843E5B6">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325"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B7C6310">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距离衰减、减震措施</w:t>
                  </w:r>
                </w:p>
              </w:tc>
              <w:tc>
                <w:tcPr>
                  <w:tcW w:w="29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87EEC22">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60.00</w:t>
                  </w:r>
                </w:p>
              </w:tc>
              <w:tc>
                <w:tcPr>
                  <w:tcW w:w="26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01BFBD07">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19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DB22823">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65.83</w:t>
                  </w:r>
                </w:p>
              </w:tc>
              <w:tc>
                <w:tcPr>
                  <w:tcW w:w="190"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3BAC34C">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18.28</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0A00B84">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46.46</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45FBF81B">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30.58</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43E9BF4">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23.63</w:t>
                  </w:r>
                </w:p>
              </w:tc>
              <w:tc>
                <w:tcPr>
                  <w:tcW w:w="17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01EE001">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34.76</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6FF4DF4">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26.66</w:t>
                  </w:r>
                </w:p>
              </w:tc>
              <w:tc>
                <w:tcPr>
                  <w:tcW w:w="20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10E39E7">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30.29</w:t>
                  </w:r>
                </w:p>
              </w:tc>
              <w:tc>
                <w:tcPr>
                  <w:tcW w:w="12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C76964C">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昼间</w:t>
                  </w:r>
                </w:p>
              </w:tc>
              <w:tc>
                <w:tcPr>
                  <w:tcW w:w="20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760FDD9F">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20</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04B123B">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-2.50</w:t>
                  </w:r>
                </w:p>
              </w:tc>
              <w:tc>
                <w:tcPr>
                  <w:tcW w:w="184"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E8A8DE3">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8.30</w:t>
                  </w:r>
                </w:p>
              </w:tc>
              <w:tc>
                <w:tcPr>
                  <w:tcW w:w="177"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1F7F26DB">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0.47</w:t>
                  </w:r>
                </w:p>
              </w:tc>
              <w:tc>
                <w:tcPr>
                  <w:tcW w:w="178"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27B624E3">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4.01</w:t>
                  </w:r>
                </w:p>
              </w:tc>
              <w:tc>
                <w:tcPr>
                  <w:tcW w:w="95"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3068D8D7">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91"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B49F238">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9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1421BF6">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c>
                <w:tcPr>
                  <w:tcW w:w="59" w:type="pct"/>
                  <w:tcBorders>
                    <w:top w:val="single" w:color="000000" w:sz="8" w:space="0"/>
                    <w:left w:val="single" w:color="000000" w:sz="8" w:space="0"/>
                    <w:bottom w:val="single" w:color="000000" w:sz="8" w:space="0"/>
                    <w:right w:val="single" w:color="000000" w:sz="8" w:space="0"/>
                  </w:tcBorders>
                  <w:shd w:val="clear" w:color="auto" w:fill="auto"/>
                  <w:noWrap/>
                  <w:tcMar>
                    <w:top w:w="0" w:type="dxa"/>
                    <w:left w:w="0" w:type="dxa"/>
                    <w:bottom w:w="0" w:type="dxa"/>
                    <w:right w:w="0" w:type="dxa"/>
                  </w:tcMar>
                  <w:vAlign w:val="center"/>
                </w:tcPr>
                <w:p w14:paraId="61DD42EB">
                  <w:pPr>
                    <w:keepNext w:val="0"/>
                    <w:keepLines w:val="0"/>
                    <w:widowControl/>
                    <w:suppressLineNumbers w:val="0"/>
                    <w:spacing w:line="240" w:lineRule="auto"/>
                    <w:jc w:val="center"/>
                    <w:textAlignment w:val="center"/>
                    <w:rPr>
                      <w:rFonts w:hint="default" w:ascii="Times New Roman" w:hAnsi="Times New Roman"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rPr>
                    <w:t>1</w:t>
                  </w:r>
                </w:p>
              </w:tc>
            </w:tr>
          </w:tbl>
          <w:p w14:paraId="2395729C">
            <w:pPr>
              <w:keepNext w:val="0"/>
              <w:keepLines w:val="0"/>
              <w:pageBreakBefore w:val="0"/>
              <w:widowControl w:val="0"/>
              <w:numPr>
                <w:ilvl w:val="0"/>
                <w:numId w:val="10"/>
              </w:numPr>
              <w:kinsoku/>
              <w:wordWrap w:val="0"/>
              <w:overflowPunct/>
              <w:topLinePunct w:val="0"/>
              <w:autoSpaceDE/>
              <w:autoSpaceDN/>
              <w:bidi w:val="0"/>
              <w:adjustRightInd/>
              <w:snapToGrid/>
              <w:spacing w:line="240" w:lineRule="auto"/>
              <w:ind w:left="0" w:leftChars="0" w:hanging="1" w:firstLineChars="0"/>
              <w:jc w:val="center"/>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工业企业噪声源强调查清单（室</w:t>
            </w:r>
            <w:r>
              <w:rPr>
                <w:rFonts w:hint="default" w:ascii="Times New Roman" w:hAnsi="Times New Roman" w:cs="Times New Roman"/>
                <w:b/>
                <w:bCs/>
                <w:color w:val="auto"/>
                <w:highlight w:val="none"/>
                <w:lang w:val="en-US" w:eastAsia="zh-CN"/>
              </w:rPr>
              <w:t>外</w:t>
            </w:r>
            <w:r>
              <w:rPr>
                <w:rFonts w:hint="default" w:ascii="Times New Roman" w:hAnsi="Times New Roman" w:cs="Times New Roman"/>
                <w:b/>
                <w:bCs/>
                <w:color w:val="auto"/>
                <w:highlight w:val="none"/>
              </w:rPr>
              <w:t>声源）</w:t>
            </w:r>
          </w:p>
          <w:tbl>
            <w:tblPr>
              <w:tblStyle w:val="43"/>
              <w:tblW w:w="13497" w:type="dxa"/>
              <w:tblInd w:w="-2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03"/>
              <w:gridCol w:w="1403"/>
              <w:gridCol w:w="1001"/>
              <w:gridCol w:w="1140"/>
              <w:gridCol w:w="417"/>
              <w:gridCol w:w="1933"/>
              <w:gridCol w:w="1996"/>
              <w:gridCol w:w="2801"/>
              <w:gridCol w:w="1403"/>
            </w:tblGrid>
            <w:tr w14:paraId="437F0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2" w:hRule="atLeast"/>
              </w:trPr>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AA3A033">
                  <w:pPr>
                    <w:keepNext w:val="0"/>
                    <w:keepLines w:val="0"/>
                    <w:widowControl/>
                    <w:suppressLineNumbers w:val="0"/>
                    <w:jc w:val="center"/>
                    <w:textAlignment w:val="center"/>
                    <w:rPr>
                      <w:rFonts w:hint="default" w:ascii="Times New Roman" w:hAnsi="Times New Roman" w:cs="Times New Roman"/>
                      <w:b/>
                      <w:bCs/>
                      <w:i w:val="0"/>
                      <w:iCs w:val="0"/>
                      <w:color w:val="auto"/>
                      <w:sz w:val="22"/>
                      <w:szCs w:val="22"/>
                      <w:highlight w:val="none"/>
                      <w:u w:val="none"/>
                    </w:rPr>
                  </w:pPr>
                  <w:r>
                    <w:rPr>
                      <w:rFonts w:hint="default" w:ascii="Times New Roman" w:hAnsi="Times New Roman" w:eastAsia="宋体" w:cs="Times New Roman"/>
                      <w:b/>
                      <w:bCs/>
                      <w:i w:val="0"/>
                      <w:iCs w:val="0"/>
                      <w:color w:val="auto"/>
                      <w:kern w:val="0"/>
                      <w:sz w:val="22"/>
                      <w:szCs w:val="22"/>
                      <w:highlight w:val="none"/>
                      <w:u w:val="none"/>
                      <w:lang w:val="en-US" w:eastAsia="zh-CN"/>
                    </w:rPr>
                    <w:t>声源名称</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5D03986">
                  <w:pPr>
                    <w:keepNext w:val="0"/>
                    <w:keepLines w:val="0"/>
                    <w:widowControl/>
                    <w:suppressLineNumbers w:val="0"/>
                    <w:jc w:val="center"/>
                    <w:textAlignment w:val="center"/>
                    <w:rPr>
                      <w:rFonts w:hint="default" w:ascii="Times New Roman" w:hAnsi="Times New Roman" w:cs="Times New Roman"/>
                      <w:b/>
                      <w:bCs/>
                      <w:i w:val="0"/>
                      <w:iCs w:val="0"/>
                      <w:color w:val="auto"/>
                      <w:sz w:val="22"/>
                      <w:szCs w:val="22"/>
                      <w:highlight w:val="none"/>
                      <w:u w:val="none"/>
                    </w:rPr>
                  </w:pPr>
                  <w:r>
                    <w:rPr>
                      <w:rFonts w:hint="default" w:ascii="Times New Roman" w:hAnsi="Times New Roman" w:eastAsia="宋体" w:cs="Times New Roman"/>
                      <w:b/>
                      <w:bCs/>
                      <w:i w:val="0"/>
                      <w:iCs w:val="0"/>
                      <w:color w:val="auto"/>
                      <w:kern w:val="0"/>
                      <w:sz w:val="22"/>
                      <w:szCs w:val="22"/>
                      <w:highlight w:val="none"/>
                      <w:u w:val="none"/>
                      <w:lang w:val="en-US" w:eastAsia="zh-CN"/>
                    </w:rPr>
                    <w:t>设备数量</w:t>
                  </w:r>
                </w:p>
              </w:tc>
              <w:tc>
                <w:tcPr>
                  <w:tcW w:w="0" w:type="auto"/>
                  <w:gridSpan w:val="3"/>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C2C801">
                  <w:pPr>
                    <w:keepNext w:val="0"/>
                    <w:keepLines w:val="0"/>
                    <w:widowControl/>
                    <w:suppressLineNumbers w:val="0"/>
                    <w:jc w:val="center"/>
                    <w:textAlignment w:val="center"/>
                    <w:rPr>
                      <w:rFonts w:hint="default" w:ascii="Times New Roman" w:hAnsi="Times New Roman" w:cs="Times New Roman"/>
                      <w:b/>
                      <w:bCs/>
                      <w:i w:val="0"/>
                      <w:iCs w:val="0"/>
                      <w:color w:val="auto"/>
                      <w:sz w:val="22"/>
                      <w:szCs w:val="22"/>
                      <w:highlight w:val="none"/>
                      <w:u w:val="none"/>
                    </w:rPr>
                  </w:pPr>
                  <w:r>
                    <w:rPr>
                      <w:rFonts w:hint="default" w:ascii="Times New Roman" w:hAnsi="Times New Roman" w:eastAsia="宋体" w:cs="Times New Roman"/>
                      <w:b/>
                      <w:bCs/>
                      <w:i w:val="0"/>
                      <w:iCs w:val="0"/>
                      <w:color w:val="auto"/>
                      <w:kern w:val="0"/>
                      <w:sz w:val="22"/>
                      <w:szCs w:val="22"/>
                      <w:highlight w:val="none"/>
                      <w:u w:val="none"/>
                      <w:lang w:val="en-US" w:eastAsia="zh-CN"/>
                    </w:rPr>
                    <w:t>空间相对位置/m</w:t>
                  </w: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11588750">
                  <w:pPr>
                    <w:keepNext w:val="0"/>
                    <w:keepLines w:val="0"/>
                    <w:widowControl/>
                    <w:suppressLineNumbers w:val="0"/>
                    <w:jc w:val="center"/>
                    <w:textAlignment w:val="center"/>
                    <w:rPr>
                      <w:rFonts w:hint="default" w:ascii="Times New Roman" w:hAnsi="Times New Roman" w:cs="Times New Roman"/>
                      <w:b/>
                      <w:bCs/>
                      <w:i w:val="0"/>
                      <w:iCs w:val="0"/>
                      <w:color w:val="auto"/>
                      <w:sz w:val="22"/>
                      <w:szCs w:val="22"/>
                      <w:highlight w:val="none"/>
                      <w:u w:val="none"/>
                    </w:rPr>
                  </w:pPr>
                  <w:r>
                    <w:rPr>
                      <w:rFonts w:hint="default" w:ascii="Times New Roman" w:hAnsi="Times New Roman" w:eastAsia="宋体" w:cs="Times New Roman"/>
                      <w:b/>
                      <w:bCs/>
                      <w:i w:val="0"/>
                      <w:iCs w:val="0"/>
                      <w:color w:val="auto"/>
                      <w:kern w:val="0"/>
                      <w:sz w:val="22"/>
                      <w:szCs w:val="22"/>
                      <w:highlight w:val="none"/>
                      <w:u w:val="none"/>
                      <w:lang w:val="en-US" w:eastAsia="zh-CN"/>
                    </w:rPr>
                    <w:t>声源源强</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4819BC0">
                  <w:pPr>
                    <w:keepNext w:val="0"/>
                    <w:keepLines w:val="0"/>
                    <w:widowControl/>
                    <w:suppressLineNumbers w:val="0"/>
                    <w:jc w:val="center"/>
                    <w:textAlignment w:val="center"/>
                    <w:rPr>
                      <w:rFonts w:hint="default" w:ascii="Times New Roman" w:hAnsi="Times New Roman" w:cs="Times New Roman"/>
                      <w:b/>
                      <w:bCs/>
                      <w:i w:val="0"/>
                      <w:iCs w:val="0"/>
                      <w:color w:val="auto"/>
                      <w:sz w:val="22"/>
                      <w:szCs w:val="22"/>
                      <w:highlight w:val="none"/>
                      <w:u w:val="none"/>
                    </w:rPr>
                  </w:pPr>
                  <w:r>
                    <w:rPr>
                      <w:rFonts w:hint="default" w:ascii="Times New Roman" w:hAnsi="Times New Roman" w:eastAsia="宋体" w:cs="Times New Roman"/>
                      <w:b/>
                      <w:bCs/>
                      <w:i w:val="0"/>
                      <w:iCs w:val="0"/>
                      <w:color w:val="auto"/>
                      <w:kern w:val="0"/>
                      <w:sz w:val="22"/>
                      <w:szCs w:val="22"/>
                      <w:highlight w:val="none"/>
                      <w:u w:val="none"/>
                      <w:lang w:val="en-US" w:eastAsia="zh-CN"/>
                    </w:rPr>
                    <w:t>声源控制措施</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7982296">
                  <w:pPr>
                    <w:keepNext w:val="0"/>
                    <w:keepLines w:val="0"/>
                    <w:widowControl/>
                    <w:suppressLineNumbers w:val="0"/>
                    <w:jc w:val="center"/>
                    <w:textAlignment w:val="center"/>
                    <w:rPr>
                      <w:rFonts w:hint="default" w:ascii="Times New Roman" w:hAnsi="Times New Roman" w:cs="Times New Roman"/>
                      <w:b/>
                      <w:bCs/>
                      <w:i w:val="0"/>
                      <w:iCs w:val="0"/>
                      <w:color w:val="auto"/>
                      <w:sz w:val="22"/>
                      <w:szCs w:val="22"/>
                      <w:highlight w:val="none"/>
                      <w:u w:val="none"/>
                    </w:rPr>
                  </w:pPr>
                  <w:r>
                    <w:rPr>
                      <w:rFonts w:hint="default" w:ascii="Times New Roman" w:hAnsi="Times New Roman" w:eastAsia="宋体" w:cs="Times New Roman"/>
                      <w:b/>
                      <w:bCs/>
                      <w:i w:val="0"/>
                      <w:iCs w:val="0"/>
                      <w:color w:val="auto"/>
                      <w:kern w:val="0"/>
                      <w:sz w:val="22"/>
                      <w:szCs w:val="22"/>
                      <w:highlight w:val="none"/>
                      <w:u w:val="none"/>
                      <w:lang w:val="en-US" w:eastAsia="zh-CN"/>
                    </w:rPr>
                    <w:t>运行时段</w:t>
                  </w:r>
                </w:p>
              </w:tc>
            </w:tr>
            <w:tr w14:paraId="1FEA9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2" w:hRule="atLeast"/>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D3D3D3"/>
                  <w:noWrap/>
                  <w:vAlign w:val="center"/>
                </w:tcPr>
                <w:p w14:paraId="396D9C22">
                  <w:pPr>
                    <w:jc w:val="center"/>
                    <w:rPr>
                      <w:rFonts w:hint="default" w:ascii="Times New Roman" w:hAnsi="Times New Roman" w:cs="Times New Roman"/>
                      <w:b/>
                      <w:bCs/>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D3D3D3"/>
                  <w:noWrap/>
                  <w:vAlign w:val="center"/>
                </w:tcPr>
                <w:p w14:paraId="54601D9F">
                  <w:pPr>
                    <w:jc w:val="center"/>
                    <w:rPr>
                      <w:rFonts w:hint="default" w:ascii="Times New Roman" w:hAnsi="Times New Roman" w:cs="Times New Roman"/>
                      <w:b/>
                      <w:bCs/>
                      <w:i w:val="0"/>
                      <w:iCs w:val="0"/>
                      <w:color w:val="auto"/>
                      <w:sz w:val="22"/>
                      <w:szCs w:val="22"/>
                      <w:highlight w:val="none"/>
                      <w:u w:val="none"/>
                    </w:rPr>
                  </w:pP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9FA6B14">
                  <w:pPr>
                    <w:keepNext w:val="0"/>
                    <w:keepLines w:val="0"/>
                    <w:widowControl/>
                    <w:suppressLineNumbers w:val="0"/>
                    <w:jc w:val="center"/>
                    <w:textAlignment w:val="center"/>
                    <w:rPr>
                      <w:rFonts w:hint="default" w:ascii="Times New Roman" w:hAnsi="Times New Roman" w:cs="Times New Roman"/>
                      <w:b/>
                      <w:bCs/>
                      <w:i w:val="0"/>
                      <w:iCs w:val="0"/>
                      <w:color w:val="auto"/>
                      <w:sz w:val="22"/>
                      <w:szCs w:val="22"/>
                      <w:highlight w:val="none"/>
                      <w:u w:val="none"/>
                    </w:rPr>
                  </w:pPr>
                  <w:r>
                    <w:rPr>
                      <w:rFonts w:hint="default" w:ascii="Times New Roman" w:hAnsi="Times New Roman" w:eastAsia="宋体" w:cs="Times New Roman"/>
                      <w:b/>
                      <w:bCs/>
                      <w:i w:val="0"/>
                      <w:iCs w:val="0"/>
                      <w:color w:val="auto"/>
                      <w:kern w:val="0"/>
                      <w:sz w:val="22"/>
                      <w:szCs w:val="22"/>
                      <w:highlight w:val="none"/>
                      <w:u w:val="none"/>
                      <w:lang w:val="en-US" w:eastAsia="zh-CN"/>
                    </w:rPr>
                    <w:t>X</w:t>
                  </w:r>
                </w:p>
              </w:tc>
              <w:tc>
                <w:tcPr>
                  <w:tcW w:w="113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8F4EBF9">
                  <w:pPr>
                    <w:keepNext w:val="0"/>
                    <w:keepLines w:val="0"/>
                    <w:widowControl/>
                    <w:suppressLineNumbers w:val="0"/>
                    <w:jc w:val="center"/>
                    <w:textAlignment w:val="center"/>
                    <w:rPr>
                      <w:rFonts w:hint="default" w:ascii="Times New Roman" w:hAnsi="Times New Roman" w:cs="Times New Roman"/>
                      <w:b/>
                      <w:bCs/>
                      <w:i w:val="0"/>
                      <w:iCs w:val="0"/>
                      <w:color w:val="auto"/>
                      <w:sz w:val="22"/>
                      <w:szCs w:val="22"/>
                      <w:highlight w:val="none"/>
                      <w:u w:val="none"/>
                    </w:rPr>
                  </w:pPr>
                  <w:r>
                    <w:rPr>
                      <w:rFonts w:hint="default" w:ascii="Times New Roman" w:hAnsi="Times New Roman" w:eastAsia="宋体" w:cs="Times New Roman"/>
                      <w:b/>
                      <w:bCs/>
                      <w:i w:val="0"/>
                      <w:iCs w:val="0"/>
                      <w:color w:val="auto"/>
                      <w:kern w:val="0"/>
                      <w:sz w:val="22"/>
                      <w:szCs w:val="22"/>
                      <w:highlight w:val="none"/>
                      <w:u w:val="none"/>
                      <w:lang w:val="en-US" w:eastAsia="zh-CN"/>
                    </w:rPr>
                    <w:t>Y</w:t>
                  </w:r>
                </w:p>
              </w:tc>
              <w:tc>
                <w:tcPr>
                  <w:tcW w:w="41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A3172EC">
                  <w:pPr>
                    <w:keepNext w:val="0"/>
                    <w:keepLines w:val="0"/>
                    <w:widowControl/>
                    <w:suppressLineNumbers w:val="0"/>
                    <w:jc w:val="center"/>
                    <w:textAlignment w:val="center"/>
                    <w:rPr>
                      <w:rFonts w:hint="default" w:ascii="Times New Roman" w:hAnsi="Times New Roman" w:cs="Times New Roman"/>
                      <w:b/>
                      <w:bCs/>
                      <w:i w:val="0"/>
                      <w:iCs w:val="0"/>
                      <w:color w:val="auto"/>
                      <w:sz w:val="22"/>
                      <w:szCs w:val="22"/>
                      <w:highlight w:val="none"/>
                      <w:u w:val="none"/>
                    </w:rPr>
                  </w:pPr>
                  <w:r>
                    <w:rPr>
                      <w:rFonts w:hint="default" w:ascii="Times New Roman" w:hAnsi="Times New Roman" w:eastAsia="宋体" w:cs="Times New Roman"/>
                      <w:b/>
                      <w:bCs/>
                      <w:i w:val="0"/>
                      <w:iCs w:val="0"/>
                      <w:color w:val="auto"/>
                      <w:kern w:val="0"/>
                      <w:sz w:val="22"/>
                      <w:szCs w:val="22"/>
                      <w:highlight w:val="none"/>
                      <w:u w:val="none"/>
                      <w:lang w:val="en-US" w:eastAsia="zh-CN"/>
                    </w:rPr>
                    <w:t>Z</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BF814F2">
                  <w:pPr>
                    <w:keepNext w:val="0"/>
                    <w:keepLines w:val="0"/>
                    <w:widowControl/>
                    <w:suppressLineNumbers w:val="0"/>
                    <w:jc w:val="center"/>
                    <w:textAlignment w:val="center"/>
                    <w:rPr>
                      <w:rFonts w:hint="default" w:ascii="Times New Roman" w:hAnsi="Times New Roman" w:cs="Times New Roman"/>
                      <w:b/>
                      <w:bCs/>
                      <w:i w:val="0"/>
                      <w:iCs w:val="0"/>
                      <w:color w:val="auto"/>
                      <w:sz w:val="22"/>
                      <w:szCs w:val="22"/>
                      <w:highlight w:val="none"/>
                      <w:u w:val="none"/>
                    </w:rPr>
                  </w:pPr>
                  <w:r>
                    <w:rPr>
                      <w:rFonts w:hint="default" w:ascii="Times New Roman" w:hAnsi="Times New Roman" w:eastAsia="宋体" w:cs="Times New Roman"/>
                      <w:b/>
                      <w:bCs/>
                      <w:i w:val="0"/>
                      <w:iCs w:val="0"/>
                      <w:color w:val="auto"/>
                      <w:kern w:val="0"/>
                      <w:sz w:val="22"/>
                      <w:szCs w:val="22"/>
                      <w:highlight w:val="none"/>
                      <w:u w:val="none"/>
                      <w:lang w:val="en-US" w:eastAsia="zh-CN"/>
                    </w:rPr>
                    <w:t>声压级/dB(A)</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581DD7D">
                  <w:pPr>
                    <w:keepNext w:val="0"/>
                    <w:keepLines w:val="0"/>
                    <w:widowControl/>
                    <w:suppressLineNumbers w:val="0"/>
                    <w:jc w:val="center"/>
                    <w:textAlignment w:val="center"/>
                    <w:rPr>
                      <w:rFonts w:hint="default" w:ascii="Times New Roman" w:hAnsi="Times New Roman" w:cs="Times New Roman"/>
                      <w:b/>
                      <w:bCs/>
                      <w:i w:val="0"/>
                      <w:iCs w:val="0"/>
                      <w:color w:val="auto"/>
                      <w:sz w:val="22"/>
                      <w:szCs w:val="22"/>
                      <w:highlight w:val="none"/>
                      <w:u w:val="none"/>
                    </w:rPr>
                  </w:pPr>
                  <w:r>
                    <w:rPr>
                      <w:rFonts w:hint="default" w:ascii="Times New Roman" w:hAnsi="Times New Roman" w:eastAsia="宋体" w:cs="Times New Roman"/>
                      <w:b/>
                      <w:bCs/>
                      <w:i w:val="0"/>
                      <w:iCs w:val="0"/>
                      <w:color w:val="auto"/>
                      <w:kern w:val="0"/>
                      <w:sz w:val="22"/>
                      <w:szCs w:val="22"/>
                      <w:highlight w:val="none"/>
                      <w:u w:val="none"/>
                      <w:lang w:val="en-US" w:eastAsia="zh-CN"/>
                    </w:rPr>
                    <w:t>距声源距离/m</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D3D3D3"/>
                  <w:noWrap/>
                  <w:vAlign w:val="center"/>
                </w:tcPr>
                <w:p w14:paraId="122A78F7">
                  <w:pPr>
                    <w:jc w:val="center"/>
                    <w:rPr>
                      <w:rFonts w:hint="default" w:ascii="Times New Roman" w:hAnsi="Times New Roman" w:cs="Times New Roman"/>
                      <w:b/>
                      <w:bCs/>
                      <w:i w:val="0"/>
                      <w:iCs w:val="0"/>
                      <w:color w:val="auto"/>
                      <w:sz w:val="22"/>
                      <w:szCs w:val="22"/>
                      <w:highlight w:val="none"/>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D3D3D3"/>
                  <w:noWrap/>
                  <w:vAlign w:val="center"/>
                </w:tcPr>
                <w:p w14:paraId="72B39C16">
                  <w:pPr>
                    <w:jc w:val="center"/>
                    <w:rPr>
                      <w:rFonts w:hint="default" w:ascii="Times New Roman" w:hAnsi="Times New Roman" w:cs="Times New Roman"/>
                      <w:b/>
                      <w:bCs/>
                      <w:i w:val="0"/>
                      <w:iCs w:val="0"/>
                      <w:color w:val="auto"/>
                      <w:sz w:val="22"/>
                      <w:szCs w:val="22"/>
                      <w:highlight w:val="none"/>
                      <w:u w:val="none"/>
                    </w:rPr>
                  </w:pPr>
                </w:p>
              </w:tc>
            </w:tr>
            <w:tr w14:paraId="653D1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2"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2AB4544">
                  <w:pPr>
                    <w:keepNext w:val="0"/>
                    <w:keepLines w:val="0"/>
                    <w:widowControl/>
                    <w:suppressLineNumbers w:val="0"/>
                    <w:jc w:val="center"/>
                    <w:textAlignment w:val="center"/>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rPr>
                    <w:t>风机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E86DF43">
                  <w:pPr>
                    <w:keepNext w:val="0"/>
                    <w:keepLines w:val="0"/>
                    <w:widowControl/>
                    <w:suppressLineNumbers w:val="0"/>
                    <w:jc w:val="center"/>
                    <w:textAlignment w:val="center"/>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5D86487">
                  <w:pPr>
                    <w:keepNext w:val="0"/>
                    <w:keepLines w:val="0"/>
                    <w:widowControl/>
                    <w:suppressLineNumbers w:val="0"/>
                    <w:jc w:val="center"/>
                    <w:textAlignment w:val="center"/>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rPr>
                    <w:t>-48.63</w:t>
                  </w:r>
                </w:p>
              </w:tc>
              <w:tc>
                <w:tcPr>
                  <w:tcW w:w="1139"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51BA260">
                  <w:pPr>
                    <w:keepNext w:val="0"/>
                    <w:keepLines w:val="0"/>
                    <w:widowControl/>
                    <w:suppressLineNumbers w:val="0"/>
                    <w:jc w:val="center"/>
                    <w:textAlignment w:val="center"/>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rPr>
                    <w:t>24.49</w:t>
                  </w:r>
                </w:p>
              </w:tc>
              <w:tc>
                <w:tcPr>
                  <w:tcW w:w="41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63D1CD6">
                  <w:pPr>
                    <w:keepNext w:val="0"/>
                    <w:keepLines w:val="0"/>
                    <w:widowControl/>
                    <w:suppressLineNumbers w:val="0"/>
                    <w:jc w:val="center"/>
                    <w:textAlignment w:val="center"/>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CB95DF5">
                  <w:pPr>
                    <w:keepNext w:val="0"/>
                    <w:keepLines w:val="0"/>
                    <w:widowControl/>
                    <w:suppressLineNumbers w:val="0"/>
                    <w:jc w:val="center"/>
                    <w:textAlignment w:val="center"/>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rPr>
                    <w:t>80.00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0AA341F">
                  <w:pPr>
                    <w:keepNext w:val="0"/>
                    <w:keepLines w:val="0"/>
                    <w:widowControl/>
                    <w:suppressLineNumbers w:val="0"/>
                    <w:jc w:val="center"/>
                    <w:textAlignment w:val="center"/>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0978E7C">
                  <w:pPr>
                    <w:keepNext w:val="0"/>
                    <w:keepLines w:val="0"/>
                    <w:widowControl/>
                    <w:suppressLineNumbers w:val="0"/>
                    <w:jc w:val="center"/>
                    <w:textAlignment w:val="center"/>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rPr>
                    <w:t>距离衰减、减震措施</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8BCD09A">
                  <w:pPr>
                    <w:keepNext w:val="0"/>
                    <w:keepLines w:val="0"/>
                    <w:widowControl/>
                    <w:suppressLineNumbers w:val="0"/>
                    <w:jc w:val="center"/>
                    <w:textAlignment w:val="center"/>
                    <w:rPr>
                      <w:rFonts w:hint="default" w:ascii="Times New Roman" w:hAnsi="Times New Roman"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rPr>
                    <w:t>昼间</w:t>
                  </w:r>
                </w:p>
              </w:tc>
            </w:tr>
          </w:tbl>
          <w:p w14:paraId="1559B335">
            <w:pPr>
              <w:rPr>
                <w:color w:val="auto"/>
                <w:highlight w:val="none"/>
              </w:rPr>
            </w:pPr>
          </w:p>
          <w:p w14:paraId="4EF2580A">
            <w:pPr>
              <w:bidi w:val="0"/>
              <w:rPr>
                <w:rFonts w:hint="default"/>
                <w:color w:val="auto"/>
                <w:highlight w:val="none"/>
              </w:rPr>
            </w:pPr>
          </w:p>
        </w:tc>
      </w:tr>
    </w:tbl>
    <w:p w14:paraId="7C40582A">
      <w:pPr>
        <w:bidi w:val="0"/>
        <w:rPr>
          <w:rFonts w:hint="default"/>
          <w:color w:val="auto"/>
          <w:highlight w:val="none"/>
        </w:rPr>
        <w:sectPr>
          <w:pgSz w:w="16838" w:h="11906" w:orient="landscape"/>
          <w:pgMar w:top="1417" w:right="1440" w:bottom="1417" w:left="1440" w:header="851" w:footer="680" w:gutter="0"/>
          <w:pgBorders>
            <w:top w:val="none" w:sz="0" w:space="0"/>
            <w:left w:val="none" w:sz="0" w:space="0"/>
            <w:bottom w:val="none" w:sz="0" w:space="0"/>
            <w:right w:val="none" w:sz="0" w:space="0"/>
          </w:pgBorders>
          <w:pgNumType w:fmt="decimal"/>
          <w:cols w:space="720" w:num="1"/>
          <w:docGrid w:type="linesAndChars" w:linePitch="312" w:charSpace="0"/>
        </w:sectPr>
      </w:pPr>
    </w:p>
    <w:tbl>
      <w:tblPr>
        <w:tblStyle w:val="44"/>
        <w:tblW w:w="0" w:type="auto"/>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
        <w:gridCol w:w="8936"/>
      </w:tblGrid>
      <w:tr w14:paraId="46E6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388" w:type="dxa"/>
          </w:tcPr>
          <w:p w14:paraId="1CBF9FDB">
            <w:pPr>
              <w:pageBreakBefore w:val="0"/>
              <w:wordWrap w:val="0"/>
              <w:overflowPunct/>
              <w:bidi w:val="0"/>
              <w:rPr>
                <w:rFonts w:hint="default" w:ascii="Times New Roman" w:hAnsi="Times New Roman" w:cs="Times New Roman"/>
                <w:color w:val="auto"/>
                <w:highlight w:val="none"/>
              </w:rPr>
            </w:pPr>
          </w:p>
        </w:tc>
        <w:tc>
          <w:tcPr>
            <w:tcW w:w="8785" w:type="dxa"/>
          </w:tcPr>
          <w:p w14:paraId="1AC2B9A1">
            <w:pPr>
              <w:pageBreakBefore w:val="0"/>
              <w:wordWrap w:val="0"/>
              <w:overflowPunct/>
              <w:bidi w:val="0"/>
              <w:adjustRightInd w:val="0"/>
              <w:ind w:firstLine="480" w:firstLineChars="20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2、达标分析</w:t>
            </w:r>
          </w:p>
          <w:p w14:paraId="58F11E5E">
            <w:pPr>
              <w:pageBreakBefore w:val="0"/>
              <w:wordWrap w:val="0"/>
              <w:overflowPunct/>
              <w:bidi w:val="0"/>
              <w:adjustRightInd w:val="0"/>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项目厂界外50米范围内无声环境保护目标。</w:t>
            </w:r>
            <w:r>
              <w:rPr>
                <w:rFonts w:hint="default" w:ascii="Times New Roman" w:hAnsi="Times New Roman" w:eastAsia="宋体" w:cs="Times New Roman"/>
                <w:bCs/>
                <w:color w:val="auto"/>
                <w:kern w:val="0"/>
                <w:highlight w:val="none"/>
              </w:rPr>
              <w:t>项目运营期产生的噪声主要为生产设备运行时产生的噪声，其噪声的强度值为60~85dB（A）之间。</w:t>
            </w:r>
          </w:p>
          <w:p w14:paraId="01C51302">
            <w:pPr>
              <w:pageBreakBefore w:val="0"/>
              <w:wordWrap w:val="0"/>
              <w:overflowPunct/>
              <w:bidi w:val="0"/>
              <w:adjustRightInd w:val="0"/>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color w:val="auto"/>
                <w:highlight w:val="none"/>
              </w:rPr>
              <w:t>固定声源的噪声向周围传播过程中，会发生反射、折射、衍射、吸收等现象。因此，随传播距离的增加而产生的衰减量并不按简单的几何规律计算。根据《环境影响评价技术导则-声环境》（HJ2.4-2021）对室内声源的预测方法，声源位于室内，室内声源可采用等效室外声源声功率级法进行计算。</w:t>
            </w:r>
          </w:p>
          <w:p w14:paraId="28EBCF80">
            <w:pPr>
              <w:pageBreakBefore w:val="0"/>
              <w:wordWrap w:val="0"/>
              <w:overflowPunct/>
              <w:bidi w:val="0"/>
              <w:snapToGrid w:val="0"/>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①计算所有室内声源在围护结构处产生的i倍频带叠加声压级：</w:t>
            </w:r>
          </w:p>
          <w:p w14:paraId="4AA86B46">
            <w:pPr>
              <w:pageBreakBefore w:val="0"/>
              <w:wordWrap w:val="0"/>
              <w:overflowPunct/>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0" distR="0">
                  <wp:extent cx="1780540" cy="464820"/>
                  <wp:effectExtent l="0" t="0" r="635" b="10160"/>
                  <wp:docPr id="1057" name="图片 3"/>
                  <wp:cNvGraphicFramePr/>
                  <a:graphic xmlns:a="http://schemas.openxmlformats.org/drawingml/2006/main">
                    <a:graphicData uri="http://schemas.openxmlformats.org/drawingml/2006/picture">
                      <pic:pic xmlns:pic="http://schemas.openxmlformats.org/drawingml/2006/picture">
                        <pic:nvPicPr>
                          <pic:cNvPr id="1057" name="图片 3"/>
                          <pic:cNvPicPr/>
                        </pic:nvPicPr>
                        <pic:blipFill>
                          <a:blip r:embed="rId23" cstate="print"/>
                          <a:srcRect/>
                          <a:stretch>
                            <a:fillRect/>
                          </a:stretch>
                        </pic:blipFill>
                        <pic:spPr>
                          <a:xfrm>
                            <a:off x="0" y="0"/>
                            <a:ext cx="1780540" cy="464820"/>
                          </a:xfrm>
                          <a:prstGeom prst="rect">
                            <a:avLst/>
                          </a:prstGeom>
                          <a:ln>
                            <a:noFill/>
                          </a:ln>
                        </pic:spPr>
                      </pic:pic>
                    </a:graphicData>
                  </a:graphic>
                </wp:inline>
              </w:drawing>
            </w:r>
          </w:p>
          <w:p w14:paraId="6A4DE61E">
            <w:pPr>
              <w:pageBreakBefore w:val="0"/>
              <w:wordWrap w:val="0"/>
              <w:overflowPunct/>
              <w:bidi w:val="0"/>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式中，L</w:t>
            </w:r>
            <w:r>
              <w:rPr>
                <w:rFonts w:hint="default" w:ascii="Times New Roman" w:hAnsi="Times New Roman" w:eastAsia="宋体" w:cs="Times New Roman"/>
                <w:color w:val="auto"/>
                <w:highlight w:val="none"/>
                <w:vertAlign w:val="subscript"/>
              </w:rPr>
              <w:t>p1iT</w:t>
            </w:r>
            <w:r>
              <w:rPr>
                <w:rFonts w:hint="default" w:ascii="Times New Roman" w:hAnsi="Times New Roman" w:eastAsia="宋体" w:cs="Times New Roman"/>
                <w:color w:val="auto"/>
                <w:highlight w:val="none"/>
              </w:rPr>
              <w:t>—靠近围护结构处室内N个声源i倍频带的叠加声压级，dB；</w:t>
            </w:r>
          </w:p>
          <w:p w14:paraId="2D7B664B">
            <w:pPr>
              <w:pageBreakBefore w:val="0"/>
              <w:wordWrap w:val="0"/>
              <w:overflowPunct/>
              <w:bidi w:val="0"/>
              <w:ind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L</w:t>
            </w:r>
            <w:r>
              <w:rPr>
                <w:rFonts w:hint="default" w:ascii="Times New Roman" w:hAnsi="Times New Roman" w:eastAsia="宋体" w:cs="Times New Roman"/>
                <w:color w:val="auto"/>
                <w:highlight w:val="none"/>
                <w:vertAlign w:val="subscript"/>
              </w:rPr>
              <w:t>p1ij</w:t>
            </w:r>
            <w:r>
              <w:rPr>
                <w:rFonts w:hint="default" w:ascii="Times New Roman" w:hAnsi="Times New Roman" w:eastAsia="宋体" w:cs="Times New Roman"/>
                <w:color w:val="auto"/>
                <w:highlight w:val="none"/>
              </w:rPr>
              <w:t>—室内j声源i倍频带的声压级，dB；</w:t>
            </w:r>
          </w:p>
          <w:p w14:paraId="17236860">
            <w:pPr>
              <w:pageBreakBefore w:val="0"/>
              <w:wordWrap w:val="0"/>
              <w:overflowPunct/>
              <w:bidi w:val="0"/>
              <w:ind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N—室内声源总数。</w:t>
            </w:r>
          </w:p>
          <w:p w14:paraId="55CCE9EA">
            <w:pPr>
              <w:pageBreakBefore w:val="0"/>
              <w:wordWrap w:val="0"/>
              <w:overflowPunct/>
              <w:bidi w:val="0"/>
              <w:adjustRightInd w:val="0"/>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②无指向性点声源几何发散衰减的基本公式：</w:t>
            </w:r>
          </w:p>
          <w:p w14:paraId="731E4846">
            <w:pPr>
              <w:pageBreakBefore w:val="0"/>
              <w:wordWrap w:val="0"/>
              <w:overflowPunct/>
              <w:bidi w:val="0"/>
              <w:adjustRightInd w:val="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color w:val="auto"/>
                <w:highlight w:val="none"/>
              </w:rPr>
              <w:drawing>
                <wp:inline distT="0" distB="0" distL="0" distR="0">
                  <wp:extent cx="1841500" cy="290195"/>
                  <wp:effectExtent l="0" t="0" r="4445" b="1270"/>
                  <wp:docPr id="1058" name="图片 4"/>
                  <wp:cNvGraphicFramePr/>
                  <a:graphic xmlns:a="http://schemas.openxmlformats.org/drawingml/2006/main">
                    <a:graphicData uri="http://schemas.openxmlformats.org/drawingml/2006/picture">
                      <pic:pic xmlns:pic="http://schemas.openxmlformats.org/drawingml/2006/picture">
                        <pic:nvPicPr>
                          <pic:cNvPr id="1058" name="图片 4"/>
                          <pic:cNvPicPr/>
                        </pic:nvPicPr>
                        <pic:blipFill>
                          <a:blip r:embed="rId24" cstate="print"/>
                          <a:srcRect/>
                          <a:stretch>
                            <a:fillRect/>
                          </a:stretch>
                        </pic:blipFill>
                        <pic:spPr>
                          <a:xfrm>
                            <a:off x="0" y="0"/>
                            <a:ext cx="1841500" cy="290195"/>
                          </a:xfrm>
                          <a:prstGeom prst="rect">
                            <a:avLst/>
                          </a:prstGeom>
                          <a:ln>
                            <a:noFill/>
                          </a:ln>
                        </pic:spPr>
                      </pic:pic>
                    </a:graphicData>
                  </a:graphic>
                </wp:inline>
              </w:drawing>
            </w:r>
          </w:p>
          <w:p w14:paraId="2C832FBB">
            <w:pPr>
              <w:pageBreakBefore w:val="0"/>
              <w:wordWrap w:val="0"/>
              <w:overflowPunct/>
              <w:bidi w:val="0"/>
              <w:adjustRightInd w:val="0"/>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式中：L</w:t>
            </w:r>
            <w:r>
              <w:rPr>
                <w:rFonts w:hint="default" w:ascii="Times New Roman" w:hAnsi="Times New Roman" w:eastAsia="宋体" w:cs="Times New Roman"/>
                <w:bCs/>
                <w:color w:val="auto"/>
                <w:highlight w:val="none"/>
                <w:vertAlign w:val="subscript"/>
              </w:rPr>
              <w:t>p</w:t>
            </w:r>
            <w:r>
              <w:rPr>
                <w:rFonts w:hint="default" w:ascii="Times New Roman" w:hAnsi="Times New Roman" w:eastAsia="宋体" w:cs="Times New Roman"/>
                <w:bCs/>
                <w:color w:val="auto"/>
                <w:highlight w:val="none"/>
              </w:rPr>
              <w:t>(r)—预测点处声压级，dB（A）；</w:t>
            </w:r>
          </w:p>
          <w:p w14:paraId="741A202F">
            <w:pPr>
              <w:pageBreakBefore w:val="0"/>
              <w:wordWrap w:val="0"/>
              <w:overflowPunct/>
              <w:bidi w:val="0"/>
              <w:adjustRightInd w:val="0"/>
              <w:ind w:firstLine="1200" w:firstLineChars="5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L</w:t>
            </w:r>
            <w:r>
              <w:rPr>
                <w:rFonts w:hint="default" w:ascii="Times New Roman" w:hAnsi="Times New Roman" w:eastAsia="宋体" w:cs="Times New Roman"/>
                <w:bCs/>
                <w:color w:val="auto"/>
                <w:highlight w:val="none"/>
                <w:vertAlign w:val="subscript"/>
              </w:rPr>
              <w:t>p</w:t>
            </w:r>
            <w:r>
              <w:rPr>
                <w:rFonts w:hint="default" w:ascii="Times New Roman" w:hAnsi="Times New Roman" w:eastAsia="宋体" w:cs="Times New Roman"/>
                <w:bCs/>
                <w:color w:val="auto"/>
                <w:highlight w:val="none"/>
              </w:rPr>
              <w:t xml:space="preserve">(r0)—参考位置r0处的声压级，dB（A）； </w:t>
            </w:r>
          </w:p>
          <w:p w14:paraId="3696DFF7">
            <w:pPr>
              <w:pageBreakBefore w:val="0"/>
              <w:wordWrap w:val="0"/>
              <w:overflowPunct/>
              <w:bidi w:val="0"/>
              <w:adjustRightInd w:val="0"/>
              <w:ind w:firstLine="1200" w:firstLineChars="5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r—预测点距声源的距离，m；</w:t>
            </w:r>
          </w:p>
          <w:p w14:paraId="5E7D755E">
            <w:pPr>
              <w:pageBreakBefore w:val="0"/>
              <w:wordWrap w:val="0"/>
              <w:overflowPunct/>
              <w:bidi w:val="0"/>
              <w:adjustRightInd w:val="0"/>
              <w:ind w:firstLine="1200" w:firstLineChars="5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r</w:t>
            </w:r>
            <w:r>
              <w:rPr>
                <w:rFonts w:hint="default" w:ascii="Times New Roman" w:hAnsi="Times New Roman" w:eastAsia="宋体" w:cs="Times New Roman"/>
                <w:bCs/>
                <w:color w:val="auto"/>
                <w:highlight w:val="none"/>
                <w:vertAlign w:val="subscript"/>
              </w:rPr>
              <w:t>0</w:t>
            </w:r>
            <w:r>
              <w:rPr>
                <w:rFonts w:hint="default" w:ascii="Times New Roman" w:hAnsi="Times New Roman" w:eastAsia="宋体" w:cs="Times New Roman"/>
                <w:bCs/>
                <w:color w:val="auto"/>
                <w:highlight w:val="none"/>
              </w:rPr>
              <w:t>—参考位置距声源的距离，m。</w:t>
            </w:r>
          </w:p>
          <w:p w14:paraId="0B3EC83F">
            <w:pPr>
              <w:pageBreakBefore w:val="0"/>
              <w:wordWrap w:val="0"/>
              <w:overflowPunct/>
              <w:bidi w:val="0"/>
              <w:adjustRightInd w:val="0"/>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③室内声场为近似扩散声场，室外的倍频带声压级计算：</w:t>
            </w:r>
          </w:p>
          <w:p w14:paraId="1A577573">
            <w:pPr>
              <w:pageBreakBefore w:val="0"/>
              <w:wordWrap w:val="0"/>
              <w:overflowPunct/>
              <w:bidi w:val="0"/>
              <w:adjustRightInd w:val="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color w:val="auto"/>
                <w:highlight w:val="none"/>
              </w:rPr>
              <w:drawing>
                <wp:inline distT="0" distB="0" distL="0" distR="0">
                  <wp:extent cx="1470660" cy="280670"/>
                  <wp:effectExtent l="0" t="0" r="8255" b="0"/>
                  <wp:docPr id="1059" name="图片 5"/>
                  <wp:cNvGraphicFramePr/>
                  <a:graphic xmlns:a="http://schemas.openxmlformats.org/drawingml/2006/main">
                    <a:graphicData uri="http://schemas.openxmlformats.org/drawingml/2006/picture">
                      <pic:pic xmlns:pic="http://schemas.openxmlformats.org/drawingml/2006/picture">
                        <pic:nvPicPr>
                          <pic:cNvPr id="1059" name="图片 5"/>
                          <pic:cNvPicPr/>
                        </pic:nvPicPr>
                        <pic:blipFill>
                          <a:blip r:embed="rId25" cstate="print"/>
                          <a:srcRect/>
                          <a:stretch>
                            <a:fillRect/>
                          </a:stretch>
                        </pic:blipFill>
                        <pic:spPr>
                          <a:xfrm>
                            <a:off x="0" y="0"/>
                            <a:ext cx="1470660" cy="280670"/>
                          </a:xfrm>
                          <a:prstGeom prst="rect">
                            <a:avLst/>
                          </a:prstGeom>
                          <a:ln>
                            <a:noFill/>
                          </a:ln>
                        </pic:spPr>
                      </pic:pic>
                    </a:graphicData>
                  </a:graphic>
                </wp:inline>
              </w:drawing>
            </w:r>
          </w:p>
          <w:p w14:paraId="4550A8A5">
            <w:pPr>
              <w:pageBreakBefore w:val="0"/>
              <w:wordWrap w:val="0"/>
              <w:overflowPunct/>
              <w:bidi w:val="0"/>
              <w:adjustRightInd w:val="0"/>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式中：L</w:t>
            </w:r>
            <w:r>
              <w:rPr>
                <w:rFonts w:hint="default" w:ascii="Times New Roman" w:hAnsi="Times New Roman" w:eastAsia="宋体" w:cs="Times New Roman"/>
                <w:bCs/>
                <w:color w:val="auto"/>
                <w:highlight w:val="none"/>
                <w:vertAlign w:val="subscript"/>
              </w:rPr>
              <w:t>p1</w:t>
            </w:r>
            <w:r>
              <w:rPr>
                <w:rFonts w:hint="default" w:ascii="Times New Roman" w:hAnsi="Times New Roman" w:eastAsia="宋体" w:cs="Times New Roman"/>
                <w:bCs/>
                <w:color w:val="auto"/>
                <w:highlight w:val="none"/>
              </w:rPr>
              <w:t>—室内某倍频带的声压级或A声级，dB（A）；</w:t>
            </w:r>
          </w:p>
          <w:p w14:paraId="15B138B8">
            <w:pPr>
              <w:pageBreakBefore w:val="0"/>
              <w:wordWrap w:val="0"/>
              <w:overflowPunct/>
              <w:bidi w:val="0"/>
              <w:adjustRightInd w:val="0"/>
              <w:ind w:firstLine="1200" w:firstLineChars="5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L</w:t>
            </w:r>
            <w:r>
              <w:rPr>
                <w:rFonts w:hint="default" w:ascii="Times New Roman" w:hAnsi="Times New Roman" w:eastAsia="宋体" w:cs="Times New Roman"/>
                <w:bCs/>
                <w:color w:val="auto"/>
                <w:highlight w:val="none"/>
                <w:vertAlign w:val="subscript"/>
              </w:rPr>
              <w:t>p2</w:t>
            </w:r>
            <w:r>
              <w:rPr>
                <w:rFonts w:hint="default" w:ascii="Times New Roman" w:hAnsi="Times New Roman" w:eastAsia="宋体" w:cs="Times New Roman"/>
                <w:bCs/>
                <w:color w:val="auto"/>
                <w:highlight w:val="none"/>
              </w:rPr>
              <w:t>—室外某倍频带的声压级或A声级，dB（A）；</w:t>
            </w:r>
          </w:p>
          <w:p w14:paraId="3BA46895">
            <w:pPr>
              <w:pageBreakBefore w:val="0"/>
              <w:wordWrap w:val="0"/>
              <w:overflowPunct/>
              <w:bidi w:val="0"/>
              <w:adjustRightInd w:val="0"/>
              <w:ind w:firstLine="1200" w:firstLineChars="5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TL—隔墙（或窗户）倍频带或A声级的隔声量，dB。</w:t>
            </w:r>
          </w:p>
          <w:p w14:paraId="46AE2308">
            <w:pPr>
              <w:pageBreakBefore w:val="0"/>
              <w:wordWrap w:val="0"/>
              <w:overflowPunct/>
              <w:bidi w:val="0"/>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④预测点的预测等效声级（Leq）计算公式：</w:t>
            </w:r>
          </w:p>
          <w:p w14:paraId="334D9363">
            <w:pPr>
              <w:pageBreakBefore w:val="0"/>
              <w:wordWrap w:val="0"/>
              <w:overflowPunct/>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0" distR="0">
                  <wp:extent cx="1937385" cy="335915"/>
                  <wp:effectExtent l="0" t="0" r="5080" b="9525"/>
                  <wp:docPr id="1060" name="图片 6"/>
                  <wp:cNvGraphicFramePr/>
                  <a:graphic xmlns:a="http://schemas.openxmlformats.org/drawingml/2006/main">
                    <a:graphicData uri="http://schemas.openxmlformats.org/drawingml/2006/picture">
                      <pic:pic xmlns:pic="http://schemas.openxmlformats.org/drawingml/2006/picture">
                        <pic:nvPicPr>
                          <pic:cNvPr id="1060" name="图片 6"/>
                          <pic:cNvPicPr/>
                        </pic:nvPicPr>
                        <pic:blipFill>
                          <a:blip r:embed="rId26" cstate="print"/>
                          <a:srcRect/>
                          <a:stretch>
                            <a:fillRect/>
                          </a:stretch>
                        </pic:blipFill>
                        <pic:spPr>
                          <a:xfrm>
                            <a:off x="0" y="0"/>
                            <a:ext cx="1937385" cy="335915"/>
                          </a:xfrm>
                          <a:prstGeom prst="rect">
                            <a:avLst/>
                          </a:prstGeom>
                          <a:ln>
                            <a:noFill/>
                          </a:ln>
                        </pic:spPr>
                      </pic:pic>
                    </a:graphicData>
                  </a:graphic>
                </wp:inline>
              </w:drawing>
            </w:r>
          </w:p>
          <w:p w14:paraId="31E9179C">
            <w:pPr>
              <w:pageBreakBefore w:val="0"/>
              <w:wordWrap w:val="0"/>
              <w:overflowPunct/>
              <w:bidi w:val="0"/>
              <w:adjustRightInd w:val="0"/>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式中：L</w:t>
            </w:r>
            <w:r>
              <w:rPr>
                <w:rFonts w:hint="default" w:ascii="Times New Roman" w:hAnsi="Times New Roman" w:eastAsia="宋体" w:cs="Times New Roman"/>
                <w:bCs/>
                <w:color w:val="auto"/>
                <w:highlight w:val="none"/>
                <w:vertAlign w:val="subscript"/>
              </w:rPr>
              <w:t>eqg</w:t>
            </w:r>
            <w:r>
              <w:rPr>
                <w:rFonts w:hint="default" w:ascii="Times New Roman" w:hAnsi="Times New Roman" w:eastAsia="宋体" w:cs="Times New Roman"/>
                <w:bCs/>
                <w:color w:val="auto"/>
                <w:highlight w:val="none"/>
              </w:rPr>
              <w:t xml:space="preserve">—建设项目声源在预测点的等效声级贡献值，dB（A）； </w:t>
            </w:r>
          </w:p>
          <w:p w14:paraId="0E2A02A3">
            <w:pPr>
              <w:pageBreakBefore w:val="0"/>
              <w:wordWrap w:val="0"/>
              <w:overflowPunct/>
              <w:bidi w:val="0"/>
              <w:ind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highlight w:val="none"/>
              </w:rPr>
              <w:t>L</w:t>
            </w:r>
            <w:r>
              <w:rPr>
                <w:rFonts w:hint="default" w:ascii="Times New Roman" w:hAnsi="Times New Roman" w:eastAsia="宋体" w:cs="Times New Roman"/>
                <w:bCs/>
                <w:color w:val="auto"/>
                <w:highlight w:val="none"/>
                <w:vertAlign w:val="subscript"/>
              </w:rPr>
              <w:t>eqb</w:t>
            </w:r>
            <w:r>
              <w:rPr>
                <w:rFonts w:hint="default" w:ascii="Times New Roman" w:hAnsi="Times New Roman" w:eastAsia="宋体" w:cs="Times New Roman"/>
                <w:bCs/>
                <w:color w:val="auto"/>
                <w:highlight w:val="none"/>
              </w:rPr>
              <w:t>—预测点的背景值，dB（A）。</w:t>
            </w:r>
          </w:p>
          <w:p w14:paraId="1293D803">
            <w:pPr>
              <w:pageBreakBefore w:val="0"/>
              <w:widowControl/>
              <w:wordWrap w:val="0"/>
              <w:overflowPunct/>
              <w:bidi w:val="0"/>
              <w:ind w:firstLine="480" w:firstLineChars="200"/>
              <w:jc w:val="left"/>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根据类比调查得到的参考声级，将各噪声源合并为一个噪声源，通过计算得出噪声源在不采取噪声防治措施，仅由声传播过程由于受声点与声源距离产生的衰减情况下不同距离处的噪声预测值。根据项目最大量情况下同时投入运作的设备数量及各设备的单台设备声压级，计算出噪声总源强为</w:t>
            </w:r>
            <w:r>
              <w:rPr>
                <w:rFonts w:hint="default" w:ascii="Times New Roman" w:hAnsi="Times New Roman" w:eastAsia="宋体" w:cs="Times New Roman"/>
                <w:color w:val="auto"/>
                <w:kern w:val="0"/>
                <w:highlight w:val="none"/>
                <w:lang w:val="en-US" w:eastAsia="zh-CN"/>
              </w:rPr>
              <w:t>61.1</w:t>
            </w:r>
            <w:r>
              <w:rPr>
                <w:rFonts w:hint="default" w:ascii="Times New Roman" w:hAnsi="Times New Roman" w:eastAsia="宋体" w:cs="Times New Roman"/>
                <w:color w:val="auto"/>
                <w:kern w:val="0"/>
                <w:highlight w:val="none"/>
              </w:rPr>
              <w:t>分贝。</w:t>
            </w:r>
          </w:p>
          <w:p w14:paraId="4820C6AB">
            <w:pPr>
              <w:pageBreakBefore w:val="0"/>
              <w:widowControl w:val="0"/>
              <w:wordWrap w:val="0"/>
              <w:overflowPunct/>
              <w:autoSpaceDE w:val="0"/>
              <w:autoSpaceDN w:val="0"/>
              <w:bidi w:val="0"/>
              <w:adjustRightInd w:val="0"/>
              <w:spacing w:line="360" w:lineRule="auto"/>
              <w:ind w:firstLine="480" w:firstLineChars="200"/>
              <w:jc w:val="both"/>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根据《环境噪声控制》（作者：刘惠玲主编，2002年第一版），墙体降噪效果在23-30dB（A）之间，基础减振降噪效果在10-25dB（A）之间，本项目墙体主要为钢质材料，隔音效果较差降噪效果保守取15dB（A）、基础减振降噪效果取10dB（A），考虑到人员进出本项目过程中开关门、窗户等对隔声的负面影响，实际隔声量按2</w:t>
            </w:r>
            <w:r>
              <w:rPr>
                <w:rFonts w:hint="eastAsia" w:cs="Times New Roman"/>
                <w:color w:val="auto"/>
                <w:kern w:val="2"/>
                <w:sz w:val="24"/>
                <w:szCs w:val="24"/>
                <w:highlight w:val="none"/>
                <w:lang w:val="en-US" w:eastAsia="zh-CN" w:bidi="ar-SA"/>
              </w:rPr>
              <w:t>0</w:t>
            </w:r>
            <w:r>
              <w:rPr>
                <w:rFonts w:hint="default" w:ascii="Times New Roman" w:hAnsi="Times New Roman" w:eastAsia="宋体" w:cs="Times New Roman"/>
                <w:color w:val="auto"/>
                <w:kern w:val="2"/>
                <w:sz w:val="24"/>
                <w:szCs w:val="24"/>
                <w:highlight w:val="none"/>
                <w:lang w:val="en-US" w:eastAsia="zh-CN" w:bidi="ar-SA"/>
              </w:rPr>
              <w:t>dB（A）计算。</w:t>
            </w:r>
            <w:r>
              <w:rPr>
                <w:rFonts w:hint="default" w:ascii="Times New Roman" w:hAnsi="Times New Roman" w:eastAsia="宋体" w:cs="Times New Roman"/>
                <w:color w:val="auto"/>
                <w:kern w:val="0"/>
                <w:sz w:val="24"/>
                <w:szCs w:val="24"/>
                <w:highlight w:val="none"/>
                <w:lang w:val="en-US" w:eastAsia="zh-CN" w:bidi="ar-SA"/>
              </w:rPr>
              <w:t>根据本项目噪声源，利用预测模式计算四周噪声值，最终与现状背景噪声按声能量</w:t>
            </w:r>
            <w:r>
              <w:rPr>
                <w:rFonts w:hint="eastAsia" w:cs="Times New Roman"/>
                <w:color w:val="auto"/>
                <w:kern w:val="0"/>
                <w:sz w:val="24"/>
                <w:szCs w:val="24"/>
                <w:highlight w:val="none"/>
                <w:lang w:val="en-US" w:eastAsia="zh-CN" w:bidi="ar-SA"/>
              </w:rPr>
              <w:t>叠加</w:t>
            </w:r>
            <w:r>
              <w:rPr>
                <w:rFonts w:hint="default" w:ascii="Times New Roman" w:hAnsi="Times New Roman" w:eastAsia="宋体" w:cs="Times New Roman"/>
                <w:color w:val="auto"/>
                <w:kern w:val="0"/>
                <w:sz w:val="24"/>
                <w:szCs w:val="24"/>
                <w:highlight w:val="none"/>
                <w:lang w:val="en-US" w:eastAsia="zh-CN" w:bidi="ar-SA"/>
              </w:rPr>
              <w:t>得出预测结果如下表。</w:t>
            </w:r>
          </w:p>
          <w:p w14:paraId="28C04A5D">
            <w:pPr>
              <w:keepNext w:val="0"/>
              <w:keepLines w:val="0"/>
              <w:pageBreakBefore w:val="0"/>
              <w:widowControl w:val="0"/>
              <w:numPr>
                <w:ilvl w:val="0"/>
                <w:numId w:val="10"/>
              </w:numPr>
              <w:kinsoku/>
              <w:wordWrap w:val="0"/>
              <w:overflowPunct/>
              <w:topLinePunct w:val="0"/>
              <w:autoSpaceDE/>
              <w:autoSpaceDN/>
              <w:bidi w:val="0"/>
              <w:adjustRightInd/>
              <w:snapToGrid/>
              <w:spacing w:line="240" w:lineRule="auto"/>
              <w:ind w:left="0" w:leftChars="0" w:hanging="1" w:firstLineChars="0"/>
              <w:jc w:val="center"/>
              <w:textAlignment w:val="auto"/>
              <w:rPr>
                <w:rFonts w:hint="default" w:ascii="Times New Roman" w:hAnsi="Times New Roman" w:eastAsia="宋体" w:cs="Times New Roman"/>
                <w:b/>
                <w:color w:val="auto"/>
                <w:kern w:val="0"/>
                <w:sz w:val="21"/>
                <w:szCs w:val="21"/>
                <w:highlight w:val="none"/>
              </w:rPr>
            </w:pPr>
            <w:r>
              <w:rPr>
                <w:rFonts w:hint="eastAsia"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kern w:val="0"/>
                <w:sz w:val="21"/>
                <w:szCs w:val="21"/>
                <w:highlight w:val="none"/>
              </w:rPr>
              <w:t>项目的噪声贡献值预测结果</w:t>
            </w:r>
          </w:p>
          <w:tbl>
            <w:tblPr>
              <w:tblStyle w:val="4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610"/>
              <w:gridCol w:w="3049"/>
              <w:gridCol w:w="3049"/>
            </w:tblGrid>
            <w:tr w14:paraId="77481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99" w:type="pct"/>
                  <w:tcBorders>
                    <w:top w:val="single" w:color="auto" w:sz="4" w:space="0"/>
                    <w:left w:val="single" w:color="auto" w:sz="4" w:space="0"/>
                    <w:bottom w:val="single" w:color="auto" w:sz="4" w:space="0"/>
                    <w:right w:val="single" w:color="auto" w:sz="4" w:space="0"/>
                  </w:tcBorders>
                  <w:vAlign w:val="center"/>
                </w:tcPr>
                <w:p w14:paraId="2F71CB1D">
                  <w:pPr>
                    <w:spacing w:line="0" w:lineRule="atLeast"/>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项目厂界</w:t>
                  </w:r>
                </w:p>
              </w:tc>
              <w:tc>
                <w:tcPr>
                  <w:tcW w:w="1750" w:type="pct"/>
                  <w:tcBorders>
                    <w:top w:val="single" w:color="auto" w:sz="4" w:space="0"/>
                    <w:left w:val="single" w:color="auto" w:sz="4" w:space="0"/>
                    <w:bottom w:val="single" w:color="auto" w:sz="4" w:space="0"/>
                    <w:right w:val="single" w:color="auto" w:sz="4" w:space="0"/>
                  </w:tcBorders>
                  <w:vAlign w:val="center"/>
                </w:tcPr>
                <w:p w14:paraId="63C1ADB7">
                  <w:pPr>
                    <w:spacing w:line="0" w:lineRule="atLeast"/>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厂界贡献值</w:t>
                  </w:r>
                  <w:r>
                    <w:rPr>
                      <w:rFonts w:hint="default" w:ascii="Times New Roman" w:hAnsi="Times New Roman" w:eastAsia="宋体" w:cs="Times New Roman"/>
                      <w:bCs/>
                      <w:color w:val="auto"/>
                      <w:kern w:val="0"/>
                      <w:sz w:val="21"/>
                      <w:szCs w:val="21"/>
                      <w:highlight w:val="none"/>
                    </w:rPr>
                    <w:t>dB（A）</w:t>
                  </w:r>
                </w:p>
              </w:tc>
              <w:tc>
                <w:tcPr>
                  <w:tcW w:w="1750" w:type="pct"/>
                  <w:tcBorders>
                    <w:top w:val="single" w:color="auto" w:sz="4" w:space="0"/>
                    <w:left w:val="single" w:color="auto" w:sz="4" w:space="0"/>
                    <w:bottom w:val="single" w:color="auto" w:sz="4" w:space="0"/>
                    <w:right w:val="single" w:color="auto" w:sz="4" w:space="0"/>
                  </w:tcBorders>
                  <w:vAlign w:val="center"/>
                </w:tcPr>
                <w:p w14:paraId="59441EEA">
                  <w:pPr>
                    <w:spacing w:line="0" w:lineRule="atLeast"/>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噪声标准/dB(A)</w:t>
                  </w:r>
                </w:p>
              </w:tc>
            </w:tr>
            <w:tr w14:paraId="4F8CD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99" w:type="pct"/>
                  <w:tcBorders>
                    <w:top w:val="single" w:color="auto" w:sz="4" w:space="0"/>
                    <w:left w:val="single" w:color="auto" w:sz="4" w:space="0"/>
                    <w:bottom w:val="single" w:color="auto" w:sz="4" w:space="0"/>
                    <w:right w:val="single" w:color="auto" w:sz="4" w:space="0"/>
                  </w:tcBorders>
                  <w:vAlign w:val="center"/>
                </w:tcPr>
                <w:p w14:paraId="539C2835">
                  <w:pP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东侧厂界外1m</w:t>
                  </w:r>
                </w:p>
              </w:tc>
              <w:tc>
                <w:tcPr>
                  <w:tcW w:w="1750" w:type="pct"/>
                  <w:tcBorders>
                    <w:top w:val="single" w:color="auto" w:sz="4" w:space="0"/>
                    <w:left w:val="single" w:color="auto" w:sz="4" w:space="0"/>
                    <w:bottom w:val="single" w:color="auto" w:sz="4" w:space="0"/>
                    <w:right w:val="single" w:color="auto" w:sz="4" w:space="0"/>
                  </w:tcBorders>
                  <w:vAlign w:val="center"/>
                </w:tcPr>
                <w:p w14:paraId="3FBCCA9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2"/>
                      <w:szCs w:val="22"/>
                      <w:highlight w:val="none"/>
                      <w:u w:val="none"/>
                      <w:lang w:val="en-US" w:eastAsia="zh-CN"/>
                    </w:rPr>
                    <w:t>28.88</w:t>
                  </w:r>
                </w:p>
              </w:tc>
              <w:tc>
                <w:tcPr>
                  <w:tcW w:w="1750" w:type="pct"/>
                  <w:tcBorders>
                    <w:top w:val="single" w:color="auto" w:sz="4" w:space="0"/>
                    <w:left w:val="single" w:color="auto" w:sz="4" w:space="0"/>
                    <w:bottom w:val="single" w:color="auto" w:sz="4" w:space="0"/>
                    <w:right w:val="single" w:color="auto" w:sz="4" w:space="0"/>
                  </w:tcBorders>
                  <w:vAlign w:val="center"/>
                </w:tcPr>
                <w:p w14:paraId="344A5B78">
                  <w:pPr>
                    <w:spacing w:line="0" w:lineRule="atLeast"/>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65</w:t>
                  </w:r>
                </w:p>
              </w:tc>
            </w:tr>
            <w:tr w14:paraId="7384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jc w:val="center"/>
              </w:trPr>
              <w:tc>
                <w:tcPr>
                  <w:tcW w:w="1499" w:type="pct"/>
                  <w:tcBorders>
                    <w:top w:val="single" w:color="auto" w:sz="4" w:space="0"/>
                    <w:left w:val="single" w:color="auto" w:sz="4" w:space="0"/>
                    <w:bottom w:val="single" w:color="auto" w:sz="4" w:space="0"/>
                    <w:right w:val="single" w:color="auto" w:sz="4" w:space="0"/>
                  </w:tcBorders>
                  <w:vAlign w:val="center"/>
                </w:tcPr>
                <w:p w14:paraId="25B503B6">
                  <w:pPr>
                    <w:spacing w:line="0" w:lineRule="atLeast"/>
                    <w:jc w:val="center"/>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南</w:t>
                  </w:r>
                  <w:r>
                    <w:rPr>
                      <w:rFonts w:hint="default" w:ascii="Times New Roman" w:hAnsi="Times New Roman" w:eastAsia="宋体" w:cs="Times New Roman"/>
                      <w:color w:val="auto"/>
                      <w:kern w:val="0"/>
                      <w:sz w:val="21"/>
                      <w:szCs w:val="21"/>
                      <w:highlight w:val="none"/>
                    </w:rPr>
                    <w:t>侧厂界外1m</w:t>
                  </w:r>
                </w:p>
              </w:tc>
              <w:tc>
                <w:tcPr>
                  <w:tcW w:w="1750" w:type="pct"/>
                  <w:tcBorders>
                    <w:top w:val="single" w:color="auto" w:sz="4" w:space="0"/>
                    <w:left w:val="single" w:color="auto" w:sz="4" w:space="0"/>
                    <w:bottom w:val="single" w:color="auto" w:sz="4" w:space="0"/>
                    <w:right w:val="single" w:color="auto" w:sz="4" w:space="0"/>
                  </w:tcBorders>
                  <w:vAlign w:val="center"/>
                </w:tcPr>
                <w:p w14:paraId="75CEF4F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2"/>
                      <w:szCs w:val="22"/>
                      <w:highlight w:val="none"/>
                      <w:u w:val="none"/>
                      <w:lang w:val="en-US" w:eastAsia="zh-CN"/>
                    </w:rPr>
                    <w:t>35.32</w:t>
                  </w:r>
                </w:p>
              </w:tc>
              <w:tc>
                <w:tcPr>
                  <w:tcW w:w="1750" w:type="pct"/>
                  <w:tcBorders>
                    <w:top w:val="single" w:color="auto" w:sz="4" w:space="0"/>
                    <w:left w:val="single" w:color="auto" w:sz="4" w:space="0"/>
                    <w:bottom w:val="single" w:color="auto" w:sz="4" w:space="0"/>
                    <w:right w:val="single" w:color="auto" w:sz="4" w:space="0"/>
                  </w:tcBorders>
                  <w:vAlign w:val="center"/>
                </w:tcPr>
                <w:p w14:paraId="2D4BE637">
                  <w:pPr>
                    <w:spacing w:line="0" w:lineRule="atLeast"/>
                    <w:jc w:val="center"/>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65</w:t>
                  </w:r>
                </w:p>
              </w:tc>
            </w:tr>
            <w:tr w14:paraId="2F6F5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99" w:type="pct"/>
                  <w:tcBorders>
                    <w:top w:val="single" w:color="auto" w:sz="4" w:space="0"/>
                    <w:left w:val="single" w:color="auto" w:sz="4" w:space="0"/>
                    <w:bottom w:val="single" w:color="auto" w:sz="4" w:space="0"/>
                    <w:right w:val="single" w:color="auto" w:sz="4" w:space="0"/>
                  </w:tcBorders>
                  <w:vAlign w:val="center"/>
                </w:tcPr>
                <w:p w14:paraId="7032187D">
                  <w:pPr>
                    <w:spacing w:line="0" w:lineRule="atLeast"/>
                    <w:jc w:val="center"/>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西</w:t>
                  </w:r>
                  <w:r>
                    <w:rPr>
                      <w:rFonts w:hint="default" w:ascii="Times New Roman" w:hAnsi="Times New Roman" w:eastAsia="宋体" w:cs="Times New Roman"/>
                      <w:color w:val="auto"/>
                      <w:kern w:val="0"/>
                      <w:sz w:val="21"/>
                      <w:szCs w:val="21"/>
                      <w:highlight w:val="none"/>
                    </w:rPr>
                    <w:t>侧厂界外1m</w:t>
                  </w:r>
                </w:p>
              </w:tc>
              <w:tc>
                <w:tcPr>
                  <w:tcW w:w="1750" w:type="pct"/>
                  <w:tcBorders>
                    <w:top w:val="single" w:color="auto" w:sz="4" w:space="0"/>
                    <w:left w:val="single" w:color="auto" w:sz="4" w:space="0"/>
                    <w:bottom w:val="single" w:color="auto" w:sz="4" w:space="0"/>
                    <w:right w:val="single" w:color="auto" w:sz="4" w:space="0"/>
                  </w:tcBorders>
                  <w:vAlign w:val="center"/>
                </w:tcPr>
                <w:p w14:paraId="2713B22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2"/>
                      <w:szCs w:val="22"/>
                      <w:highlight w:val="none"/>
                      <w:u w:val="none"/>
                      <w:lang w:val="en-US" w:eastAsia="zh-CN"/>
                    </w:rPr>
                    <w:t>31.29</w:t>
                  </w:r>
                </w:p>
              </w:tc>
              <w:tc>
                <w:tcPr>
                  <w:tcW w:w="1750" w:type="pct"/>
                  <w:tcBorders>
                    <w:top w:val="single" w:color="auto" w:sz="4" w:space="0"/>
                    <w:left w:val="single" w:color="auto" w:sz="4" w:space="0"/>
                    <w:bottom w:val="single" w:color="auto" w:sz="4" w:space="0"/>
                    <w:right w:val="single" w:color="auto" w:sz="4" w:space="0"/>
                  </w:tcBorders>
                  <w:vAlign w:val="center"/>
                </w:tcPr>
                <w:p w14:paraId="5076BCB5">
                  <w:pPr>
                    <w:spacing w:line="0" w:lineRule="atLeast"/>
                    <w:jc w:val="center"/>
                    <w:rPr>
                      <w:rFonts w:hint="default" w:ascii="Times New Roman" w:hAnsi="Times New Roman"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65</w:t>
                  </w:r>
                </w:p>
              </w:tc>
            </w:tr>
            <w:tr w14:paraId="74587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99" w:type="pct"/>
                  <w:tcBorders>
                    <w:top w:val="single" w:color="auto" w:sz="4" w:space="0"/>
                    <w:left w:val="single" w:color="auto" w:sz="4" w:space="0"/>
                    <w:bottom w:val="single" w:color="auto" w:sz="4" w:space="0"/>
                    <w:right w:val="single" w:color="auto" w:sz="4" w:space="0"/>
                  </w:tcBorders>
                  <w:vAlign w:val="center"/>
                </w:tcPr>
                <w:p w14:paraId="447008E2">
                  <w:pP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北侧厂界外1m</w:t>
                  </w:r>
                </w:p>
              </w:tc>
              <w:tc>
                <w:tcPr>
                  <w:tcW w:w="1750" w:type="pct"/>
                  <w:tcBorders>
                    <w:top w:val="single" w:color="auto" w:sz="4" w:space="0"/>
                    <w:left w:val="single" w:color="auto" w:sz="4" w:space="0"/>
                    <w:bottom w:val="single" w:color="auto" w:sz="4" w:space="0"/>
                    <w:right w:val="single" w:color="auto" w:sz="4" w:space="0"/>
                  </w:tcBorders>
                  <w:vAlign w:val="center"/>
                </w:tcPr>
                <w:p w14:paraId="4ED950F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2"/>
                      <w:szCs w:val="22"/>
                      <w:highlight w:val="none"/>
                      <w:u w:val="none"/>
                      <w:lang w:val="en-US" w:eastAsia="zh-CN"/>
                    </w:rPr>
                    <w:t>49.53</w:t>
                  </w:r>
                </w:p>
              </w:tc>
              <w:tc>
                <w:tcPr>
                  <w:tcW w:w="1750" w:type="pct"/>
                  <w:tcBorders>
                    <w:top w:val="single" w:color="auto" w:sz="4" w:space="0"/>
                    <w:left w:val="single" w:color="auto" w:sz="4" w:space="0"/>
                    <w:bottom w:val="single" w:color="auto" w:sz="4" w:space="0"/>
                    <w:right w:val="single" w:color="auto" w:sz="4" w:space="0"/>
                  </w:tcBorders>
                  <w:vAlign w:val="center"/>
                </w:tcPr>
                <w:p w14:paraId="2122F3E5">
                  <w:pPr>
                    <w:spacing w:line="0" w:lineRule="atLeast"/>
                    <w:jc w:val="center"/>
                    <w:rPr>
                      <w:rFonts w:hint="default" w:ascii="Times New Roman" w:hAnsi="Times New Roman" w:cs="Times New Roman"/>
                      <w:bCs/>
                      <w:color w:val="auto"/>
                      <w:kern w:val="0"/>
                      <w:sz w:val="21"/>
                      <w:szCs w:val="21"/>
                      <w:highlight w:val="none"/>
                      <w:lang w:val="en-US" w:eastAsia="zh-CN"/>
                    </w:rPr>
                  </w:pPr>
                  <w:r>
                    <w:rPr>
                      <w:rFonts w:hint="eastAsia" w:cs="Times New Roman"/>
                      <w:bCs/>
                      <w:color w:val="auto"/>
                      <w:kern w:val="0"/>
                      <w:sz w:val="21"/>
                      <w:szCs w:val="21"/>
                      <w:highlight w:val="none"/>
                      <w:lang w:val="en-US" w:eastAsia="zh-CN"/>
                    </w:rPr>
                    <w:t>65</w:t>
                  </w:r>
                </w:p>
              </w:tc>
            </w:tr>
          </w:tbl>
          <w:p w14:paraId="327DB23D">
            <w:pPr>
              <w:pageBreakBefore w:val="0"/>
              <w:widowControl w:val="0"/>
              <w:wordWrap w:val="0"/>
              <w:overflowPunct/>
              <w:autoSpaceDE w:val="0"/>
              <w:autoSpaceDN w:val="0"/>
              <w:bidi w:val="0"/>
              <w:adjustRightInd w:val="0"/>
              <w:spacing w:line="360" w:lineRule="auto"/>
              <w:ind w:firstLine="480" w:firstLineChars="200"/>
              <w:jc w:val="both"/>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通过预测分析，生产噪声通过距离的衰减和厂房的声屏障效应后，</w:t>
            </w:r>
            <w:r>
              <w:rPr>
                <w:rFonts w:hint="default" w:ascii="Times New Roman" w:hAnsi="Times New Roman" w:eastAsia="宋体" w:cs="Times New Roman"/>
                <w:color w:val="auto"/>
                <w:kern w:val="0"/>
                <w:sz w:val="24"/>
                <w:szCs w:val="24"/>
                <w:highlight w:val="none"/>
                <w:lang w:val="en-US" w:eastAsia="zh-CN" w:bidi="ar-SA"/>
              </w:rPr>
              <w:t>项目厂界外1米处</w:t>
            </w:r>
            <w:r>
              <w:rPr>
                <w:rFonts w:hint="default" w:ascii="Times New Roman" w:hAnsi="Times New Roman" w:eastAsia="宋体" w:cs="Times New Roman"/>
                <w:color w:val="auto"/>
                <w:kern w:val="2"/>
                <w:sz w:val="24"/>
                <w:szCs w:val="24"/>
                <w:highlight w:val="none"/>
                <w:lang w:val="en-US" w:eastAsia="zh-CN" w:bidi="ar-SA"/>
              </w:rPr>
              <w:t>可达到</w:t>
            </w:r>
            <w:r>
              <w:rPr>
                <w:rFonts w:hint="default" w:ascii="Times New Roman" w:hAnsi="Times New Roman" w:eastAsia="宋体" w:cs="Times New Roman"/>
                <w:color w:val="auto"/>
                <w:spacing w:val="-2"/>
                <w:kern w:val="2"/>
                <w:sz w:val="24"/>
                <w:szCs w:val="24"/>
                <w:highlight w:val="none"/>
                <w:lang w:val="en-US" w:eastAsia="zh-CN" w:bidi="ar-SA"/>
              </w:rPr>
              <w:t>《工业企业</w:t>
            </w:r>
            <w:r>
              <w:rPr>
                <w:rFonts w:hint="eastAsia" w:eastAsia="宋体" w:cs="Times New Roman"/>
                <w:color w:val="auto"/>
                <w:spacing w:val="-2"/>
                <w:kern w:val="2"/>
                <w:sz w:val="24"/>
                <w:szCs w:val="24"/>
                <w:highlight w:val="none"/>
                <w:lang w:val="en-US" w:eastAsia="zh-CN" w:bidi="ar-SA"/>
              </w:rPr>
              <w:t>厂</w:t>
            </w:r>
            <w:r>
              <w:rPr>
                <w:rFonts w:hint="default" w:ascii="Times New Roman" w:hAnsi="Times New Roman" w:eastAsia="宋体" w:cs="Times New Roman"/>
                <w:color w:val="auto"/>
                <w:spacing w:val="-2"/>
                <w:kern w:val="2"/>
                <w:sz w:val="24"/>
                <w:szCs w:val="24"/>
                <w:highlight w:val="none"/>
                <w:lang w:val="en-US" w:eastAsia="zh-CN" w:bidi="ar-SA"/>
              </w:rPr>
              <w:t>界环境噪声排放标准》（GB12348-2008）中的3类</w:t>
            </w:r>
            <w:r>
              <w:rPr>
                <w:rFonts w:hint="eastAsia" w:cs="Times New Roman"/>
                <w:color w:val="auto"/>
                <w:spacing w:val="-2"/>
                <w:kern w:val="2"/>
                <w:sz w:val="24"/>
                <w:szCs w:val="24"/>
                <w:highlight w:val="none"/>
                <w:lang w:val="en-US" w:eastAsia="zh-CN" w:bidi="ar-SA"/>
              </w:rPr>
              <w:t>标准</w:t>
            </w:r>
            <w:r>
              <w:rPr>
                <w:rFonts w:hint="default" w:ascii="Times New Roman" w:hAnsi="Times New Roman" w:eastAsia="宋体" w:cs="Times New Roman"/>
                <w:color w:val="auto"/>
                <w:kern w:val="2"/>
                <w:sz w:val="24"/>
                <w:szCs w:val="24"/>
                <w:highlight w:val="none"/>
                <w:lang w:val="en-US" w:eastAsia="zh-CN" w:bidi="ar-SA"/>
              </w:rPr>
              <w:t>，即项目产生的噪声不会对周边环境造成太大影响。</w:t>
            </w:r>
          </w:p>
          <w:p w14:paraId="3B73627C">
            <w:pPr>
              <w:keepNext/>
              <w:keepLines/>
              <w:pageBreakBefore w:val="0"/>
              <w:widowControl w:val="0"/>
              <w:numPr>
                <w:ilvl w:val="3"/>
                <w:numId w:val="0"/>
              </w:numPr>
              <w:wordWrap w:val="0"/>
              <w:overflowPunct/>
              <w:bidi w:val="0"/>
              <w:spacing w:line="360" w:lineRule="auto"/>
              <w:ind w:left="0" w:firstLine="480" w:firstLineChars="200"/>
              <w:jc w:val="both"/>
              <w:outlineLvl w:val="3"/>
              <w:rPr>
                <w:rFonts w:hint="default" w:ascii="Times New Roman" w:hAnsi="Times New Roman" w:eastAsia="宋体" w:cs="Times New Roman"/>
                <w:b/>
                <w:bCs/>
                <w:color w:val="auto"/>
                <w:kern w:val="2"/>
                <w:sz w:val="24"/>
                <w:szCs w:val="28"/>
                <w:highlight w:val="none"/>
                <w:lang w:val="en-US" w:eastAsia="zh-CN" w:bidi="ar-SA"/>
              </w:rPr>
            </w:pPr>
            <w:r>
              <w:rPr>
                <w:rFonts w:hint="default" w:ascii="Times New Roman" w:hAnsi="Times New Roman" w:eastAsia="宋体" w:cs="Times New Roman"/>
                <w:b/>
                <w:bCs/>
                <w:color w:val="auto"/>
                <w:kern w:val="2"/>
                <w:sz w:val="24"/>
                <w:szCs w:val="28"/>
                <w:highlight w:val="none"/>
                <w:lang w:val="en-US" w:eastAsia="zh-CN" w:bidi="ar-SA"/>
              </w:rPr>
              <w:t>3、污染防治措施</w:t>
            </w:r>
          </w:p>
          <w:p w14:paraId="031B2467">
            <w:pPr>
              <w:keepNext/>
              <w:keepLines/>
              <w:pageBreakBefore w:val="0"/>
              <w:widowControl w:val="0"/>
              <w:numPr>
                <w:ilvl w:val="0"/>
                <w:numId w:val="0"/>
              </w:numPr>
              <w:wordWrap w:val="0"/>
              <w:overflowPunct/>
              <w:bidi w:val="0"/>
              <w:spacing w:line="360" w:lineRule="auto"/>
              <w:ind w:firstLine="480" w:firstLineChars="200"/>
              <w:jc w:val="both"/>
              <w:outlineLvl w:val="5"/>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为确保厂界噪声满足《工业企业厂界环境噪声排放标准》（GB12348-2008）中的相应标准，项目拟采取以下治理措施：</w:t>
            </w:r>
          </w:p>
          <w:p w14:paraId="486A527A">
            <w:pPr>
              <w:keepNext/>
              <w:keepLines/>
              <w:pageBreakBefore w:val="0"/>
              <w:widowControl w:val="0"/>
              <w:numPr>
                <w:ilvl w:val="0"/>
                <w:numId w:val="0"/>
              </w:numPr>
              <w:wordWrap w:val="0"/>
              <w:overflowPunct/>
              <w:bidi w:val="0"/>
              <w:spacing w:line="360" w:lineRule="auto"/>
              <w:ind w:firstLine="480" w:firstLineChars="200"/>
              <w:jc w:val="both"/>
              <w:outlineLvl w:val="5"/>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①合理布局：尽量将高噪声设备布置在厂房中间，尽可能地选择远离厂界的位置。</w:t>
            </w:r>
          </w:p>
          <w:p w14:paraId="167C7C9E">
            <w:pPr>
              <w:keepNext/>
              <w:keepLines/>
              <w:pageBreakBefore w:val="0"/>
              <w:widowControl w:val="0"/>
              <w:numPr>
                <w:ilvl w:val="0"/>
                <w:numId w:val="0"/>
              </w:numPr>
              <w:wordWrap w:val="0"/>
              <w:overflowPunct/>
              <w:bidi w:val="0"/>
              <w:spacing w:line="360" w:lineRule="auto"/>
              <w:ind w:firstLine="480" w:firstLineChars="200"/>
              <w:jc w:val="both"/>
              <w:outlineLvl w:val="5"/>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②落实设备基础减振以及厂房隔声：</w:t>
            </w:r>
          </w:p>
          <w:p w14:paraId="241F86D1">
            <w:pPr>
              <w:keepNext/>
              <w:keepLines/>
              <w:pageBreakBefore w:val="0"/>
              <w:widowControl w:val="0"/>
              <w:numPr>
                <w:ilvl w:val="0"/>
                <w:numId w:val="0"/>
              </w:numPr>
              <w:wordWrap w:val="0"/>
              <w:overflowPunct/>
              <w:bidi w:val="0"/>
              <w:spacing w:line="360" w:lineRule="auto"/>
              <w:ind w:firstLine="480" w:firstLineChars="200"/>
              <w:jc w:val="both"/>
              <w:outlineLvl w:val="5"/>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A、在设备选型方面，在满足工艺生产的前提下，选用精度高、装配质量好、噪声低的设备；对设备基础进行减振；</w:t>
            </w:r>
          </w:p>
          <w:p w14:paraId="5F7C67B6">
            <w:pPr>
              <w:keepNext/>
              <w:keepLines/>
              <w:pageBreakBefore w:val="0"/>
              <w:widowControl w:val="0"/>
              <w:numPr>
                <w:ilvl w:val="0"/>
                <w:numId w:val="0"/>
              </w:numPr>
              <w:wordWrap w:val="0"/>
              <w:overflowPunct/>
              <w:bidi w:val="0"/>
              <w:spacing w:line="360" w:lineRule="auto"/>
              <w:ind w:firstLine="480" w:firstLineChars="200"/>
              <w:jc w:val="both"/>
              <w:outlineLvl w:val="5"/>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B、重视厂房的使用状况，不设门窗或设隔声玻璃门窗。</w:t>
            </w:r>
          </w:p>
          <w:p w14:paraId="1B66D9CA">
            <w:pPr>
              <w:keepNext/>
              <w:keepLines/>
              <w:pageBreakBefore w:val="0"/>
              <w:widowControl w:val="0"/>
              <w:numPr>
                <w:ilvl w:val="0"/>
                <w:numId w:val="0"/>
              </w:numPr>
              <w:wordWrap w:val="0"/>
              <w:overflowPunct/>
              <w:bidi w:val="0"/>
              <w:spacing w:line="360" w:lineRule="auto"/>
              <w:ind w:firstLine="480" w:firstLineChars="200"/>
              <w:jc w:val="both"/>
              <w:outlineLvl w:val="5"/>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③加强内部管理：建立设备定期维护、保养的管理制度，以防止设备故障形成的非生产噪声，同时确保环保措施发挥最有效的功能；加强职工环保意识教育，提倡文明生产，防止人为噪声。</w:t>
            </w:r>
          </w:p>
          <w:p w14:paraId="6E48BB0E">
            <w:pPr>
              <w:keepNext/>
              <w:keepLines/>
              <w:pageBreakBefore w:val="0"/>
              <w:widowControl w:val="0"/>
              <w:numPr>
                <w:ilvl w:val="0"/>
                <w:numId w:val="0"/>
              </w:numPr>
              <w:wordWrap w:val="0"/>
              <w:overflowPunct/>
              <w:bidi w:val="0"/>
              <w:spacing w:line="360" w:lineRule="auto"/>
              <w:ind w:firstLine="480" w:firstLineChars="200"/>
              <w:jc w:val="both"/>
              <w:outlineLvl w:val="5"/>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④合理安排生产时间：尽可能地安排在昼间进行生产，若夜间必须生产应控制夜间生产时间，特</w:t>
            </w:r>
            <w:r>
              <w:rPr>
                <w:rFonts w:hint="eastAsia" w:cs="Times New Roman"/>
                <w:color w:val="auto"/>
                <w:kern w:val="2"/>
                <w:sz w:val="24"/>
                <w:szCs w:val="21"/>
                <w:highlight w:val="none"/>
                <w:lang w:val="en-US" w:eastAsia="zh-CN" w:bidi="ar-SA"/>
              </w:rPr>
              <w:t>别是</w:t>
            </w:r>
            <w:r>
              <w:rPr>
                <w:rFonts w:hint="default" w:ascii="Times New Roman" w:hAnsi="Times New Roman" w:eastAsia="宋体" w:cs="Times New Roman"/>
                <w:color w:val="auto"/>
                <w:kern w:val="2"/>
                <w:sz w:val="24"/>
                <w:szCs w:val="21"/>
                <w:highlight w:val="none"/>
                <w:lang w:val="en-US" w:eastAsia="zh-CN" w:bidi="ar-SA"/>
              </w:rPr>
              <w:t>夜间应停止高噪声设备，减少机械的噪声影响。</w:t>
            </w:r>
          </w:p>
          <w:p w14:paraId="4ACDCFEF">
            <w:pPr>
              <w:keepNext/>
              <w:keepLines/>
              <w:pageBreakBefore w:val="0"/>
              <w:widowControl w:val="0"/>
              <w:numPr>
                <w:ilvl w:val="0"/>
                <w:numId w:val="0"/>
              </w:numPr>
              <w:wordWrap w:val="0"/>
              <w:overflowPunct/>
              <w:bidi w:val="0"/>
              <w:spacing w:line="360" w:lineRule="auto"/>
              <w:ind w:firstLine="480" w:firstLineChars="200"/>
              <w:jc w:val="both"/>
              <w:outlineLvl w:val="5"/>
              <w:rPr>
                <w:rFonts w:hint="default" w:ascii="Times New Roman" w:hAnsi="Times New Roman" w:eastAsia="宋体" w:cs="Times New Roman"/>
                <w:b/>
                <w:bCs/>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本项目周边50米范围内不存在声环境保护目标，经采取</w:t>
            </w:r>
            <w:r>
              <w:rPr>
                <w:rFonts w:hint="eastAsia" w:cs="Times New Roman"/>
                <w:color w:val="auto"/>
                <w:kern w:val="2"/>
                <w:sz w:val="24"/>
                <w:szCs w:val="21"/>
                <w:highlight w:val="none"/>
                <w:lang w:val="en-US" w:eastAsia="zh-CN" w:bidi="ar-SA"/>
              </w:rPr>
              <w:t>上述</w:t>
            </w:r>
            <w:r>
              <w:rPr>
                <w:rFonts w:hint="default" w:ascii="Times New Roman" w:hAnsi="Times New Roman" w:eastAsia="宋体" w:cs="Times New Roman"/>
                <w:color w:val="auto"/>
                <w:kern w:val="2"/>
                <w:sz w:val="24"/>
                <w:szCs w:val="21"/>
                <w:highlight w:val="none"/>
                <w:lang w:val="en-US" w:eastAsia="zh-CN" w:bidi="ar-SA"/>
              </w:rPr>
              <w:t>降噪措施后，预计项目厂界噪声排放可达到《工业企业厂界环境噪声排放标准》（GB12348-2008）3类，噪声对声环境影响不大。</w:t>
            </w:r>
          </w:p>
          <w:p w14:paraId="7CB464CE">
            <w:pPr>
              <w:keepNext/>
              <w:keepLines/>
              <w:pageBreakBefore w:val="0"/>
              <w:tabs>
                <w:tab w:val="left" w:pos="0"/>
              </w:tabs>
              <w:wordWrap w:val="0"/>
              <w:overflowPunct/>
              <w:bidi w:val="0"/>
              <w:ind w:firstLine="480" w:firstLineChars="200"/>
              <w:outlineLvl w:val="3"/>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4、监测要求</w:t>
            </w:r>
          </w:p>
          <w:p w14:paraId="56527AB5">
            <w:pPr>
              <w:pageBreakBefore w:val="0"/>
              <w:wordWrap w:val="0"/>
              <w:overflowPunct/>
              <w:bidi w:val="0"/>
              <w:ind w:firstLine="480" w:firstLineChars="20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highlight w:val="none"/>
              </w:rPr>
              <w:t>根据《排污单位自行监测技术指南 总则》（HJ819-2017），监测要求见下表。</w:t>
            </w:r>
          </w:p>
          <w:p w14:paraId="43A04780">
            <w:pPr>
              <w:keepNext w:val="0"/>
              <w:keepLines w:val="0"/>
              <w:pageBreakBefore w:val="0"/>
              <w:widowControl w:val="0"/>
              <w:numPr>
                <w:ilvl w:val="0"/>
                <w:numId w:val="10"/>
              </w:numPr>
              <w:kinsoku/>
              <w:wordWrap w:val="0"/>
              <w:overflowPunct/>
              <w:topLinePunct w:val="0"/>
              <w:autoSpaceDE/>
              <w:autoSpaceDN/>
              <w:bidi w:val="0"/>
              <w:adjustRightInd/>
              <w:snapToGrid/>
              <w:spacing w:line="240" w:lineRule="auto"/>
              <w:ind w:left="0" w:leftChars="0" w:hanging="1"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bCs/>
                <w:color w:val="auto"/>
                <w:kern w:val="2"/>
                <w:sz w:val="21"/>
                <w:szCs w:val="21"/>
                <w:highlight w:val="none"/>
                <w:lang w:val="en-US" w:eastAsia="zh-CN" w:bidi="ar-SA"/>
              </w:rPr>
              <w:t>厂界噪声监测要求</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85" w:type="dxa"/>
                <w:left w:w="51" w:type="dxa"/>
                <w:bottom w:w="0" w:type="dxa"/>
                <w:right w:w="51" w:type="dxa"/>
              </w:tblCellMar>
            </w:tblPr>
            <w:tblGrid>
              <w:gridCol w:w="463"/>
              <w:gridCol w:w="2319"/>
              <w:gridCol w:w="1244"/>
              <w:gridCol w:w="1226"/>
              <w:gridCol w:w="3458"/>
            </w:tblGrid>
            <w:tr w14:paraId="59032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1" w:type="dxa"/>
                  <w:bottom w:w="0" w:type="dxa"/>
                  <w:right w:w="51" w:type="dxa"/>
                </w:tblCellMar>
              </w:tblPrEx>
              <w:trPr>
                <w:trHeight w:val="397" w:hRule="atLeast"/>
                <w:jc w:val="center"/>
              </w:trPr>
              <w:tc>
                <w:tcPr>
                  <w:tcW w:w="0" w:type="auto"/>
                  <w:vAlign w:val="center"/>
                </w:tcPr>
                <w:p w14:paraId="51B99B26">
                  <w:pPr>
                    <w:pageBreakBefore w:val="0"/>
                    <w:wordWrap w:val="0"/>
                    <w:overflowPunct/>
                    <w:bidi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0" w:type="auto"/>
                  <w:vAlign w:val="center"/>
                </w:tcPr>
                <w:p w14:paraId="3465BA9B">
                  <w:pPr>
                    <w:pageBreakBefore w:val="0"/>
                    <w:wordWrap w:val="0"/>
                    <w:overflowPunct/>
                    <w:bidi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监测点位</w:t>
                  </w:r>
                </w:p>
              </w:tc>
              <w:tc>
                <w:tcPr>
                  <w:tcW w:w="0" w:type="auto"/>
                  <w:vAlign w:val="center"/>
                </w:tcPr>
                <w:p w14:paraId="65FE91EF">
                  <w:pPr>
                    <w:pageBreakBefore w:val="0"/>
                    <w:wordWrap w:val="0"/>
                    <w:overflowPunct/>
                    <w:bidi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监测指标</w:t>
                  </w:r>
                </w:p>
              </w:tc>
              <w:tc>
                <w:tcPr>
                  <w:tcW w:w="1226" w:type="dxa"/>
                  <w:vAlign w:val="center"/>
                </w:tcPr>
                <w:p w14:paraId="6F68611D">
                  <w:pPr>
                    <w:pageBreakBefore w:val="0"/>
                    <w:wordWrap w:val="0"/>
                    <w:overflowPunct/>
                    <w:bidi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监测频次</w:t>
                  </w:r>
                </w:p>
              </w:tc>
              <w:tc>
                <w:tcPr>
                  <w:tcW w:w="3458" w:type="dxa"/>
                  <w:vAlign w:val="center"/>
                </w:tcPr>
                <w:p w14:paraId="077EA6E5">
                  <w:pPr>
                    <w:pageBreakBefore w:val="0"/>
                    <w:wordWrap w:val="0"/>
                    <w:overflowPunct/>
                    <w:bidi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排放执行标准</w:t>
                  </w:r>
                </w:p>
              </w:tc>
            </w:tr>
            <w:tr w14:paraId="5A814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1" w:type="dxa"/>
                  <w:bottom w:w="0" w:type="dxa"/>
                  <w:right w:w="51" w:type="dxa"/>
                </w:tblCellMar>
              </w:tblPrEx>
              <w:trPr>
                <w:trHeight w:val="397" w:hRule="atLeast"/>
                <w:jc w:val="center"/>
              </w:trPr>
              <w:tc>
                <w:tcPr>
                  <w:tcW w:w="0" w:type="auto"/>
                  <w:vAlign w:val="center"/>
                </w:tcPr>
                <w:p w14:paraId="31F92842">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0" w:type="auto"/>
                  <w:vAlign w:val="center"/>
                </w:tcPr>
                <w:p w14:paraId="32B3373E">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东、南、西、北面厂界外1米处</w:t>
                  </w:r>
                </w:p>
              </w:tc>
              <w:tc>
                <w:tcPr>
                  <w:tcW w:w="0" w:type="auto"/>
                  <w:vAlign w:val="center"/>
                </w:tcPr>
                <w:p w14:paraId="22B23A6B">
                  <w:pPr>
                    <w:pageBreakBefore w:val="0"/>
                    <w:wordWrap w:val="0"/>
                    <w:overflowPunct/>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等效连续A声级</w:t>
                  </w:r>
                </w:p>
              </w:tc>
              <w:tc>
                <w:tcPr>
                  <w:tcW w:w="1226" w:type="dxa"/>
                  <w:vAlign w:val="center"/>
                </w:tcPr>
                <w:p w14:paraId="1EDF7D5A">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1次/季度</w:t>
                  </w:r>
                </w:p>
              </w:tc>
              <w:tc>
                <w:tcPr>
                  <w:tcW w:w="3458" w:type="dxa"/>
                  <w:vAlign w:val="center"/>
                </w:tcPr>
                <w:p w14:paraId="4BBD45C2">
                  <w:pPr>
                    <w:pStyle w:val="50"/>
                    <w:keepNext w:val="0"/>
                    <w:keepLines w:val="0"/>
                    <w:pageBreakBefore w:val="0"/>
                    <w:suppressLineNumbers w:val="0"/>
                    <w:kinsoku/>
                    <w:wordWrap w:val="0"/>
                    <w:overflowPunct/>
                    <w:topLinePunct/>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《排污单位自行监测技术指南 涂装》（HJ1086-2020）表4</w:t>
                  </w:r>
                </w:p>
              </w:tc>
            </w:tr>
          </w:tbl>
          <w:p w14:paraId="18B05ADC">
            <w:pPr>
              <w:keepNext/>
              <w:keepLines/>
              <w:pageBreakBefore w:val="0"/>
              <w:widowControl w:val="0"/>
              <w:numPr>
                <w:ilvl w:val="2"/>
                <w:numId w:val="0"/>
              </w:numPr>
              <w:wordWrap w:val="0"/>
              <w:overflowPunct/>
              <w:bidi w:val="0"/>
              <w:spacing w:line="360" w:lineRule="auto"/>
              <w:ind w:firstLine="480" w:firstLineChars="200"/>
              <w:jc w:val="both"/>
              <w:outlineLvl w:val="2"/>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四、固体废物污染源</w:t>
            </w:r>
          </w:p>
          <w:p w14:paraId="7E6B6E5D">
            <w:pPr>
              <w:keepNext/>
              <w:keepLines/>
              <w:pageBreakBefore w:val="0"/>
              <w:tabs>
                <w:tab w:val="left" w:pos="0"/>
              </w:tabs>
              <w:wordWrap w:val="0"/>
              <w:overflowPunct/>
              <w:bidi w:val="0"/>
              <w:ind w:left="480" w:leftChars="200"/>
              <w:outlineLvl w:val="3"/>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1、固体废物源强</w:t>
            </w:r>
          </w:p>
          <w:p w14:paraId="12C87B34">
            <w:pPr>
              <w:pageBreakBefore w:val="0"/>
              <w:wordWrap w:val="0"/>
              <w:overflowPunct/>
              <w:bidi w:val="0"/>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本项目营运期产生的固体废物主要为生活垃圾</w:t>
            </w:r>
            <w:r>
              <w:rPr>
                <w:rFonts w:hint="eastAsia" w:cs="Times New Roman"/>
                <w:color w:val="auto"/>
                <w:highlight w:val="none"/>
                <w:lang w:val="en-US" w:eastAsia="zh-CN"/>
              </w:rPr>
              <w:t>，</w:t>
            </w:r>
            <w:r>
              <w:rPr>
                <w:rFonts w:hint="default" w:ascii="Times New Roman" w:hAnsi="Times New Roman" w:eastAsia="宋体" w:cs="Times New Roman"/>
                <w:color w:val="auto"/>
                <w:highlight w:val="none"/>
              </w:rPr>
              <w:t>一般工业固废（</w:t>
            </w:r>
            <w:r>
              <w:rPr>
                <w:rFonts w:hint="eastAsia" w:cs="Times New Roman"/>
                <w:color w:val="auto"/>
                <w:highlight w:val="none"/>
                <w:lang w:eastAsia="zh-CN"/>
              </w:rPr>
              <w:t>废包装</w:t>
            </w:r>
            <w:r>
              <w:rPr>
                <w:rFonts w:hint="eastAsia" w:cs="Times New Roman"/>
                <w:color w:val="auto"/>
                <w:highlight w:val="none"/>
                <w:lang w:val="en-US" w:eastAsia="zh-CN"/>
              </w:rPr>
              <w:t>物</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边角料、废布袋、废金属沉降粉尘和布袋收集粉尘、废滤芯</w:t>
            </w:r>
            <w:r>
              <w:rPr>
                <w:rFonts w:hint="default" w:ascii="Times New Roman" w:hAnsi="Times New Roman" w:eastAsia="宋体" w:cs="Times New Roman"/>
                <w:color w:val="auto"/>
                <w:highlight w:val="none"/>
              </w:rPr>
              <w:t>）、危险废物（</w:t>
            </w:r>
            <w:r>
              <w:rPr>
                <w:rFonts w:hint="eastAsia" w:cs="Times New Roman"/>
                <w:color w:val="auto"/>
                <w:highlight w:val="none"/>
                <w:lang w:val="en-US" w:eastAsia="zh-CN"/>
              </w:rPr>
              <w:t>喷淋废液及沉渣、废空心球、废过滤棉、废活性炭、废原料桶、废机油及桶、废含油抹布及手套、网版及喷枪清洗废液、水性漆喷枪清洗废水、废MBR膜</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w:t>
            </w:r>
          </w:p>
          <w:p w14:paraId="743C498B">
            <w:pPr>
              <w:pageBreakBefore w:val="0"/>
              <w:wordWrap w:val="0"/>
              <w:overflowPunct/>
              <w:bidi w:val="0"/>
              <w:ind w:firstLine="480" w:firstLineChars="20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（1）生活垃圾</w:t>
            </w:r>
          </w:p>
          <w:p w14:paraId="156FA503">
            <w:pPr>
              <w:pageBreakBefore w:val="0"/>
              <w:wordWrap w:val="0"/>
              <w:overflowPunct/>
              <w:bidi w:val="0"/>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本项目劳动定员</w:t>
            </w:r>
            <w:r>
              <w:rPr>
                <w:rFonts w:hint="eastAsia" w:cs="Times New Roman"/>
                <w:color w:val="auto"/>
                <w:highlight w:val="none"/>
                <w:lang w:val="en-US" w:eastAsia="zh-CN"/>
              </w:rPr>
              <w:t>30</w:t>
            </w:r>
            <w:r>
              <w:rPr>
                <w:rFonts w:hint="default" w:ascii="Times New Roman" w:hAnsi="Times New Roman" w:eastAsia="宋体" w:cs="Times New Roman"/>
                <w:color w:val="auto"/>
                <w:highlight w:val="none"/>
              </w:rPr>
              <w:t>人，</w:t>
            </w:r>
            <w:r>
              <w:rPr>
                <w:rFonts w:hint="eastAsia" w:cs="Times New Roman"/>
                <w:color w:val="auto"/>
                <w:highlight w:val="none"/>
                <w:lang w:val="en-US" w:eastAsia="zh-CN"/>
              </w:rPr>
              <w:t>不</w:t>
            </w:r>
            <w:r>
              <w:rPr>
                <w:rFonts w:hint="default" w:ascii="Times New Roman" w:hAnsi="Times New Roman" w:eastAsia="宋体" w:cs="Times New Roman"/>
                <w:color w:val="auto"/>
                <w:highlight w:val="none"/>
              </w:rPr>
              <w:t>在厂内住宿</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就餐</w:t>
            </w:r>
            <w:r>
              <w:rPr>
                <w:rFonts w:hint="default" w:ascii="Times New Roman" w:hAnsi="Times New Roman" w:eastAsia="宋体" w:cs="Times New Roman"/>
                <w:color w:val="auto"/>
                <w:highlight w:val="none"/>
              </w:rPr>
              <w:t>，年工作</w:t>
            </w:r>
            <w:r>
              <w:rPr>
                <w:rFonts w:hint="eastAsia" w:cs="Times New Roman"/>
                <w:color w:val="auto"/>
                <w:highlight w:val="none"/>
                <w:lang w:val="en-US" w:eastAsia="zh-CN"/>
              </w:rPr>
              <w:t>30</w:t>
            </w:r>
            <w:r>
              <w:rPr>
                <w:rFonts w:hint="default" w:ascii="Times New Roman" w:hAnsi="Times New Roman" w:eastAsia="宋体" w:cs="Times New Roman"/>
                <w:color w:val="auto"/>
                <w:highlight w:val="none"/>
              </w:rPr>
              <w:t>0天，按每人每天生活垃圾产生量为0.5kg，生活垃圾产生量</w:t>
            </w:r>
            <w:r>
              <w:rPr>
                <w:rFonts w:hint="default" w:ascii="Times New Roman" w:hAnsi="Times New Roman" w:eastAsia="宋体" w:cs="Times New Roman"/>
                <w:color w:val="auto"/>
                <w:highlight w:val="none"/>
                <w:lang w:eastAsia="zh-CN"/>
              </w:rPr>
              <w:t>：</w:t>
            </w:r>
            <w:r>
              <w:rPr>
                <w:rFonts w:hint="eastAsia" w:cs="Times New Roman"/>
                <w:color w:val="auto"/>
                <w:highlight w:val="none"/>
                <w:lang w:val="en-US" w:eastAsia="zh-CN"/>
              </w:rPr>
              <w:t>30</w:t>
            </w:r>
            <w:r>
              <w:rPr>
                <w:rFonts w:hint="default" w:ascii="Times New Roman" w:hAnsi="Times New Roman" w:eastAsia="宋体" w:cs="Times New Roman"/>
                <w:color w:val="auto"/>
                <w:highlight w:val="none"/>
                <w:lang w:val="en-US" w:eastAsia="zh-CN"/>
              </w:rPr>
              <w:t>人×</w:t>
            </w:r>
            <w:r>
              <w:rPr>
                <w:rFonts w:hint="eastAsia" w:cs="Times New Roman"/>
                <w:color w:val="auto"/>
                <w:highlight w:val="none"/>
                <w:lang w:val="en-US" w:eastAsia="zh-CN"/>
              </w:rPr>
              <w:t>30</w:t>
            </w:r>
            <w:r>
              <w:rPr>
                <w:rFonts w:hint="default" w:ascii="Times New Roman" w:hAnsi="Times New Roman" w:eastAsia="宋体" w:cs="Times New Roman"/>
                <w:color w:val="auto"/>
                <w:highlight w:val="none"/>
                <w:lang w:val="en-US" w:eastAsia="zh-CN"/>
              </w:rPr>
              <w:t>0d×0.5kg/（人·d）=</w:t>
            </w:r>
            <w:r>
              <w:rPr>
                <w:rFonts w:hint="eastAsia" w:cs="Times New Roman"/>
                <w:color w:val="auto"/>
                <w:highlight w:val="none"/>
                <w:lang w:val="en-US" w:eastAsia="zh-CN"/>
              </w:rPr>
              <w:t>4.5</w:t>
            </w:r>
            <w:r>
              <w:rPr>
                <w:rFonts w:hint="default" w:ascii="Times New Roman" w:hAnsi="Times New Roman" w:eastAsia="宋体" w:cs="Times New Roman"/>
                <w:color w:val="auto"/>
                <w:highlight w:val="none"/>
              </w:rPr>
              <w:t>t/a。</w:t>
            </w:r>
          </w:p>
          <w:p w14:paraId="012B488A">
            <w:pPr>
              <w:pageBreakBefore w:val="0"/>
              <w:wordWrap w:val="0"/>
              <w:overflowPunct/>
              <w:bidi w:val="0"/>
              <w:ind w:firstLine="480" w:firstLineChars="20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w:t>
            </w:r>
            <w:r>
              <w:rPr>
                <w:rFonts w:hint="eastAsia" w:cs="Times New Roman"/>
                <w:b/>
                <w:bCs/>
                <w:color w:val="auto"/>
                <w:highlight w:val="none"/>
                <w:lang w:val="en-US" w:eastAsia="zh-CN"/>
              </w:rPr>
              <w:t>2</w:t>
            </w:r>
            <w:r>
              <w:rPr>
                <w:rFonts w:hint="default" w:ascii="Times New Roman" w:hAnsi="Times New Roman" w:eastAsia="宋体" w:cs="Times New Roman"/>
                <w:b/>
                <w:bCs/>
                <w:color w:val="auto"/>
                <w:highlight w:val="none"/>
                <w:lang w:val="en-US" w:eastAsia="zh-CN"/>
              </w:rPr>
              <w:t>）一般工业固体废物</w:t>
            </w:r>
            <w:r>
              <w:rPr>
                <w:rFonts w:hint="eastAsia" w:cs="Times New Roman"/>
                <w:b/>
                <w:bCs/>
                <w:color w:val="auto"/>
                <w:highlight w:val="none"/>
                <w:lang w:val="en-US" w:eastAsia="zh-CN"/>
              </w:rPr>
              <w:t xml:space="preserve"> </w:t>
            </w:r>
          </w:p>
          <w:p w14:paraId="07633B51">
            <w:pPr>
              <w:keepNext/>
              <w:keepLines/>
              <w:pageBreakBefore w:val="0"/>
              <w:widowControl w:val="0"/>
              <w:numPr>
                <w:ilvl w:val="5"/>
                <w:numId w:val="0"/>
              </w:numPr>
              <w:wordWrap w:val="0"/>
              <w:overflowPunct/>
              <w:bidi w:val="0"/>
              <w:spacing w:line="360" w:lineRule="auto"/>
              <w:ind w:firstLine="480" w:firstLineChars="200"/>
              <w:jc w:val="both"/>
              <w:outlineLvl w:val="5"/>
              <w:rPr>
                <w:rFonts w:hint="default" w:ascii="Times New Roman" w:hAnsi="Times New Roman" w:eastAsia="宋体" w:cs="Times New Roman"/>
                <w:b/>
                <w:bCs/>
                <w:color w:val="auto"/>
                <w:kern w:val="2"/>
                <w:sz w:val="24"/>
                <w:szCs w:val="21"/>
                <w:highlight w:val="none"/>
                <w:lang w:val="en-US" w:eastAsia="zh-CN" w:bidi="ar-SA"/>
              </w:rPr>
            </w:pPr>
            <w:r>
              <w:rPr>
                <w:rFonts w:hint="default" w:ascii="Times New Roman" w:hAnsi="Times New Roman" w:eastAsia="宋体" w:cs="Times New Roman"/>
                <w:b/>
                <w:bCs/>
                <w:color w:val="auto"/>
                <w:kern w:val="2"/>
                <w:sz w:val="24"/>
                <w:szCs w:val="21"/>
                <w:highlight w:val="none"/>
                <w:lang w:val="en-US" w:eastAsia="zh-CN" w:bidi="ar-SA"/>
              </w:rPr>
              <w:t>①</w:t>
            </w:r>
            <w:r>
              <w:rPr>
                <w:rFonts w:hint="eastAsia" w:cs="Times New Roman"/>
                <w:b/>
                <w:bCs/>
                <w:color w:val="auto"/>
                <w:kern w:val="2"/>
                <w:sz w:val="24"/>
                <w:szCs w:val="21"/>
                <w:highlight w:val="none"/>
                <w:lang w:val="en-US" w:eastAsia="zh-CN" w:bidi="ar-SA"/>
              </w:rPr>
              <w:t>废包装物</w:t>
            </w:r>
          </w:p>
          <w:p w14:paraId="125B58B0">
            <w:pPr>
              <w:keepNext/>
              <w:keepLines/>
              <w:pageBreakBefore w:val="0"/>
              <w:widowControl w:val="0"/>
              <w:numPr>
                <w:ilvl w:val="0"/>
                <w:numId w:val="0"/>
              </w:numPr>
              <w:wordWrap w:val="0"/>
              <w:overflowPunct/>
              <w:bidi w:val="0"/>
              <w:spacing w:line="360" w:lineRule="auto"/>
              <w:ind w:firstLine="480" w:firstLineChars="200"/>
              <w:jc w:val="both"/>
              <w:outlineLvl w:val="5"/>
              <w:rPr>
                <w:rFonts w:hint="default" w:ascii="Times New Roman" w:hAnsi="Times New Roman" w:eastAsia="宋体" w:cs="Times New Roman"/>
                <w:bCs/>
                <w:color w:val="auto"/>
                <w:kern w:val="24"/>
                <w:sz w:val="24"/>
                <w:szCs w:val="24"/>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主要为项目原辅材料的包装材料，主要为</w:t>
            </w:r>
            <w:r>
              <w:rPr>
                <w:rFonts w:hint="eastAsia" w:cs="Times New Roman"/>
                <w:color w:val="auto"/>
                <w:kern w:val="2"/>
                <w:sz w:val="24"/>
                <w:szCs w:val="21"/>
                <w:highlight w:val="none"/>
                <w:lang w:val="en-US" w:eastAsia="zh-CN" w:bidi="ar-SA"/>
              </w:rPr>
              <w:t>纸箱</w:t>
            </w:r>
            <w:r>
              <w:rPr>
                <w:rFonts w:hint="default" w:ascii="Times New Roman" w:hAnsi="Times New Roman" w:eastAsia="宋体" w:cs="Times New Roman"/>
                <w:color w:val="auto"/>
                <w:kern w:val="2"/>
                <w:sz w:val="24"/>
                <w:szCs w:val="21"/>
                <w:highlight w:val="none"/>
                <w:lang w:val="en-US" w:eastAsia="zh-CN" w:bidi="ar-SA"/>
              </w:rPr>
              <w:t>，产生量约为1t/a，属于一般工业固废，</w:t>
            </w:r>
            <w:r>
              <w:rPr>
                <w:rFonts w:hint="default" w:ascii="Times New Roman" w:hAnsi="Times New Roman" w:eastAsia="宋体" w:cs="Times New Roman"/>
                <w:color w:val="auto"/>
                <w:kern w:val="2"/>
                <w:sz w:val="24"/>
                <w:szCs w:val="24"/>
                <w:highlight w:val="none"/>
                <w:lang w:val="en-US" w:eastAsia="zh-CN" w:bidi="ar-SA"/>
              </w:rPr>
              <w:t>根据《固体废物分类与代码</w:t>
            </w:r>
            <w:r>
              <w:rPr>
                <w:rFonts w:hint="eastAsia" w:cs="Times New Roman"/>
                <w:color w:val="auto"/>
                <w:kern w:val="2"/>
                <w:sz w:val="24"/>
                <w:szCs w:val="24"/>
                <w:highlight w:val="none"/>
                <w:lang w:val="en-US" w:eastAsia="zh-CN" w:bidi="ar-SA"/>
              </w:rPr>
              <w:t>目录</w:t>
            </w:r>
            <w:r>
              <w:rPr>
                <w:rFonts w:hint="default" w:ascii="Times New Roman" w:hAnsi="Times New Roman" w:eastAsia="宋体" w:cs="Times New Roman"/>
                <w:color w:val="auto"/>
                <w:kern w:val="2"/>
                <w:sz w:val="24"/>
                <w:szCs w:val="24"/>
                <w:highlight w:val="none"/>
                <w:lang w:val="en-US" w:eastAsia="zh-CN" w:bidi="ar-SA"/>
              </w:rPr>
              <w:t>》（公告 2024年 第4号）判定，属于“SW17 可再生类废物-非特定行业-废</w:t>
            </w:r>
            <w:r>
              <w:rPr>
                <w:rFonts w:hint="eastAsia" w:cs="Times New Roman"/>
                <w:color w:val="auto"/>
                <w:kern w:val="2"/>
                <w:sz w:val="24"/>
                <w:szCs w:val="24"/>
                <w:highlight w:val="none"/>
                <w:lang w:val="en-US" w:eastAsia="zh-CN" w:bidi="ar-SA"/>
              </w:rPr>
              <w:t>纸</w:t>
            </w:r>
            <w:r>
              <w:rPr>
                <w:rFonts w:hint="default" w:ascii="Times New Roman" w:hAnsi="Times New Roman" w:eastAsia="宋体" w:cs="Times New Roman"/>
                <w:color w:val="auto"/>
                <w:kern w:val="2"/>
                <w:sz w:val="24"/>
                <w:szCs w:val="24"/>
                <w:highlight w:val="none"/>
                <w:lang w:val="en-US" w:eastAsia="zh-CN" w:bidi="ar-SA"/>
              </w:rPr>
              <w:t>”，代码为900-00</w:t>
            </w:r>
            <w:r>
              <w:rPr>
                <w:rFonts w:hint="eastAsia"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-S17，统一收集后</w:t>
            </w:r>
            <w:r>
              <w:rPr>
                <w:rFonts w:hint="default" w:ascii="Times New Roman" w:hAnsi="Times New Roman" w:eastAsia="宋体" w:cs="Times New Roman"/>
                <w:color w:val="auto"/>
                <w:kern w:val="2"/>
                <w:sz w:val="24"/>
                <w:szCs w:val="21"/>
                <w:highlight w:val="none"/>
                <w:lang w:val="en-US" w:eastAsia="zh-CN" w:bidi="ar-SA"/>
              </w:rPr>
              <w:t>外售至资源回收利用单位。</w:t>
            </w:r>
          </w:p>
          <w:p w14:paraId="7A7300FE">
            <w:pPr>
              <w:pageBreakBefore w:val="0"/>
              <w:wordWrap w:val="0"/>
              <w:overflowPunct/>
              <w:bidi w:val="0"/>
              <w:ind w:firstLine="480" w:firstLineChars="20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②</w:t>
            </w:r>
            <w:r>
              <w:rPr>
                <w:rFonts w:hint="default" w:ascii="Times New Roman" w:hAnsi="Times New Roman" w:eastAsia="宋体" w:cs="Times New Roman"/>
                <w:b/>
                <w:bCs/>
                <w:color w:val="auto"/>
                <w:highlight w:val="none"/>
              </w:rPr>
              <w:t>边角料</w:t>
            </w:r>
          </w:p>
          <w:p w14:paraId="3AB933C2">
            <w:pPr>
              <w:pageBreakBefore w:val="0"/>
              <w:wordWrap w:val="0"/>
              <w:overflowPunct/>
              <w:bidi w:val="0"/>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w:t>
            </w:r>
            <w:r>
              <w:rPr>
                <w:rFonts w:hint="eastAsia" w:cs="Times New Roman"/>
                <w:color w:val="auto"/>
                <w:highlight w:val="none"/>
                <w:lang w:val="en-US" w:eastAsia="zh-CN"/>
              </w:rPr>
              <w:t>钢材加工</w:t>
            </w:r>
            <w:r>
              <w:rPr>
                <w:rFonts w:hint="default" w:ascii="Times New Roman" w:hAnsi="Times New Roman" w:eastAsia="宋体" w:cs="Times New Roman"/>
                <w:color w:val="auto"/>
                <w:highlight w:val="none"/>
              </w:rPr>
              <w:t>过程会产生边角料，</w:t>
            </w:r>
            <w:r>
              <w:rPr>
                <w:rFonts w:hint="eastAsia" w:cs="Times New Roman"/>
                <w:color w:val="auto"/>
                <w:highlight w:val="none"/>
                <w:lang w:val="en-US" w:eastAsia="zh-CN"/>
              </w:rPr>
              <w:t>根据建设单位生产经验，边角料</w:t>
            </w:r>
            <w:r>
              <w:rPr>
                <w:rFonts w:hint="default" w:ascii="Times New Roman" w:hAnsi="Times New Roman" w:eastAsia="宋体" w:cs="Times New Roman"/>
                <w:color w:val="auto"/>
                <w:highlight w:val="none"/>
              </w:rPr>
              <w:t>产生量约为</w:t>
            </w:r>
            <w:r>
              <w:rPr>
                <w:rFonts w:hint="eastAsia" w:cs="Times New Roman"/>
                <w:color w:val="auto"/>
                <w:highlight w:val="none"/>
                <w:lang w:val="en-US" w:eastAsia="zh-CN"/>
              </w:rPr>
              <w:t>原料使用</w:t>
            </w:r>
            <w:r>
              <w:rPr>
                <w:rFonts w:hint="default" w:ascii="Times New Roman" w:hAnsi="Times New Roman" w:eastAsia="宋体" w:cs="Times New Roman"/>
                <w:color w:val="auto"/>
                <w:highlight w:val="none"/>
                <w:lang w:val="en-US" w:eastAsia="zh-CN"/>
              </w:rPr>
              <w:t>量</w:t>
            </w:r>
            <w:r>
              <w:rPr>
                <w:rFonts w:hint="eastAsia" w:ascii="Times New Roman" w:hAnsi="Times New Roman" w:eastAsia="宋体" w:cs="Times New Roman"/>
                <w:color w:val="auto"/>
                <w:highlight w:val="none"/>
                <w:lang w:val="en-US" w:eastAsia="zh-CN"/>
              </w:rPr>
              <w:t>的</w:t>
            </w:r>
            <w:r>
              <w:rPr>
                <w:rFonts w:hint="eastAsia" w:cs="Times New Roman"/>
                <w:color w:val="auto"/>
                <w:highlight w:val="none"/>
                <w:lang w:val="en-US" w:eastAsia="zh-CN"/>
              </w:rPr>
              <w:t>1</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则</w:t>
            </w:r>
            <w:r>
              <w:rPr>
                <w:rFonts w:hint="default" w:ascii="Times New Roman" w:hAnsi="Times New Roman" w:eastAsia="宋体" w:cs="Times New Roman"/>
                <w:color w:val="auto"/>
                <w:highlight w:val="none"/>
                <w:lang w:val="en-US" w:eastAsia="zh-CN"/>
              </w:rPr>
              <w:t>本项目边角料产生量为：</w:t>
            </w:r>
            <w:r>
              <w:rPr>
                <w:rFonts w:hint="eastAsia" w:cs="Times New Roman"/>
                <w:color w:val="auto"/>
                <w:highlight w:val="none"/>
                <w:lang w:val="en-US" w:eastAsia="zh-CN"/>
              </w:rPr>
              <w:t>3029.37</w:t>
            </w:r>
            <w:r>
              <w:rPr>
                <w:rFonts w:hint="default" w:ascii="Times New Roman" w:hAnsi="Times New Roman" w:eastAsia="宋体" w:cs="Times New Roman"/>
                <w:color w:val="auto"/>
                <w:highlight w:val="none"/>
                <w:lang w:val="en-US" w:eastAsia="zh-CN"/>
              </w:rPr>
              <w:t>t/a×</w:t>
            </w:r>
            <w:r>
              <w:rPr>
                <w:rFonts w:hint="eastAsia" w:cs="Times New Roman"/>
                <w:color w:val="auto"/>
                <w:highlight w:val="none"/>
                <w:lang w:val="en-US" w:eastAsia="zh-CN"/>
              </w:rPr>
              <w:t>1</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30.29</w:t>
            </w:r>
            <w:r>
              <w:rPr>
                <w:rFonts w:hint="default" w:ascii="Times New Roman" w:hAnsi="Times New Roman" w:eastAsia="宋体" w:cs="Times New Roman"/>
                <w:color w:val="auto"/>
                <w:highlight w:val="none"/>
                <w:lang w:val="en-US" w:eastAsia="zh-CN"/>
              </w:rPr>
              <w:t>t/a，</w:t>
            </w:r>
            <w:r>
              <w:rPr>
                <w:rFonts w:hint="default" w:ascii="Times New Roman" w:hAnsi="Times New Roman" w:eastAsia="宋体" w:cs="Times New Roman"/>
                <w:color w:val="auto"/>
                <w:highlight w:val="none"/>
              </w:rPr>
              <w:t>属于一般工业固体废物，</w:t>
            </w:r>
            <w:r>
              <w:rPr>
                <w:rFonts w:hint="default" w:ascii="Times New Roman" w:hAnsi="Times New Roman" w:eastAsia="宋体" w:cs="Times New Roman"/>
                <w:color w:val="auto"/>
                <w:szCs w:val="24"/>
                <w:highlight w:val="none"/>
                <w:lang w:val="en-US" w:eastAsia="zh-CN"/>
              </w:rPr>
              <w:t>根据</w:t>
            </w:r>
            <w:r>
              <w:rPr>
                <w:rFonts w:hint="default" w:ascii="Times New Roman" w:hAnsi="Times New Roman" w:eastAsia="宋体" w:cs="Times New Roman"/>
                <w:color w:val="auto"/>
                <w:szCs w:val="24"/>
                <w:highlight w:val="none"/>
              </w:rPr>
              <w:t>《固体废物分类与代码</w:t>
            </w:r>
            <w:r>
              <w:rPr>
                <w:rFonts w:hint="eastAsia" w:cs="Times New Roman"/>
                <w:color w:val="auto"/>
                <w:szCs w:val="24"/>
                <w:highlight w:val="none"/>
                <w:lang w:val="en-US" w:eastAsia="zh-CN"/>
              </w:rPr>
              <w:t>目录</w:t>
            </w:r>
            <w:r>
              <w:rPr>
                <w:rFonts w:hint="default" w:ascii="Times New Roman" w:hAnsi="Times New Roman" w:eastAsia="宋体" w:cs="Times New Roman"/>
                <w:color w:val="auto"/>
                <w:szCs w:val="24"/>
                <w:highlight w:val="none"/>
              </w:rPr>
              <w:t>》（</w:t>
            </w:r>
            <w:r>
              <w:rPr>
                <w:rFonts w:hint="default" w:ascii="Times New Roman" w:hAnsi="Times New Roman" w:eastAsia="宋体" w:cs="Times New Roman"/>
                <w:color w:val="auto"/>
                <w:szCs w:val="24"/>
                <w:highlight w:val="none"/>
                <w:lang w:val="en-US" w:eastAsia="zh-CN"/>
              </w:rPr>
              <w:t>公告 2024年 第4号</w:t>
            </w:r>
            <w:r>
              <w:rPr>
                <w:rFonts w:hint="default" w:ascii="Times New Roman" w:hAnsi="Times New Roman" w:eastAsia="宋体" w:cs="Times New Roman"/>
                <w:color w:val="auto"/>
                <w:szCs w:val="24"/>
                <w:highlight w:val="none"/>
              </w:rPr>
              <w:t>）</w:t>
            </w:r>
            <w:r>
              <w:rPr>
                <w:rFonts w:hint="default" w:ascii="Times New Roman" w:hAnsi="Times New Roman" w:eastAsia="宋体" w:cs="Times New Roman"/>
                <w:color w:val="auto"/>
                <w:szCs w:val="24"/>
                <w:highlight w:val="none"/>
                <w:lang w:val="en-US" w:eastAsia="zh-CN"/>
              </w:rPr>
              <w:t>判定，属于</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lang w:val="en-US" w:eastAsia="zh-CN"/>
              </w:rPr>
              <w:t>SW17 可再生类废物-非特定行业-废</w:t>
            </w:r>
            <w:r>
              <w:rPr>
                <w:rFonts w:hint="eastAsia" w:cs="Times New Roman"/>
                <w:color w:val="auto"/>
                <w:szCs w:val="24"/>
                <w:highlight w:val="none"/>
                <w:lang w:val="en-US" w:eastAsia="zh-CN"/>
              </w:rPr>
              <w:t>钢铁</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lang w:val="en-US" w:eastAsia="zh-CN"/>
              </w:rPr>
              <w:t>代码为900-0</w:t>
            </w:r>
            <w:r>
              <w:rPr>
                <w:rFonts w:hint="eastAsia" w:cs="Times New Roman"/>
                <w:color w:val="auto"/>
                <w:szCs w:val="24"/>
                <w:highlight w:val="none"/>
                <w:lang w:val="en-US" w:eastAsia="zh-CN"/>
              </w:rPr>
              <w:t>01</w:t>
            </w:r>
            <w:r>
              <w:rPr>
                <w:rFonts w:hint="default" w:ascii="Times New Roman" w:hAnsi="Times New Roman" w:eastAsia="宋体" w:cs="Times New Roman"/>
                <w:color w:val="auto"/>
                <w:szCs w:val="24"/>
                <w:highlight w:val="none"/>
                <w:lang w:val="en-US" w:eastAsia="zh-CN"/>
              </w:rPr>
              <w:t>-S17</w:t>
            </w:r>
            <w:r>
              <w:rPr>
                <w:rFonts w:hint="default" w:ascii="Times New Roman" w:hAnsi="Times New Roman" w:eastAsia="宋体" w:cs="Times New Roman"/>
                <w:color w:val="auto"/>
                <w:szCs w:val="24"/>
                <w:highlight w:val="none"/>
              </w:rPr>
              <w:t>，统一收集后</w:t>
            </w:r>
            <w:r>
              <w:rPr>
                <w:rFonts w:hint="default" w:ascii="Times New Roman" w:hAnsi="Times New Roman" w:eastAsia="宋体" w:cs="Times New Roman"/>
                <w:color w:val="auto"/>
                <w:highlight w:val="none"/>
              </w:rPr>
              <w:t>外售至资源回收利用单位。</w:t>
            </w:r>
          </w:p>
          <w:p w14:paraId="3529501C">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bCs/>
                <w:color w:val="auto"/>
                <w:sz w:val="24"/>
                <w:szCs w:val="24"/>
                <w:highlight w:val="none"/>
              </w:rPr>
            </w:pPr>
            <w:r>
              <w:rPr>
                <w:rFonts w:hint="eastAsia" w:ascii="Times New Roman" w:hAnsi="Times New Roman" w:cs="Times New Roman"/>
                <w:b/>
                <w:color w:val="auto"/>
                <w:kern w:val="24"/>
                <w:sz w:val="24"/>
                <w:szCs w:val="24"/>
                <w:highlight w:val="none"/>
                <w:lang w:val="en-US" w:eastAsia="zh-CN"/>
              </w:rPr>
              <w:t>③</w:t>
            </w:r>
            <w:r>
              <w:rPr>
                <w:rFonts w:hint="default" w:ascii="Times New Roman" w:hAnsi="Times New Roman" w:cs="Times New Roman"/>
                <w:b/>
                <w:bCs/>
                <w:color w:val="auto"/>
                <w:sz w:val="24"/>
                <w:szCs w:val="24"/>
                <w:highlight w:val="none"/>
              </w:rPr>
              <w:t>废布袋</w:t>
            </w:r>
          </w:p>
          <w:p w14:paraId="4B335E3B">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本项目抛光打磨粉尘采用“密闭工作台集尘+配套布袋过滤器”处理，建设单位计划1年更换1次布袋，废布袋的产生量为0.05t/a，属于一般固废，</w:t>
            </w:r>
            <w:r>
              <w:rPr>
                <w:rFonts w:hint="default" w:ascii="Times New Roman" w:hAnsi="Times New Roman" w:cs="Times New Roman"/>
                <w:color w:val="auto"/>
                <w:sz w:val="24"/>
                <w:szCs w:val="24"/>
                <w:highlight w:val="none"/>
                <w:lang w:val="en-US" w:eastAsia="zh-CN"/>
              </w:rPr>
              <w:t>为《固体废物分类与代码目录》（生态环境部公告2024年第4号）中的“SW17可再生类废物</w:t>
            </w:r>
            <w:r>
              <w:rPr>
                <w:rFonts w:hint="default" w:ascii="Times New Roman" w:hAnsi="Times New Roman" w:cs="Times New Roman"/>
                <w:color w:val="auto"/>
                <w:sz w:val="24"/>
                <w:szCs w:val="24"/>
                <w:highlight w:val="none"/>
              </w:rPr>
              <w:t>”，代码为900-099-S17</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其他</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，统一收集后外售至资源回收利用单位。</w:t>
            </w:r>
          </w:p>
          <w:p w14:paraId="51D4E8EC">
            <w:pPr>
              <w:pStyle w:val="2"/>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④</w:t>
            </w:r>
            <w:r>
              <w:rPr>
                <w:rFonts w:hint="default" w:ascii="Times New Roman" w:hAnsi="Times New Roman" w:cs="Times New Roman"/>
                <w:b/>
                <w:bCs/>
                <w:color w:val="auto"/>
                <w:sz w:val="24"/>
                <w:szCs w:val="24"/>
                <w:highlight w:val="none"/>
                <w:lang w:val="en-US" w:eastAsia="zh-CN"/>
              </w:rPr>
              <w:t>沉降金属粉尘和除尘器收集粉尘</w:t>
            </w:r>
          </w:p>
          <w:p w14:paraId="19FF3F00">
            <w:pPr>
              <w:pStyle w:val="2"/>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b w:val="0"/>
                <w:bCs w:val="0"/>
                <w:color w:val="auto"/>
                <w:sz w:val="24"/>
                <w:szCs w:val="24"/>
                <w:highlight w:val="none"/>
                <w:lang w:val="en-US" w:eastAsia="zh-CN"/>
              </w:rPr>
              <w:t>本项目切割、抛光打磨粉尘比重和粒径较大，一般会沉降到工作台周边，根据上文计算，沉降金属粉尘产生量为</w:t>
            </w:r>
            <w:r>
              <w:rPr>
                <w:rFonts w:hint="eastAsia" w:ascii="Times New Roman" w:cs="Times New Roman"/>
                <w:b w:val="0"/>
                <w:bCs w:val="0"/>
                <w:color w:val="auto"/>
                <w:sz w:val="24"/>
                <w:szCs w:val="24"/>
                <w:highlight w:val="none"/>
                <w:lang w:val="en-US" w:eastAsia="zh-CN"/>
              </w:rPr>
              <w:t>10.486</w:t>
            </w:r>
            <w:r>
              <w:rPr>
                <w:rFonts w:hint="default" w:ascii="Times New Roman" w:hAnsi="Times New Roman" w:cs="Times New Roman"/>
                <w:b w:val="0"/>
                <w:bCs w:val="0"/>
                <w:color w:val="auto"/>
                <w:sz w:val="24"/>
                <w:szCs w:val="24"/>
                <w:highlight w:val="none"/>
                <w:lang w:val="en-US" w:eastAsia="zh-CN"/>
              </w:rPr>
              <w:t>t/a，除尘器收集粉尘产生量约为</w:t>
            </w:r>
            <w:r>
              <w:rPr>
                <w:rFonts w:hint="eastAsia" w:ascii="Times New Roman" w:cs="Times New Roman"/>
                <w:b w:val="0"/>
                <w:bCs w:val="0"/>
                <w:color w:val="auto"/>
                <w:sz w:val="24"/>
                <w:szCs w:val="24"/>
                <w:highlight w:val="none"/>
                <w:lang w:val="en-US" w:eastAsia="zh-CN"/>
              </w:rPr>
              <w:t>2.241</w:t>
            </w:r>
            <w:r>
              <w:rPr>
                <w:rFonts w:hint="default" w:ascii="Times New Roman" w:hAnsi="Times New Roman" w:cs="Times New Roman"/>
                <w:b w:val="0"/>
                <w:bCs w:val="0"/>
                <w:color w:val="auto"/>
                <w:sz w:val="24"/>
                <w:szCs w:val="24"/>
                <w:highlight w:val="none"/>
                <w:lang w:val="en-US" w:eastAsia="zh-CN"/>
              </w:rPr>
              <w:t>t/a，合计为</w:t>
            </w:r>
            <w:r>
              <w:rPr>
                <w:rFonts w:hint="eastAsia" w:ascii="Times New Roman" w:cs="Times New Roman"/>
                <w:b w:val="0"/>
                <w:bCs w:val="0"/>
                <w:color w:val="auto"/>
                <w:sz w:val="24"/>
                <w:szCs w:val="24"/>
                <w:highlight w:val="none"/>
                <w:lang w:val="en-US" w:eastAsia="zh-CN"/>
              </w:rPr>
              <w:t>12.73</w:t>
            </w:r>
            <w:r>
              <w:rPr>
                <w:rFonts w:hint="default" w:ascii="Times New Roman" w:hAnsi="Times New Roman" w:cs="Times New Roman"/>
                <w:b w:val="0"/>
                <w:bCs w:val="0"/>
                <w:color w:val="auto"/>
                <w:sz w:val="24"/>
                <w:szCs w:val="24"/>
                <w:highlight w:val="none"/>
                <w:lang w:val="en-US" w:eastAsia="zh-CN"/>
              </w:rPr>
              <w:t>t/a，</w:t>
            </w:r>
            <w:r>
              <w:rPr>
                <w:rFonts w:hint="default" w:ascii="Times New Roman" w:hAnsi="Times New Roman" w:cs="Times New Roman"/>
                <w:b w:val="0"/>
                <w:bCs w:val="0"/>
                <w:color w:val="auto"/>
                <w:sz w:val="24"/>
                <w:szCs w:val="24"/>
                <w:highlight w:val="none"/>
              </w:rPr>
              <w:t>属</w:t>
            </w:r>
            <w:r>
              <w:rPr>
                <w:rFonts w:hint="default" w:ascii="Times New Roman" w:hAnsi="Times New Roman" w:cs="Times New Roman"/>
                <w:color w:val="auto"/>
                <w:sz w:val="24"/>
                <w:szCs w:val="24"/>
                <w:highlight w:val="none"/>
              </w:rPr>
              <w:t>于一般固废，</w:t>
            </w:r>
            <w:r>
              <w:rPr>
                <w:rFonts w:hint="default" w:ascii="Times New Roman" w:hAnsi="Times New Roman" w:cs="Times New Roman"/>
                <w:color w:val="auto"/>
                <w:sz w:val="24"/>
                <w:szCs w:val="24"/>
                <w:highlight w:val="none"/>
                <w:lang w:val="en-US" w:eastAsia="zh-CN"/>
              </w:rPr>
              <w:t>为《固体废物分类与代码目录》（生态环境部公告2024年第4号）中的“SW17可再生类废物”</w:t>
            </w:r>
            <w:r>
              <w:rPr>
                <w:rFonts w:hint="default" w:ascii="Times New Roman" w:hAnsi="Times New Roman" w:cs="Times New Roman"/>
                <w:color w:val="auto"/>
                <w:sz w:val="24"/>
                <w:szCs w:val="24"/>
                <w:highlight w:val="none"/>
              </w:rPr>
              <w:t>，代码为900-0</w:t>
            </w:r>
            <w:r>
              <w:rPr>
                <w:rFonts w:hint="default" w:ascii="Times New Roman" w:hAnsi="Times New Roman" w:cs="Times New Roman"/>
                <w:color w:val="auto"/>
                <w:sz w:val="24"/>
                <w:szCs w:val="24"/>
                <w:highlight w:val="none"/>
                <w:lang w:val="en-US" w:eastAsia="zh-CN"/>
              </w:rPr>
              <w:t>02</w:t>
            </w:r>
            <w:r>
              <w:rPr>
                <w:rFonts w:hint="default" w:ascii="Times New Roman" w:hAnsi="Times New Roman" w:cs="Times New Roman"/>
                <w:color w:val="auto"/>
                <w:sz w:val="24"/>
                <w:szCs w:val="24"/>
                <w:highlight w:val="none"/>
              </w:rPr>
              <w:t>-S17</w:t>
            </w:r>
            <w:r>
              <w:rPr>
                <w:rFonts w:hint="default" w:ascii="Times New Roman" w:hAnsi="Times New Roman" w:cs="Times New Roman"/>
                <w:color w:val="auto"/>
                <w:sz w:val="24"/>
                <w:szCs w:val="24"/>
                <w:highlight w:val="none"/>
                <w:lang w:eastAsia="zh-CN"/>
              </w:rPr>
              <w:t>（废</w:t>
            </w:r>
            <w:r>
              <w:rPr>
                <w:rFonts w:hint="default" w:ascii="Times New Roman" w:hAnsi="Times New Roman" w:cs="Times New Roman"/>
                <w:color w:val="auto"/>
                <w:sz w:val="24"/>
                <w:szCs w:val="24"/>
                <w:highlight w:val="none"/>
                <w:lang w:val="en-US" w:eastAsia="zh-CN"/>
              </w:rPr>
              <w:t>有色金属</w:t>
            </w:r>
            <w:r>
              <w:rPr>
                <w:rFonts w:hint="default" w:ascii="Times New Roman" w:hAnsi="Times New Roman" w:cs="Times New Roman"/>
                <w:color w:val="auto"/>
                <w:sz w:val="24"/>
                <w:szCs w:val="24"/>
                <w:highlight w:val="none"/>
                <w:lang w:eastAsia="zh-CN"/>
              </w:rPr>
              <w:t>），沉降金属粉尘和除尘器收集粉尘</w:t>
            </w:r>
            <w:r>
              <w:rPr>
                <w:rFonts w:hint="default" w:ascii="Times New Roman" w:hAnsi="Times New Roman" w:cs="Times New Roman"/>
                <w:color w:val="auto"/>
                <w:sz w:val="24"/>
                <w:szCs w:val="24"/>
                <w:highlight w:val="none"/>
              </w:rPr>
              <w:t>统一收集后外售至资源回收利用单位。</w:t>
            </w:r>
          </w:p>
          <w:p w14:paraId="29D0A0A1">
            <w:pPr>
              <w:pStyle w:val="120"/>
              <w:pageBreakBefore w:val="0"/>
              <w:wordWrap w:val="0"/>
              <w:topLinePunct/>
              <w:bidi w:val="0"/>
              <w:snapToGrid/>
              <w:spacing w:beforeAutospacing="0" w:afterAutospacing="0"/>
              <w:ind w:firstLine="482"/>
              <w:rPr>
                <w:b/>
                <w:bCs/>
                <w:color w:val="auto"/>
                <w:highlight w:val="none"/>
              </w:rPr>
            </w:pPr>
            <w:bookmarkStart w:id="133" w:name="_Toc724"/>
            <w:r>
              <w:rPr>
                <w:rFonts w:hint="eastAsia" w:ascii="Times New Roman" w:cs="Times New Roman"/>
                <w:b/>
                <w:bCs/>
                <w:color w:val="auto"/>
                <w:sz w:val="24"/>
                <w:szCs w:val="24"/>
                <w:highlight w:val="none"/>
                <w:lang w:val="en-US" w:eastAsia="zh-CN"/>
              </w:rPr>
              <w:t>⑤</w:t>
            </w:r>
            <w:r>
              <w:rPr>
                <w:b/>
                <w:bCs/>
                <w:color w:val="auto"/>
                <w:highlight w:val="none"/>
              </w:rPr>
              <w:t>废滤芯</w:t>
            </w:r>
            <w:bookmarkEnd w:id="133"/>
          </w:p>
          <w:p w14:paraId="2D67FDFC">
            <w:pPr>
              <w:pStyle w:val="2"/>
              <w:keepNext w:val="0"/>
              <w:keepLines w:val="0"/>
              <w:suppressLineNumbers w:val="0"/>
              <w:spacing w:before="0" w:beforeAutospacing="0" w:after="0" w:afterAutospacing="0" w:line="360" w:lineRule="auto"/>
              <w:ind w:left="0" w:right="0" w:firstLine="480" w:firstLineChars="200"/>
              <w:rPr>
                <w:color w:val="auto"/>
                <w:highlight w:val="none"/>
              </w:rPr>
            </w:pPr>
            <w:r>
              <w:rPr>
                <w:color w:val="auto"/>
                <w:highlight w:val="none"/>
              </w:rPr>
              <w:t>本</w:t>
            </w:r>
            <w:r>
              <w:rPr>
                <w:rFonts w:hint="default" w:ascii="Times New Roman" w:hAnsi="Times New Roman" w:cs="Times New Roman"/>
                <w:color w:val="auto"/>
                <w:highlight w:val="none"/>
              </w:rPr>
              <w:t>项目焊接烟尘采用“移动式焊烟净化器”处理</w:t>
            </w:r>
            <w:r>
              <w:rPr>
                <w:rFonts w:hint="eastAsia" w:ascii="Times New Roman" w:cs="Times New Roman"/>
                <w:color w:val="auto"/>
                <w:highlight w:val="none"/>
                <w:lang w:eastAsia="zh-CN"/>
              </w:rPr>
              <w:t>（</w:t>
            </w:r>
            <w:r>
              <w:rPr>
                <w:rFonts w:hint="eastAsia" w:ascii="Times New Roman" w:cs="Times New Roman"/>
                <w:color w:val="auto"/>
                <w:highlight w:val="none"/>
                <w:lang w:val="en-US" w:eastAsia="zh-CN"/>
              </w:rPr>
              <w:t>滤芯以5kg/个计</w:t>
            </w:r>
            <w:r>
              <w:rPr>
                <w:rFonts w:hint="eastAsia" w:ascii="Times New Roman" w:cs="Times New Roman"/>
                <w:color w:val="auto"/>
                <w:highlight w:val="none"/>
                <w:lang w:eastAsia="zh-CN"/>
              </w:rPr>
              <w:t>）</w:t>
            </w:r>
            <w:r>
              <w:rPr>
                <w:rFonts w:hint="default" w:ascii="Times New Roman" w:hAnsi="Times New Roman" w:cs="Times New Roman"/>
                <w:color w:val="auto"/>
                <w:highlight w:val="none"/>
              </w:rPr>
              <w:t>，均需要定期更换滤芯，故产生废滤芯。其产生量</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滤芯年更换量</w:t>
            </w:r>
            <w:r>
              <w:rPr>
                <w:rFonts w:hint="default" w:ascii="Times New Roman" w:hAnsi="Times New Roman" w:cs="Times New Roman"/>
                <w:color w:val="auto"/>
                <w:highlight w:val="none"/>
                <w:lang w:val="en-US" w:eastAsia="zh-CN"/>
              </w:rPr>
              <w:t>=滤芯单个重量×一次更换数量×年更换次数</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5kg×3个×12次/a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w:t>
            </w:r>
            <w:r>
              <w:rPr>
                <w:rFonts w:hint="eastAsia" w:ascii="Times New Roman" w:cs="Times New Roman"/>
                <w:color w:val="auto"/>
                <w:highlight w:val="none"/>
                <w:lang w:val="en-US" w:eastAsia="zh-CN"/>
              </w:rPr>
              <w:t>0.18</w:t>
            </w:r>
            <w:r>
              <w:rPr>
                <w:rFonts w:hint="default" w:ascii="Times New Roman" w:hAnsi="Times New Roman" w:cs="Times New Roman"/>
                <w:color w:val="auto"/>
                <w:highlight w:val="none"/>
              </w:rPr>
              <w:t>t/a，属于《固体废物分类与代码名录》（公告 2024年 第4号）中“SW59 其他工业固体废物”，代码为900-099-S59，经统一收集后，外售至资源回收利用单位。</w:t>
            </w:r>
          </w:p>
          <w:p w14:paraId="7FEA35A2">
            <w:pPr>
              <w:keepNext/>
              <w:keepLines/>
              <w:pageBreakBefore w:val="0"/>
              <w:numPr>
                <w:ilvl w:val="4"/>
                <w:numId w:val="0"/>
              </w:numPr>
              <w:tabs>
                <w:tab w:val="left" w:pos="0"/>
              </w:tabs>
              <w:wordWrap w:val="0"/>
              <w:overflowPunct/>
              <w:bidi w:val="0"/>
              <w:ind w:firstLine="480" w:firstLineChars="200"/>
              <w:outlineLvl w:val="4"/>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w:t>
            </w:r>
            <w:r>
              <w:rPr>
                <w:rFonts w:hint="eastAsia" w:cs="Times New Roman"/>
                <w:b/>
                <w:bCs/>
                <w:color w:val="auto"/>
                <w:highlight w:val="none"/>
                <w:lang w:val="en-US" w:eastAsia="zh-CN"/>
              </w:rPr>
              <w:t>3</w:t>
            </w:r>
            <w:r>
              <w:rPr>
                <w:rFonts w:hint="default" w:ascii="Times New Roman" w:hAnsi="Times New Roman" w:eastAsia="宋体" w:cs="Times New Roman"/>
                <w:b/>
                <w:bCs/>
                <w:color w:val="auto"/>
                <w:highlight w:val="none"/>
              </w:rPr>
              <w:t>）危险废物</w:t>
            </w:r>
          </w:p>
          <w:p w14:paraId="48347B6F">
            <w:pPr>
              <w:pageBreakBefore w:val="0"/>
              <w:widowControl w:val="0"/>
              <w:wordWrap w:val="0"/>
              <w:overflowPunct/>
              <w:bidi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危险废物类别根据《国家危险废物名录》（202</w:t>
            </w:r>
            <w:r>
              <w:rPr>
                <w:rFonts w:hint="eastAsia"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年版）进行辨识，分类收集后委托危险废物资质单位处理。</w:t>
            </w:r>
          </w:p>
          <w:p w14:paraId="7FC80BAE">
            <w:pPr>
              <w:keepNext/>
              <w:keepLines/>
              <w:pageBreakBefore w:val="0"/>
              <w:widowControl w:val="0"/>
              <w:numPr>
                <w:ilvl w:val="5"/>
                <w:numId w:val="0"/>
              </w:numPr>
              <w:wordWrap w:val="0"/>
              <w:overflowPunct/>
              <w:bidi w:val="0"/>
              <w:spacing w:line="360" w:lineRule="auto"/>
              <w:ind w:firstLine="480" w:firstLineChars="200"/>
              <w:jc w:val="both"/>
              <w:outlineLvl w:val="5"/>
              <w:rPr>
                <w:rFonts w:hint="eastAsia"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①喷淋废液及</w:t>
            </w:r>
            <w:r>
              <w:rPr>
                <w:rFonts w:hint="eastAsia"/>
                <w:b/>
                <w:bCs/>
                <w:color w:val="auto"/>
                <w:highlight w:val="none"/>
                <w:lang w:val="en-US" w:eastAsia="zh-CN"/>
              </w:rPr>
              <w:t>沉</w:t>
            </w:r>
            <w:r>
              <w:rPr>
                <w:rFonts w:hint="eastAsia" w:cs="Times New Roman"/>
                <w:b/>
                <w:bCs/>
                <w:color w:val="auto"/>
                <w:kern w:val="2"/>
                <w:sz w:val="24"/>
                <w:szCs w:val="24"/>
                <w:highlight w:val="none"/>
                <w:lang w:val="en-US" w:eastAsia="zh-CN" w:bidi="ar-SA"/>
              </w:rPr>
              <w:t>渣</w:t>
            </w:r>
          </w:p>
          <w:p w14:paraId="25206906">
            <w:pPr>
              <w:pageBreakBefore w:val="0"/>
              <w:widowControl w:val="0"/>
              <w:wordWrap w:val="0"/>
              <w:overflowPunct/>
              <w:autoSpaceDE w:val="0"/>
              <w:autoSpaceDN w:val="0"/>
              <w:bidi w:val="0"/>
              <w:adjustRightIn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本项目</w:t>
            </w:r>
            <w:r>
              <w:rPr>
                <w:rFonts w:hint="eastAsia" w:ascii="Times New Roman" w:hAnsi="Times New Roman" w:eastAsia="宋体" w:cs="Times New Roman"/>
                <w:color w:val="auto"/>
                <w:kern w:val="2"/>
                <w:sz w:val="24"/>
                <w:szCs w:val="21"/>
                <w:highlight w:val="none"/>
                <w:lang w:val="en-US" w:eastAsia="zh-CN" w:bidi="ar-SA"/>
              </w:rPr>
              <w:t>喷涂过程产生的沉渣按漆雾削减量</w:t>
            </w:r>
            <w:r>
              <w:rPr>
                <w:rFonts w:hint="eastAsia" w:cs="Times New Roman"/>
                <w:color w:val="auto"/>
                <w:kern w:val="2"/>
                <w:sz w:val="24"/>
                <w:szCs w:val="21"/>
                <w:highlight w:val="none"/>
                <w:lang w:val="en-US" w:eastAsia="zh-CN" w:bidi="ar-SA"/>
              </w:rPr>
              <w:t>50%</w:t>
            </w:r>
            <w:r>
              <w:rPr>
                <w:rFonts w:hint="eastAsia" w:ascii="Times New Roman" w:hAnsi="Times New Roman" w:eastAsia="宋体" w:cs="Times New Roman"/>
                <w:color w:val="auto"/>
                <w:kern w:val="2"/>
                <w:sz w:val="24"/>
                <w:szCs w:val="21"/>
                <w:highlight w:val="none"/>
                <w:lang w:val="en-US" w:eastAsia="zh-CN" w:bidi="ar-SA"/>
              </w:rPr>
              <w:t>核算</w:t>
            </w:r>
            <w:r>
              <w:rPr>
                <w:rFonts w:hint="eastAsia" w:cs="Times New Roman"/>
                <w:color w:val="auto"/>
                <w:kern w:val="2"/>
                <w:sz w:val="24"/>
                <w:szCs w:val="21"/>
                <w:highlight w:val="none"/>
                <w:lang w:val="en-US" w:eastAsia="zh-CN" w:bidi="ar-SA"/>
              </w:rPr>
              <w:t>，即0.53t/a</w:t>
            </w:r>
            <w:r>
              <w:rPr>
                <w:rFonts w:hint="eastAsia" w:ascii="Times New Roman" w:hAnsi="Times New Roman" w:eastAsia="宋体" w:cs="Times New Roman"/>
                <w:color w:val="auto"/>
                <w:kern w:val="2"/>
                <w:sz w:val="24"/>
                <w:szCs w:val="21"/>
                <w:highlight w:val="none"/>
                <w:lang w:val="en-US" w:eastAsia="zh-CN" w:bidi="ar-SA"/>
              </w:rPr>
              <w:t>。</w:t>
            </w:r>
            <w:r>
              <w:rPr>
                <w:rFonts w:hint="eastAsia" w:cs="Times New Roman"/>
                <w:color w:val="auto"/>
                <w:kern w:val="2"/>
                <w:sz w:val="24"/>
                <w:szCs w:val="21"/>
                <w:highlight w:val="none"/>
                <w:lang w:val="en-US" w:eastAsia="zh-CN" w:bidi="ar-SA"/>
              </w:rPr>
              <w:t>根据前文计算，水帘柜喷淋废水和喷淋塔废水产生量为60+19.2=79.2t/a。合计喷淋废液及沉渣产生量为79.73t/a。</w:t>
            </w:r>
            <w:r>
              <w:rPr>
                <w:rFonts w:hint="default" w:ascii="Times New Roman" w:hAnsi="Times New Roman" w:eastAsia="宋体" w:cs="Times New Roman"/>
                <w:color w:val="auto"/>
                <w:kern w:val="2"/>
                <w:sz w:val="24"/>
                <w:szCs w:val="21"/>
                <w:highlight w:val="none"/>
                <w:lang w:val="en-US" w:eastAsia="zh-CN" w:bidi="ar-SA"/>
              </w:rPr>
              <w:t>根据《国家危险废物名录》（202</w:t>
            </w:r>
            <w:r>
              <w:rPr>
                <w:rFonts w:hint="eastAsia" w:cs="Times New Roman"/>
                <w:color w:val="auto"/>
                <w:kern w:val="2"/>
                <w:sz w:val="24"/>
                <w:szCs w:val="21"/>
                <w:highlight w:val="none"/>
                <w:lang w:val="en-US" w:eastAsia="zh-CN" w:bidi="ar-SA"/>
              </w:rPr>
              <w:t>5</w:t>
            </w:r>
            <w:r>
              <w:rPr>
                <w:rFonts w:hint="default" w:ascii="Times New Roman" w:hAnsi="Times New Roman" w:eastAsia="宋体" w:cs="Times New Roman"/>
                <w:color w:val="auto"/>
                <w:kern w:val="2"/>
                <w:sz w:val="24"/>
                <w:szCs w:val="21"/>
                <w:highlight w:val="none"/>
                <w:lang w:val="en-US" w:eastAsia="zh-CN" w:bidi="ar-SA"/>
              </w:rPr>
              <w:t>年版），</w:t>
            </w:r>
            <w:r>
              <w:rPr>
                <w:rFonts w:hint="eastAsia" w:cs="Times New Roman"/>
                <w:color w:val="auto"/>
                <w:kern w:val="2"/>
                <w:sz w:val="24"/>
                <w:szCs w:val="21"/>
                <w:highlight w:val="none"/>
                <w:lang w:val="en-US" w:eastAsia="zh-CN" w:bidi="ar-SA"/>
              </w:rPr>
              <w:t>喷淋废液及沉渣的</w:t>
            </w:r>
            <w:r>
              <w:rPr>
                <w:rFonts w:hint="default" w:ascii="Times New Roman" w:hAnsi="Times New Roman" w:eastAsia="宋体" w:cs="Times New Roman"/>
                <w:color w:val="auto"/>
                <w:kern w:val="2"/>
                <w:sz w:val="24"/>
                <w:szCs w:val="24"/>
                <w:highlight w:val="none"/>
                <w:lang w:val="en-US" w:eastAsia="zh-CN" w:bidi="ar-SA"/>
              </w:rPr>
              <w:t xml:space="preserve">废物类别为HW12， </w:t>
            </w:r>
            <w:r>
              <w:rPr>
                <w:rFonts w:hint="eastAsia" w:cs="Times New Roman"/>
                <w:color w:val="auto"/>
                <w:kern w:val="2"/>
                <w:sz w:val="24"/>
                <w:szCs w:val="24"/>
                <w:highlight w:val="none"/>
                <w:lang w:val="en-US" w:eastAsia="zh-CN" w:bidi="ar-SA"/>
              </w:rPr>
              <w:t>代码</w:t>
            </w:r>
            <w:r>
              <w:rPr>
                <w:rFonts w:hint="default" w:ascii="Times New Roman" w:hAnsi="Times New Roman" w:eastAsia="宋体" w:cs="Times New Roman"/>
                <w:color w:val="auto"/>
                <w:kern w:val="2"/>
                <w:sz w:val="24"/>
                <w:szCs w:val="24"/>
                <w:highlight w:val="none"/>
                <w:lang w:val="en-US" w:eastAsia="zh-CN" w:bidi="ar-SA"/>
              </w:rPr>
              <w:t>900-252-12（使用过程中产生的废油漆、染料、颜料等），交由具有</w:t>
            </w:r>
            <w:r>
              <w:rPr>
                <w:rFonts w:hint="eastAsia" w:cs="Times New Roman"/>
                <w:color w:val="auto"/>
                <w:kern w:val="2"/>
                <w:sz w:val="24"/>
                <w:szCs w:val="24"/>
                <w:highlight w:val="none"/>
                <w:lang w:val="en-US" w:eastAsia="zh-CN" w:bidi="ar-SA"/>
              </w:rPr>
              <w:t>相关</w:t>
            </w:r>
            <w:r>
              <w:rPr>
                <w:rFonts w:hint="default" w:ascii="Times New Roman" w:hAnsi="Times New Roman" w:eastAsia="宋体" w:cs="Times New Roman"/>
                <w:color w:val="auto"/>
                <w:kern w:val="2"/>
                <w:sz w:val="24"/>
                <w:szCs w:val="24"/>
                <w:highlight w:val="none"/>
                <w:lang w:val="en-US" w:eastAsia="zh-CN" w:bidi="ar-SA"/>
              </w:rPr>
              <w:t>危废处理资质单位清运处理。</w:t>
            </w:r>
          </w:p>
          <w:p w14:paraId="50843431">
            <w:pPr>
              <w:keepNext/>
              <w:keepLines/>
              <w:pageBreakBefore w:val="0"/>
              <w:widowControl w:val="0"/>
              <w:numPr>
                <w:ilvl w:val="5"/>
                <w:numId w:val="0"/>
              </w:numPr>
              <w:wordWrap w:val="0"/>
              <w:overflowPunct/>
              <w:bidi w:val="0"/>
              <w:spacing w:line="360" w:lineRule="auto"/>
              <w:ind w:firstLine="480" w:firstLineChars="200"/>
              <w:jc w:val="both"/>
              <w:outlineLvl w:val="5"/>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②</w:t>
            </w:r>
            <w:r>
              <w:rPr>
                <w:rFonts w:hint="default" w:ascii="Times New Roman" w:hAnsi="Times New Roman" w:eastAsia="宋体" w:cs="Times New Roman"/>
                <w:b/>
                <w:bCs/>
                <w:color w:val="auto"/>
                <w:kern w:val="2"/>
                <w:sz w:val="24"/>
                <w:szCs w:val="24"/>
                <w:highlight w:val="none"/>
                <w:lang w:val="en-US" w:eastAsia="zh-CN" w:bidi="ar-SA"/>
              </w:rPr>
              <w:t>废</w:t>
            </w:r>
            <w:r>
              <w:rPr>
                <w:rFonts w:hint="eastAsia" w:ascii="Times New Roman" w:hAnsi="Times New Roman" w:eastAsia="宋体" w:cs="Times New Roman"/>
                <w:b/>
                <w:bCs/>
                <w:color w:val="auto"/>
                <w:kern w:val="2"/>
                <w:sz w:val="24"/>
                <w:szCs w:val="24"/>
                <w:highlight w:val="none"/>
                <w:lang w:val="en-US" w:eastAsia="zh-CN" w:bidi="ar-SA"/>
              </w:rPr>
              <w:t>空心球</w:t>
            </w:r>
          </w:p>
          <w:p w14:paraId="70D68004">
            <w:pPr>
              <w:keepNext/>
              <w:keepLines/>
              <w:pageBreakBefore w:val="0"/>
              <w:widowControl w:val="0"/>
              <w:numPr>
                <w:ilvl w:val="5"/>
                <w:numId w:val="0"/>
              </w:numPr>
              <w:wordWrap w:val="0"/>
              <w:overflowPunct/>
              <w:bidi w:val="0"/>
              <w:spacing w:line="360" w:lineRule="auto"/>
              <w:ind w:firstLine="480" w:firstLineChars="200"/>
              <w:jc w:val="both"/>
              <w:outlineLvl w:val="5"/>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本项目</w:t>
            </w:r>
            <w:r>
              <w:rPr>
                <w:rFonts w:hint="eastAsia" w:ascii="Times New Roman" w:hAnsi="Times New Roman" w:eastAsia="宋体" w:cs="Times New Roman"/>
                <w:color w:val="auto"/>
                <w:kern w:val="2"/>
                <w:sz w:val="24"/>
                <w:szCs w:val="21"/>
                <w:highlight w:val="none"/>
                <w:lang w:val="en-US" w:eastAsia="zh-CN" w:bidi="ar-SA"/>
              </w:rPr>
              <w:t>干式过滤器中包含用于水汽分离的pp材质空心球，定期更换，产生量为0.05t/a。</w:t>
            </w:r>
            <w:r>
              <w:rPr>
                <w:rFonts w:hint="default" w:ascii="Times New Roman" w:hAnsi="Times New Roman" w:eastAsia="宋体" w:cs="Times New Roman"/>
                <w:color w:val="auto"/>
                <w:kern w:val="2"/>
                <w:sz w:val="24"/>
                <w:szCs w:val="21"/>
                <w:highlight w:val="none"/>
                <w:lang w:val="en-US" w:eastAsia="zh-CN" w:bidi="ar-SA"/>
              </w:rPr>
              <w:t>根据《国家危险废物名录》（202</w:t>
            </w:r>
            <w:r>
              <w:rPr>
                <w:rFonts w:hint="eastAsia" w:cs="Times New Roman"/>
                <w:color w:val="auto"/>
                <w:kern w:val="2"/>
                <w:sz w:val="24"/>
                <w:szCs w:val="21"/>
                <w:highlight w:val="none"/>
                <w:lang w:val="en-US" w:eastAsia="zh-CN" w:bidi="ar-SA"/>
              </w:rPr>
              <w:t>5</w:t>
            </w:r>
            <w:r>
              <w:rPr>
                <w:rFonts w:hint="default" w:ascii="Times New Roman" w:hAnsi="Times New Roman" w:eastAsia="宋体" w:cs="Times New Roman"/>
                <w:color w:val="auto"/>
                <w:kern w:val="2"/>
                <w:sz w:val="24"/>
                <w:szCs w:val="21"/>
                <w:highlight w:val="none"/>
                <w:lang w:val="en-US" w:eastAsia="zh-CN" w:bidi="ar-SA"/>
              </w:rPr>
              <w:t>年版），</w:t>
            </w:r>
            <w:r>
              <w:rPr>
                <w:rFonts w:hint="default" w:ascii="Times New Roman" w:hAnsi="Times New Roman" w:eastAsia="宋体" w:cs="Times New Roman"/>
                <w:color w:val="auto"/>
                <w:kern w:val="2"/>
                <w:sz w:val="24"/>
                <w:szCs w:val="24"/>
                <w:highlight w:val="none"/>
                <w:lang w:val="en-US" w:eastAsia="zh-CN" w:bidi="ar-SA"/>
              </w:rPr>
              <w:t>废物类别为HW49其他废物，危废代码为900-041-49（含有或沾染毒性、感染性危险废物的废弃包装物、容器、过滤吸附介质），交由具有</w:t>
            </w:r>
            <w:r>
              <w:rPr>
                <w:rFonts w:hint="eastAsia" w:cs="Times New Roman"/>
                <w:color w:val="auto"/>
                <w:kern w:val="2"/>
                <w:sz w:val="24"/>
                <w:szCs w:val="24"/>
                <w:highlight w:val="none"/>
                <w:lang w:val="en-US" w:eastAsia="zh-CN" w:bidi="ar-SA"/>
              </w:rPr>
              <w:t>相关</w:t>
            </w:r>
            <w:r>
              <w:rPr>
                <w:rFonts w:hint="default" w:ascii="Times New Roman" w:hAnsi="Times New Roman" w:eastAsia="宋体" w:cs="Times New Roman"/>
                <w:color w:val="auto"/>
                <w:kern w:val="2"/>
                <w:sz w:val="24"/>
                <w:szCs w:val="24"/>
                <w:highlight w:val="none"/>
                <w:lang w:val="en-US" w:eastAsia="zh-CN" w:bidi="ar-SA"/>
              </w:rPr>
              <w:t>危废处理资质单位清运处理。</w:t>
            </w:r>
          </w:p>
          <w:p w14:paraId="2BC52B2D">
            <w:pPr>
              <w:pageBreakBefore w:val="0"/>
              <w:wordWrap w:val="0"/>
              <w:overflowPunct/>
              <w:bidi w:val="0"/>
              <w:ind w:firstLine="480" w:firstLineChars="20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kern w:val="2"/>
                <w:sz w:val="24"/>
                <w:szCs w:val="21"/>
                <w:highlight w:val="none"/>
                <w:lang w:val="en-US" w:eastAsia="zh-CN" w:bidi="ar-SA"/>
              </w:rPr>
              <w:t>③废</w:t>
            </w:r>
            <w:r>
              <w:rPr>
                <w:rFonts w:hint="default" w:ascii="Times New Roman" w:hAnsi="Times New Roman" w:eastAsia="宋体" w:cs="Times New Roman"/>
                <w:b/>
                <w:bCs/>
                <w:color w:val="auto"/>
                <w:highlight w:val="none"/>
                <w:lang w:val="en-US" w:eastAsia="zh-CN"/>
              </w:rPr>
              <w:t>过滤棉</w:t>
            </w:r>
          </w:p>
          <w:p w14:paraId="556DBF53">
            <w:pPr>
              <w:keepNext/>
              <w:keepLines/>
              <w:pageBreakBefore w:val="0"/>
              <w:widowControl w:val="0"/>
              <w:numPr>
                <w:ilvl w:val="5"/>
                <w:numId w:val="0"/>
              </w:numPr>
              <w:wordWrap w:val="0"/>
              <w:overflowPunct/>
              <w:bidi w:val="0"/>
              <w:spacing w:line="360" w:lineRule="auto"/>
              <w:ind w:firstLine="480" w:firstLineChars="200"/>
              <w:jc w:val="both"/>
              <w:outlineLvl w:val="5"/>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本项目使用了过滤棉处理废气中颗粒物，</w:t>
            </w:r>
            <w:r>
              <w:rPr>
                <w:rFonts w:hint="eastAsia" w:cs="Times New Roman"/>
                <w:color w:val="auto"/>
                <w:kern w:val="2"/>
                <w:sz w:val="24"/>
                <w:szCs w:val="24"/>
                <w:highlight w:val="none"/>
                <w:lang w:val="en-US" w:eastAsia="zh-CN" w:bidi="ar-SA"/>
              </w:rPr>
              <w:t>过滤棉主要布置在喷漆房上方。根据喷漆房设计尺寸，过滤棉一次最大铺装面积为4m×4m×1间=16m</w:t>
            </w:r>
            <w:r>
              <w:rPr>
                <w:rFonts w:hint="eastAsia"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vertAlign w:val="baseline"/>
                <w:lang w:val="en-US" w:eastAsia="zh-CN" w:bidi="ar-SA"/>
              </w:rPr>
              <w:t>，其密度一般在200~400g/</w:t>
            </w:r>
            <w:r>
              <w:rPr>
                <w:rFonts w:hint="eastAsia" w:cs="Times New Roman"/>
                <w:color w:val="auto"/>
                <w:kern w:val="2"/>
                <w:sz w:val="24"/>
                <w:szCs w:val="24"/>
                <w:highlight w:val="none"/>
                <w:lang w:val="en-US" w:eastAsia="zh-CN" w:bidi="ar-SA"/>
              </w:rPr>
              <w:t>m</w:t>
            </w:r>
            <w:r>
              <w:rPr>
                <w:rFonts w:hint="eastAsia"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vertAlign w:val="baseline"/>
                <w:lang w:val="en-US" w:eastAsia="zh-CN" w:bidi="ar-SA"/>
              </w:rPr>
              <w:t>，本次评价取300g/</w:t>
            </w:r>
            <w:r>
              <w:rPr>
                <w:rFonts w:hint="eastAsia" w:cs="Times New Roman"/>
                <w:color w:val="auto"/>
                <w:kern w:val="2"/>
                <w:sz w:val="24"/>
                <w:szCs w:val="24"/>
                <w:highlight w:val="none"/>
                <w:lang w:val="en-US" w:eastAsia="zh-CN" w:bidi="ar-SA"/>
              </w:rPr>
              <w:t>m</w:t>
            </w:r>
            <w:r>
              <w:rPr>
                <w:rFonts w:hint="eastAsia"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vertAlign w:val="baseline"/>
                <w:lang w:val="en-US" w:eastAsia="zh-CN" w:bidi="ar-SA"/>
              </w:rPr>
              <w:t>，则过滤棉一次最大装载量为</w:t>
            </w:r>
            <w:r>
              <w:rPr>
                <w:rFonts w:hint="eastAsia" w:cs="Times New Roman"/>
                <w:color w:val="auto"/>
                <w:kern w:val="2"/>
                <w:sz w:val="24"/>
                <w:szCs w:val="24"/>
                <w:highlight w:val="none"/>
                <w:lang w:val="en-US" w:eastAsia="zh-CN" w:bidi="ar-SA"/>
              </w:rPr>
              <w:t>16m</w:t>
            </w:r>
            <w:r>
              <w:rPr>
                <w:rFonts w:hint="eastAsia"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vertAlign w:val="baseline"/>
                <w:lang w:val="en-US" w:eastAsia="zh-CN" w:bidi="ar-SA"/>
              </w:rPr>
              <w:t>×300g/</w:t>
            </w:r>
            <w:r>
              <w:rPr>
                <w:rFonts w:hint="eastAsia" w:cs="Times New Roman"/>
                <w:color w:val="auto"/>
                <w:kern w:val="2"/>
                <w:sz w:val="24"/>
                <w:szCs w:val="24"/>
                <w:highlight w:val="none"/>
                <w:lang w:val="en-US" w:eastAsia="zh-CN" w:bidi="ar-SA"/>
              </w:rPr>
              <w:t>m</w:t>
            </w:r>
            <w:r>
              <w:rPr>
                <w:rFonts w:hint="eastAsia" w:cs="Times New Roman"/>
                <w:color w:val="auto"/>
                <w:kern w:val="2"/>
                <w:sz w:val="24"/>
                <w:szCs w:val="24"/>
                <w:highlight w:val="none"/>
                <w:vertAlign w:val="superscript"/>
                <w:lang w:val="en-US" w:eastAsia="zh-CN" w:bidi="ar-SA"/>
              </w:rPr>
              <w:t>2</w:t>
            </w:r>
            <w:r>
              <w:rPr>
                <w:rFonts w:hint="eastAsia" w:cs="Times New Roman"/>
                <w:color w:val="auto"/>
                <w:kern w:val="2"/>
                <w:sz w:val="24"/>
                <w:szCs w:val="24"/>
                <w:highlight w:val="none"/>
                <w:vertAlign w:val="baseline"/>
                <w:lang w:val="en-US" w:eastAsia="zh-CN" w:bidi="ar-SA"/>
              </w:rPr>
              <w:t>=0.005t。由于本项目使用油漆量少，其漆雾产生情况较少，因此</w:t>
            </w:r>
            <w:r>
              <w:rPr>
                <w:rFonts w:hint="default" w:ascii="Times New Roman" w:hAnsi="Times New Roman" w:eastAsia="宋体" w:cs="Times New Roman"/>
                <w:color w:val="auto"/>
                <w:kern w:val="2"/>
                <w:sz w:val="24"/>
                <w:szCs w:val="24"/>
                <w:highlight w:val="none"/>
                <w:lang w:val="en-US" w:eastAsia="zh-CN" w:bidi="ar-SA"/>
              </w:rPr>
              <w:t>建设单位计划</w:t>
            </w:r>
            <w:r>
              <w:rPr>
                <w:rFonts w:hint="eastAsia" w:cs="Times New Roman"/>
                <w:color w:val="auto"/>
                <w:kern w:val="2"/>
                <w:sz w:val="24"/>
                <w:szCs w:val="24"/>
                <w:highlight w:val="none"/>
                <w:lang w:val="en-US" w:eastAsia="zh-CN" w:bidi="ar-SA"/>
              </w:rPr>
              <w:t>1个月更换一次过滤棉，即</w:t>
            </w:r>
            <w:r>
              <w:rPr>
                <w:rFonts w:hint="default" w:ascii="Times New Roman" w:hAnsi="Times New Roman" w:eastAsia="宋体" w:cs="Times New Roman"/>
                <w:color w:val="auto"/>
                <w:kern w:val="2"/>
                <w:sz w:val="24"/>
                <w:szCs w:val="24"/>
                <w:highlight w:val="none"/>
                <w:lang w:val="en-US" w:eastAsia="zh-CN" w:bidi="ar-SA"/>
              </w:rPr>
              <w:t>年更换量为</w:t>
            </w:r>
            <w:r>
              <w:rPr>
                <w:rFonts w:hint="eastAsia" w:cs="Times New Roman"/>
                <w:color w:val="auto"/>
                <w:kern w:val="2"/>
                <w:sz w:val="24"/>
                <w:szCs w:val="24"/>
                <w:highlight w:val="none"/>
                <w:lang w:val="en-US" w:eastAsia="zh-CN" w:bidi="ar-SA"/>
              </w:rPr>
              <w:t>12次×0.005t/次=0.06</w:t>
            </w:r>
            <w:r>
              <w:rPr>
                <w:rFonts w:hint="default" w:ascii="Times New Roman" w:hAnsi="Times New Roman" w:eastAsia="宋体" w:cs="Times New Roman"/>
                <w:color w:val="auto"/>
                <w:kern w:val="2"/>
                <w:sz w:val="24"/>
                <w:szCs w:val="24"/>
                <w:highlight w:val="none"/>
                <w:lang w:val="en-US" w:eastAsia="zh-CN" w:bidi="ar-SA"/>
              </w:rPr>
              <w:t>t/a。</w:t>
            </w:r>
            <w:r>
              <w:rPr>
                <w:rFonts w:hint="eastAsia" w:cs="Times New Roman"/>
                <w:color w:val="auto"/>
                <w:kern w:val="2"/>
                <w:sz w:val="24"/>
                <w:szCs w:val="24"/>
                <w:highlight w:val="none"/>
                <w:lang w:val="en-US" w:eastAsia="zh-CN" w:bidi="ar-SA"/>
              </w:rPr>
              <w:t>过滤棉拦截的漆雾颗粒以漆雾产生量的50%计，为0.53t/a，即废过滤棉产生量为0.59t/a。</w:t>
            </w:r>
            <w:r>
              <w:rPr>
                <w:rFonts w:hint="default" w:ascii="Times New Roman" w:hAnsi="Times New Roman" w:eastAsia="宋体" w:cs="Times New Roman"/>
                <w:color w:val="auto"/>
                <w:kern w:val="2"/>
                <w:sz w:val="24"/>
                <w:szCs w:val="21"/>
                <w:highlight w:val="none"/>
                <w:lang w:val="en-US" w:eastAsia="zh-CN" w:bidi="ar-SA"/>
              </w:rPr>
              <w:t>根据《国家危险废物名录》（202</w:t>
            </w:r>
            <w:r>
              <w:rPr>
                <w:rFonts w:hint="eastAsia" w:cs="Times New Roman"/>
                <w:color w:val="auto"/>
                <w:kern w:val="2"/>
                <w:sz w:val="24"/>
                <w:szCs w:val="21"/>
                <w:highlight w:val="none"/>
                <w:lang w:val="en-US" w:eastAsia="zh-CN" w:bidi="ar-SA"/>
              </w:rPr>
              <w:t>5</w:t>
            </w:r>
            <w:r>
              <w:rPr>
                <w:rFonts w:hint="default" w:ascii="Times New Roman" w:hAnsi="Times New Roman" w:eastAsia="宋体" w:cs="Times New Roman"/>
                <w:color w:val="auto"/>
                <w:kern w:val="2"/>
                <w:sz w:val="24"/>
                <w:szCs w:val="21"/>
                <w:highlight w:val="none"/>
                <w:lang w:val="en-US" w:eastAsia="zh-CN" w:bidi="ar-SA"/>
              </w:rPr>
              <w:t>年版）</w:t>
            </w:r>
            <w:r>
              <w:rPr>
                <w:rFonts w:hint="eastAsia" w:cs="Times New Roman"/>
                <w:color w:val="auto"/>
                <w:kern w:val="2"/>
                <w:sz w:val="24"/>
                <w:szCs w:val="21"/>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过滤棉</w:t>
            </w:r>
            <w:r>
              <w:rPr>
                <w:rFonts w:hint="default" w:ascii="Times New Roman" w:hAnsi="Times New Roman" w:eastAsia="宋体" w:cs="Times New Roman"/>
                <w:color w:val="auto"/>
                <w:kern w:val="2"/>
                <w:sz w:val="24"/>
                <w:szCs w:val="21"/>
                <w:highlight w:val="none"/>
                <w:lang w:val="en-US" w:eastAsia="zh-CN" w:bidi="ar-SA"/>
              </w:rPr>
              <w:t>按“HW49其他废物”分类，其代码为900-041-49，属于“含有或沾染毒性、感染性危险废物的废弃包装物、容器、过滤吸附介质”，经统一收集后交由有危险废物处理资质的单位处理。</w:t>
            </w:r>
          </w:p>
          <w:p w14:paraId="4754526E">
            <w:pPr>
              <w:pageBreakBefore w:val="0"/>
              <w:wordWrap w:val="0"/>
              <w:overflowPunct/>
              <w:bidi w:val="0"/>
              <w:ind w:firstLine="480" w:firstLineChars="200"/>
              <w:rPr>
                <w:rFonts w:hint="default" w:ascii="Times New Roman" w:hAnsi="Times New Roman" w:eastAsia="宋体" w:cs="Times New Roman"/>
                <w:b/>
                <w:bCs/>
                <w:color w:val="auto"/>
                <w:highlight w:val="none"/>
                <w:lang w:val="en-US" w:eastAsia="zh-CN"/>
              </w:rPr>
            </w:pPr>
            <w:r>
              <w:rPr>
                <w:rFonts w:hint="eastAsia" w:cs="Times New Roman"/>
                <w:b/>
                <w:color w:val="auto"/>
                <w:kern w:val="24"/>
                <w:highlight w:val="none"/>
                <w:lang w:val="en-US" w:eastAsia="zh-CN"/>
              </w:rPr>
              <w:t>④</w:t>
            </w:r>
            <w:r>
              <w:rPr>
                <w:rFonts w:hint="default" w:ascii="Times New Roman" w:hAnsi="Times New Roman" w:eastAsia="宋体" w:cs="Times New Roman"/>
                <w:b/>
                <w:bCs/>
                <w:color w:val="auto"/>
                <w:highlight w:val="none"/>
              </w:rPr>
              <w:t>废</w:t>
            </w:r>
            <w:r>
              <w:rPr>
                <w:rFonts w:hint="default" w:ascii="Times New Roman" w:hAnsi="Times New Roman" w:eastAsia="宋体" w:cs="Times New Roman"/>
                <w:b/>
                <w:bCs/>
                <w:color w:val="auto"/>
                <w:highlight w:val="none"/>
                <w:lang w:val="en-US" w:eastAsia="zh-CN"/>
              </w:rPr>
              <w:t>活性炭</w:t>
            </w:r>
          </w:p>
          <w:p w14:paraId="528A00E0">
            <w:pPr>
              <w:keepNext/>
              <w:keepLines/>
              <w:pageBreakBefore w:val="0"/>
              <w:widowControl w:val="0"/>
              <w:numPr>
                <w:ilvl w:val="5"/>
                <w:numId w:val="0"/>
              </w:numPr>
              <w:wordWrap w:val="0"/>
              <w:overflowPunct/>
              <w:bidi w:val="0"/>
              <w:spacing w:line="360" w:lineRule="auto"/>
              <w:ind w:firstLine="480" w:firstLineChars="200"/>
              <w:jc w:val="both"/>
              <w:outlineLvl w:val="5"/>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项目废气治理设施在运行过程中，为保证活性炭的稳定吸附效果，活性炭吸附器中的活性炭在使用一定时间达到饱和后，吸附效率会逐步降低，为保证其净化效果必须定期进行更换。</w:t>
            </w:r>
          </w:p>
          <w:p w14:paraId="3CE3822C">
            <w:pPr>
              <w:keepNext w:val="0"/>
              <w:keepLines w:val="0"/>
              <w:pageBreakBefore w:val="0"/>
              <w:widowControl w:val="0"/>
              <w:numPr>
                <w:ilvl w:val="0"/>
                <w:numId w:val="10"/>
              </w:numPr>
              <w:kinsoku/>
              <w:wordWrap w:val="0"/>
              <w:overflowPunct/>
              <w:topLinePunct w:val="0"/>
              <w:autoSpaceDE/>
              <w:autoSpaceDN/>
              <w:bidi w:val="0"/>
              <w:adjustRightInd/>
              <w:snapToGrid/>
              <w:spacing w:line="240" w:lineRule="auto"/>
              <w:ind w:left="0" w:leftChars="0" w:hanging="1" w:firstLineChars="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项目二级活性炭吸附装置去除有机废气的量</w:t>
            </w:r>
          </w:p>
          <w:tbl>
            <w:tblPr>
              <w:tblStyle w:val="4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85" w:type="dxa"/>
                <w:left w:w="51" w:type="dxa"/>
                <w:bottom w:w="0" w:type="dxa"/>
                <w:right w:w="51" w:type="dxa"/>
              </w:tblCellMar>
            </w:tblPr>
            <w:tblGrid>
              <w:gridCol w:w="2174"/>
              <w:gridCol w:w="2043"/>
              <w:gridCol w:w="3000"/>
              <w:gridCol w:w="1490"/>
            </w:tblGrid>
            <w:tr w14:paraId="3B18D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1" w:type="dxa"/>
                  <w:bottom w:w="0" w:type="dxa"/>
                  <w:right w:w="51" w:type="dxa"/>
                </w:tblCellMar>
              </w:tblPrEx>
              <w:trPr>
                <w:trHeight w:val="340" w:hRule="atLeast"/>
                <w:jc w:val="center"/>
              </w:trPr>
              <w:tc>
                <w:tcPr>
                  <w:tcW w:w="1248" w:type="pct"/>
                  <w:vAlign w:val="center"/>
                </w:tcPr>
                <w:p w14:paraId="48942FF5">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b/>
                      <w:bCs/>
                      <w:color w:val="auto"/>
                      <w:sz w:val="21"/>
                      <w:szCs w:val="21"/>
                      <w:highlight w:val="none"/>
                      <w:lang w:val="en-US" w:eastAsia="zh-CN"/>
                    </w:rPr>
                  </w:pPr>
                  <w:r>
                    <w:rPr>
                      <w:rFonts w:hint="default"/>
                      <w:b/>
                      <w:bCs/>
                      <w:color w:val="auto"/>
                      <w:sz w:val="21"/>
                      <w:szCs w:val="21"/>
                      <w:highlight w:val="none"/>
                      <w:lang w:val="en-US" w:eastAsia="zh-CN"/>
                    </w:rPr>
                    <w:t>有机废气收集量（t/a）</w:t>
                  </w:r>
                </w:p>
              </w:tc>
              <w:tc>
                <w:tcPr>
                  <w:tcW w:w="1173" w:type="pct"/>
                  <w:vAlign w:val="center"/>
                </w:tcPr>
                <w:p w14:paraId="2AFDDBA1">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b/>
                      <w:bCs/>
                      <w:color w:val="auto"/>
                      <w:sz w:val="21"/>
                      <w:szCs w:val="21"/>
                      <w:highlight w:val="none"/>
                      <w:lang w:val="en-US" w:eastAsia="zh-CN"/>
                    </w:rPr>
                  </w:pPr>
                  <w:r>
                    <w:rPr>
                      <w:rFonts w:hint="default"/>
                      <w:b/>
                      <w:bCs/>
                      <w:color w:val="auto"/>
                      <w:sz w:val="21"/>
                      <w:szCs w:val="21"/>
                      <w:highlight w:val="none"/>
                      <w:lang w:val="en-US" w:eastAsia="zh-CN"/>
                    </w:rPr>
                    <w:t>二级活性炭处理效率</w:t>
                  </w:r>
                </w:p>
              </w:tc>
              <w:tc>
                <w:tcPr>
                  <w:tcW w:w="1722" w:type="pct"/>
                  <w:vAlign w:val="center"/>
                </w:tcPr>
                <w:p w14:paraId="051BB5A9">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b/>
                      <w:bCs/>
                      <w:color w:val="auto"/>
                      <w:sz w:val="21"/>
                      <w:szCs w:val="21"/>
                      <w:highlight w:val="none"/>
                      <w:lang w:val="en-US" w:eastAsia="zh-CN"/>
                    </w:rPr>
                  </w:pPr>
                  <w:r>
                    <w:rPr>
                      <w:rFonts w:hint="default"/>
                      <w:b/>
                      <w:bCs/>
                      <w:color w:val="auto"/>
                      <w:sz w:val="21"/>
                      <w:szCs w:val="21"/>
                      <w:highlight w:val="none"/>
                      <w:lang w:val="en-US" w:eastAsia="zh-CN"/>
                    </w:rPr>
                    <w:t>活性炭处理后的排放量（t/a</w:t>
                  </w:r>
                  <w:r>
                    <w:rPr>
                      <w:rFonts w:hint="eastAsia"/>
                      <w:b/>
                      <w:bCs/>
                      <w:color w:val="auto"/>
                      <w:sz w:val="21"/>
                      <w:szCs w:val="21"/>
                      <w:highlight w:val="none"/>
                      <w:lang w:val="en-US" w:eastAsia="zh-CN"/>
                    </w:rPr>
                    <w:t>）</w:t>
                  </w:r>
                </w:p>
              </w:tc>
              <w:tc>
                <w:tcPr>
                  <w:tcW w:w="855" w:type="pct"/>
                  <w:vAlign w:val="center"/>
                </w:tcPr>
                <w:p w14:paraId="37DCB4D0">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b/>
                      <w:bCs/>
                      <w:color w:val="auto"/>
                      <w:sz w:val="21"/>
                      <w:szCs w:val="21"/>
                      <w:highlight w:val="none"/>
                      <w:lang w:val="en-US" w:eastAsia="zh-CN"/>
                    </w:rPr>
                  </w:pPr>
                  <w:r>
                    <w:rPr>
                      <w:rFonts w:hint="default"/>
                      <w:b/>
                      <w:bCs/>
                      <w:color w:val="auto"/>
                      <w:sz w:val="21"/>
                      <w:szCs w:val="21"/>
                      <w:highlight w:val="none"/>
                      <w:lang w:val="en-US" w:eastAsia="zh-CN"/>
                    </w:rPr>
                    <w:t>处理量（t/a）</w:t>
                  </w:r>
                </w:p>
              </w:tc>
            </w:tr>
            <w:tr w14:paraId="6C60D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1" w:type="dxa"/>
                  <w:bottom w:w="0" w:type="dxa"/>
                  <w:right w:w="51" w:type="dxa"/>
                </w:tblCellMar>
              </w:tblPrEx>
              <w:trPr>
                <w:trHeight w:val="340" w:hRule="atLeast"/>
                <w:jc w:val="center"/>
              </w:trPr>
              <w:tc>
                <w:tcPr>
                  <w:tcW w:w="2174" w:type="dxa"/>
                  <w:vAlign w:val="center"/>
                </w:tcPr>
                <w:p w14:paraId="279A98A1">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center"/>
                    <w:rPr>
                      <w:rFonts w:hint="default"/>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rPr>
                    <w:t>0.922</w:t>
                  </w:r>
                </w:p>
              </w:tc>
              <w:tc>
                <w:tcPr>
                  <w:tcW w:w="2043" w:type="dxa"/>
                  <w:vAlign w:val="center"/>
                </w:tcPr>
                <w:p w14:paraId="15C05DD7">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center"/>
                    <w:rPr>
                      <w:rFonts w:hint="default"/>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80%</w:t>
                  </w:r>
                </w:p>
              </w:tc>
              <w:tc>
                <w:tcPr>
                  <w:tcW w:w="3000" w:type="dxa"/>
                  <w:vAlign w:val="center"/>
                </w:tcPr>
                <w:p w14:paraId="0EC57A04">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center"/>
                    <w:rPr>
                      <w:rFonts w:hint="default"/>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rPr>
                    <w:t>0.184</w:t>
                  </w:r>
                </w:p>
              </w:tc>
              <w:tc>
                <w:tcPr>
                  <w:tcW w:w="1490" w:type="dxa"/>
                  <w:vAlign w:val="center"/>
                </w:tcPr>
                <w:p w14:paraId="7BD2D4B5">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center"/>
                    <w:rPr>
                      <w:rFonts w:hint="default"/>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rPr>
                    <w:t>0.738</w:t>
                  </w:r>
                </w:p>
              </w:tc>
            </w:tr>
          </w:tbl>
          <w:p w14:paraId="792298D1">
            <w:pPr>
              <w:keepNext/>
              <w:keepLines/>
              <w:pageBreakBefore w:val="0"/>
              <w:widowControl w:val="0"/>
              <w:numPr>
                <w:ilvl w:val="5"/>
                <w:numId w:val="0"/>
              </w:numPr>
              <w:wordWrap w:val="0"/>
              <w:overflowPunct/>
              <w:bidi w:val="0"/>
              <w:spacing w:line="360" w:lineRule="auto"/>
              <w:ind w:firstLine="480" w:firstLineChars="200"/>
              <w:jc w:val="both"/>
              <w:outlineLvl w:val="5"/>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根据《广东省工业源挥发性有机物减排量核算方法》（</w:t>
            </w:r>
            <w:r>
              <w:rPr>
                <w:rFonts w:hint="eastAsia" w:cs="Times New Roman"/>
                <w:color w:val="auto"/>
                <w:kern w:val="2"/>
                <w:sz w:val="24"/>
                <w:szCs w:val="24"/>
                <w:highlight w:val="none"/>
                <w:lang w:val="en-US" w:eastAsia="zh-CN" w:bidi="ar-SA"/>
              </w:rPr>
              <w:t>2023修订版</w:t>
            </w:r>
            <w:r>
              <w:rPr>
                <w:rFonts w:hint="default" w:ascii="Times New Roman" w:hAnsi="Times New Roman" w:eastAsia="宋体" w:cs="Times New Roman"/>
                <w:color w:val="auto"/>
                <w:kern w:val="2"/>
                <w:sz w:val="24"/>
                <w:szCs w:val="24"/>
                <w:highlight w:val="none"/>
                <w:lang w:val="en-US" w:eastAsia="zh-CN" w:bidi="ar-SA"/>
              </w:rPr>
              <w:t>）的要求，建议直接将“活性炭年更换量×活性炭吸附比例”（活性炭年更换量优先以危废转移量为依据，吸附比例建议取值15%）作为废气处理设施VOCs削减量。本项目活性炭对有机废气的吸附比率取值</w:t>
            </w:r>
            <w:r>
              <w:rPr>
                <w:rFonts w:hint="eastAsia" w:cs="Times New Roman"/>
                <w:color w:val="auto"/>
                <w:kern w:val="2"/>
                <w:sz w:val="24"/>
                <w:szCs w:val="24"/>
                <w:highlight w:val="none"/>
                <w:lang w:val="en-US" w:eastAsia="zh-CN" w:bidi="ar-SA"/>
              </w:rPr>
              <w:t>15</w:t>
            </w:r>
            <w:r>
              <w:rPr>
                <w:rFonts w:hint="default" w:ascii="Times New Roman" w:hAnsi="Times New Roman" w:eastAsia="宋体" w:cs="Times New Roman"/>
                <w:color w:val="auto"/>
                <w:kern w:val="2"/>
                <w:sz w:val="24"/>
                <w:szCs w:val="24"/>
                <w:highlight w:val="none"/>
                <w:lang w:val="en-US" w:eastAsia="zh-CN" w:bidi="ar-SA"/>
              </w:rPr>
              <w:t>%，项目吸附的有机废气量为</w:t>
            </w:r>
            <w:r>
              <w:rPr>
                <w:rFonts w:hint="eastAsia" w:cs="Times New Roman"/>
                <w:color w:val="auto"/>
                <w:kern w:val="2"/>
                <w:sz w:val="24"/>
                <w:szCs w:val="24"/>
                <w:highlight w:val="none"/>
                <w:lang w:val="en-US" w:eastAsia="zh-CN" w:bidi="ar-SA"/>
              </w:rPr>
              <w:t>0.739</w:t>
            </w:r>
            <w:r>
              <w:rPr>
                <w:rFonts w:hint="default" w:ascii="Times New Roman" w:hAnsi="Times New Roman" w:eastAsia="宋体" w:cs="Times New Roman"/>
                <w:color w:val="auto"/>
                <w:kern w:val="2"/>
                <w:sz w:val="24"/>
                <w:szCs w:val="24"/>
                <w:highlight w:val="none"/>
                <w:lang w:val="en-US" w:eastAsia="zh-CN" w:bidi="ar-SA"/>
              </w:rPr>
              <w:t>t/a，则理论更换废活性炭（含吸附的有机废气）量为</w:t>
            </w:r>
            <w:r>
              <w:rPr>
                <w:rFonts w:hint="eastAsia" w:cs="Times New Roman"/>
                <w:color w:val="auto"/>
                <w:kern w:val="2"/>
                <w:sz w:val="24"/>
                <w:szCs w:val="24"/>
                <w:highlight w:val="none"/>
                <w:lang w:val="en-US" w:eastAsia="zh-CN" w:bidi="ar-SA"/>
              </w:rPr>
              <w:t>4.92</w:t>
            </w:r>
            <w:r>
              <w:rPr>
                <w:rFonts w:hint="default" w:ascii="Times New Roman" w:hAnsi="Times New Roman" w:eastAsia="宋体" w:cs="Times New Roman"/>
                <w:color w:val="auto"/>
                <w:kern w:val="2"/>
                <w:sz w:val="24"/>
                <w:szCs w:val="24"/>
                <w:highlight w:val="none"/>
                <w:lang w:val="en-US" w:eastAsia="zh-CN" w:bidi="ar-SA"/>
              </w:rPr>
              <w:t>t/a。</w:t>
            </w:r>
          </w:p>
          <w:p w14:paraId="1CAF3BE6">
            <w:pPr>
              <w:keepNext/>
              <w:keepLines/>
              <w:pageBreakBefore w:val="0"/>
              <w:widowControl w:val="0"/>
              <w:numPr>
                <w:ilvl w:val="5"/>
                <w:numId w:val="0"/>
              </w:numPr>
              <w:wordWrap w:val="0"/>
              <w:overflowPunct/>
              <w:bidi w:val="0"/>
              <w:spacing w:line="360" w:lineRule="auto"/>
              <w:ind w:firstLine="480" w:firstLineChars="200"/>
              <w:jc w:val="both"/>
              <w:outlineLvl w:val="5"/>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2"/>
                <w:sz w:val="24"/>
                <w:szCs w:val="24"/>
                <w:highlight w:val="none"/>
                <w:lang w:val="en-US" w:eastAsia="zh-CN" w:bidi="ar-SA"/>
              </w:rPr>
              <w:t>项目活性炭吸附装置内活性炭托板尺寸：</w:t>
            </w:r>
            <w:r>
              <w:rPr>
                <w:rFonts w:hint="eastAsia" w:cs="Times New Roman"/>
                <w:color w:val="auto"/>
                <w:kern w:val="2"/>
                <w:sz w:val="24"/>
                <w:szCs w:val="24"/>
                <w:highlight w:val="none"/>
                <w:lang w:val="en-US" w:eastAsia="zh-CN" w:bidi="ar-SA"/>
              </w:rPr>
              <w:t>2.5</w:t>
            </w:r>
            <w:r>
              <w:rPr>
                <w:rFonts w:hint="default" w:ascii="Times New Roman" w:hAnsi="Times New Roman" w:eastAsia="宋体" w:cs="Times New Roman"/>
                <w:color w:val="auto"/>
                <w:kern w:val="2"/>
                <w:sz w:val="24"/>
                <w:szCs w:val="24"/>
                <w:highlight w:val="none"/>
                <w:lang w:val="en-US" w:eastAsia="zh-CN" w:bidi="ar-SA"/>
              </w:rPr>
              <w:t>m×1.</w:t>
            </w:r>
            <w:r>
              <w:rPr>
                <w:rFonts w:hint="eastAsia"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m×1m，每层面积尺寸：</w:t>
            </w:r>
            <w:r>
              <w:rPr>
                <w:rFonts w:hint="eastAsia" w:cs="Times New Roman"/>
                <w:color w:val="auto"/>
                <w:kern w:val="2"/>
                <w:sz w:val="24"/>
                <w:szCs w:val="24"/>
                <w:highlight w:val="none"/>
                <w:lang w:val="en-US" w:eastAsia="zh-CN" w:bidi="ar-SA"/>
              </w:rPr>
              <w:t>3.75m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，活性炭填充高度为0.3m，填充密度0.45g/cm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，单套装置内设</w:t>
            </w:r>
            <w:r>
              <w:rPr>
                <w:rFonts w:hint="eastAsia" w:cs="Times New Roman"/>
                <w:color w:val="auto"/>
                <w:kern w:val="2"/>
                <w:sz w:val="24"/>
                <w:szCs w:val="24"/>
                <w:highlight w:val="none"/>
                <w:lang w:val="en-US" w:eastAsia="zh-CN" w:bidi="ar-SA"/>
              </w:rPr>
              <w:t>4</w:t>
            </w:r>
            <w:r>
              <w:rPr>
                <w:rFonts w:hint="default" w:ascii="Times New Roman" w:hAnsi="Times New Roman" w:eastAsia="宋体" w:cs="Times New Roman"/>
                <w:color w:val="auto"/>
                <w:kern w:val="2"/>
                <w:sz w:val="24"/>
                <w:szCs w:val="24"/>
                <w:highlight w:val="none"/>
                <w:lang w:val="en-US" w:eastAsia="zh-CN" w:bidi="ar-SA"/>
              </w:rPr>
              <w:t>层活性炭，则单套活性炭吸附装置的装填量为</w:t>
            </w:r>
            <w:r>
              <w:rPr>
                <w:rFonts w:hint="eastAsia" w:cs="Times New Roman"/>
                <w:color w:val="auto"/>
                <w:kern w:val="2"/>
                <w:sz w:val="24"/>
                <w:szCs w:val="24"/>
                <w:highlight w:val="none"/>
                <w:lang w:val="en-US" w:eastAsia="zh-CN" w:bidi="ar-SA"/>
              </w:rPr>
              <w:t>2.025</w:t>
            </w:r>
            <w:r>
              <w:rPr>
                <w:rFonts w:hint="default" w:ascii="Times New Roman" w:hAnsi="Times New Roman" w:eastAsia="宋体" w:cs="Times New Roman"/>
                <w:color w:val="auto"/>
                <w:kern w:val="2"/>
                <w:sz w:val="24"/>
                <w:szCs w:val="24"/>
                <w:highlight w:val="none"/>
                <w:lang w:val="en-US" w:eastAsia="zh-CN" w:bidi="ar-SA"/>
              </w:rPr>
              <w:t>t，</w:t>
            </w:r>
            <w:r>
              <w:rPr>
                <w:rFonts w:hint="eastAsia" w:cs="Times New Roman"/>
                <w:color w:val="auto"/>
                <w:kern w:val="2"/>
                <w:sz w:val="24"/>
                <w:szCs w:val="24"/>
                <w:highlight w:val="none"/>
                <w:lang w:val="en-US" w:eastAsia="zh-CN" w:bidi="ar-SA"/>
              </w:rPr>
              <w:t>本项目共设有1套有机废气治理设施，</w:t>
            </w:r>
            <w:r>
              <w:rPr>
                <w:rFonts w:hint="default" w:ascii="Times New Roman" w:hAnsi="Times New Roman" w:eastAsia="宋体" w:cs="Times New Roman"/>
                <w:color w:val="auto"/>
                <w:kern w:val="2"/>
                <w:sz w:val="24"/>
                <w:szCs w:val="24"/>
                <w:highlight w:val="none"/>
                <w:lang w:val="en-US" w:eastAsia="zh-CN" w:bidi="ar-SA"/>
              </w:rPr>
              <w:t>拟每</w:t>
            </w:r>
            <w:r>
              <w:rPr>
                <w:rFonts w:hint="eastAsia" w:cs="Times New Roman"/>
                <w:color w:val="auto"/>
                <w:kern w:val="2"/>
                <w:sz w:val="24"/>
                <w:szCs w:val="24"/>
                <w:highlight w:val="none"/>
                <w:lang w:val="en-US" w:eastAsia="zh-CN" w:bidi="ar-SA"/>
              </w:rPr>
              <w:t>3个月</w:t>
            </w:r>
            <w:r>
              <w:rPr>
                <w:rFonts w:hint="default" w:ascii="Times New Roman" w:hAnsi="Times New Roman" w:eastAsia="宋体" w:cs="Times New Roman"/>
                <w:color w:val="auto"/>
                <w:kern w:val="2"/>
                <w:sz w:val="24"/>
                <w:szCs w:val="24"/>
                <w:highlight w:val="none"/>
                <w:lang w:val="en-US" w:eastAsia="zh-CN" w:bidi="ar-SA"/>
              </w:rPr>
              <w:t>更换</w:t>
            </w:r>
            <w:r>
              <w:rPr>
                <w:rFonts w:hint="eastAsia" w:cs="Times New Roman"/>
                <w:color w:val="auto"/>
                <w:kern w:val="2"/>
                <w:sz w:val="24"/>
                <w:szCs w:val="24"/>
                <w:highlight w:val="none"/>
                <w:lang w:val="en-US" w:eastAsia="zh-CN" w:bidi="ar-SA"/>
              </w:rPr>
              <w:t>1</w:t>
            </w:r>
            <w:r>
              <w:rPr>
                <w:rFonts w:hint="default" w:ascii="Times New Roman" w:hAnsi="Times New Roman" w:eastAsia="宋体" w:cs="Times New Roman"/>
                <w:color w:val="auto"/>
                <w:kern w:val="2"/>
                <w:sz w:val="24"/>
                <w:szCs w:val="24"/>
                <w:highlight w:val="none"/>
                <w:lang w:val="en-US" w:eastAsia="zh-CN" w:bidi="ar-SA"/>
              </w:rPr>
              <w:t>次，每年更换活性炭质量（含被吸附的有机废气量）为约</w:t>
            </w:r>
            <w:r>
              <w:rPr>
                <w:rFonts w:hint="eastAsia" w:cs="Times New Roman"/>
                <w:color w:val="auto"/>
                <w:kern w:val="2"/>
                <w:sz w:val="24"/>
                <w:szCs w:val="24"/>
                <w:highlight w:val="none"/>
                <w:lang w:val="en-US" w:eastAsia="zh-CN" w:bidi="ar-SA"/>
              </w:rPr>
              <w:t>2.025</w:t>
            </w:r>
            <w:r>
              <w:rPr>
                <w:rFonts w:hint="default"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1*4</w:t>
            </w:r>
            <w:r>
              <w:rPr>
                <w:rFonts w:hint="default"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1.015</w:t>
            </w:r>
            <w:r>
              <w:rPr>
                <w:rFonts w:hint="default"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9.115</w:t>
            </w:r>
            <w:r>
              <w:rPr>
                <w:rFonts w:hint="default" w:ascii="Times New Roman" w:hAnsi="Times New Roman" w:eastAsia="宋体" w:cs="Times New Roman"/>
                <w:color w:val="auto"/>
                <w:kern w:val="2"/>
                <w:sz w:val="24"/>
                <w:szCs w:val="24"/>
                <w:highlight w:val="none"/>
                <w:lang w:val="en-US" w:eastAsia="zh-CN" w:bidi="ar-SA"/>
              </w:rPr>
              <w:t>t。项目实际用炭量大于理论需求量，故该措施可行。</w:t>
            </w:r>
            <w:r>
              <w:rPr>
                <w:rFonts w:hint="default" w:ascii="Times New Roman" w:hAnsi="Times New Roman" w:eastAsia="宋体" w:cs="Times New Roman"/>
                <w:color w:val="auto"/>
                <w:highlight w:val="none"/>
              </w:rPr>
              <w:t>根据《国家危险废物名录》（202</w:t>
            </w:r>
            <w:r>
              <w:rPr>
                <w:rFonts w:hint="eastAsia" w:cs="Times New Roman"/>
                <w:color w:val="auto"/>
                <w:highlight w:val="none"/>
                <w:lang w:val="en-US" w:eastAsia="zh-CN"/>
              </w:rPr>
              <w:t>5</w:t>
            </w:r>
            <w:r>
              <w:rPr>
                <w:rFonts w:hint="default" w:ascii="Times New Roman" w:hAnsi="Times New Roman" w:eastAsia="宋体" w:cs="Times New Roman"/>
                <w:color w:val="auto"/>
                <w:highlight w:val="none"/>
              </w:rPr>
              <w:t>年版），</w:t>
            </w:r>
            <w:r>
              <w:rPr>
                <w:rFonts w:hint="default" w:ascii="Times New Roman" w:hAnsi="Times New Roman" w:eastAsia="宋体" w:cs="Times New Roman"/>
                <w:color w:val="auto"/>
                <w:szCs w:val="24"/>
                <w:highlight w:val="none"/>
              </w:rPr>
              <w:t>废</w:t>
            </w:r>
            <w:r>
              <w:rPr>
                <w:rFonts w:hint="default" w:ascii="Times New Roman" w:hAnsi="Times New Roman" w:eastAsia="宋体" w:cs="Times New Roman"/>
                <w:color w:val="auto"/>
                <w:szCs w:val="24"/>
                <w:highlight w:val="none"/>
                <w:lang w:val="en-US" w:eastAsia="zh-CN"/>
              </w:rPr>
              <w:t>活性炭</w:t>
            </w:r>
            <w:r>
              <w:rPr>
                <w:rFonts w:hint="default" w:ascii="Times New Roman" w:hAnsi="Times New Roman" w:eastAsia="宋体" w:cs="Times New Roman"/>
                <w:color w:val="auto"/>
                <w:highlight w:val="none"/>
                <w:lang w:val="en-US" w:eastAsia="zh-CN"/>
              </w:rPr>
              <w:t>按“</w:t>
            </w:r>
            <w:r>
              <w:rPr>
                <w:rFonts w:hint="default" w:ascii="Times New Roman" w:hAnsi="Times New Roman" w:eastAsia="宋体" w:cs="Times New Roman"/>
                <w:color w:val="auto"/>
                <w:highlight w:val="none"/>
              </w:rPr>
              <w:t>HW</w:t>
            </w:r>
            <w:r>
              <w:rPr>
                <w:rFonts w:hint="default" w:ascii="Times New Roman" w:hAnsi="Times New Roman" w:eastAsia="宋体" w:cs="Times New Roman"/>
                <w:color w:val="auto"/>
                <w:highlight w:val="none"/>
                <w:lang w:val="en-US" w:eastAsia="zh-CN"/>
              </w:rPr>
              <w:t>49其他废物”分类</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其</w:t>
            </w:r>
            <w:r>
              <w:rPr>
                <w:rFonts w:hint="default" w:ascii="Times New Roman" w:hAnsi="Times New Roman" w:eastAsia="宋体" w:cs="Times New Roman"/>
                <w:color w:val="auto"/>
                <w:highlight w:val="none"/>
              </w:rPr>
              <w:t>代码</w:t>
            </w:r>
            <w:r>
              <w:rPr>
                <w:rFonts w:hint="default" w:ascii="Times New Roman" w:hAnsi="Times New Roman" w:eastAsia="宋体" w:cs="Times New Roman"/>
                <w:color w:val="auto"/>
                <w:highlight w:val="none"/>
                <w:lang w:val="en-US" w:eastAsia="zh-CN"/>
              </w:rPr>
              <w:t>为900-</w:t>
            </w:r>
            <w:r>
              <w:rPr>
                <w:rFonts w:hint="eastAsia" w:ascii="Times New Roman" w:hAnsi="Times New Roman" w:eastAsia="宋体" w:cs="Times New Roman"/>
                <w:color w:val="auto"/>
                <w:highlight w:val="none"/>
                <w:lang w:val="en-US" w:eastAsia="zh-CN"/>
              </w:rPr>
              <w:t>039</w:t>
            </w:r>
            <w:r>
              <w:rPr>
                <w:rFonts w:hint="default" w:ascii="Times New Roman" w:hAnsi="Times New Roman" w:eastAsia="宋体" w:cs="Times New Roman"/>
                <w:color w:val="auto"/>
                <w:highlight w:val="none"/>
                <w:lang w:val="en-US" w:eastAsia="zh-CN"/>
              </w:rPr>
              <w:t>-49，属于</w:t>
            </w:r>
            <w:r>
              <w:rPr>
                <w:rFonts w:hint="default" w:ascii="Times New Roman" w:hAnsi="Times New Roman" w:eastAsia="宋体" w:cs="Times New Roman"/>
                <w:color w:val="auto"/>
                <w:highlight w:val="none"/>
                <w:lang w:eastAsia="zh-CN"/>
              </w:rPr>
              <w:t>“烟气、</w:t>
            </w:r>
            <w:r>
              <w:rPr>
                <w:rFonts w:hint="default" w:ascii="Times New Roman" w:hAnsi="Times New Roman" w:eastAsia="宋体" w:cs="Times New Roman"/>
                <w:color w:val="auto"/>
                <w:highlight w:val="none"/>
                <w:lang w:val="en-US" w:eastAsia="zh-CN"/>
              </w:rPr>
              <w:t>VOCs</w:t>
            </w:r>
            <w:r>
              <w:rPr>
                <w:rFonts w:hint="default" w:ascii="Times New Roman" w:hAnsi="Times New Roman" w:eastAsia="宋体" w:cs="Times New Roman"/>
                <w:color w:val="auto"/>
                <w:highlight w:val="none"/>
                <w:lang w:eastAsia="zh-CN"/>
              </w:rPr>
              <w:t>治理过程（不包括餐饮行业油烟治理过程）产生的废活性炭，化学原料和化学制品脱色（不包括有机合成食品添加剂脱色）、除杂、净化过程产生的废活性炭（不包括</w:t>
            </w:r>
            <w:r>
              <w:rPr>
                <w:rFonts w:hint="default" w:ascii="Times New Roman" w:hAnsi="Times New Roman" w:eastAsia="宋体" w:cs="Times New Roman"/>
                <w:color w:val="auto"/>
                <w:highlight w:val="none"/>
                <w:lang w:val="en-US" w:eastAsia="zh-CN"/>
              </w:rPr>
              <w:t>900-405-06</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772-005-18</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261-053-29</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265-002-29</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384-003-29</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387-001-29</w:t>
            </w:r>
            <w:r>
              <w:rPr>
                <w:rFonts w:hint="default" w:ascii="Times New Roman" w:hAnsi="Times New Roman" w:eastAsia="宋体" w:cs="Times New Roman"/>
                <w:color w:val="auto"/>
                <w:highlight w:val="none"/>
                <w:lang w:eastAsia="zh-CN"/>
              </w:rPr>
              <w:t>类废物）</w:t>
            </w:r>
            <w:r>
              <w:rPr>
                <w:rFonts w:hint="default" w:ascii="Times New Roman" w:hAnsi="Times New Roman" w:eastAsia="宋体" w:cs="Times New Roman"/>
                <w:color w:val="auto"/>
                <w:highlight w:val="none"/>
              </w:rPr>
              <w:t>”，经统一收集后交由有危险废物处理资质的单位处理。</w:t>
            </w:r>
          </w:p>
          <w:p w14:paraId="2210C506">
            <w:pPr>
              <w:keepNext/>
              <w:keepLines/>
              <w:pageBreakBefore w:val="0"/>
              <w:widowControl w:val="0"/>
              <w:numPr>
                <w:ilvl w:val="5"/>
                <w:numId w:val="0"/>
              </w:numPr>
              <w:wordWrap w:val="0"/>
              <w:overflowPunct/>
              <w:bidi w:val="0"/>
              <w:spacing w:line="360" w:lineRule="auto"/>
              <w:ind w:firstLine="480" w:firstLineChars="200"/>
              <w:jc w:val="both"/>
              <w:outlineLvl w:val="5"/>
              <w:rPr>
                <w:rFonts w:hint="default"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⑤</w:t>
            </w:r>
            <w:r>
              <w:rPr>
                <w:rFonts w:hint="default" w:ascii="Times New Roman" w:hAnsi="Times New Roman" w:eastAsia="宋体" w:cs="Times New Roman"/>
                <w:b/>
                <w:bCs/>
                <w:color w:val="auto"/>
                <w:kern w:val="2"/>
                <w:sz w:val="24"/>
                <w:szCs w:val="24"/>
                <w:highlight w:val="none"/>
                <w:lang w:val="en-US" w:eastAsia="zh-CN" w:bidi="ar-SA"/>
              </w:rPr>
              <w:t>废</w:t>
            </w:r>
            <w:r>
              <w:rPr>
                <w:rFonts w:hint="eastAsia" w:cs="Times New Roman"/>
                <w:b/>
                <w:bCs/>
                <w:color w:val="auto"/>
                <w:kern w:val="2"/>
                <w:sz w:val="24"/>
                <w:szCs w:val="24"/>
                <w:highlight w:val="none"/>
                <w:lang w:val="en-US" w:eastAsia="zh-CN" w:bidi="ar-SA"/>
              </w:rPr>
              <w:t>包装</w:t>
            </w:r>
            <w:r>
              <w:rPr>
                <w:rFonts w:hint="default" w:ascii="Times New Roman" w:hAnsi="Times New Roman" w:eastAsia="宋体" w:cs="Times New Roman"/>
                <w:b/>
                <w:bCs/>
                <w:color w:val="auto"/>
                <w:kern w:val="2"/>
                <w:sz w:val="24"/>
                <w:szCs w:val="24"/>
                <w:highlight w:val="none"/>
                <w:lang w:val="en-US" w:eastAsia="zh-CN" w:bidi="ar-SA"/>
              </w:rPr>
              <w:t>桶</w:t>
            </w:r>
          </w:p>
          <w:p w14:paraId="1485594C">
            <w:pPr>
              <w:keepNext/>
              <w:keepLines/>
              <w:pageBreakBefore w:val="0"/>
              <w:widowControl w:val="0"/>
              <w:numPr>
                <w:ilvl w:val="5"/>
                <w:numId w:val="0"/>
              </w:numPr>
              <w:wordWrap w:val="0"/>
              <w:overflowPunct/>
              <w:bidi w:val="0"/>
              <w:spacing w:line="360" w:lineRule="auto"/>
              <w:ind w:firstLine="480" w:firstLineChars="200"/>
              <w:jc w:val="both"/>
              <w:outlineLvl w:val="5"/>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本项目生产过程使用的液态原辅材料均为桶式包装，按其理化性质区分，桶内沾染物主要为</w:t>
            </w:r>
            <w:r>
              <w:rPr>
                <w:rFonts w:hint="eastAsia" w:cs="Times New Roman"/>
                <w:color w:val="auto"/>
                <w:kern w:val="2"/>
                <w:sz w:val="24"/>
                <w:szCs w:val="21"/>
                <w:highlight w:val="none"/>
                <w:lang w:val="en-US" w:eastAsia="zh-CN" w:bidi="ar-SA"/>
              </w:rPr>
              <w:t>有机溶剂</w:t>
            </w:r>
            <w:r>
              <w:rPr>
                <w:rFonts w:hint="default" w:ascii="Times New Roman" w:hAnsi="Times New Roman" w:eastAsia="宋体" w:cs="Times New Roman"/>
                <w:color w:val="auto"/>
                <w:kern w:val="2"/>
                <w:sz w:val="24"/>
                <w:szCs w:val="21"/>
                <w:highlight w:val="none"/>
                <w:lang w:val="en-US" w:eastAsia="zh-CN" w:bidi="ar-SA"/>
              </w:rPr>
              <w:t>，原</w:t>
            </w:r>
            <w:r>
              <w:rPr>
                <w:rFonts w:hint="eastAsia" w:cs="Times New Roman"/>
                <w:color w:val="auto"/>
                <w:kern w:val="2"/>
                <w:sz w:val="24"/>
                <w:szCs w:val="21"/>
                <w:highlight w:val="none"/>
                <w:lang w:val="en-US" w:eastAsia="zh-CN" w:bidi="ar-SA"/>
              </w:rPr>
              <w:t>辅</w:t>
            </w:r>
            <w:r>
              <w:rPr>
                <w:rFonts w:hint="default" w:ascii="Times New Roman" w:hAnsi="Times New Roman" w:eastAsia="宋体" w:cs="Times New Roman"/>
                <w:color w:val="auto"/>
                <w:kern w:val="2"/>
                <w:sz w:val="24"/>
                <w:szCs w:val="21"/>
                <w:highlight w:val="none"/>
                <w:lang w:val="en-US" w:eastAsia="zh-CN" w:bidi="ar-SA"/>
              </w:rPr>
              <w:t>料桶规格有：</w:t>
            </w:r>
            <w:r>
              <w:rPr>
                <w:rFonts w:hint="eastAsia" w:cs="Times New Roman"/>
                <w:color w:val="auto"/>
                <w:kern w:val="2"/>
                <w:sz w:val="24"/>
                <w:szCs w:val="21"/>
                <w:highlight w:val="none"/>
                <w:lang w:val="en-US" w:eastAsia="zh-CN" w:bidi="ar-SA"/>
              </w:rPr>
              <w:t>油墨空桶</w:t>
            </w:r>
            <w:r>
              <w:rPr>
                <w:rFonts w:hint="default" w:ascii="Times New Roman" w:hAnsi="Times New Roman" w:eastAsia="宋体" w:cs="Times New Roman"/>
                <w:color w:val="auto"/>
                <w:kern w:val="2"/>
                <w:sz w:val="24"/>
                <w:szCs w:val="21"/>
                <w:highlight w:val="none"/>
                <w:lang w:val="en-US" w:eastAsia="zh-CN" w:bidi="ar-SA"/>
              </w:rPr>
              <w:t>-</w:t>
            </w:r>
            <w:r>
              <w:rPr>
                <w:rFonts w:hint="eastAsia" w:cs="Times New Roman"/>
                <w:color w:val="auto"/>
                <w:kern w:val="2"/>
                <w:sz w:val="24"/>
                <w:szCs w:val="21"/>
                <w:highlight w:val="none"/>
                <w:lang w:val="en-US" w:eastAsia="zh-CN" w:bidi="ar-SA"/>
              </w:rPr>
              <w:t>10</w:t>
            </w:r>
            <w:r>
              <w:rPr>
                <w:rFonts w:hint="default" w:ascii="Times New Roman" w:hAnsi="Times New Roman" w:eastAsia="宋体" w:cs="Times New Roman"/>
                <w:color w:val="auto"/>
                <w:kern w:val="2"/>
                <w:sz w:val="24"/>
                <w:szCs w:val="21"/>
                <w:highlight w:val="none"/>
                <w:lang w:val="en-US" w:eastAsia="zh-CN" w:bidi="ar-SA"/>
              </w:rPr>
              <w:t>kg/桶，空桶按</w:t>
            </w:r>
            <w:r>
              <w:rPr>
                <w:rFonts w:hint="eastAsia" w:cs="Times New Roman"/>
                <w:color w:val="auto"/>
                <w:kern w:val="2"/>
                <w:sz w:val="24"/>
                <w:szCs w:val="21"/>
                <w:highlight w:val="none"/>
                <w:lang w:val="en-US" w:eastAsia="zh-CN" w:bidi="ar-SA"/>
              </w:rPr>
              <w:t>0.25</w:t>
            </w:r>
            <w:r>
              <w:rPr>
                <w:rFonts w:hint="default" w:ascii="Times New Roman" w:hAnsi="Times New Roman" w:eastAsia="宋体" w:cs="Times New Roman"/>
                <w:color w:val="auto"/>
                <w:kern w:val="2"/>
                <w:sz w:val="24"/>
                <w:szCs w:val="21"/>
                <w:highlight w:val="none"/>
                <w:lang w:val="en-US" w:eastAsia="zh-CN" w:bidi="ar-SA"/>
              </w:rPr>
              <w:t>kg/个计；</w:t>
            </w:r>
            <w:r>
              <w:rPr>
                <w:rFonts w:hint="eastAsia" w:cs="Times New Roman"/>
                <w:color w:val="auto"/>
                <w:kern w:val="2"/>
                <w:sz w:val="24"/>
                <w:szCs w:val="21"/>
                <w:highlight w:val="none"/>
                <w:lang w:val="en-US" w:eastAsia="zh-CN" w:bidi="ar-SA"/>
              </w:rPr>
              <w:t>各类漆料、稀释剂、固化剂、</w:t>
            </w:r>
            <w:r>
              <w:rPr>
                <w:rFonts w:hint="default" w:ascii="Times New Roman" w:hAnsi="Times New Roman" w:cs="Times New Roman"/>
                <w:b w:val="0"/>
                <w:bCs w:val="0"/>
                <w:color w:val="auto"/>
                <w:sz w:val="24"/>
                <w:szCs w:val="24"/>
                <w:highlight w:val="none"/>
              </w:rPr>
              <w:t>pH调整剂</w:t>
            </w:r>
            <w:r>
              <w:rPr>
                <w:rFonts w:hint="default" w:ascii="Times New Roman" w:hAnsi="Times New Roman" w:eastAsia="宋体" w:cs="Times New Roman"/>
                <w:color w:val="auto"/>
                <w:kern w:val="2"/>
                <w:sz w:val="24"/>
                <w:szCs w:val="21"/>
                <w:highlight w:val="none"/>
                <w:lang w:val="en-US" w:eastAsia="zh-CN" w:bidi="ar-SA"/>
              </w:rPr>
              <w:t>-</w:t>
            </w:r>
            <w:r>
              <w:rPr>
                <w:rFonts w:hint="eastAsia" w:cs="Times New Roman"/>
                <w:color w:val="auto"/>
                <w:kern w:val="2"/>
                <w:sz w:val="24"/>
                <w:szCs w:val="21"/>
                <w:highlight w:val="none"/>
                <w:lang w:val="en-US" w:eastAsia="zh-CN" w:bidi="ar-SA"/>
              </w:rPr>
              <w:t>25</w:t>
            </w:r>
            <w:r>
              <w:rPr>
                <w:rFonts w:hint="default" w:ascii="Times New Roman" w:hAnsi="Times New Roman" w:eastAsia="宋体" w:cs="Times New Roman"/>
                <w:color w:val="auto"/>
                <w:kern w:val="2"/>
                <w:sz w:val="24"/>
                <w:szCs w:val="21"/>
                <w:highlight w:val="none"/>
                <w:lang w:val="en-US" w:eastAsia="zh-CN" w:bidi="ar-SA"/>
              </w:rPr>
              <w:t>kg/桶，空桶按1kg/个计；</w:t>
            </w:r>
            <w:r>
              <w:rPr>
                <w:rFonts w:hint="eastAsia" w:cs="Times New Roman"/>
                <w:color w:val="auto"/>
                <w:kern w:val="2"/>
                <w:sz w:val="24"/>
                <w:szCs w:val="21"/>
                <w:highlight w:val="none"/>
                <w:lang w:val="en-US" w:eastAsia="zh-CN" w:bidi="ar-SA"/>
              </w:rPr>
              <w:t>脱脂剂、磷化剂、除锈剂、酒精、网版清洗剂</w:t>
            </w:r>
            <w:r>
              <w:rPr>
                <w:rFonts w:hint="default" w:ascii="Times New Roman" w:hAnsi="Times New Roman" w:eastAsia="宋体" w:cs="Times New Roman"/>
                <w:color w:val="auto"/>
                <w:kern w:val="2"/>
                <w:sz w:val="24"/>
                <w:szCs w:val="21"/>
                <w:highlight w:val="none"/>
                <w:lang w:val="en-US" w:eastAsia="zh-CN" w:bidi="ar-SA"/>
              </w:rPr>
              <w:t>，空桶按</w:t>
            </w:r>
            <w:r>
              <w:rPr>
                <w:rFonts w:hint="eastAsia" w:cs="Times New Roman"/>
                <w:color w:val="auto"/>
                <w:kern w:val="2"/>
                <w:sz w:val="24"/>
                <w:szCs w:val="21"/>
                <w:highlight w:val="none"/>
                <w:lang w:val="en-US" w:eastAsia="zh-CN" w:bidi="ar-SA"/>
              </w:rPr>
              <w:t>1.5</w:t>
            </w:r>
            <w:r>
              <w:rPr>
                <w:rFonts w:hint="default" w:ascii="Times New Roman" w:hAnsi="Times New Roman" w:eastAsia="宋体" w:cs="Times New Roman"/>
                <w:color w:val="auto"/>
                <w:kern w:val="2"/>
                <w:sz w:val="24"/>
                <w:szCs w:val="21"/>
                <w:highlight w:val="none"/>
                <w:lang w:val="en-US" w:eastAsia="zh-CN" w:bidi="ar-SA"/>
              </w:rPr>
              <w:t>kg/个计。则本项目产生废桶约为：</w:t>
            </w:r>
            <w:r>
              <w:rPr>
                <w:rFonts w:hint="eastAsia" w:cs="Times New Roman"/>
                <w:color w:val="auto"/>
                <w:kern w:val="2"/>
                <w:sz w:val="24"/>
                <w:szCs w:val="21"/>
                <w:highlight w:val="none"/>
                <w:lang w:val="en-US" w:eastAsia="zh-CN" w:bidi="ar-SA"/>
              </w:rPr>
              <w:t>11桶</w:t>
            </w:r>
            <w:r>
              <w:rPr>
                <w:rFonts w:hint="default" w:ascii="Times New Roman" w:hAnsi="Times New Roman" w:eastAsia="宋体" w:cs="Times New Roman"/>
                <w:color w:val="auto"/>
                <w:kern w:val="2"/>
                <w:sz w:val="24"/>
                <w:szCs w:val="21"/>
                <w:highlight w:val="none"/>
                <w:lang w:val="en-US" w:eastAsia="zh-CN" w:bidi="ar-SA"/>
              </w:rPr>
              <w:t>×</w:t>
            </w:r>
            <w:r>
              <w:rPr>
                <w:rFonts w:hint="eastAsia" w:cs="Times New Roman"/>
                <w:color w:val="auto"/>
                <w:kern w:val="2"/>
                <w:sz w:val="24"/>
                <w:szCs w:val="21"/>
                <w:highlight w:val="none"/>
                <w:lang w:val="en-US" w:eastAsia="zh-CN" w:bidi="ar-SA"/>
              </w:rPr>
              <w:t>0.25</w:t>
            </w:r>
            <w:r>
              <w:rPr>
                <w:rFonts w:hint="default" w:ascii="Times New Roman" w:hAnsi="Times New Roman" w:eastAsia="宋体" w:cs="Times New Roman"/>
                <w:color w:val="auto"/>
                <w:kern w:val="2"/>
                <w:sz w:val="24"/>
                <w:szCs w:val="21"/>
                <w:highlight w:val="none"/>
                <w:lang w:val="en-US" w:eastAsia="zh-CN" w:bidi="ar-SA"/>
              </w:rPr>
              <w:t>kg/桶+</w:t>
            </w:r>
            <w:r>
              <w:rPr>
                <w:rFonts w:hint="eastAsia" w:cs="Times New Roman"/>
                <w:color w:val="auto"/>
                <w:kern w:val="2"/>
                <w:sz w:val="24"/>
                <w:szCs w:val="21"/>
                <w:highlight w:val="none"/>
                <w:lang w:val="en-US" w:eastAsia="zh-CN" w:bidi="ar-SA"/>
              </w:rPr>
              <w:t>（41+98+20+2+8）桶</w:t>
            </w:r>
            <w:r>
              <w:rPr>
                <w:rFonts w:hint="default" w:ascii="Times New Roman" w:hAnsi="Times New Roman" w:eastAsia="宋体" w:cs="Times New Roman"/>
                <w:color w:val="auto"/>
                <w:kern w:val="2"/>
                <w:sz w:val="24"/>
                <w:szCs w:val="21"/>
                <w:highlight w:val="none"/>
                <w:lang w:val="en-US" w:eastAsia="zh-CN" w:bidi="ar-SA"/>
              </w:rPr>
              <w:t>×</w:t>
            </w:r>
            <w:r>
              <w:rPr>
                <w:rFonts w:hint="eastAsia" w:cs="Times New Roman"/>
                <w:color w:val="auto"/>
                <w:kern w:val="2"/>
                <w:sz w:val="24"/>
                <w:szCs w:val="21"/>
                <w:highlight w:val="none"/>
                <w:lang w:val="en-US" w:eastAsia="zh-CN" w:bidi="ar-SA"/>
              </w:rPr>
              <w:t>1</w:t>
            </w:r>
            <w:r>
              <w:rPr>
                <w:rFonts w:hint="default" w:ascii="Times New Roman" w:hAnsi="Times New Roman" w:eastAsia="宋体" w:cs="Times New Roman"/>
                <w:color w:val="auto"/>
                <w:kern w:val="2"/>
                <w:sz w:val="24"/>
                <w:szCs w:val="21"/>
                <w:highlight w:val="none"/>
                <w:lang w:val="en-US" w:eastAsia="zh-CN" w:bidi="ar-SA"/>
              </w:rPr>
              <w:t>kg/桶</w:t>
            </w:r>
            <w:r>
              <w:rPr>
                <w:rFonts w:hint="eastAsia" w:cs="Times New Roman"/>
                <w:color w:val="auto"/>
                <w:kern w:val="2"/>
                <w:sz w:val="24"/>
                <w:szCs w:val="21"/>
                <w:highlight w:val="none"/>
                <w:lang w:val="en-US" w:eastAsia="zh-CN" w:bidi="ar-SA"/>
              </w:rPr>
              <w:t>+（72+60+48+10+6）桶</w:t>
            </w:r>
            <w:r>
              <w:rPr>
                <w:rFonts w:hint="default" w:ascii="Times New Roman" w:hAnsi="Times New Roman" w:eastAsia="宋体" w:cs="Times New Roman"/>
                <w:color w:val="auto"/>
                <w:kern w:val="2"/>
                <w:sz w:val="24"/>
                <w:szCs w:val="21"/>
                <w:highlight w:val="none"/>
                <w:lang w:val="en-US" w:eastAsia="zh-CN" w:bidi="ar-SA"/>
              </w:rPr>
              <w:t>×</w:t>
            </w:r>
            <w:r>
              <w:rPr>
                <w:rFonts w:hint="eastAsia" w:cs="Times New Roman"/>
                <w:color w:val="auto"/>
                <w:kern w:val="2"/>
                <w:sz w:val="24"/>
                <w:szCs w:val="21"/>
                <w:highlight w:val="none"/>
                <w:lang w:val="en-US" w:eastAsia="zh-CN" w:bidi="ar-SA"/>
              </w:rPr>
              <w:t>1.5</w:t>
            </w:r>
            <w:r>
              <w:rPr>
                <w:rFonts w:hint="default" w:ascii="Times New Roman" w:hAnsi="Times New Roman" w:eastAsia="宋体" w:cs="Times New Roman"/>
                <w:color w:val="auto"/>
                <w:kern w:val="2"/>
                <w:sz w:val="24"/>
                <w:szCs w:val="21"/>
                <w:highlight w:val="none"/>
                <w:lang w:val="en-US" w:eastAsia="zh-CN" w:bidi="ar-SA"/>
              </w:rPr>
              <w:t>kg/桶=</w:t>
            </w:r>
            <w:r>
              <w:rPr>
                <w:rFonts w:hint="eastAsia" w:cs="Times New Roman"/>
                <w:color w:val="auto"/>
                <w:kern w:val="2"/>
                <w:sz w:val="24"/>
                <w:szCs w:val="21"/>
                <w:highlight w:val="none"/>
                <w:lang w:val="en-US" w:eastAsia="zh-CN" w:bidi="ar-SA"/>
              </w:rPr>
              <w:t>0.5</w:t>
            </w:r>
            <w:r>
              <w:rPr>
                <w:rFonts w:hint="default" w:ascii="Times New Roman" w:hAnsi="Times New Roman" w:eastAsia="宋体" w:cs="Times New Roman"/>
                <w:color w:val="auto"/>
                <w:kern w:val="2"/>
                <w:sz w:val="24"/>
                <w:szCs w:val="21"/>
                <w:highlight w:val="none"/>
                <w:lang w:val="en-US" w:eastAsia="zh-CN" w:bidi="ar-SA"/>
              </w:rPr>
              <w:t>t/a。</w:t>
            </w:r>
          </w:p>
          <w:p w14:paraId="56CA2BE9">
            <w:pPr>
              <w:keepNext/>
              <w:keepLines/>
              <w:pageBreakBefore w:val="0"/>
              <w:widowControl w:val="0"/>
              <w:numPr>
                <w:ilvl w:val="5"/>
                <w:numId w:val="0"/>
              </w:numPr>
              <w:wordWrap w:val="0"/>
              <w:overflowPunct/>
              <w:bidi w:val="0"/>
              <w:spacing w:line="360" w:lineRule="auto"/>
              <w:ind w:firstLine="480" w:firstLineChars="200"/>
              <w:jc w:val="both"/>
              <w:outlineLvl w:val="5"/>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根据《国家危险废物名录》（202</w:t>
            </w:r>
            <w:r>
              <w:rPr>
                <w:rFonts w:hint="eastAsia" w:cs="Times New Roman"/>
                <w:color w:val="auto"/>
                <w:kern w:val="2"/>
                <w:sz w:val="24"/>
                <w:szCs w:val="21"/>
                <w:highlight w:val="none"/>
                <w:lang w:val="en-US" w:eastAsia="zh-CN" w:bidi="ar-SA"/>
              </w:rPr>
              <w:t>5</w:t>
            </w:r>
            <w:r>
              <w:rPr>
                <w:rFonts w:hint="default" w:ascii="Times New Roman" w:hAnsi="Times New Roman" w:eastAsia="宋体" w:cs="Times New Roman"/>
                <w:color w:val="auto"/>
                <w:kern w:val="2"/>
                <w:sz w:val="24"/>
                <w:szCs w:val="21"/>
                <w:highlight w:val="none"/>
                <w:lang w:val="en-US" w:eastAsia="zh-CN" w:bidi="ar-SA"/>
              </w:rPr>
              <w:t>年版），</w:t>
            </w:r>
            <w:r>
              <w:rPr>
                <w:rFonts w:hint="eastAsia" w:cs="Times New Roman"/>
                <w:color w:val="auto"/>
                <w:kern w:val="2"/>
                <w:sz w:val="24"/>
                <w:szCs w:val="21"/>
                <w:highlight w:val="none"/>
                <w:lang w:val="en-US" w:eastAsia="zh-CN" w:bidi="ar-SA"/>
              </w:rPr>
              <w:t>废原料桶按</w:t>
            </w:r>
            <w:r>
              <w:rPr>
                <w:rFonts w:hint="default" w:ascii="Times New Roman" w:hAnsi="Times New Roman" w:eastAsia="宋体" w:cs="Times New Roman"/>
                <w:color w:val="auto"/>
                <w:kern w:val="2"/>
                <w:sz w:val="24"/>
                <w:szCs w:val="21"/>
                <w:highlight w:val="none"/>
                <w:lang w:val="en-US" w:eastAsia="zh-CN" w:bidi="ar-SA"/>
              </w:rPr>
              <w:t>“HW49其他废物”分类，其代码为900-041-49，属于“含有或沾染毒性、感染性危险废物的废弃包装物、容器、过滤吸附介质”，经统一收集后交由有危险废物处理资质的单位处理。</w:t>
            </w:r>
          </w:p>
          <w:p w14:paraId="6FAAE978">
            <w:pPr>
              <w:keepNext/>
              <w:keepLines/>
              <w:pageBreakBefore w:val="0"/>
              <w:widowControl w:val="0"/>
              <w:numPr>
                <w:ilvl w:val="5"/>
                <w:numId w:val="0"/>
              </w:numPr>
              <w:wordWrap w:val="0"/>
              <w:overflowPunct/>
              <w:bidi w:val="0"/>
              <w:spacing w:line="360" w:lineRule="auto"/>
              <w:ind w:firstLine="480" w:firstLineChars="200"/>
              <w:jc w:val="both"/>
              <w:outlineLvl w:val="5"/>
              <w:rPr>
                <w:rFonts w:hint="default"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⑥</w:t>
            </w:r>
            <w:r>
              <w:rPr>
                <w:rFonts w:hint="default" w:ascii="Times New Roman" w:hAnsi="Times New Roman" w:eastAsia="宋体" w:cs="Times New Roman"/>
                <w:b/>
                <w:bCs/>
                <w:color w:val="auto"/>
                <w:kern w:val="2"/>
                <w:sz w:val="24"/>
                <w:szCs w:val="24"/>
                <w:highlight w:val="none"/>
                <w:lang w:val="en-US" w:eastAsia="zh-CN" w:bidi="ar-SA"/>
              </w:rPr>
              <w:t>废油桶</w:t>
            </w:r>
          </w:p>
          <w:p w14:paraId="608DEACC">
            <w:pPr>
              <w:pageBreakBefore w:val="0"/>
              <w:wordWrap w:val="0"/>
              <w:overflowPunct/>
              <w:bidi w:val="0"/>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保养设备设施会用到</w:t>
            </w:r>
            <w:r>
              <w:rPr>
                <w:rFonts w:hint="eastAsia" w:cs="Times New Roman"/>
                <w:color w:val="auto"/>
                <w:highlight w:val="none"/>
                <w:lang w:val="en-US" w:eastAsia="zh-CN"/>
              </w:rPr>
              <w:t>机</w:t>
            </w:r>
            <w:r>
              <w:rPr>
                <w:rFonts w:hint="default" w:ascii="Times New Roman" w:hAnsi="Times New Roman" w:eastAsia="宋体" w:cs="Times New Roman"/>
                <w:color w:val="auto"/>
                <w:highlight w:val="none"/>
                <w:lang w:val="en-US" w:eastAsia="zh-CN"/>
              </w:rPr>
              <w:t>油</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其规格为</w:t>
            </w:r>
            <w:r>
              <w:rPr>
                <w:rFonts w:hint="default" w:ascii="Times New Roman" w:hAnsi="Times New Roman" w:eastAsia="宋体" w:cs="Times New Roman"/>
                <w:color w:val="auto"/>
                <w:highlight w:val="none"/>
              </w:rPr>
              <w:t>20kg/桶，</w:t>
            </w:r>
            <w:r>
              <w:rPr>
                <w:rFonts w:hint="eastAsia" w:cs="Times New Roman"/>
                <w:color w:val="auto"/>
                <w:highlight w:val="none"/>
                <w:lang w:val="en-US" w:eastAsia="zh-CN"/>
              </w:rPr>
              <w:t>机</w:t>
            </w:r>
            <w:r>
              <w:rPr>
                <w:rFonts w:hint="default" w:ascii="Times New Roman" w:hAnsi="Times New Roman" w:eastAsia="宋体" w:cs="Times New Roman"/>
                <w:color w:val="auto"/>
                <w:highlight w:val="none"/>
                <w:lang w:val="en-US" w:eastAsia="zh-CN"/>
              </w:rPr>
              <w:t>油</w:t>
            </w:r>
            <w:r>
              <w:rPr>
                <w:rFonts w:hint="default" w:ascii="Times New Roman" w:hAnsi="Times New Roman" w:eastAsia="宋体" w:cs="Times New Roman"/>
                <w:color w:val="auto"/>
                <w:highlight w:val="none"/>
              </w:rPr>
              <w:t>空桶按1kg/桶计算</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本项目产生废油桶约</w:t>
            </w:r>
            <w:r>
              <w:rPr>
                <w:rFonts w:hint="eastAsia" w:cs="Times New Roman"/>
                <w:color w:val="auto"/>
                <w:highlight w:val="none"/>
                <w:lang w:val="en-US" w:eastAsia="zh-CN"/>
              </w:rPr>
              <w:t>10</w:t>
            </w: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1</w:t>
            </w:r>
            <w:r>
              <w:rPr>
                <w:rFonts w:hint="default" w:ascii="Times New Roman" w:hAnsi="Times New Roman" w:eastAsia="宋体" w:cs="Times New Roman"/>
                <w:color w:val="auto"/>
                <w:highlight w:val="none"/>
                <w:lang w:val="en-US" w:eastAsia="zh-CN"/>
              </w:rPr>
              <w:t>kg=</w:t>
            </w:r>
            <w:r>
              <w:rPr>
                <w:rFonts w:hint="eastAsia" w:cs="Times New Roman"/>
                <w:color w:val="auto"/>
                <w:highlight w:val="none"/>
                <w:lang w:val="en-US" w:eastAsia="zh-CN"/>
              </w:rPr>
              <w:t>0.01</w:t>
            </w:r>
            <w:r>
              <w:rPr>
                <w:rFonts w:hint="default" w:ascii="Times New Roman" w:hAnsi="Times New Roman" w:eastAsia="宋体" w:cs="Times New Roman"/>
                <w:color w:val="auto"/>
                <w:highlight w:val="none"/>
              </w:rPr>
              <w:t>t/a</w:t>
            </w:r>
          </w:p>
          <w:p w14:paraId="762BC1C1">
            <w:pPr>
              <w:pageBreakBefore w:val="0"/>
              <w:wordWrap w:val="0"/>
              <w:overflowPunct/>
              <w:bidi w:val="0"/>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根据《国家危险废物名录》（202</w:t>
            </w:r>
            <w:r>
              <w:rPr>
                <w:rFonts w:hint="eastAsia" w:cs="Times New Roman"/>
                <w:color w:val="auto"/>
                <w:highlight w:val="none"/>
                <w:lang w:val="en-US" w:eastAsia="zh-CN"/>
              </w:rPr>
              <w:t>5</w:t>
            </w:r>
            <w:r>
              <w:rPr>
                <w:rFonts w:hint="default" w:ascii="Times New Roman" w:hAnsi="Times New Roman" w:eastAsia="宋体" w:cs="Times New Roman"/>
                <w:color w:val="auto"/>
                <w:highlight w:val="none"/>
              </w:rPr>
              <w:t>年版），废油桶</w:t>
            </w:r>
            <w:r>
              <w:rPr>
                <w:rFonts w:hint="default" w:ascii="Times New Roman" w:hAnsi="Times New Roman" w:eastAsia="宋体" w:cs="Times New Roman"/>
                <w:color w:val="auto"/>
                <w:highlight w:val="none"/>
                <w:lang w:val="en-US" w:eastAsia="zh-CN"/>
              </w:rPr>
              <w:t>按“</w:t>
            </w:r>
            <w:r>
              <w:rPr>
                <w:rFonts w:hint="default" w:ascii="Times New Roman" w:hAnsi="Times New Roman" w:eastAsia="宋体" w:cs="Times New Roman"/>
                <w:color w:val="auto"/>
                <w:highlight w:val="none"/>
              </w:rPr>
              <w:t>HW</w:t>
            </w:r>
            <w:r>
              <w:rPr>
                <w:rFonts w:hint="default" w:ascii="Times New Roman" w:hAnsi="Times New Roman" w:eastAsia="宋体" w:cs="Times New Roman"/>
                <w:color w:val="auto"/>
                <w:highlight w:val="none"/>
                <w:lang w:val="en-US" w:eastAsia="zh-CN"/>
              </w:rPr>
              <w:t>08废矿物油与含矿物油废物”分类</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其</w:t>
            </w:r>
            <w:r>
              <w:rPr>
                <w:rFonts w:hint="default" w:ascii="Times New Roman" w:hAnsi="Times New Roman" w:eastAsia="宋体" w:cs="Times New Roman"/>
                <w:color w:val="auto"/>
                <w:highlight w:val="none"/>
              </w:rPr>
              <w:t>代码</w:t>
            </w:r>
            <w:r>
              <w:rPr>
                <w:rFonts w:hint="default" w:ascii="Times New Roman" w:hAnsi="Times New Roman" w:eastAsia="宋体" w:cs="Times New Roman"/>
                <w:color w:val="auto"/>
                <w:highlight w:val="none"/>
                <w:lang w:val="en-US" w:eastAsia="zh-CN"/>
              </w:rPr>
              <w:t>为</w:t>
            </w:r>
            <w:r>
              <w:rPr>
                <w:rFonts w:hint="default" w:ascii="Times New Roman" w:hAnsi="Times New Roman" w:eastAsia="宋体" w:cs="Times New Roman"/>
                <w:color w:val="auto"/>
                <w:highlight w:val="none"/>
              </w:rPr>
              <w:t>900-249-08</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属于</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其他生产、销售、使用过程中产生的废矿物油及沾染矿物油的废弃包装物”，经统一收集后交由有危险废物处理资质的单位处理。</w:t>
            </w:r>
          </w:p>
          <w:p w14:paraId="091BC7E3">
            <w:pPr>
              <w:keepNext/>
              <w:keepLines/>
              <w:pageBreakBefore w:val="0"/>
              <w:widowControl w:val="0"/>
              <w:numPr>
                <w:ilvl w:val="5"/>
                <w:numId w:val="0"/>
              </w:numPr>
              <w:wordWrap w:val="0"/>
              <w:overflowPunct/>
              <w:bidi w:val="0"/>
              <w:spacing w:line="360" w:lineRule="auto"/>
              <w:ind w:firstLine="480" w:firstLineChars="200"/>
              <w:jc w:val="both"/>
              <w:outlineLvl w:val="5"/>
              <w:rPr>
                <w:rFonts w:hint="default"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1"/>
                <w:highlight w:val="none"/>
                <w:lang w:val="en-US" w:eastAsia="zh-CN" w:bidi="ar-SA"/>
              </w:rPr>
              <w:t>⑦</w:t>
            </w:r>
            <w:r>
              <w:rPr>
                <w:rFonts w:hint="default" w:ascii="Times New Roman" w:hAnsi="Times New Roman" w:eastAsia="宋体" w:cs="Times New Roman"/>
                <w:b/>
                <w:bCs/>
                <w:color w:val="auto"/>
                <w:kern w:val="2"/>
                <w:sz w:val="24"/>
                <w:szCs w:val="24"/>
                <w:highlight w:val="none"/>
                <w:lang w:val="en-US" w:eastAsia="zh-CN" w:bidi="ar-SA"/>
              </w:rPr>
              <w:t>废</w:t>
            </w:r>
            <w:r>
              <w:rPr>
                <w:rFonts w:hint="eastAsia" w:cs="Times New Roman"/>
                <w:b/>
                <w:bCs/>
                <w:color w:val="auto"/>
                <w:kern w:val="2"/>
                <w:sz w:val="24"/>
                <w:szCs w:val="24"/>
                <w:highlight w:val="none"/>
                <w:lang w:val="en-US" w:eastAsia="zh-CN" w:bidi="ar-SA"/>
              </w:rPr>
              <w:t>机</w:t>
            </w:r>
            <w:r>
              <w:rPr>
                <w:rFonts w:hint="default" w:ascii="Times New Roman" w:hAnsi="Times New Roman" w:eastAsia="宋体" w:cs="Times New Roman"/>
                <w:b/>
                <w:bCs/>
                <w:color w:val="auto"/>
                <w:kern w:val="2"/>
                <w:sz w:val="24"/>
                <w:szCs w:val="24"/>
                <w:highlight w:val="none"/>
                <w:lang w:val="en-US" w:eastAsia="zh-CN" w:bidi="ar-SA"/>
              </w:rPr>
              <w:t>油</w:t>
            </w:r>
          </w:p>
          <w:p w14:paraId="2A665DAA">
            <w:pPr>
              <w:keepNext/>
              <w:keepLines/>
              <w:pageBreakBefore w:val="0"/>
              <w:widowControl w:val="0"/>
              <w:numPr>
                <w:ilvl w:val="5"/>
                <w:numId w:val="0"/>
              </w:numPr>
              <w:wordWrap w:val="0"/>
              <w:overflowPunct/>
              <w:bidi w:val="0"/>
              <w:spacing w:line="360" w:lineRule="auto"/>
              <w:ind w:firstLine="480" w:firstLineChars="200"/>
              <w:jc w:val="both"/>
              <w:outlineLvl w:val="5"/>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本项目在进行设备保养的过程中会产生废</w:t>
            </w:r>
            <w:r>
              <w:rPr>
                <w:rFonts w:hint="eastAsia" w:cs="Times New Roman"/>
                <w:color w:val="auto"/>
                <w:kern w:val="2"/>
                <w:sz w:val="24"/>
                <w:szCs w:val="21"/>
                <w:highlight w:val="none"/>
                <w:lang w:val="en-US" w:eastAsia="zh-CN" w:bidi="ar-SA"/>
              </w:rPr>
              <w:t>机</w:t>
            </w:r>
            <w:r>
              <w:rPr>
                <w:rFonts w:hint="default" w:ascii="Times New Roman" w:hAnsi="Times New Roman" w:eastAsia="宋体" w:cs="Times New Roman"/>
                <w:color w:val="auto"/>
                <w:kern w:val="2"/>
                <w:sz w:val="24"/>
                <w:szCs w:val="21"/>
                <w:highlight w:val="none"/>
                <w:lang w:val="en-US" w:eastAsia="zh-CN" w:bidi="ar-SA"/>
              </w:rPr>
              <w:t>油，产生量</w:t>
            </w:r>
            <w:r>
              <w:rPr>
                <w:rFonts w:hint="default" w:ascii="Times New Roman" w:hAnsi="Times New Roman" w:eastAsia="宋体" w:cs="Times New Roman"/>
                <w:color w:val="auto"/>
                <w:kern w:val="0"/>
                <w:sz w:val="24"/>
                <w:szCs w:val="24"/>
                <w:highlight w:val="none"/>
                <w:lang w:val="en-US" w:eastAsia="zh-CN" w:bidi="ar-SA"/>
              </w:rPr>
              <w:t>等于</w:t>
            </w:r>
            <w:r>
              <w:rPr>
                <w:rFonts w:hint="eastAsia" w:cs="Times New Roman"/>
                <w:color w:val="auto"/>
                <w:kern w:val="2"/>
                <w:sz w:val="24"/>
                <w:szCs w:val="21"/>
                <w:highlight w:val="none"/>
                <w:lang w:val="en-US" w:eastAsia="zh-CN" w:bidi="ar-SA"/>
              </w:rPr>
              <w:t>机</w:t>
            </w:r>
            <w:r>
              <w:rPr>
                <w:rFonts w:hint="default" w:ascii="Times New Roman" w:hAnsi="Times New Roman" w:eastAsia="宋体" w:cs="Times New Roman"/>
                <w:color w:val="auto"/>
                <w:kern w:val="2"/>
                <w:sz w:val="24"/>
                <w:szCs w:val="21"/>
                <w:highlight w:val="none"/>
                <w:lang w:val="en-US" w:eastAsia="zh-CN" w:bidi="ar-SA"/>
              </w:rPr>
              <w:t>油</w:t>
            </w:r>
            <w:r>
              <w:rPr>
                <w:rFonts w:hint="default" w:ascii="Times New Roman" w:hAnsi="Times New Roman" w:eastAsia="宋体" w:cs="Times New Roman"/>
                <w:color w:val="auto"/>
                <w:kern w:val="0"/>
                <w:sz w:val="24"/>
                <w:szCs w:val="24"/>
                <w:highlight w:val="none"/>
                <w:lang w:val="en-US" w:eastAsia="zh-CN" w:bidi="ar-SA"/>
              </w:rPr>
              <w:t>使用量</w:t>
            </w:r>
            <w:r>
              <w:rPr>
                <w:rFonts w:hint="eastAsia" w:cs="Times New Roman"/>
                <w:color w:val="auto"/>
                <w:kern w:val="0"/>
                <w:sz w:val="24"/>
                <w:szCs w:val="24"/>
                <w:highlight w:val="none"/>
                <w:lang w:val="en-US" w:eastAsia="zh-CN" w:bidi="ar-SA"/>
              </w:rPr>
              <w:t>0.2</w:t>
            </w:r>
            <w:r>
              <w:rPr>
                <w:rFonts w:hint="default" w:ascii="Times New Roman" w:hAnsi="Times New Roman" w:eastAsia="宋体" w:cs="Times New Roman"/>
                <w:color w:val="auto"/>
                <w:kern w:val="0"/>
                <w:sz w:val="24"/>
                <w:szCs w:val="24"/>
                <w:highlight w:val="none"/>
                <w:lang w:val="en-US" w:eastAsia="zh-CN" w:bidi="ar-SA"/>
              </w:rPr>
              <w:t>t/a</w:t>
            </w:r>
            <w:r>
              <w:rPr>
                <w:rFonts w:hint="default" w:ascii="Times New Roman" w:hAnsi="Times New Roman" w:eastAsia="宋体" w:cs="Times New Roman"/>
                <w:color w:val="auto"/>
                <w:kern w:val="2"/>
                <w:sz w:val="24"/>
                <w:szCs w:val="21"/>
                <w:highlight w:val="none"/>
                <w:lang w:val="en-US" w:eastAsia="zh-CN" w:bidi="ar-SA"/>
              </w:rPr>
              <w:t>。</w:t>
            </w:r>
          </w:p>
          <w:p w14:paraId="353768A6">
            <w:pPr>
              <w:keepNext/>
              <w:keepLines/>
              <w:pageBreakBefore w:val="0"/>
              <w:widowControl w:val="0"/>
              <w:numPr>
                <w:ilvl w:val="5"/>
                <w:numId w:val="0"/>
              </w:numPr>
              <w:wordWrap w:val="0"/>
              <w:overflowPunct/>
              <w:bidi w:val="0"/>
              <w:spacing w:line="360" w:lineRule="auto"/>
              <w:ind w:firstLine="480" w:firstLineChars="200"/>
              <w:jc w:val="both"/>
              <w:outlineLvl w:val="5"/>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根据《国家危险废物名录》（202</w:t>
            </w:r>
            <w:r>
              <w:rPr>
                <w:rFonts w:hint="eastAsia" w:cs="Times New Roman"/>
                <w:color w:val="auto"/>
                <w:kern w:val="2"/>
                <w:sz w:val="24"/>
                <w:szCs w:val="21"/>
                <w:highlight w:val="none"/>
                <w:lang w:val="en-US" w:eastAsia="zh-CN" w:bidi="ar-SA"/>
              </w:rPr>
              <w:t>5</w:t>
            </w:r>
            <w:r>
              <w:rPr>
                <w:rFonts w:hint="default" w:ascii="Times New Roman" w:hAnsi="Times New Roman" w:eastAsia="宋体" w:cs="Times New Roman"/>
                <w:color w:val="auto"/>
                <w:kern w:val="2"/>
                <w:sz w:val="24"/>
                <w:szCs w:val="21"/>
                <w:highlight w:val="none"/>
                <w:lang w:val="en-US" w:eastAsia="zh-CN" w:bidi="ar-SA"/>
              </w:rPr>
              <w:t>年版），废</w:t>
            </w:r>
            <w:r>
              <w:rPr>
                <w:rFonts w:hint="eastAsia" w:cs="Times New Roman"/>
                <w:color w:val="auto"/>
                <w:kern w:val="2"/>
                <w:sz w:val="24"/>
                <w:szCs w:val="21"/>
                <w:highlight w:val="none"/>
                <w:lang w:val="en-US" w:eastAsia="zh-CN" w:bidi="ar-SA"/>
              </w:rPr>
              <w:t>机</w:t>
            </w:r>
            <w:r>
              <w:rPr>
                <w:rFonts w:hint="default" w:ascii="Times New Roman" w:hAnsi="Times New Roman" w:eastAsia="宋体" w:cs="Times New Roman"/>
                <w:color w:val="auto"/>
                <w:kern w:val="2"/>
                <w:sz w:val="24"/>
                <w:szCs w:val="21"/>
                <w:highlight w:val="none"/>
                <w:lang w:val="en-US" w:eastAsia="zh-CN" w:bidi="ar-SA"/>
              </w:rPr>
              <w:t>油按“HW08废矿物油与含矿物油废物”分类，其代码为900-2</w:t>
            </w:r>
            <w:r>
              <w:rPr>
                <w:rFonts w:hint="eastAsia" w:cs="Times New Roman"/>
                <w:color w:val="auto"/>
                <w:kern w:val="2"/>
                <w:sz w:val="24"/>
                <w:szCs w:val="21"/>
                <w:highlight w:val="none"/>
                <w:lang w:val="en-US" w:eastAsia="zh-CN" w:bidi="ar-SA"/>
              </w:rPr>
              <w:t>49</w:t>
            </w:r>
            <w:r>
              <w:rPr>
                <w:rFonts w:hint="default" w:ascii="Times New Roman" w:hAnsi="Times New Roman" w:eastAsia="宋体" w:cs="Times New Roman"/>
                <w:color w:val="auto"/>
                <w:kern w:val="2"/>
                <w:sz w:val="24"/>
                <w:szCs w:val="21"/>
                <w:highlight w:val="none"/>
                <w:lang w:val="en-US" w:eastAsia="zh-CN" w:bidi="ar-SA"/>
              </w:rPr>
              <w:t>-08，属于“其他生产、销售、使用过程中产生的废矿物油及沾染矿物油的废弃包装物”，经统一收集后交由有危险废物处理资质的单位处理。</w:t>
            </w:r>
          </w:p>
          <w:p w14:paraId="7FC9B81A">
            <w:pPr>
              <w:pageBreakBefore w:val="0"/>
              <w:wordWrap w:val="0"/>
              <w:overflowPunct/>
              <w:bidi w:val="0"/>
              <w:ind w:firstLine="480" w:firstLineChars="200"/>
              <w:rPr>
                <w:rFonts w:hint="default" w:ascii="Times New Roman" w:hAnsi="Times New Roman" w:eastAsia="宋体" w:cs="Times New Roman"/>
                <w:b/>
                <w:bCs/>
                <w:color w:val="auto"/>
                <w:szCs w:val="24"/>
                <w:highlight w:val="none"/>
                <w:lang w:val="en-US" w:eastAsia="zh-CN"/>
              </w:rPr>
            </w:pPr>
            <w:r>
              <w:rPr>
                <w:rFonts w:hint="eastAsia" w:cs="Times New Roman"/>
                <w:b/>
                <w:bCs/>
                <w:color w:val="auto"/>
                <w:szCs w:val="24"/>
                <w:highlight w:val="none"/>
                <w:lang w:val="en-US" w:eastAsia="zh-CN"/>
              </w:rPr>
              <w:t>⑧</w:t>
            </w:r>
            <w:r>
              <w:rPr>
                <w:rFonts w:hint="eastAsia" w:ascii="Times New Roman" w:hAnsi="Times New Roman" w:eastAsia="宋体" w:cs="Times New Roman"/>
                <w:b/>
                <w:bCs/>
                <w:color w:val="auto"/>
                <w:szCs w:val="24"/>
                <w:highlight w:val="none"/>
                <w:lang w:val="en-US" w:eastAsia="zh-CN"/>
              </w:rPr>
              <w:t>废含油抹布及手套</w:t>
            </w:r>
          </w:p>
          <w:p w14:paraId="3D939495">
            <w:pPr>
              <w:keepNext/>
              <w:keepLines/>
              <w:pageBreakBefore w:val="0"/>
              <w:widowControl w:val="0"/>
              <w:numPr>
                <w:ilvl w:val="5"/>
                <w:numId w:val="0"/>
              </w:numPr>
              <w:wordWrap w:val="0"/>
              <w:overflowPunct/>
              <w:bidi w:val="0"/>
              <w:spacing w:line="360" w:lineRule="auto"/>
              <w:ind w:firstLine="480" w:firstLineChars="200"/>
              <w:jc w:val="both"/>
              <w:outlineLvl w:val="5"/>
              <w:rPr>
                <w:rFonts w:hint="eastAsia" w:ascii="Times New Roman" w:hAnsi="Times New Roman" w:eastAsia="宋体" w:cs="Times New Roman"/>
                <w:color w:val="auto"/>
                <w:kern w:val="0"/>
                <w:sz w:val="24"/>
                <w:szCs w:val="21"/>
                <w:highlight w:val="none"/>
                <w:lang w:val="en-US" w:eastAsia="zh-CN"/>
              </w:rPr>
            </w:pPr>
            <w:r>
              <w:rPr>
                <w:rFonts w:ascii="Times New Roman" w:hAnsi="Times New Roman" w:eastAsia="宋体" w:cs="Times New Roman"/>
                <w:color w:val="auto"/>
                <w:kern w:val="0"/>
                <w:sz w:val="24"/>
                <w:szCs w:val="21"/>
                <w:highlight w:val="none"/>
                <w:lang w:val="en-US" w:eastAsia="zh-CN"/>
              </w:rPr>
              <w:t>设备维修和维护</w:t>
            </w:r>
            <w:r>
              <w:rPr>
                <w:rFonts w:hint="eastAsia" w:cs="Times New Roman"/>
                <w:color w:val="auto"/>
                <w:kern w:val="0"/>
                <w:sz w:val="24"/>
                <w:szCs w:val="21"/>
                <w:highlight w:val="none"/>
                <w:lang w:val="en-US" w:eastAsia="zh-CN"/>
              </w:rPr>
              <w:t>，以及</w:t>
            </w:r>
            <w:r>
              <w:rPr>
                <w:rFonts w:hint="eastAsia" w:ascii="Times New Roman" w:hAnsi="Times New Roman" w:eastAsia="宋体" w:cs="Times New Roman"/>
                <w:color w:val="auto"/>
                <w:kern w:val="0"/>
                <w:sz w:val="24"/>
                <w:szCs w:val="21"/>
                <w:highlight w:val="none"/>
                <w:lang w:val="en-US" w:eastAsia="zh-CN"/>
              </w:rPr>
              <w:t>生产</w:t>
            </w:r>
            <w:r>
              <w:rPr>
                <w:rFonts w:ascii="Times New Roman" w:hAnsi="Times New Roman" w:eastAsia="宋体" w:cs="Times New Roman"/>
                <w:color w:val="auto"/>
                <w:kern w:val="0"/>
                <w:sz w:val="24"/>
                <w:szCs w:val="21"/>
                <w:highlight w:val="none"/>
                <w:lang w:val="en-US" w:eastAsia="zh-CN"/>
              </w:rPr>
              <w:t>过程中会产生的沾染</w:t>
            </w:r>
            <w:r>
              <w:rPr>
                <w:rFonts w:hint="eastAsia" w:ascii="Times New Roman" w:hAnsi="Times New Roman" w:eastAsia="宋体" w:cs="Times New Roman"/>
                <w:color w:val="auto"/>
                <w:kern w:val="0"/>
                <w:sz w:val="24"/>
                <w:szCs w:val="21"/>
                <w:highlight w:val="none"/>
                <w:lang w:val="en-US" w:eastAsia="zh-CN"/>
              </w:rPr>
              <w:t>废</w:t>
            </w:r>
            <w:r>
              <w:rPr>
                <w:rFonts w:hint="eastAsia" w:cs="Times New Roman"/>
                <w:color w:val="auto"/>
                <w:kern w:val="0"/>
                <w:sz w:val="24"/>
                <w:szCs w:val="21"/>
                <w:highlight w:val="none"/>
                <w:lang w:val="en-US" w:eastAsia="zh-CN"/>
              </w:rPr>
              <w:t>机</w:t>
            </w:r>
            <w:r>
              <w:rPr>
                <w:rFonts w:hint="eastAsia" w:ascii="Times New Roman" w:hAnsi="Times New Roman" w:eastAsia="宋体" w:cs="Times New Roman"/>
                <w:color w:val="auto"/>
                <w:kern w:val="0"/>
                <w:sz w:val="24"/>
                <w:szCs w:val="21"/>
                <w:highlight w:val="none"/>
                <w:lang w:val="en-US" w:eastAsia="zh-CN"/>
              </w:rPr>
              <w:t>油、</w:t>
            </w:r>
            <w:r>
              <w:rPr>
                <w:rFonts w:hint="eastAsia" w:cs="Times New Roman"/>
                <w:color w:val="auto"/>
                <w:kern w:val="0"/>
                <w:sz w:val="24"/>
                <w:szCs w:val="21"/>
                <w:highlight w:val="none"/>
                <w:lang w:val="en-US" w:eastAsia="zh-CN"/>
              </w:rPr>
              <w:t>涂料</w:t>
            </w:r>
            <w:r>
              <w:rPr>
                <w:rFonts w:ascii="Times New Roman" w:hAnsi="Times New Roman" w:eastAsia="宋体" w:cs="Times New Roman"/>
                <w:color w:val="auto"/>
                <w:kern w:val="0"/>
                <w:sz w:val="24"/>
                <w:szCs w:val="21"/>
                <w:highlight w:val="none"/>
                <w:lang w:val="en-US" w:eastAsia="zh-CN"/>
              </w:rPr>
              <w:t>的布料及手套，产生量约</w:t>
            </w:r>
            <w:r>
              <w:rPr>
                <w:rFonts w:hint="eastAsia" w:ascii="Times New Roman" w:hAnsi="Times New Roman" w:eastAsia="宋体" w:cs="Times New Roman"/>
                <w:color w:val="auto"/>
                <w:kern w:val="0"/>
                <w:sz w:val="24"/>
                <w:szCs w:val="21"/>
                <w:highlight w:val="none"/>
                <w:lang w:val="en-US" w:eastAsia="zh-CN"/>
              </w:rPr>
              <w:t>0.01</w:t>
            </w:r>
            <w:r>
              <w:rPr>
                <w:rFonts w:ascii="Times New Roman" w:hAnsi="Times New Roman" w:eastAsia="宋体" w:cs="Times New Roman"/>
                <w:color w:val="auto"/>
                <w:kern w:val="0"/>
                <w:sz w:val="24"/>
                <w:szCs w:val="21"/>
                <w:highlight w:val="none"/>
                <w:lang w:val="en-US" w:eastAsia="zh-CN"/>
              </w:rPr>
              <w:t>t/a</w:t>
            </w:r>
            <w:r>
              <w:rPr>
                <w:rFonts w:hint="eastAsia" w:ascii="Times New Roman" w:hAnsi="Times New Roman" w:eastAsia="宋体" w:cs="Times New Roman"/>
                <w:color w:val="auto"/>
                <w:kern w:val="0"/>
                <w:sz w:val="24"/>
                <w:szCs w:val="21"/>
                <w:highlight w:val="none"/>
                <w:lang w:val="en-US" w:eastAsia="zh-CN"/>
              </w:rPr>
              <w:t>。</w:t>
            </w:r>
          </w:p>
          <w:p w14:paraId="558BD301">
            <w:pPr>
              <w:keepNext/>
              <w:keepLines/>
              <w:pageBreakBefore w:val="0"/>
              <w:widowControl w:val="0"/>
              <w:numPr>
                <w:ilvl w:val="5"/>
                <w:numId w:val="0"/>
              </w:numPr>
              <w:wordWrap w:val="0"/>
              <w:overflowPunct/>
              <w:bidi w:val="0"/>
              <w:spacing w:line="360" w:lineRule="auto"/>
              <w:ind w:firstLine="480" w:firstLineChars="200"/>
              <w:jc w:val="both"/>
              <w:outlineLvl w:val="5"/>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根据《国家危险废物名录》（202</w:t>
            </w:r>
            <w:r>
              <w:rPr>
                <w:rFonts w:hint="eastAsia" w:cs="Times New Roman"/>
                <w:color w:val="auto"/>
                <w:kern w:val="2"/>
                <w:sz w:val="24"/>
                <w:szCs w:val="21"/>
                <w:highlight w:val="none"/>
                <w:lang w:val="en-US" w:eastAsia="zh-CN" w:bidi="ar-SA"/>
              </w:rPr>
              <w:t>5</w:t>
            </w:r>
            <w:r>
              <w:rPr>
                <w:rFonts w:hint="default" w:ascii="Times New Roman" w:hAnsi="Times New Roman" w:eastAsia="宋体" w:cs="Times New Roman"/>
                <w:color w:val="auto"/>
                <w:kern w:val="2"/>
                <w:sz w:val="24"/>
                <w:szCs w:val="21"/>
                <w:highlight w:val="none"/>
                <w:lang w:val="en-US" w:eastAsia="zh-CN" w:bidi="ar-SA"/>
              </w:rPr>
              <w:t>年版），</w:t>
            </w:r>
            <w:r>
              <w:rPr>
                <w:rFonts w:hint="eastAsia" w:ascii="Times New Roman" w:hAnsi="Times New Roman" w:eastAsia="宋体" w:cs="Times New Roman"/>
                <w:color w:val="auto"/>
                <w:kern w:val="2"/>
                <w:sz w:val="24"/>
                <w:szCs w:val="21"/>
                <w:highlight w:val="none"/>
                <w:lang w:val="en-US" w:eastAsia="zh-CN" w:bidi="ar-SA"/>
              </w:rPr>
              <w:t>废含油抹布及手套按“</w:t>
            </w:r>
            <w:r>
              <w:rPr>
                <w:rFonts w:hint="default" w:ascii="Times New Roman" w:hAnsi="Times New Roman" w:eastAsia="宋体" w:cs="Times New Roman"/>
                <w:color w:val="auto"/>
                <w:kern w:val="2"/>
                <w:sz w:val="24"/>
                <w:szCs w:val="21"/>
                <w:highlight w:val="none"/>
                <w:lang w:val="en-US" w:eastAsia="zh-CN" w:bidi="ar-SA"/>
              </w:rPr>
              <w:t>HW49其他废物</w:t>
            </w:r>
            <w:r>
              <w:rPr>
                <w:rFonts w:hint="eastAsia" w:ascii="Times New Roman" w:hAnsi="Times New Roman" w:eastAsia="宋体" w:cs="Times New Roman"/>
                <w:color w:val="auto"/>
                <w:kern w:val="2"/>
                <w:sz w:val="24"/>
                <w:szCs w:val="21"/>
                <w:highlight w:val="none"/>
                <w:lang w:val="en-US" w:eastAsia="zh-CN" w:bidi="ar-SA"/>
              </w:rPr>
              <w:t>”</w:t>
            </w:r>
            <w:r>
              <w:rPr>
                <w:rFonts w:hint="default" w:ascii="Times New Roman" w:hAnsi="Times New Roman" w:eastAsia="宋体" w:cs="Times New Roman"/>
                <w:color w:val="auto"/>
                <w:kern w:val="2"/>
                <w:sz w:val="24"/>
                <w:szCs w:val="21"/>
                <w:highlight w:val="none"/>
                <w:lang w:val="en-US" w:eastAsia="zh-CN" w:bidi="ar-SA"/>
              </w:rPr>
              <w:t>分类，其代码为</w:t>
            </w:r>
            <w:r>
              <w:rPr>
                <w:rFonts w:ascii="Times New Roman" w:hAnsi="Times New Roman" w:eastAsia="宋体" w:cs="Times New Roman"/>
                <w:color w:val="auto"/>
                <w:kern w:val="0"/>
                <w:sz w:val="24"/>
                <w:szCs w:val="21"/>
                <w:highlight w:val="none"/>
                <w:lang w:val="en-US" w:eastAsia="zh-CN"/>
              </w:rPr>
              <w:t>900-041-49</w:t>
            </w:r>
            <w:r>
              <w:rPr>
                <w:rFonts w:hint="default" w:ascii="Times New Roman" w:hAnsi="Times New Roman" w:eastAsia="宋体" w:cs="Times New Roman"/>
                <w:color w:val="auto"/>
                <w:kern w:val="2"/>
                <w:sz w:val="24"/>
                <w:szCs w:val="21"/>
                <w:highlight w:val="none"/>
                <w:lang w:val="en-US" w:eastAsia="zh-CN" w:bidi="ar-SA"/>
              </w:rPr>
              <w:t>，属于“其他生产、销售、使用过程中产生的废矿物油及沾染矿物油的废弃包装物”，经统一收集后交由有危险废物处理资质的单位处理。</w:t>
            </w:r>
          </w:p>
          <w:p w14:paraId="138F0173">
            <w:pPr>
              <w:pageBreakBefore w:val="0"/>
              <w:wordWrap w:val="0"/>
              <w:overflowPunct/>
              <w:bidi w:val="0"/>
              <w:ind w:firstLine="480" w:firstLineChars="200"/>
              <w:rPr>
                <w:rFonts w:hint="eastAsia" w:ascii="Times New Roman" w:hAnsi="Times New Roman" w:eastAsia="宋体" w:cs="Times New Roman"/>
                <w:b/>
                <w:bCs/>
                <w:color w:val="auto"/>
                <w:szCs w:val="24"/>
                <w:highlight w:val="none"/>
                <w:lang w:val="en-US" w:eastAsia="zh-CN"/>
              </w:rPr>
            </w:pPr>
            <w:r>
              <w:rPr>
                <w:rFonts w:hint="eastAsia" w:ascii="Times New Roman" w:hAnsi="Times New Roman" w:eastAsia="宋体" w:cs="Times New Roman"/>
                <w:b/>
                <w:bCs/>
                <w:color w:val="auto"/>
                <w:szCs w:val="24"/>
                <w:highlight w:val="none"/>
                <w:lang w:val="en-US" w:eastAsia="zh-CN"/>
              </w:rPr>
              <w:t>⑨</w:t>
            </w:r>
            <w:r>
              <w:rPr>
                <w:rFonts w:hint="eastAsia" w:cs="Times New Roman"/>
                <w:b/>
                <w:bCs/>
                <w:color w:val="auto"/>
                <w:szCs w:val="24"/>
                <w:highlight w:val="none"/>
                <w:lang w:val="en-US" w:eastAsia="zh-CN"/>
              </w:rPr>
              <w:t>水性漆喷枪清洗废水</w:t>
            </w:r>
          </w:p>
          <w:p w14:paraId="062D352D">
            <w:pPr>
              <w:pStyle w:val="2"/>
              <w:pageBreakBefore w:val="0"/>
              <w:wordWrap w:val="0"/>
              <w:overflowPunct/>
              <w:bidi w:val="0"/>
              <w:spacing w:line="360" w:lineRule="auto"/>
              <w:ind w:firstLine="480" w:firstLineChars="200"/>
              <w:rPr>
                <w:rFonts w:ascii="Times New Roman" w:cs="Times New Roman"/>
                <w:color w:val="auto"/>
                <w:highlight w:val="none"/>
              </w:rPr>
            </w:pPr>
            <w:r>
              <w:rPr>
                <w:rFonts w:hint="eastAsia" w:ascii="Times New Roman" w:cs="Times New Roman"/>
                <w:color w:val="auto"/>
                <w:highlight w:val="none"/>
                <w:lang w:val="en-US" w:eastAsia="zh-CN"/>
              </w:rPr>
              <w:t>根据前文计算，项目水性漆喷枪清洗废水</w:t>
            </w:r>
            <w:r>
              <w:rPr>
                <w:rFonts w:ascii="Times New Roman" w:cs="Times New Roman"/>
                <w:color w:val="auto"/>
                <w:highlight w:val="none"/>
              </w:rPr>
              <w:t>产生量为</w:t>
            </w:r>
            <w:r>
              <w:rPr>
                <w:rFonts w:hint="eastAsia" w:ascii="Times New Roman" w:cs="Times New Roman"/>
                <w:color w:val="auto"/>
                <w:highlight w:val="none"/>
                <w:lang w:val="en-US" w:eastAsia="zh-CN"/>
              </w:rPr>
              <w:t>1.35</w:t>
            </w:r>
            <w:r>
              <w:rPr>
                <w:rFonts w:ascii="Times New Roman" w:cs="Times New Roman"/>
                <w:bCs/>
                <w:color w:val="auto"/>
                <w:kern w:val="24"/>
                <w:highlight w:val="none"/>
              </w:rPr>
              <w:t>t/a。根据《国家危险废物名录》（202</w:t>
            </w:r>
            <w:r>
              <w:rPr>
                <w:rFonts w:hint="eastAsia" w:ascii="Times New Roman" w:cs="Times New Roman"/>
                <w:bCs/>
                <w:color w:val="auto"/>
                <w:kern w:val="24"/>
                <w:highlight w:val="none"/>
                <w:lang w:val="en-US" w:eastAsia="zh-CN"/>
              </w:rPr>
              <w:t>5</w:t>
            </w:r>
            <w:r>
              <w:rPr>
                <w:rFonts w:ascii="Times New Roman" w:cs="Times New Roman"/>
                <w:bCs/>
                <w:color w:val="auto"/>
                <w:kern w:val="24"/>
                <w:highlight w:val="none"/>
              </w:rPr>
              <w:t>年版），</w:t>
            </w:r>
            <w:r>
              <w:rPr>
                <w:rFonts w:hint="eastAsia" w:ascii="Times New Roman" w:cs="Times New Roman"/>
                <w:bCs/>
                <w:color w:val="auto"/>
                <w:kern w:val="24"/>
                <w:highlight w:val="none"/>
                <w:lang w:val="en-US" w:eastAsia="zh-CN"/>
              </w:rPr>
              <w:t>水性漆喷枪清洗废水</w:t>
            </w:r>
            <w:r>
              <w:rPr>
                <w:rFonts w:ascii="Times New Roman" w:cs="Times New Roman"/>
                <w:bCs/>
                <w:color w:val="auto"/>
                <w:kern w:val="24"/>
                <w:highlight w:val="none"/>
              </w:rPr>
              <w:t>的废物</w:t>
            </w:r>
            <w:r>
              <w:rPr>
                <w:rFonts w:hint="eastAsia" w:ascii="Times New Roman" w:cs="Times New Roman"/>
                <w:bCs/>
                <w:color w:val="auto"/>
                <w:kern w:val="24"/>
                <w:highlight w:val="none"/>
                <w:lang w:val="en-US" w:eastAsia="zh-CN"/>
              </w:rPr>
              <w:t>参照</w:t>
            </w:r>
            <w:r>
              <w:rPr>
                <w:rFonts w:ascii="Times New Roman" w:cs="Times New Roman"/>
                <w:bCs/>
                <w:color w:val="auto"/>
                <w:kern w:val="24"/>
                <w:highlight w:val="none"/>
              </w:rPr>
              <w:t xml:space="preserve"> HW12 染料、涂料废物，废物代码为 900-25</w:t>
            </w:r>
            <w:r>
              <w:rPr>
                <w:rFonts w:hint="eastAsia" w:ascii="Times New Roman" w:cs="Times New Roman"/>
                <w:bCs/>
                <w:color w:val="auto"/>
                <w:kern w:val="24"/>
                <w:highlight w:val="none"/>
                <w:lang w:val="en-US" w:eastAsia="zh-CN"/>
              </w:rPr>
              <w:t>3</w:t>
            </w:r>
            <w:r>
              <w:rPr>
                <w:rFonts w:ascii="Times New Roman" w:cs="Times New Roman"/>
                <w:bCs/>
                <w:color w:val="auto"/>
                <w:kern w:val="24"/>
                <w:highlight w:val="none"/>
              </w:rPr>
              <w:t>-12，经收集后交由</w:t>
            </w:r>
            <w:r>
              <w:rPr>
                <w:rFonts w:hint="eastAsia" w:ascii="Times New Roman" w:cs="Times New Roman"/>
                <w:bCs/>
                <w:color w:val="auto"/>
                <w:kern w:val="24"/>
                <w:highlight w:val="none"/>
              </w:rPr>
              <w:t>有危险废物</w:t>
            </w:r>
            <w:r>
              <w:rPr>
                <w:rFonts w:ascii="Times New Roman" w:cs="Times New Roman"/>
                <w:bCs/>
                <w:color w:val="auto"/>
                <w:kern w:val="24"/>
                <w:highlight w:val="none"/>
              </w:rPr>
              <w:t>处理</w:t>
            </w:r>
            <w:r>
              <w:rPr>
                <w:rFonts w:hint="eastAsia" w:ascii="Times New Roman" w:cs="Times New Roman"/>
                <w:bCs/>
                <w:color w:val="auto"/>
                <w:kern w:val="24"/>
                <w:highlight w:val="none"/>
              </w:rPr>
              <w:t>资质单位处理</w:t>
            </w:r>
            <w:r>
              <w:rPr>
                <w:rFonts w:ascii="Times New Roman" w:cs="Times New Roman"/>
                <w:bCs/>
                <w:color w:val="auto"/>
                <w:kern w:val="24"/>
                <w:highlight w:val="none"/>
              </w:rPr>
              <w:t>。</w:t>
            </w:r>
          </w:p>
          <w:p w14:paraId="15EFA556">
            <w:pPr>
              <w:pageBreakBefore w:val="0"/>
              <w:wordWrap w:val="0"/>
              <w:overflowPunct/>
              <w:bidi w:val="0"/>
              <w:ind w:firstLine="480" w:firstLineChars="200"/>
              <w:rPr>
                <w:rFonts w:hint="eastAsia" w:ascii="Times New Roman" w:hAnsi="Times New Roman" w:eastAsia="宋体" w:cs="Times New Roman"/>
                <w:b/>
                <w:bCs/>
                <w:color w:val="auto"/>
                <w:szCs w:val="24"/>
                <w:highlight w:val="none"/>
                <w:lang w:val="en-US" w:eastAsia="zh-CN"/>
              </w:rPr>
            </w:pPr>
            <w:r>
              <w:rPr>
                <w:rFonts w:hint="eastAsia" w:ascii="Times New Roman" w:hAnsi="Times New Roman" w:eastAsia="宋体" w:cs="Times New Roman"/>
                <w:b/>
                <w:bCs/>
                <w:color w:val="auto"/>
                <w:szCs w:val="24"/>
                <w:highlight w:val="none"/>
                <w:lang w:val="en-US" w:eastAsia="zh-CN"/>
              </w:rPr>
              <w:t>⑩喷枪清洗废液</w:t>
            </w:r>
          </w:p>
          <w:p w14:paraId="1BEFA83F">
            <w:pPr>
              <w:pStyle w:val="19"/>
              <w:pageBreakBefore w:val="0"/>
              <w:wordWrap w:val="0"/>
              <w:overflowPunct/>
              <w:bidi w:val="0"/>
              <w:ind w:left="0" w:leftChars="0" w:firstLine="480" w:firstLineChars="200"/>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本项目使用稀释剂清洗喷枪，根据前文工程分析可知，</w:t>
            </w:r>
            <w:r>
              <w:rPr>
                <w:rFonts w:hint="eastAsia" w:cs="Times New Roman"/>
                <w:color w:val="auto"/>
                <w:kern w:val="2"/>
                <w:sz w:val="24"/>
                <w:szCs w:val="24"/>
                <w:highlight w:val="none"/>
                <w:lang w:val="en-US" w:eastAsia="zh-CN" w:bidi="ar-SA"/>
              </w:rPr>
              <w:t>稀释剂使用量</w:t>
            </w:r>
            <w:r>
              <w:rPr>
                <w:rFonts w:ascii="Times New Roman" w:hAnsi="Times New Roman" w:eastAsia="宋体" w:cs="Times New Roman"/>
                <w:color w:val="auto"/>
                <w:kern w:val="2"/>
                <w:sz w:val="24"/>
                <w:szCs w:val="24"/>
                <w:highlight w:val="none"/>
                <w:lang w:val="en-US" w:eastAsia="zh-CN" w:bidi="ar-SA"/>
              </w:rPr>
              <w:t>为</w:t>
            </w:r>
            <w:r>
              <w:rPr>
                <w:rFonts w:hint="eastAsia" w:cs="Times New Roman"/>
                <w:color w:val="auto"/>
                <w:kern w:val="2"/>
                <w:sz w:val="24"/>
                <w:szCs w:val="24"/>
                <w:highlight w:val="none"/>
                <w:lang w:val="en-US" w:eastAsia="zh-CN" w:bidi="ar-SA"/>
              </w:rPr>
              <w:t>0.031</w:t>
            </w:r>
            <w:r>
              <w:rPr>
                <w:rFonts w:ascii="Times New Roman" w:hAnsi="Times New Roman" w:eastAsia="宋体" w:cs="Times New Roman"/>
                <w:color w:val="auto"/>
                <w:kern w:val="2"/>
                <w:sz w:val="24"/>
                <w:szCs w:val="24"/>
                <w:highlight w:val="none"/>
                <w:lang w:val="en-US" w:eastAsia="zh-CN" w:bidi="ar-SA"/>
              </w:rPr>
              <w:t>t/a</w:t>
            </w:r>
            <w:r>
              <w:rPr>
                <w:rFonts w:hint="eastAsia" w:cs="Times New Roman"/>
                <w:color w:val="auto"/>
                <w:kern w:val="2"/>
                <w:sz w:val="24"/>
                <w:szCs w:val="24"/>
                <w:highlight w:val="none"/>
                <w:lang w:val="en-US" w:eastAsia="zh-CN" w:bidi="ar-SA"/>
              </w:rPr>
              <w:t>，其中50%进入废液，即喷枪清洗废液产生量为0.016t/a</w:t>
            </w:r>
            <w:r>
              <w:rPr>
                <w:rFonts w:ascii="Times New Roman" w:hAnsi="Times New Roman" w:eastAsia="宋体" w:cs="Times New Roman"/>
                <w:color w:val="auto"/>
                <w:kern w:val="2"/>
                <w:sz w:val="24"/>
                <w:szCs w:val="24"/>
                <w:highlight w:val="none"/>
                <w:lang w:val="en-US" w:eastAsia="zh-CN" w:bidi="ar-SA"/>
              </w:rPr>
              <w:t>。根据《国家危险废物名录》（202</w:t>
            </w:r>
            <w:r>
              <w:rPr>
                <w:rFonts w:hint="eastAsia" w:cs="Times New Roman"/>
                <w:color w:val="auto"/>
                <w:kern w:val="2"/>
                <w:sz w:val="24"/>
                <w:szCs w:val="24"/>
                <w:highlight w:val="none"/>
                <w:lang w:val="en-US" w:eastAsia="zh-CN" w:bidi="ar-SA"/>
              </w:rPr>
              <w:t>5</w:t>
            </w:r>
            <w:r>
              <w:rPr>
                <w:rFonts w:ascii="Times New Roman" w:hAnsi="Times New Roman" w:eastAsia="宋体" w:cs="Times New Roman"/>
                <w:color w:val="auto"/>
                <w:kern w:val="2"/>
                <w:sz w:val="24"/>
                <w:szCs w:val="24"/>
                <w:highlight w:val="none"/>
                <w:lang w:val="en-US" w:eastAsia="zh-CN" w:bidi="ar-SA"/>
              </w:rPr>
              <w:t>年版），</w:t>
            </w:r>
            <w:r>
              <w:rPr>
                <w:rFonts w:hint="eastAsia" w:cs="Times New Roman"/>
                <w:color w:val="auto"/>
                <w:kern w:val="2"/>
                <w:sz w:val="24"/>
                <w:szCs w:val="24"/>
                <w:highlight w:val="none"/>
                <w:lang w:val="en-US" w:eastAsia="zh-CN" w:bidi="ar-SA"/>
              </w:rPr>
              <w:t>喷枪清洗废液</w:t>
            </w:r>
            <w:r>
              <w:rPr>
                <w:rFonts w:ascii="Times New Roman" w:hAnsi="Times New Roman" w:eastAsia="宋体" w:cs="Times New Roman"/>
                <w:color w:val="auto"/>
                <w:kern w:val="2"/>
                <w:sz w:val="24"/>
                <w:szCs w:val="24"/>
                <w:highlight w:val="none"/>
                <w:lang w:val="en-US" w:eastAsia="zh-CN" w:bidi="ar-SA"/>
              </w:rPr>
              <w:t>废物类别为 HW12 染料、涂料废物，废物代码为 900-252-12，经收集后交由有危险废物处理资质单位处理。</w:t>
            </w:r>
          </w:p>
          <w:p w14:paraId="03E537B3">
            <w:pPr>
              <w:pStyle w:val="19"/>
              <w:pageBreakBefore w:val="0"/>
              <w:wordWrap w:val="0"/>
              <w:overflowPunct/>
              <w:bidi w:val="0"/>
              <w:ind w:left="0" w:leftChars="0" w:firstLine="480" w:firstLineChars="200"/>
              <w:rPr>
                <w:rFonts w:hint="eastAsia"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fldChar w:fldCharType="begin"/>
            </w:r>
            <w:r>
              <w:rPr>
                <w:rFonts w:hint="eastAsia" w:cs="Times New Roman"/>
                <w:b/>
                <w:bCs/>
                <w:color w:val="auto"/>
                <w:kern w:val="2"/>
                <w:sz w:val="24"/>
                <w:szCs w:val="24"/>
                <w:highlight w:val="none"/>
                <w:lang w:val="en-US" w:eastAsia="zh-CN" w:bidi="ar-SA"/>
              </w:rPr>
              <w:instrText xml:space="preserve"> EQ \o\ac(</w:instrText>
            </w:r>
            <w:r>
              <w:rPr>
                <w:rFonts w:hint="eastAsia" w:ascii="Times New Roman" w:hAnsi="Times New Roman" w:eastAsia="宋体" w:cs="Times New Roman"/>
                <w:b/>
                <w:bCs/>
                <w:color w:val="auto"/>
                <w:kern w:val="2"/>
                <w:sz w:val="24"/>
                <w:szCs w:val="24"/>
                <w:highlight w:val="none"/>
                <w:lang w:val="en-US" w:eastAsia="zh-CN" w:bidi="ar-SA"/>
              </w:rPr>
              <w:instrText xml:space="preserve">○</w:instrText>
            </w:r>
            <w:r>
              <w:rPr>
                <w:rFonts w:hint="eastAsia" w:cs="Times New Roman"/>
                <w:b/>
                <w:bCs/>
                <w:color w:val="auto"/>
                <w:kern w:val="2"/>
                <w:sz w:val="24"/>
                <w:szCs w:val="24"/>
                <w:highlight w:val="none"/>
                <w:lang w:val="en-US" w:eastAsia="zh-CN" w:bidi="ar-SA"/>
              </w:rPr>
              <w:instrText xml:space="preserve">,</w:instrText>
            </w:r>
            <w:r>
              <w:rPr>
                <w:rFonts w:hint="eastAsia" w:ascii="Times New Roman" w:hAnsi="Times New Roman" w:eastAsia="宋体" w:cs="Times New Roman"/>
                <w:b/>
                <w:bCs/>
                <w:color w:val="auto"/>
                <w:kern w:val="2"/>
                <w:position w:val="3"/>
                <w:sz w:val="16"/>
                <w:szCs w:val="24"/>
                <w:highlight w:val="none"/>
                <w:lang w:val="en-US" w:eastAsia="zh-CN" w:bidi="ar-SA"/>
              </w:rPr>
              <w:instrText xml:space="preserve">11</w:instrText>
            </w:r>
            <w:r>
              <w:rPr>
                <w:rFonts w:hint="eastAsia" w:cs="Times New Roman"/>
                <w:b/>
                <w:bCs/>
                <w:color w:val="auto"/>
                <w:kern w:val="2"/>
                <w:sz w:val="24"/>
                <w:szCs w:val="24"/>
                <w:highlight w:val="none"/>
                <w:lang w:val="en-US" w:eastAsia="zh-CN" w:bidi="ar-SA"/>
              </w:rPr>
              <w:instrText xml:space="preserve">)</w:instrText>
            </w:r>
            <w:r>
              <w:rPr>
                <w:rFonts w:hint="eastAsia" w:cs="Times New Roman"/>
                <w:b/>
                <w:bCs/>
                <w:color w:val="auto"/>
                <w:kern w:val="2"/>
                <w:sz w:val="24"/>
                <w:szCs w:val="24"/>
                <w:highlight w:val="none"/>
                <w:lang w:val="en-US" w:eastAsia="zh-CN" w:bidi="ar-SA"/>
              </w:rPr>
              <w:fldChar w:fldCharType="end"/>
            </w:r>
            <w:r>
              <w:rPr>
                <w:rFonts w:hint="eastAsia" w:cs="Times New Roman"/>
                <w:b/>
                <w:bCs/>
                <w:color w:val="auto"/>
                <w:kern w:val="2"/>
                <w:sz w:val="24"/>
                <w:szCs w:val="24"/>
                <w:highlight w:val="none"/>
                <w:lang w:val="en-US" w:eastAsia="zh-CN" w:bidi="ar-SA"/>
              </w:rPr>
              <w:t>网版清洗废液</w:t>
            </w:r>
          </w:p>
          <w:p w14:paraId="734FF6FF">
            <w:pPr>
              <w:pStyle w:val="19"/>
              <w:pageBreakBefore w:val="0"/>
              <w:wordWrap w:val="0"/>
              <w:overflowPunct/>
              <w:bidi w:val="0"/>
              <w:ind w:left="0" w:leftChars="0" w:firstLine="480" w:firstLineChars="200"/>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项目采用环保型网版专用清洗剂，年用量0.15t/a，除挥发分外，其余按全部进入网版清洗废液计，即网版清洗废液产生量为0.138t/a。</w:t>
            </w:r>
            <w:r>
              <w:rPr>
                <w:rFonts w:ascii="Times New Roman" w:hAnsi="Times New Roman" w:eastAsia="宋体" w:cs="Times New Roman"/>
                <w:color w:val="auto"/>
                <w:kern w:val="2"/>
                <w:sz w:val="24"/>
                <w:szCs w:val="24"/>
                <w:highlight w:val="none"/>
                <w:lang w:val="en-US" w:eastAsia="zh-CN" w:bidi="ar-SA"/>
              </w:rPr>
              <w:t>根据《国家危险废物名录》（202</w:t>
            </w:r>
            <w:r>
              <w:rPr>
                <w:rFonts w:hint="eastAsia" w:cs="Times New Roman"/>
                <w:color w:val="auto"/>
                <w:kern w:val="2"/>
                <w:sz w:val="24"/>
                <w:szCs w:val="24"/>
                <w:highlight w:val="none"/>
                <w:lang w:val="en-US" w:eastAsia="zh-CN" w:bidi="ar-SA"/>
              </w:rPr>
              <w:t>5</w:t>
            </w:r>
            <w:r>
              <w:rPr>
                <w:rFonts w:ascii="Times New Roman" w:hAnsi="Times New Roman" w:eastAsia="宋体" w:cs="Times New Roman"/>
                <w:color w:val="auto"/>
                <w:kern w:val="2"/>
                <w:sz w:val="24"/>
                <w:szCs w:val="24"/>
                <w:highlight w:val="none"/>
                <w:lang w:val="en-US" w:eastAsia="zh-CN" w:bidi="ar-SA"/>
              </w:rPr>
              <w:t>年版），</w:t>
            </w:r>
            <w:r>
              <w:rPr>
                <w:rFonts w:hint="eastAsia" w:cs="Times New Roman"/>
                <w:color w:val="auto"/>
                <w:kern w:val="2"/>
                <w:sz w:val="24"/>
                <w:szCs w:val="24"/>
                <w:highlight w:val="none"/>
                <w:lang w:val="en-US" w:eastAsia="zh-CN" w:bidi="ar-SA"/>
              </w:rPr>
              <w:t>网版清洗废液</w:t>
            </w:r>
            <w:r>
              <w:rPr>
                <w:rFonts w:ascii="Times New Roman" w:hAnsi="Times New Roman" w:eastAsia="宋体" w:cs="Times New Roman"/>
                <w:color w:val="auto"/>
                <w:kern w:val="2"/>
                <w:sz w:val="24"/>
                <w:szCs w:val="24"/>
                <w:highlight w:val="none"/>
                <w:lang w:val="en-US" w:eastAsia="zh-CN" w:bidi="ar-SA"/>
              </w:rPr>
              <w:t>废物类别为 HW12 染料、涂料废物，废物代码为 900-25</w:t>
            </w:r>
            <w:r>
              <w:rPr>
                <w:rFonts w:hint="eastAsia" w:cs="Times New Roman"/>
                <w:color w:val="auto"/>
                <w:kern w:val="2"/>
                <w:sz w:val="24"/>
                <w:szCs w:val="24"/>
                <w:highlight w:val="none"/>
                <w:lang w:val="en-US" w:eastAsia="zh-CN" w:bidi="ar-SA"/>
              </w:rPr>
              <w:t>3</w:t>
            </w:r>
            <w:r>
              <w:rPr>
                <w:rFonts w:ascii="Times New Roman" w:hAnsi="Times New Roman" w:eastAsia="宋体" w:cs="Times New Roman"/>
                <w:color w:val="auto"/>
                <w:kern w:val="2"/>
                <w:sz w:val="24"/>
                <w:szCs w:val="24"/>
                <w:highlight w:val="none"/>
                <w:lang w:val="en-US" w:eastAsia="zh-CN" w:bidi="ar-SA"/>
              </w:rPr>
              <w:t>-12，经收集后交由有危险废物处理资质单位处理。</w:t>
            </w:r>
          </w:p>
          <w:p w14:paraId="0FCA81C9">
            <w:pPr>
              <w:pStyle w:val="19"/>
              <w:pageBreakBefore w:val="0"/>
              <w:wordWrap w:val="0"/>
              <w:overflowPunct/>
              <w:bidi w:val="0"/>
              <w:ind w:left="0" w:leftChars="0" w:firstLine="480" w:firstLineChars="200"/>
              <w:rPr>
                <w:rFonts w:hint="default" w:ascii="Times New Roman" w:hAnsi="Times New Roman" w:cs="Times New Roman"/>
                <w:b/>
                <w:bCs/>
                <w:color w:val="auto"/>
                <w:sz w:val="24"/>
                <w:szCs w:val="24"/>
                <w:highlight w:val="none"/>
              </w:rPr>
            </w:pPr>
            <w:r>
              <w:rPr>
                <w:rFonts w:hint="eastAsia" w:cs="Times New Roman"/>
                <w:b/>
                <w:bCs/>
                <w:color w:val="auto"/>
                <w:sz w:val="24"/>
                <w:szCs w:val="24"/>
                <w:highlight w:val="none"/>
                <w:lang w:val="en-US" w:eastAsia="zh-CN"/>
              </w:rPr>
              <w:fldChar w:fldCharType="begin"/>
            </w:r>
            <w:r>
              <w:rPr>
                <w:rFonts w:hint="eastAsia" w:cs="Times New Roman"/>
                <w:b/>
                <w:bCs/>
                <w:color w:val="auto"/>
                <w:sz w:val="24"/>
                <w:szCs w:val="24"/>
                <w:highlight w:val="none"/>
                <w:lang w:val="en-US" w:eastAsia="zh-CN"/>
              </w:rPr>
              <w:instrText xml:space="preserve"> EQ \o\ac(</w:instrText>
            </w:r>
            <w:r>
              <w:rPr>
                <w:rFonts w:hint="eastAsia" w:ascii="Times New Roman" w:hAnsi="Times New Roman" w:eastAsia="宋体" w:cs="Times New Roman"/>
                <w:b/>
                <w:bCs/>
                <w:color w:val="auto"/>
                <w:kern w:val="2"/>
                <w:sz w:val="24"/>
                <w:szCs w:val="24"/>
                <w:highlight w:val="none"/>
                <w:lang w:val="en-US" w:eastAsia="zh-CN" w:bidi="ar-SA"/>
              </w:rPr>
              <w:instrText xml:space="preserve">○</w:instrText>
            </w:r>
            <w:r>
              <w:rPr>
                <w:rFonts w:hint="eastAsia" w:cs="Times New Roman"/>
                <w:b/>
                <w:bCs/>
                <w:color w:val="auto"/>
                <w:sz w:val="24"/>
                <w:szCs w:val="24"/>
                <w:highlight w:val="none"/>
                <w:lang w:val="en-US" w:eastAsia="zh-CN"/>
              </w:rPr>
              <w:instrText xml:space="preserve">,</w:instrText>
            </w:r>
            <w:r>
              <w:rPr>
                <w:rFonts w:hint="eastAsia" w:ascii="Times New Roman" w:hAnsi="Times New Roman" w:eastAsia="宋体" w:cs="Times New Roman"/>
                <w:b/>
                <w:bCs/>
                <w:color w:val="auto"/>
                <w:kern w:val="2"/>
                <w:position w:val="3"/>
                <w:sz w:val="16"/>
                <w:szCs w:val="24"/>
                <w:highlight w:val="none"/>
                <w:lang w:val="en-US" w:eastAsia="zh-CN" w:bidi="ar-SA"/>
              </w:rPr>
              <w:instrText xml:space="preserve">12</w:instrText>
            </w:r>
            <w:r>
              <w:rPr>
                <w:rFonts w:hint="eastAsia" w:cs="Times New Roman"/>
                <w:b/>
                <w:bCs/>
                <w:color w:val="auto"/>
                <w:sz w:val="24"/>
                <w:szCs w:val="24"/>
                <w:highlight w:val="none"/>
                <w:lang w:val="en-US" w:eastAsia="zh-CN"/>
              </w:rPr>
              <w:instrText xml:space="preserve">)</w:instrText>
            </w:r>
            <w:r>
              <w:rPr>
                <w:rFonts w:hint="eastAsia" w:cs="Times New Roman"/>
                <w:b/>
                <w:bCs/>
                <w:color w:val="auto"/>
                <w:sz w:val="24"/>
                <w:szCs w:val="24"/>
                <w:highlight w:val="none"/>
                <w:lang w:val="en-US" w:eastAsia="zh-CN"/>
              </w:rPr>
              <w:fldChar w:fldCharType="end"/>
            </w:r>
            <w:r>
              <w:rPr>
                <w:rFonts w:hint="default" w:ascii="Times New Roman" w:hAnsi="Times New Roman" w:cs="Times New Roman"/>
                <w:b/>
                <w:bCs/>
                <w:color w:val="auto"/>
                <w:sz w:val="24"/>
                <w:szCs w:val="24"/>
                <w:highlight w:val="none"/>
              </w:rPr>
              <w:t>废水处理站污泥</w:t>
            </w:r>
          </w:p>
          <w:p w14:paraId="6E4619F8">
            <w:pPr>
              <w:pStyle w:val="20"/>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 w:val="0"/>
                <w:bCs w:val="0"/>
                <w:color w:val="auto"/>
                <w:kern w:val="24"/>
                <w:sz w:val="24"/>
                <w:szCs w:val="24"/>
                <w:highlight w:val="none"/>
              </w:rPr>
            </w:pPr>
            <w:r>
              <w:rPr>
                <w:rFonts w:hint="default" w:ascii="Times New Roman" w:hAnsi="Times New Roman" w:cs="Times New Roman"/>
                <w:b w:val="0"/>
                <w:bCs w:val="0"/>
                <w:color w:val="auto"/>
                <w:kern w:val="24"/>
                <w:sz w:val="24"/>
                <w:szCs w:val="24"/>
                <w:highlight w:val="none"/>
                <w:lang w:val="en-US" w:eastAsia="zh-CN"/>
              </w:rPr>
              <w:t>根据公式：</w:t>
            </w:r>
            <w:r>
              <w:rPr>
                <w:rFonts w:hint="default" w:ascii="Times New Roman" w:hAnsi="Times New Roman" w:eastAsia="宋体" w:cs="Times New Roman"/>
                <w:i w:val="0"/>
                <w:iCs w:val="0"/>
                <w:caps w:val="0"/>
                <w:color w:val="auto"/>
                <w:spacing w:val="0"/>
                <w:sz w:val="24"/>
                <w:szCs w:val="24"/>
                <w:highlight w:val="none"/>
                <w:shd w:val="clear" w:color="auto" w:fill="FFFFFF"/>
              </w:rPr>
              <w:t>干污泥量（t/a）=</w:t>
            </w:r>
            <w:r>
              <w:rPr>
                <w:rFonts w:hint="default" w:ascii="Times New Roman" w:hAnsi="Times New Roman" w:eastAsia="宋体" w:cs="Times New Roman"/>
                <w:i/>
                <w:iCs/>
                <w:caps w:val="0"/>
                <w:color w:val="auto"/>
                <w:spacing w:val="0"/>
                <w:sz w:val="24"/>
                <w:szCs w:val="24"/>
                <w:highlight w:val="none"/>
                <w:shd w:val="clear" w:color="auto" w:fill="FFFFFF"/>
              </w:rPr>
              <w:t>Q</w:t>
            </w:r>
            <w:r>
              <w:rPr>
                <w:rFonts w:hint="default" w:ascii="Times New Roman" w:hAnsi="Times New Roman" w:eastAsia="宋体" w:cs="Times New Roman"/>
                <w:i w:val="0"/>
                <w:iCs w:val="0"/>
                <w:caps w:val="0"/>
                <w:color w:val="auto"/>
                <w:spacing w:val="0"/>
                <w:sz w:val="24"/>
                <w:szCs w:val="24"/>
                <w:highlight w:val="none"/>
                <w:shd w:val="clear" w:color="auto" w:fill="FFFFFF"/>
              </w:rPr>
              <w:t>×(</w:t>
            </w:r>
            <w:r>
              <w:rPr>
                <w:rFonts w:hint="default" w:ascii="Times New Roman" w:hAnsi="Times New Roman" w:eastAsia="宋体" w:cs="Times New Roman"/>
                <w:i/>
                <w:iCs/>
                <w:caps w:val="0"/>
                <w:color w:val="auto"/>
                <w:spacing w:val="0"/>
                <w:sz w:val="24"/>
                <w:szCs w:val="24"/>
                <w:highlight w:val="none"/>
                <w:shd w:val="clear" w:color="auto" w:fill="FFFFFF"/>
              </w:rPr>
              <w:t>C</w:t>
            </w:r>
            <w:r>
              <w:rPr>
                <w:rFonts w:hint="default" w:ascii="Times New Roman" w:hAnsi="Times New Roman" w:eastAsia="宋体" w:cs="Times New Roman"/>
                <w:i w:val="0"/>
                <w:iCs w:val="0"/>
                <w:caps w:val="0"/>
                <w:color w:val="auto"/>
                <w:spacing w:val="0"/>
                <w:sz w:val="24"/>
                <w:szCs w:val="24"/>
                <w:highlight w:val="none"/>
                <w:shd w:val="clear" w:color="auto" w:fill="FFFFFF"/>
                <w:vertAlign w:val="subscript"/>
              </w:rPr>
              <w:t>进水</w:t>
            </w:r>
            <w:r>
              <w:rPr>
                <w:rFonts w:hint="default" w:ascii="Times New Roman" w:hAnsi="Times New Roman" w:eastAsia="宋体" w:cs="Times New Roman"/>
                <w:i w:val="0"/>
                <w:iCs w:val="0"/>
                <w:caps w:val="0"/>
                <w:color w:val="auto"/>
                <w:spacing w:val="0"/>
                <w:sz w:val="24"/>
                <w:szCs w:val="24"/>
                <w:highlight w:val="none"/>
                <w:shd w:val="clear" w:color="auto" w:fill="FFFFFF"/>
              </w:rPr>
              <w:t>−</w:t>
            </w:r>
            <w:r>
              <w:rPr>
                <w:rFonts w:hint="default" w:ascii="Times New Roman" w:hAnsi="Times New Roman" w:eastAsia="宋体" w:cs="Times New Roman"/>
                <w:i/>
                <w:iCs/>
                <w:caps w:val="0"/>
                <w:color w:val="auto"/>
                <w:spacing w:val="0"/>
                <w:sz w:val="24"/>
                <w:szCs w:val="24"/>
                <w:highlight w:val="none"/>
                <w:shd w:val="clear" w:color="auto" w:fill="FFFFFF"/>
              </w:rPr>
              <w:t>C</w:t>
            </w:r>
            <w:r>
              <w:rPr>
                <w:rFonts w:hint="default" w:ascii="Times New Roman" w:hAnsi="Times New Roman" w:eastAsia="宋体" w:cs="Times New Roman"/>
                <w:i w:val="0"/>
                <w:iCs w:val="0"/>
                <w:caps w:val="0"/>
                <w:color w:val="auto"/>
                <w:spacing w:val="0"/>
                <w:sz w:val="24"/>
                <w:szCs w:val="24"/>
                <w:highlight w:val="none"/>
                <w:shd w:val="clear" w:color="auto" w:fill="FFFFFF"/>
                <w:vertAlign w:val="subscript"/>
              </w:rPr>
              <w:t>出水</w:t>
            </w:r>
            <w:r>
              <w:rPr>
                <w:rFonts w:hint="default" w:ascii="Times New Roman" w:hAnsi="Times New Roman" w:eastAsia="宋体" w:cs="Times New Roman"/>
                <w:i w:val="0"/>
                <w:iCs w:val="0"/>
                <w:caps w:val="0"/>
                <w:color w:val="auto"/>
                <w:spacing w:val="0"/>
                <w:sz w:val="24"/>
                <w:szCs w:val="24"/>
                <w:highlight w:val="none"/>
                <w:shd w:val="clear" w:color="auto" w:fill="FFFFFF"/>
              </w:rPr>
              <w:t>)×10</w:t>
            </w:r>
            <w:r>
              <w:rPr>
                <w:rFonts w:hint="default" w:ascii="Times New Roman" w:hAnsi="Times New Roman" w:eastAsia="宋体" w:cs="Times New Roman"/>
                <w:i w:val="0"/>
                <w:iCs w:val="0"/>
                <w:caps w:val="0"/>
                <w:color w:val="auto"/>
                <w:spacing w:val="0"/>
                <w:sz w:val="24"/>
                <w:szCs w:val="24"/>
                <w:highlight w:val="none"/>
                <w:shd w:val="clear" w:color="auto" w:fill="FFFFFF"/>
                <w:vertAlign w:val="superscript"/>
              </w:rPr>
              <w:t>−</w:t>
            </w:r>
            <w:r>
              <w:rPr>
                <w:rFonts w:hint="eastAsia" w:ascii="Times New Roman" w:hAnsi="Times New Roman" w:eastAsia="宋体" w:cs="Times New Roman"/>
                <w:i w:val="0"/>
                <w:iCs w:val="0"/>
                <w:caps w:val="0"/>
                <w:color w:val="auto"/>
                <w:spacing w:val="0"/>
                <w:sz w:val="24"/>
                <w:szCs w:val="24"/>
                <w:highlight w:val="none"/>
                <w:shd w:val="clear" w:color="auto" w:fill="FFFFFF"/>
                <w:vertAlign w:val="superscript"/>
                <w:lang w:val="en-US" w:eastAsia="zh-CN"/>
              </w:rPr>
              <w:t>6</w:t>
            </w:r>
            <w:r>
              <w:rPr>
                <w:rFonts w:hint="default" w:ascii="Times New Roman" w:hAnsi="Times New Roman" w:eastAsia="宋体" w:cs="Times New Roman"/>
                <w:i w:val="0"/>
                <w:iCs w:val="0"/>
                <w:caps w:val="0"/>
                <w:color w:val="auto"/>
                <w:spacing w:val="0"/>
                <w:sz w:val="24"/>
                <w:szCs w:val="24"/>
                <w:highlight w:val="none"/>
                <w:shd w:val="clear" w:color="auto" w:fill="FFFFFF"/>
              </w:rPr>
              <w:t>×污泥转化系数</w:t>
            </w:r>
          </w:p>
          <w:p w14:paraId="69B89A7B">
            <w:pPr>
              <w:pStyle w:val="4"/>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Q：处理水量（m³/a），本项目</w:t>
            </w:r>
            <w:r>
              <w:rPr>
                <w:rFonts w:hint="eastAsia" w:ascii="Times New Roman" w:cs="Times New Roman"/>
                <w:b w:val="0"/>
                <w:bCs w:val="0"/>
                <w:color w:val="auto"/>
                <w:sz w:val="24"/>
                <w:szCs w:val="24"/>
                <w:highlight w:val="none"/>
                <w:lang w:val="en-US" w:eastAsia="zh-CN"/>
              </w:rPr>
              <w:t>废水处理站处理水量</w:t>
            </w:r>
            <w:r>
              <w:rPr>
                <w:rFonts w:hint="default" w:ascii="Times New Roman" w:hAnsi="Times New Roman" w:cs="Times New Roman"/>
                <w:b w:val="0"/>
                <w:bCs w:val="0"/>
                <w:color w:val="auto"/>
                <w:sz w:val="24"/>
                <w:szCs w:val="24"/>
                <w:highlight w:val="none"/>
              </w:rPr>
              <w:t>为</w:t>
            </w:r>
            <w:r>
              <w:rPr>
                <w:rFonts w:hint="eastAsia" w:ascii="Times New Roman" w:cs="Times New Roman"/>
                <w:b w:val="0"/>
                <w:bCs w:val="0"/>
                <w:color w:val="auto"/>
                <w:sz w:val="24"/>
                <w:szCs w:val="24"/>
                <w:highlight w:val="none"/>
                <w:lang w:val="en-US" w:eastAsia="zh-CN"/>
              </w:rPr>
              <w:t>2508</w:t>
            </w:r>
            <w:r>
              <w:rPr>
                <w:rFonts w:hint="default" w:ascii="Times New Roman" w:hAnsi="Times New Roman" w:cs="Times New Roman"/>
                <w:b w:val="0"/>
                <w:bCs w:val="0"/>
                <w:color w:val="auto"/>
                <w:sz w:val="24"/>
                <w:szCs w:val="24"/>
                <w:highlight w:val="none"/>
              </w:rPr>
              <w:t>m³/a</w:t>
            </w:r>
          </w:p>
          <w:p w14:paraId="5666FD05">
            <w:pPr>
              <w:pStyle w:val="4"/>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C</w:t>
            </w:r>
            <w:r>
              <w:rPr>
                <w:rFonts w:hint="default" w:ascii="Times New Roman" w:hAnsi="Times New Roman" w:cs="Times New Roman"/>
                <w:b w:val="0"/>
                <w:bCs w:val="0"/>
                <w:color w:val="auto"/>
                <w:sz w:val="24"/>
                <w:szCs w:val="24"/>
                <w:highlight w:val="none"/>
                <w:vertAlign w:val="subscript"/>
              </w:rPr>
              <w:t>进水</w:t>
            </w:r>
            <w:r>
              <w:rPr>
                <w:rFonts w:hint="default" w:ascii="Times New Roman" w:hAnsi="Times New Roman" w:cs="Times New Roman"/>
                <w:b w:val="0"/>
                <w:bCs w:val="0"/>
                <w:color w:val="auto"/>
                <w:sz w:val="24"/>
                <w:szCs w:val="24"/>
                <w:highlight w:val="none"/>
              </w:rPr>
              <w:t>：进水污染物浓度（mg/L），如SS=</w:t>
            </w:r>
            <w:r>
              <w:rPr>
                <w:rFonts w:hint="eastAsia" w:ascii="Times New Roman" w:cs="Times New Roman"/>
                <w:b w:val="0"/>
                <w:bCs w:val="0"/>
                <w:color w:val="auto"/>
                <w:sz w:val="24"/>
                <w:szCs w:val="24"/>
                <w:highlight w:val="none"/>
                <w:lang w:val="en-US" w:eastAsia="zh-CN"/>
              </w:rPr>
              <w:t>29</w:t>
            </w:r>
            <w:r>
              <w:rPr>
                <w:rFonts w:hint="default" w:ascii="Times New Roman" w:hAnsi="Times New Roman" w:cs="Times New Roman"/>
                <w:b w:val="0"/>
                <w:bCs w:val="0"/>
                <w:color w:val="auto"/>
                <w:sz w:val="24"/>
                <w:szCs w:val="24"/>
                <w:highlight w:val="none"/>
              </w:rPr>
              <w:t>mg/L</w:t>
            </w:r>
          </w:p>
          <w:p w14:paraId="418711F4">
            <w:pPr>
              <w:pStyle w:val="4"/>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C</w:t>
            </w:r>
            <w:r>
              <w:rPr>
                <w:rFonts w:hint="default" w:ascii="Times New Roman" w:hAnsi="Times New Roman" w:cs="Times New Roman"/>
                <w:b w:val="0"/>
                <w:bCs w:val="0"/>
                <w:color w:val="auto"/>
                <w:sz w:val="24"/>
                <w:szCs w:val="24"/>
                <w:highlight w:val="none"/>
                <w:vertAlign w:val="subscript"/>
              </w:rPr>
              <w:t>出水</w:t>
            </w:r>
            <w:r>
              <w:rPr>
                <w:rFonts w:hint="default" w:ascii="Times New Roman" w:hAnsi="Times New Roman" w:cs="Times New Roman"/>
                <w:b w:val="0"/>
                <w:bCs w:val="0"/>
                <w:color w:val="auto"/>
                <w:sz w:val="24"/>
                <w:szCs w:val="24"/>
                <w:highlight w:val="none"/>
              </w:rPr>
              <w:t>：出水污染物浓度（mg/L），如SS=</w:t>
            </w:r>
            <w:r>
              <w:rPr>
                <w:rFonts w:hint="eastAsia" w:ascii="Times New Roman" w:cs="Times New Roman"/>
                <w:b w:val="0"/>
                <w:bCs w:val="0"/>
                <w:color w:val="auto"/>
                <w:sz w:val="24"/>
                <w:szCs w:val="24"/>
                <w:highlight w:val="none"/>
                <w:lang w:val="en-US" w:eastAsia="zh-CN"/>
              </w:rPr>
              <w:t>4.3</w:t>
            </w:r>
            <w:r>
              <w:rPr>
                <w:rFonts w:hint="default" w:ascii="Times New Roman" w:hAnsi="Times New Roman" w:cs="Times New Roman"/>
                <w:b w:val="0"/>
                <w:bCs w:val="0"/>
                <w:color w:val="auto"/>
                <w:sz w:val="24"/>
                <w:szCs w:val="24"/>
                <w:highlight w:val="none"/>
              </w:rPr>
              <w:t>mg/L</w:t>
            </w:r>
          </w:p>
          <w:p w14:paraId="164AD093">
            <w:pPr>
              <w:pStyle w:val="4"/>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污泥转化系数：SS按1.2（经验值，考虑药剂添加及絮体含水率）</w:t>
            </w:r>
          </w:p>
          <w:p w14:paraId="67C434D8">
            <w:pPr>
              <w:pStyle w:val="19"/>
              <w:pageBreakBefore w:val="0"/>
              <w:wordWrap w:val="0"/>
              <w:overflowPunct/>
              <w:bidi w:val="0"/>
              <w:ind w:left="0" w:leftChars="0" w:firstLine="480" w:firstLineChars="20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根据公式计算可得，本项目</w:t>
            </w:r>
            <w:r>
              <w:rPr>
                <w:rFonts w:hint="default" w:ascii="Times New Roman" w:hAnsi="Times New Roman" w:cs="Times New Roman"/>
                <w:b w:val="0"/>
                <w:bCs w:val="0"/>
                <w:color w:val="auto"/>
                <w:sz w:val="24"/>
                <w:szCs w:val="24"/>
                <w:highlight w:val="none"/>
                <w:lang w:val="en-US" w:eastAsia="zh-CN"/>
              </w:rPr>
              <w:t>干</w:t>
            </w:r>
            <w:r>
              <w:rPr>
                <w:rFonts w:hint="default" w:ascii="Times New Roman" w:hAnsi="Times New Roman" w:cs="Times New Roman"/>
                <w:b w:val="0"/>
                <w:bCs w:val="0"/>
                <w:color w:val="auto"/>
                <w:sz w:val="24"/>
                <w:szCs w:val="24"/>
                <w:highlight w:val="none"/>
              </w:rPr>
              <w:t>污泥产生量约为</w:t>
            </w:r>
            <w:r>
              <w:rPr>
                <w:rFonts w:hint="eastAsia" w:ascii="Times New Roman" w:hAnsi="Times New Roman" w:cs="Times New Roman"/>
                <w:b w:val="0"/>
                <w:bCs w:val="0"/>
                <w:color w:val="auto"/>
                <w:sz w:val="24"/>
                <w:szCs w:val="24"/>
                <w:highlight w:val="none"/>
                <w:lang w:val="en-US" w:eastAsia="zh-CN"/>
              </w:rPr>
              <w:t>0.</w:t>
            </w:r>
            <w:r>
              <w:rPr>
                <w:rFonts w:hint="eastAsia" w:cs="Times New Roman"/>
                <w:b w:val="0"/>
                <w:bCs w:val="0"/>
                <w:color w:val="auto"/>
                <w:sz w:val="24"/>
                <w:szCs w:val="24"/>
                <w:highlight w:val="none"/>
                <w:lang w:val="en-US" w:eastAsia="zh-CN"/>
              </w:rPr>
              <w:t>074</w:t>
            </w:r>
            <w:r>
              <w:rPr>
                <w:rFonts w:hint="default" w:ascii="Times New Roman" w:hAnsi="Times New Roman" w:cs="Times New Roman"/>
                <w:b w:val="0"/>
                <w:bCs w:val="0"/>
                <w:color w:val="auto"/>
                <w:sz w:val="24"/>
                <w:szCs w:val="24"/>
                <w:highlight w:val="none"/>
              </w:rPr>
              <w:t>t</w:t>
            </w:r>
            <w:r>
              <w:rPr>
                <w:rFonts w:hint="default" w:ascii="Times New Roman" w:hAnsi="Times New Roman" w:cs="Times New Roman"/>
                <w:b w:val="0"/>
                <w:bCs w:val="0"/>
                <w:color w:val="auto"/>
                <w:kern w:val="24"/>
                <w:sz w:val="24"/>
                <w:szCs w:val="24"/>
                <w:highlight w:val="none"/>
              </w:rPr>
              <w:t>/a，</w:t>
            </w:r>
            <w:r>
              <w:rPr>
                <w:rFonts w:hint="default" w:ascii="Times New Roman" w:hAnsi="Times New Roman" w:cs="Times New Roman"/>
                <w:b w:val="0"/>
                <w:bCs w:val="0"/>
                <w:color w:val="auto"/>
                <w:sz w:val="24"/>
                <w:szCs w:val="24"/>
                <w:highlight w:val="none"/>
              </w:rPr>
              <w:t>经板框压滤机处理后的污泥含水率控制在</w:t>
            </w:r>
            <w:r>
              <w:rPr>
                <w:rFonts w:hint="default" w:ascii="Times New Roman" w:hAnsi="Times New Roman" w:cs="Times New Roman"/>
                <w:b w:val="0"/>
                <w:bCs w:val="0"/>
                <w:color w:val="auto"/>
                <w:sz w:val="24"/>
                <w:szCs w:val="24"/>
                <w:highlight w:val="none"/>
                <w:lang w:val="en-US" w:eastAsia="zh-CN"/>
              </w:rPr>
              <w:t>60</w:t>
            </w:r>
            <w:r>
              <w:rPr>
                <w:rFonts w:hint="default" w:ascii="Times New Roman" w:hAnsi="Times New Roman" w:cs="Times New Roman"/>
                <w:b w:val="0"/>
                <w:bCs w:val="0"/>
                <w:color w:val="auto"/>
                <w:sz w:val="24"/>
                <w:szCs w:val="24"/>
                <w:highlight w:val="none"/>
              </w:rPr>
              <w:t>%，则最终污泥的产生量为</w:t>
            </w:r>
            <w:r>
              <w:rPr>
                <w:rFonts w:hint="eastAsia" w:cs="Times New Roman"/>
                <w:b w:val="0"/>
                <w:bCs w:val="0"/>
                <w:color w:val="auto"/>
                <w:sz w:val="24"/>
                <w:szCs w:val="24"/>
                <w:highlight w:val="none"/>
                <w:lang w:val="en-US" w:eastAsia="zh-CN"/>
              </w:rPr>
              <w:t>0.186</w:t>
            </w:r>
            <w:r>
              <w:rPr>
                <w:rFonts w:hint="default" w:ascii="Times New Roman" w:hAnsi="Times New Roman" w:cs="Times New Roman"/>
                <w:b w:val="0"/>
                <w:bCs w:val="0"/>
                <w:color w:val="auto"/>
                <w:sz w:val="24"/>
                <w:szCs w:val="24"/>
                <w:highlight w:val="none"/>
              </w:rPr>
              <w:t>t/a，属于《国家危险废物名录》（202</w:t>
            </w:r>
            <w:r>
              <w:rPr>
                <w:rFonts w:hint="default" w:ascii="Times New Roman" w:hAnsi="Times New Roman" w:cs="Times New Roman"/>
                <w:b w:val="0"/>
                <w:bCs w:val="0"/>
                <w:color w:val="auto"/>
                <w:sz w:val="24"/>
                <w:szCs w:val="24"/>
                <w:highlight w:val="none"/>
                <w:lang w:val="en-US" w:eastAsia="zh-CN"/>
              </w:rPr>
              <w:t>5</w:t>
            </w:r>
            <w:r>
              <w:rPr>
                <w:rFonts w:hint="default" w:ascii="Times New Roman" w:hAnsi="Times New Roman" w:cs="Times New Roman"/>
                <w:b w:val="0"/>
                <w:bCs w:val="0"/>
                <w:color w:val="auto"/>
                <w:sz w:val="24"/>
                <w:szCs w:val="24"/>
                <w:highlight w:val="none"/>
              </w:rPr>
              <w:t>年版）中编号为</w:t>
            </w:r>
            <w:r>
              <w:rPr>
                <w:rFonts w:hint="default" w:ascii="Times New Roman" w:hAnsi="Times New Roman" w:cs="Times New Roman"/>
                <w:b w:val="0"/>
                <w:bCs w:val="0"/>
                <w:color w:val="auto"/>
                <w:sz w:val="24"/>
                <w:szCs w:val="24"/>
                <w:highlight w:val="none"/>
                <w:lang w:eastAsia="zh-CN"/>
              </w:rPr>
              <w:t>HW</w:t>
            </w:r>
            <w:r>
              <w:rPr>
                <w:rFonts w:hint="default" w:ascii="Times New Roman" w:hAnsi="Times New Roman" w:cs="Times New Roman"/>
                <w:b w:val="0"/>
                <w:bCs w:val="0"/>
                <w:color w:val="auto"/>
                <w:sz w:val="24"/>
                <w:szCs w:val="24"/>
                <w:highlight w:val="none"/>
                <w:lang w:val="en-US" w:eastAsia="zh-CN"/>
              </w:rPr>
              <w:t>17</w:t>
            </w:r>
            <w:r>
              <w:rPr>
                <w:rFonts w:hint="default" w:ascii="Times New Roman" w:hAnsi="Times New Roman" w:cs="Times New Roman"/>
                <w:b w:val="0"/>
                <w:bCs w:val="0"/>
                <w:color w:val="auto"/>
                <w:sz w:val="24"/>
                <w:szCs w:val="24"/>
                <w:highlight w:val="none"/>
                <w:lang w:eastAsia="zh-CN"/>
              </w:rPr>
              <w:t>表面处理废物</w:t>
            </w:r>
            <w:r>
              <w:rPr>
                <w:rFonts w:hint="default" w:ascii="Times New Roman" w:hAnsi="Times New Roman" w:cs="Times New Roman"/>
                <w:b w:val="0"/>
                <w:bCs w:val="0"/>
                <w:color w:val="auto"/>
                <w:sz w:val="24"/>
                <w:szCs w:val="24"/>
                <w:highlight w:val="none"/>
              </w:rPr>
              <w:t>，危废代码336-064-17。收集后交由有危废处理资质单位处理。</w:t>
            </w:r>
          </w:p>
          <w:p w14:paraId="13D4333F">
            <w:pPr>
              <w:pStyle w:val="120"/>
              <w:pageBreakBefore w:val="0"/>
              <w:wordWrap w:val="0"/>
              <w:topLinePunct/>
              <w:bidi w:val="0"/>
              <w:snapToGrid/>
              <w:spacing w:beforeAutospacing="0" w:afterAutospacing="0"/>
              <w:ind w:firstLine="482"/>
              <w:rPr>
                <w:rFonts w:hint="eastAsia" w:eastAsia="宋体"/>
                <w:b/>
                <w:bCs/>
                <w:color w:val="auto"/>
                <w:highlight w:val="none"/>
                <w:lang w:eastAsia="zh-CN"/>
              </w:rPr>
            </w:pPr>
            <w:r>
              <w:rPr>
                <w:rFonts w:hint="eastAsia"/>
                <w:b w:val="0"/>
                <w:bCs w:val="0"/>
                <w:color w:val="auto"/>
                <w:highlight w:val="none"/>
                <w:lang w:val="en-US" w:eastAsia="zh-CN"/>
              </w:rPr>
              <w:fldChar w:fldCharType="begin"/>
            </w:r>
            <w:r>
              <w:rPr>
                <w:rFonts w:hint="eastAsia"/>
                <w:b w:val="0"/>
                <w:bCs w:val="0"/>
                <w:color w:val="auto"/>
                <w:highlight w:val="none"/>
                <w:lang w:val="en-US" w:eastAsia="zh-CN"/>
              </w:rPr>
              <w:instrText xml:space="preserve"> EQ \o\ac(</w:instrText>
            </w:r>
            <w:r>
              <w:rPr>
                <w:rFonts w:hint="eastAsia" w:ascii="Times New Roman" w:hAnsi="Times New Roman" w:eastAsia="宋体" w:cs="Times New Roman"/>
                <w:b w:val="0"/>
                <w:bCs w:val="0"/>
                <w:color w:val="auto"/>
                <w:spacing w:val="0"/>
                <w:kern w:val="2"/>
                <w:sz w:val="24"/>
                <w:szCs w:val="24"/>
                <w:highlight w:val="none"/>
                <w:lang w:val="en-US" w:eastAsia="zh-CN" w:bidi="ar-SA"/>
              </w:rPr>
              <w:instrText xml:space="preserve">○</w:instrText>
            </w:r>
            <w:r>
              <w:rPr>
                <w:rFonts w:hint="eastAsia"/>
                <w:b w:val="0"/>
                <w:bCs w:val="0"/>
                <w:color w:val="auto"/>
                <w:highlight w:val="none"/>
                <w:lang w:val="en-US" w:eastAsia="zh-CN"/>
              </w:rPr>
              <w:instrText xml:space="preserve">,</w:instrText>
            </w:r>
            <w:r>
              <w:rPr>
                <w:rFonts w:hint="eastAsia" w:ascii="Times New Roman" w:hAnsi="Times New Roman" w:eastAsia="宋体" w:cs="Times New Roman"/>
                <w:b w:val="0"/>
                <w:bCs w:val="0"/>
                <w:color w:val="auto"/>
                <w:spacing w:val="0"/>
                <w:kern w:val="2"/>
                <w:position w:val="3"/>
                <w:sz w:val="16"/>
                <w:szCs w:val="24"/>
                <w:highlight w:val="none"/>
                <w:lang w:val="en-US" w:eastAsia="zh-CN" w:bidi="ar-SA"/>
              </w:rPr>
              <w:instrText xml:space="preserve">13</w:instrText>
            </w:r>
            <w:r>
              <w:rPr>
                <w:rFonts w:hint="eastAsia"/>
                <w:b w:val="0"/>
                <w:bCs w:val="0"/>
                <w:color w:val="auto"/>
                <w:highlight w:val="none"/>
                <w:lang w:val="en-US" w:eastAsia="zh-CN"/>
              </w:rPr>
              <w:instrText xml:space="preserve">)</w:instrText>
            </w:r>
            <w:r>
              <w:rPr>
                <w:rFonts w:hint="eastAsia"/>
                <w:b w:val="0"/>
                <w:bCs w:val="0"/>
                <w:color w:val="auto"/>
                <w:highlight w:val="none"/>
                <w:lang w:val="en-US" w:eastAsia="zh-CN"/>
              </w:rPr>
              <w:fldChar w:fldCharType="end"/>
            </w:r>
            <w:r>
              <w:rPr>
                <w:rFonts w:hint="eastAsia"/>
                <w:b/>
                <w:bCs/>
                <w:color w:val="auto"/>
                <w:highlight w:val="none"/>
                <w:lang w:val="en-US" w:eastAsia="zh-CN"/>
              </w:rPr>
              <w:t>废静电喷粉滤芯</w:t>
            </w:r>
          </w:p>
          <w:p w14:paraId="667DC8B1">
            <w:pPr>
              <w:pStyle w:val="120"/>
              <w:pageBreakBefore w:val="0"/>
              <w:wordWrap w:val="0"/>
              <w:topLinePunct/>
              <w:bidi w:val="0"/>
              <w:snapToGrid/>
              <w:spacing w:beforeAutospacing="0" w:afterAutospacing="0"/>
              <w:ind w:firstLine="480"/>
              <w:rPr>
                <w:rFonts w:hint="eastAsia" w:eastAsia="宋体"/>
                <w:color w:val="auto"/>
                <w:highlight w:val="none"/>
                <w:lang w:eastAsia="zh-CN"/>
              </w:rPr>
            </w:pPr>
            <w:r>
              <w:rPr>
                <w:color w:val="auto"/>
                <w:highlight w:val="none"/>
              </w:rPr>
              <w:t>本项目</w:t>
            </w:r>
            <w:r>
              <w:rPr>
                <w:rFonts w:hint="eastAsia"/>
                <w:color w:val="auto"/>
                <w:highlight w:val="none"/>
                <w:lang w:val="en-US" w:eastAsia="zh-CN"/>
              </w:rPr>
              <w:t>静电喷粉废气</w:t>
            </w:r>
            <w:r>
              <w:rPr>
                <w:color w:val="auto"/>
                <w:highlight w:val="none"/>
              </w:rPr>
              <w:t>使用“大旋风+滤芯式二级回收系统”处理，需要定期更换滤芯，故产生废滤芯。其产生量</w:t>
            </w:r>
            <w:r>
              <w:rPr>
                <w:rFonts w:hint="eastAsia"/>
                <w:color w:val="auto"/>
                <w:highlight w:val="none"/>
                <w:lang w:val="en-US" w:eastAsia="zh-CN"/>
              </w:rPr>
              <w:t>=</w:t>
            </w:r>
            <w:r>
              <w:rPr>
                <w:color w:val="auto"/>
                <w:highlight w:val="none"/>
              </w:rPr>
              <w:t>滤芯年更换量</w:t>
            </w:r>
            <w:r>
              <w:rPr>
                <w:rFonts w:hint="eastAsia"/>
                <w:color w:val="auto"/>
                <w:highlight w:val="none"/>
                <w:lang w:val="en-US" w:eastAsia="zh-CN"/>
              </w:rPr>
              <w:t>=滤芯单个重量×一次更换数量×年更换次数</w:t>
            </w:r>
            <w:r>
              <w:rPr>
                <w:color w:val="auto"/>
                <w:highlight w:val="none"/>
              </w:rPr>
              <w:t>=</w:t>
            </w:r>
            <w:r>
              <w:rPr>
                <w:rFonts w:hint="eastAsia"/>
                <w:color w:val="auto"/>
                <w:highlight w:val="none"/>
                <w:lang w:val="en-US" w:eastAsia="zh-CN"/>
              </w:rPr>
              <w:t>8kg×1个×12次/a= 0.96</w:t>
            </w:r>
            <w:r>
              <w:rPr>
                <w:color w:val="auto"/>
                <w:highlight w:val="none"/>
              </w:rPr>
              <w:t>t/a</w:t>
            </w:r>
            <w:r>
              <w:rPr>
                <w:rFonts w:hint="eastAsia"/>
                <w:color w:val="auto"/>
                <w:highlight w:val="none"/>
                <w:lang w:eastAsia="zh-CN"/>
              </w:rPr>
              <w:t>。</w:t>
            </w:r>
            <w:r>
              <w:rPr>
                <w:bCs/>
                <w:color w:val="auto"/>
                <w:highlight w:val="none"/>
              </w:rPr>
              <w:t>根据《国家危险废物名录》（202</w:t>
            </w:r>
            <w:r>
              <w:rPr>
                <w:rFonts w:hint="eastAsia"/>
                <w:bCs/>
                <w:color w:val="auto"/>
                <w:highlight w:val="none"/>
                <w:lang w:val="en-US" w:eastAsia="zh-CN"/>
              </w:rPr>
              <w:t>5</w:t>
            </w:r>
            <w:r>
              <w:rPr>
                <w:bCs/>
                <w:color w:val="auto"/>
                <w:highlight w:val="none"/>
              </w:rPr>
              <w:t>年），</w:t>
            </w:r>
            <w:r>
              <w:rPr>
                <w:rFonts w:hint="eastAsia"/>
                <w:bCs/>
                <w:color w:val="auto"/>
                <w:highlight w:val="none"/>
                <w:lang w:eastAsia="zh-CN"/>
              </w:rPr>
              <w:t>废静电喷粉滤芯</w:t>
            </w:r>
            <w:r>
              <w:rPr>
                <w:bCs/>
                <w:color w:val="auto"/>
                <w:highlight w:val="none"/>
              </w:rPr>
              <w:t>属于“HW49 其他废物”，废物代码900-041-49</w:t>
            </w:r>
            <w:r>
              <w:rPr>
                <w:color w:val="auto"/>
                <w:highlight w:val="none"/>
              </w:rPr>
              <w:t>，经统一收集后交由有危险废物处理资质的单位处理。</w:t>
            </w:r>
          </w:p>
          <w:p w14:paraId="1DFCDC77">
            <w:pPr>
              <w:pStyle w:val="120"/>
              <w:pageBreakBefore w:val="0"/>
              <w:wordWrap w:val="0"/>
              <w:topLinePunct/>
              <w:bidi w:val="0"/>
              <w:snapToGrid/>
              <w:spacing w:beforeAutospacing="0" w:afterAutospacing="0"/>
              <w:ind w:firstLine="480"/>
              <w:rPr>
                <w:rFonts w:hint="default" w:eastAsia="宋体"/>
                <w:b/>
                <w:bCs/>
                <w:color w:val="auto"/>
                <w:highlight w:val="none"/>
                <w:lang w:val="en-US" w:eastAsia="zh-CN"/>
              </w:rPr>
            </w:pPr>
            <w:r>
              <w:rPr>
                <w:rFonts w:hint="eastAsia" w:ascii="Times New Roman" w:hAnsi="Times New Roman" w:cs="Times New Roman"/>
                <w:b w:val="0"/>
                <w:bCs w:val="0"/>
                <w:color w:val="auto"/>
                <w:sz w:val="24"/>
                <w:szCs w:val="24"/>
                <w:highlight w:val="none"/>
                <w:lang w:val="en-US" w:eastAsia="zh-CN"/>
              </w:rPr>
              <w:fldChar w:fldCharType="begin"/>
            </w:r>
            <w:r>
              <w:rPr>
                <w:rFonts w:hint="eastAsia" w:ascii="Times New Roman" w:hAnsi="Times New Roman" w:cs="Times New Roman"/>
                <w:b w:val="0"/>
                <w:bCs w:val="0"/>
                <w:color w:val="auto"/>
                <w:sz w:val="24"/>
                <w:szCs w:val="24"/>
                <w:highlight w:val="none"/>
                <w:lang w:val="en-US" w:eastAsia="zh-CN"/>
              </w:rPr>
              <w:instrText xml:space="preserve"> EQ \o\ac(</w:instrText>
            </w:r>
            <w:r>
              <w:rPr>
                <w:rFonts w:hint="eastAsia" w:ascii="Times New Roman" w:hAnsi="Times New Roman" w:eastAsia="宋体" w:cs="Times New Roman"/>
                <w:b w:val="0"/>
                <w:bCs w:val="0"/>
                <w:color w:val="auto"/>
                <w:kern w:val="2"/>
                <w:sz w:val="24"/>
                <w:szCs w:val="24"/>
                <w:highlight w:val="none"/>
                <w:lang w:val="en-US" w:eastAsia="zh-CN" w:bidi="ar-SA"/>
              </w:rPr>
              <w:instrText xml:space="preserve">○</w:instrText>
            </w:r>
            <w:r>
              <w:rPr>
                <w:rFonts w:hint="eastAsia" w:ascii="Times New Roman" w:hAnsi="Times New Roman" w:cs="Times New Roman"/>
                <w:b w:val="0"/>
                <w:bCs w:val="0"/>
                <w:color w:val="auto"/>
                <w:sz w:val="24"/>
                <w:szCs w:val="24"/>
                <w:highlight w:val="none"/>
                <w:lang w:val="en-US" w:eastAsia="zh-CN"/>
              </w:rPr>
              <w:instrText xml:space="preserve">,</w:instrText>
            </w:r>
            <w:r>
              <w:rPr>
                <w:rFonts w:hint="eastAsia" w:ascii="Times New Roman" w:hAnsi="Times New Roman" w:eastAsia="宋体" w:cs="Times New Roman"/>
                <w:b w:val="0"/>
                <w:bCs w:val="0"/>
                <w:color w:val="auto"/>
                <w:kern w:val="2"/>
                <w:position w:val="3"/>
                <w:sz w:val="16"/>
                <w:szCs w:val="24"/>
                <w:highlight w:val="none"/>
                <w:lang w:val="en-US" w:eastAsia="zh-CN" w:bidi="ar-SA"/>
              </w:rPr>
              <w:instrText xml:space="preserve">14</w:instrText>
            </w:r>
            <w:r>
              <w:rPr>
                <w:rFonts w:hint="eastAsia" w:ascii="Times New Roman" w:hAnsi="Times New Roman" w:cs="Times New Roman"/>
                <w:b w:val="0"/>
                <w:bCs w:val="0"/>
                <w:color w:val="auto"/>
                <w:sz w:val="24"/>
                <w:szCs w:val="24"/>
                <w:highlight w:val="none"/>
                <w:lang w:val="en-US" w:eastAsia="zh-CN"/>
              </w:rPr>
              <w:instrText xml:space="preserve">)</w:instrText>
            </w:r>
            <w:r>
              <w:rPr>
                <w:rFonts w:hint="eastAsia" w:ascii="Times New Roman" w:hAnsi="Times New Roman" w:cs="Times New Roman"/>
                <w:b w:val="0"/>
                <w:bCs w:val="0"/>
                <w:color w:val="auto"/>
                <w:sz w:val="24"/>
                <w:szCs w:val="24"/>
                <w:highlight w:val="none"/>
                <w:lang w:val="en-US" w:eastAsia="zh-CN"/>
              </w:rPr>
              <w:fldChar w:fldCharType="end"/>
            </w:r>
            <w:r>
              <w:rPr>
                <w:rFonts w:hint="eastAsia"/>
                <w:b/>
                <w:bCs/>
                <w:color w:val="auto"/>
                <w:highlight w:val="none"/>
                <w:lang w:val="en-US" w:eastAsia="zh-CN"/>
              </w:rPr>
              <w:t>废粉末涂料</w:t>
            </w:r>
          </w:p>
          <w:p w14:paraId="415B830E">
            <w:pPr>
              <w:pStyle w:val="120"/>
              <w:pageBreakBefore w:val="0"/>
              <w:wordWrap w:val="0"/>
              <w:topLinePunct/>
              <w:bidi w:val="0"/>
              <w:snapToGrid/>
              <w:spacing w:beforeAutospacing="0" w:afterAutospacing="0"/>
              <w:ind w:firstLine="480"/>
              <w:rPr>
                <w:color w:val="auto"/>
                <w:kern w:val="0"/>
                <w:highlight w:val="none"/>
              </w:rPr>
            </w:pPr>
            <w:r>
              <w:rPr>
                <w:rFonts w:hint="eastAsia"/>
                <w:color w:val="auto"/>
                <w:highlight w:val="none"/>
                <w:lang w:val="en-US" w:eastAsia="zh-CN"/>
              </w:rPr>
              <w:t>废粉末涂料主要来源于静电喷粉工序中地面沉降部分，根据前文计算其产生量为0.375</w:t>
            </w:r>
            <w:r>
              <w:rPr>
                <w:color w:val="auto"/>
                <w:highlight w:val="none"/>
              </w:rPr>
              <w:t>t/a。</w:t>
            </w:r>
            <w:r>
              <w:rPr>
                <w:rFonts w:hint="eastAsia"/>
                <w:color w:val="auto"/>
                <w:highlight w:val="none"/>
                <w:lang w:val="en-US" w:eastAsia="zh-CN"/>
              </w:rPr>
              <w:t>因静电喷粉粉末主要成分为有机树脂，其沉降于地面时易沾染污染物，不便于直接回用于生产，</w:t>
            </w:r>
            <w:r>
              <w:rPr>
                <w:color w:val="auto"/>
                <w:highlight w:val="none"/>
              </w:rPr>
              <w:t>属于《国家危险废物名录》（202</w:t>
            </w:r>
            <w:r>
              <w:rPr>
                <w:rFonts w:hint="eastAsia"/>
                <w:color w:val="auto"/>
                <w:highlight w:val="none"/>
                <w:lang w:val="en-US" w:eastAsia="zh-CN"/>
              </w:rPr>
              <w:t>5</w:t>
            </w:r>
            <w:r>
              <w:rPr>
                <w:color w:val="auto"/>
                <w:highlight w:val="none"/>
              </w:rPr>
              <w:t xml:space="preserve"> 年版）中，“HW</w:t>
            </w:r>
            <w:r>
              <w:rPr>
                <w:rFonts w:hint="eastAsia"/>
                <w:color w:val="auto"/>
                <w:highlight w:val="none"/>
                <w:lang w:val="en-US" w:eastAsia="zh-CN"/>
              </w:rPr>
              <w:t>12</w:t>
            </w:r>
            <w:r>
              <w:rPr>
                <w:color w:val="auto"/>
                <w:highlight w:val="none"/>
              </w:rPr>
              <w:t xml:space="preserve"> </w:t>
            </w:r>
            <w:r>
              <w:rPr>
                <w:rFonts w:hint="eastAsia"/>
                <w:color w:val="auto"/>
                <w:highlight w:val="none"/>
                <w:lang w:val="en-US" w:eastAsia="zh-CN"/>
              </w:rPr>
              <w:t>染料、涂料</w:t>
            </w:r>
            <w:r>
              <w:rPr>
                <w:color w:val="auto"/>
                <w:highlight w:val="none"/>
              </w:rPr>
              <w:t>废物”，危废代码为</w:t>
            </w:r>
            <w:r>
              <w:rPr>
                <w:rFonts w:hint="eastAsia"/>
                <w:color w:val="auto"/>
                <w:highlight w:val="none"/>
              </w:rPr>
              <w:t>264-013-12</w:t>
            </w:r>
            <w:r>
              <w:rPr>
                <w:color w:val="auto"/>
                <w:highlight w:val="none"/>
              </w:rPr>
              <w:t>，</w:t>
            </w:r>
            <w:r>
              <w:rPr>
                <w:color w:val="auto"/>
                <w:kern w:val="0"/>
                <w:highlight w:val="none"/>
              </w:rPr>
              <w:t>收集后交由有相应危险废物处理资质的单位处理。</w:t>
            </w:r>
          </w:p>
          <w:p w14:paraId="65D1F786">
            <w:pPr>
              <w:pStyle w:val="2"/>
              <w:keepNext w:val="0"/>
              <w:keepLines w:val="0"/>
              <w:suppressLineNumbers w:val="0"/>
              <w:spacing w:before="0" w:beforeAutospacing="0" w:after="0" w:afterAutospacing="0" w:line="360" w:lineRule="auto"/>
              <w:ind w:left="0" w:right="0" w:firstLine="480" w:firstLineChars="200"/>
              <w:rPr>
                <w:rFonts w:hint="eastAsia" w:ascii="Times New Roman" w:cs="Times New Roman"/>
                <w:color w:val="auto"/>
                <w:sz w:val="24"/>
                <w:szCs w:val="24"/>
                <w:highlight w:val="none"/>
                <w:lang w:val="en-US" w:eastAsia="zh-CN"/>
              </w:rPr>
            </w:pPr>
            <w:r>
              <w:rPr>
                <w:rFonts w:hint="eastAsia" w:ascii="Times New Roman" w:cs="Times New Roman"/>
                <w:b w:val="0"/>
                <w:bCs w:val="0"/>
                <w:color w:val="auto"/>
                <w:sz w:val="24"/>
                <w:szCs w:val="24"/>
                <w:highlight w:val="none"/>
                <w:lang w:val="en-US" w:eastAsia="zh-CN"/>
              </w:rPr>
              <w:fldChar w:fldCharType="begin"/>
            </w:r>
            <w:r>
              <w:rPr>
                <w:rFonts w:hint="eastAsia" w:ascii="Times New Roman" w:cs="Times New Roman"/>
                <w:b w:val="0"/>
                <w:bCs w:val="0"/>
                <w:color w:val="auto"/>
                <w:sz w:val="24"/>
                <w:szCs w:val="24"/>
                <w:highlight w:val="none"/>
                <w:lang w:val="en-US" w:eastAsia="zh-CN"/>
              </w:rPr>
              <w:instrText xml:space="preserve"> EQ \o\ac(</w:instrText>
            </w:r>
            <w:r>
              <w:rPr>
                <w:rFonts w:hint="eastAsia" w:ascii="Times New Roman" w:hAnsi="Times New Roman" w:eastAsia="宋体" w:cs="Times New Roman"/>
                <w:b w:val="0"/>
                <w:bCs w:val="0"/>
                <w:color w:val="auto"/>
                <w:kern w:val="2"/>
                <w:sz w:val="24"/>
                <w:szCs w:val="24"/>
                <w:highlight w:val="none"/>
                <w:lang w:val="en-US" w:eastAsia="zh-CN" w:bidi="ar-SA"/>
              </w:rPr>
              <w:instrText xml:space="preserve">○</w:instrText>
            </w:r>
            <w:r>
              <w:rPr>
                <w:rFonts w:hint="eastAsia" w:ascii="Times New Roman" w:cs="Times New Roman"/>
                <w:b w:val="0"/>
                <w:bCs w:val="0"/>
                <w:color w:val="auto"/>
                <w:sz w:val="24"/>
                <w:szCs w:val="24"/>
                <w:highlight w:val="none"/>
                <w:lang w:val="en-US" w:eastAsia="zh-CN"/>
              </w:rPr>
              <w:instrText xml:space="preserve">,</w:instrText>
            </w:r>
            <w:r>
              <w:rPr>
                <w:rFonts w:hint="eastAsia" w:ascii="Times New Roman" w:hAnsi="Times New Roman" w:eastAsia="宋体" w:cs="Times New Roman"/>
                <w:b w:val="0"/>
                <w:bCs w:val="0"/>
                <w:color w:val="auto"/>
                <w:kern w:val="2"/>
                <w:position w:val="3"/>
                <w:sz w:val="16"/>
                <w:szCs w:val="24"/>
                <w:highlight w:val="none"/>
                <w:lang w:val="en-US" w:eastAsia="zh-CN" w:bidi="ar-SA"/>
              </w:rPr>
              <w:instrText xml:space="preserve">15</w:instrText>
            </w:r>
            <w:r>
              <w:rPr>
                <w:rFonts w:hint="eastAsia" w:ascii="Times New Roman" w:cs="Times New Roman"/>
                <w:b w:val="0"/>
                <w:bCs w:val="0"/>
                <w:color w:val="auto"/>
                <w:sz w:val="24"/>
                <w:szCs w:val="24"/>
                <w:highlight w:val="none"/>
                <w:lang w:val="en-US" w:eastAsia="zh-CN"/>
              </w:rPr>
              <w:instrText xml:space="preserve">)</w:instrText>
            </w:r>
            <w:r>
              <w:rPr>
                <w:rFonts w:hint="eastAsia" w:ascii="Times New Roman" w:cs="Times New Roman"/>
                <w:b w:val="0"/>
                <w:bCs w:val="0"/>
                <w:color w:val="auto"/>
                <w:sz w:val="24"/>
                <w:szCs w:val="24"/>
                <w:highlight w:val="none"/>
                <w:lang w:val="en-US" w:eastAsia="zh-CN"/>
              </w:rPr>
              <w:fldChar w:fldCharType="end"/>
            </w:r>
            <w:r>
              <w:rPr>
                <w:rFonts w:hint="default" w:ascii="Times New Roman" w:hAnsi="Times New Roman" w:cs="Times New Roman"/>
                <w:b/>
                <w:bCs/>
                <w:color w:val="auto"/>
                <w:sz w:val="24"/>
                <w:szCs w:val="24"/>
                <w:highlight w:val="none"/>
                <w:lang w:eastAsia="zh-CN"/>
              </w:rPr>
              <w:t>废</w:t>
            </w:r>
            <w:r>
              <w:rPr>
                <w:rFonts w:hint="eastAsia" w:ascii="Times New Roman" w:cs="Times New Roman"/>
                <w:color w:val="auto"/>
                <w:sz w:val="24"/>
                <w:szCs w:val="24"/>
                <w:highlight w:val="none"/>
                <w:lang w:val="en-US" w:eastAsia="zh-CN"/>
              </w:rPr>
              <w:t>MBR膜</w:t>
            </w:r>
          </w:p>
          <w:p w14:paraId="732F7DF5">
            <w:pPr>
              <w:ind w:firstLine="480" w:firstLineChars="200"/>
              <w:rPr>
                <w:rFonts w:hint="default"/>
                <w:color w:val="auto"/>
                <w:highlight w:val="none"/>
                <w:lang w:val="en-US" w:eastAsia="zh-CN"/>
              </w:rPr>
            </w:pPr>
            <w:r>
              <w:rPr>
                <w:rFonts w:hint="default" w:ascii="Times New Roman" w:hAnsi="Times New Roman" w:cs="Times New Roman"/>
                <w:b w:val="0"/>
                <w:bCs w:val="0"/>
                <w:color w:val="auto"/>
                <w:sz w:val="24"/>
                <w:szCs w:val="24"/>
                <w:highlight w:val="none"/>
                <w:lang w:eastAsia="zh-CN"/>
              </w:rPr>
              <w:t>项目自建污水处理站使用</w:t>
            </w:r>
            <w:r>
              <w:rPr>
                <w:rFonts w:hint="eastAsia" w:cs="Times New Roman"/>
                <w:b w:val="0"/>
                <w:bCs w:val="0"/>
                <w:color w:val="auto"/>
                <w:sz w:val="24"/>
                <w:szCs w:val="24"/>
                <w:highlight w:val="none"/>
                <w:lang w:val="en-US" w:eastAsia="zh-CN"/>
              </w:rPr>
              <w:t>MBR膜</w:t>
            </w:r>
            <w:r>
              <w:rPr>
                <w:rFonts w:hint="default" w:ascii="Times New Roman" w:hAnsi="Times New Roman" w:cs="Times New Roman"/>
                <w:b w:val="0"/>
                <w:bCs w:val="0"/>
                <w:color w:val="auto"/>
                <w:sz w:val="24"/>
                <w:szCs w:val="24"/>
                <w:highlight w:val="none"/>
                <w:lang w:val="en-US" w:eastAsia="zh-CN"/>
              </w:rPr>
              <w:t>，故会产生</w:t>
            </w:r>
            <w:r>
              <w:rPr>
                <w:rFonts w:hint="default" w:ascii="Times New Roman" w:hAnsi="Times New Roman" w:cs="Times New Roman"/>
                <w:b w:val="0"/>
                <w:bCs w:val="0"/>
                <w:color w:val="auto"/>
                <w:sz w:val="24"/>
                <w:szCs w:val="24"/>
                <w:highlight w:val="none"/>
                <w:lang w:eastAsia="zh-CN"/>
              </w:rPr>
              <w:t>废</w:t>
            </w:r>
            <w:r>
              <w:rPr>
                <w:rFonts w:hint="eastAsia" w:cs="Times New Roman"/>
                <w:b w:val="0"/>
                <w:bCs w:val="0"/>
                <w:color w:val="auto"/>
                <w:sz w:val="24"/>
                <w:szCs w:val="24"/>
                <w:highlight w:val="none"/>
                <w:lang w:val="en-US" w:eastAsia="zh-CN"/>
              </w:rPr>
              <w:t>MBR膜组件，根据建设单位提供资料，废MBR膜产生量约0.2t/a</w:t>
            </w:r>
            <w:r>
              <w:rPr>
                <w:rFonts w:hint="default" w:ascii="Times New Roman" w:hAnsi="Times New Roman"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更换频次按1年1次计。</w:t>
            </w:r>
            <w:r>
              <w:rPr>
                <w:rFonts w:hint="default" w:ascii="Times New Roman" w:hAnsi="Times New Roman" w:cs="Times New Roman"/>
                <w:color w:val="auto"/>
                <w:sz w:val="24"/>
                <w:szCs w:val="24"/>
                <w:highlight w:val="none"/>
              </w:rPr>
              <w:t>根据</w:t>
            </w:r>
            <w:r>
              <w:rPr>
                <w:rFonts w:hint="default" w:ascii="Times New Roman" w:hAnsi="Times New Roman" w:cs="Times New Roman"/>
                <w:color w:val="auto"/>
                <w:sz w:val="24"/>
                <w:szCs w:val="24"/>
                <w:highlight w:val="none"/>
                <w:lang w:eastAsia="zh-CN"/>
              </w:rPr>
              <w:t>《国家危险废物名录》（2025年版）</w:t>
            </w:r>
            <w:r>
              <w:rPr>
                <w:rFonts w:hint="default" w:ascii="Times New Roman" w:hAnsi="Times New Roman" w:cs="Times New Roman"/>
                <w:color w:val="auto"/>
                <w:sz w:val="24"/>
                <w:szCs w:val="24"/>
                <w:highlight w:val="none"/>
              </w:rPr>
              <w:t>，</w:t>
            </w:r>
            <w:r>
              <w:rPr>
                <w:rFonts w:hint="default" w:ascii="Times New Roman" w:hAnsi="Times New Roman" w:cs="Times New Roman"/>
                <w:b w:val="0"/>
                <w:bCs w:val="0"/>
                <w:color w:val="auto"/>
                <w:sz w:val="24"/>
                <w:szCs w:val="24"/>
                <w:highlight w:val="none"/>
                <w:lang w:eastAsia="zh-CN"/>
              </w:rPr>
              <w:t>废</w:t>
            </w:r>
            <w:r>
              <w:rPr>
                <w:rFonts w:hint="default" w:ascii="Times New Roman" w:hAnsi="Times New Roman" w:cs="Times New Roman"/>
                <w:b w:val="0"/>
                <w:bCs w:val="0"/>
                <w:color w:val="auto"/>
                <w:sz w:val="24"/>
                <w:szCs w:val="24"/>
                <w:highlight w:val="none"/>
              </w:rPr>
              <w:t>pH调整剂</w:t>
            </w:r>
            <w:r>
              <w:rPr>
                <w:rFonts w:hint="default" w:ascii="Times New Roman" w:hAnsi="Times New Roman" w:cs="Times New Roman"/>
                <w:b w:val="0"/>
                <w:bCs w:val="0"/>
                <w:color w:val="auto"/>
                <w:sz w:val="24"/>
                <w:szCs w:val="24"/>
                <w:highlight w:val="none"/>
                <w:lang w:eastAsia="zh-CN"/>
              </w:rPr>
              <w:t>包装</w:t>
            </w:r>
            <w:r>
              <w:rPr>
                <w:rFonts w:hint="default" w:ascii="Times New Roman" w:hAnsi="Times New Roman" w:cs="Times New Roman"/>
                <w:color w:val="auto"/>
                <w:sz w:val="24"/>
                <w:szCs w:val="24"/>
                <w:highlight w:val="none"/>
              </w:rPr>
              <w:t>桶属于</w:t>
            </w:r>
            <w:r>
              <w:rPr>
                <w:rFonts w:hint="default" w:ascii="Times New Roman" w:hAnsi="Times New Roman" w:cs="Times New Roman"/>
                <w:color w:val="auto"/>
                <w:sz w:val="24"/>
                <w:szCs w:val="24"/>
                <w:highlight w:val="none"/>
                <w:lang w:eastAsia="zh-CN"/>
              </w:rPr>
              <w:t>《国家危险废物名录》（2025年版）</w:t>
            </w:r>
            <w:r>
              <w:rPr>
                <w:rFonts w:hint="default" w:ascii="Times New Roman" w:hAnsi="Times New Roman" w:cs="Times New Roman"/>
                <w:color w:val="auto"/>
                <w:sz w:val="24"/>
                <w:szCs w:val="24"/>
                <w:highlight w:val="none"/>
              </w:rPr>
              <w:t>中编号为</w:t>
            </w:r>
            <w:r>
              <w:rPr>
                <w:rFonts w:hint="default" w:ascii="Times New Roman" w:hAnsi="Times New Roman" w:cs="Times New Roman"/>
                <w:color w:val="auto"/>
                <w:sz w:val="24"/>
                <w:szCs w:val="24"/>
                <w:highlight w:val="none"/>
                <w:lang w:val="en-US" w:eastAsia="zh-CN"/>
              </w:rPr>
              <w:t>HW49其他废物</w:t>
            </w:r>
            <w:r>
              <w:rPr>
                <w:rFonts w:hint="default" w:ascii="Times New Roman" w:hAnsi="Times New Roman" w:cs="Times New Roman"/>
                <w:color w:val="auto"/>
                <w:sz w:val="24"/>
                <w:szCs w:val="24"/>
                <w:highlight w:val="none"/>
              </w:rPr>
              <w:t>，废物代码</w:t>
            </w:r>
            <w:r>
              <w:rPr>
                <w:rFonts w:hint="default" w:ascii="Times New Roman" w:hAnsi="Times New Roman" w:cs="Times New Roman"/>
                <w:b w:val="0"/>
                <w:bCs w:val="0"/>
                <w:color w:val="auto"/>
                <w:sz w:val="24"/>
                <w:szCs w:val="24"/>
                <w:highlight w:val="none"/>
                <w:lang w:val="en-US" w:eastAsia="zh-CN"/>
              </w:rPr>
              <w:t>900-041-49</w:t>
            </w:r>
            <w:r>
              <w:rPr>
                <w:rFonts w:hint="default" w:ascii="Times New Roman" w:hAnsi="Times New Roman" w:cs="Times New Roman"/>
                <w:color w:val="auto"/>
                <w:sz w:val="24"/>
                <w:szCs w:val="24"/>
                <w:highlight w:val="none"/>
              </w:rPr>
              <w:t>，经统一收集后交由有危险废物处理资质的单位处理</w:t>
            </w:r>
          </w:p>
          <w:p w14:paraId="4C2035D8">
            <w:pPr>
              <w:keepNext w:val="0"/>
              <w:keepLines w:val="0"/>
              <w:pageBreakBefore w:val="0"/>
              <w:widowControl w:val="0"/>
              <w:numPr>
                <w:ilvl w:val="0"/>
                <w:numId w:val="10"/>
              </w:numPr>
              <w:kinsoku/>
              <w:wordWrap w:val="0"/>
              <w:overflowPunct/>
              <w:topLinePunct w:val="0"/>
              <w:autoSpaceDE/>
              <w:autoSpaceDN/>
              <w:bidi w:val="0"/>
              <w:adjustRightInd/>
              <w:snapToGrid/>
              <w:spacing w:line="240" w:lineRule="auto"/>
              <w:ind w:left="0" w:leftChars="0" w:hanging="1"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lang w:val="en-US" w:eastAsia="zh-CN"/>
              </w:rPr>
              <w:t>固体</w:t>
            </w:r>
            <w:r>
              <w:rPr>
                <w:rFonts w:hint="default" w:ascii="Times New Roman" w:hAnsi="Times New Roman" w:eastAsia="宋体" w:cs="Times New Roman"/>
                <w:b/>
                <w:bCs/>
                <w:color w:val="auto"/>
                <w:kern w:val="2"/>
                <w:sz w:val="21"/>
                <w:szCs w:val="21"/>
                <w:highlight w:val="none"/>
                <w:lang w:val="en-US" w:eastAsia="zh-CN" w:bidi="ar-SA"/>
              </w:rPr>
              <w:t>废物污染源源强核算结果及相关参数一览表</w:t>
            </w:r>
          </w:p>
          <w:tbl>
            <w:tblPr>
              <w:tblStyle w:val="4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07"/>
              <w:gridCol w:w="1158"/>
              <w:gridCol w:w="1373"/>
              <w:gridCol w:w="1216"/>
              <w:gridCol w:w="549"/>
              <w:gridCol w:w="561"/>
              <w:gridCol w:w="845"/>
              <w:gridCol w:w="1273"/>
              <w:gridCol w:w="1023"/>
            </w:tblGrid>
            <w:tr w14:paraId="13F52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6" w:type="pct"/>
                  <w:vMerge w:val="restart"/>
                  <w:vAlign w:val="center"/>
                </w:tcPr>
                <w:p w14:paraId="09EC49A7">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工序/生产线</w:t>
                  </w:r>
                </w:p>
              </w:tc>
              <w:tc>
                <w:tcPr>
                  <w:tcW w:w="665" w:type="pct"/>
                  <w:vMerge w:val="restart"/>
                  <w:vAlign w:val="center"/>
                </w:tcPr>
                <w:p w14:paraId="3766C087">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装置</w:t>
                  </w:r>
                </w:p>
              </w:tc>
              <w:tc>
                <w:tcPr>
                  <w:tcW w:w="788" w:type="pct"/>
                  <w:vMerge w:val="restart"/>
                  <w:vAlign w:val="center"/>
                </w:tcPr>
                <w:p w14:paraId="0E52C6F8">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固体废物名称</w:t>
                  </w:r>
                </w:p>
              </w:tc>
              <w:tc>
                <w:tcPr>
                  <w:tcW w:w="698" w:type="pct"/>
                  <w:vMerge w:val="restart"/>
                  <w:vAlign w:val="center"/>
                </w:tcPr>
                <w:p w14:paraId="0AD171AF">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代码</w:t>
                  </w:r>
                </w:p>
              </w:tc>
              <w:tc>
                <w:tcPr>
                  <w:tcW w:w="315" w:type="pct"/>
                  <w:vMerge w:val="restart"/>
                  <w:vAlign w:val="center"/>
                </w:tcPr>
                <w:p w14:paraId="10A4E3C1">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固废属性</w:t>
                  </w:r>
                </w:p>
              </w:tc>
              <w:tc>
                <w:tcPr>
                  <w:tcW w:w="807" w:type="pct"/>
                  <w:gridSpan w:val="2"/>
                  <w:vAlign w:val="center"/>
                </w:tcPr>
                <w:p w14:paraId="1ABB72F1">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产生情况</w:t>
                  </w:r>
                </w:p>
              </w:tc>
              <w:tc>
                <w:tcPr>
                  <w:tcW w:w="1318" w:type="pct"/>
                  <w:gridSpan w:val="2"/>
                  <w:vAlign w:val="center"/>
                </w:tcPr>
                <w:p w14:paraId="72BAC170">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处置措施</w:t>
                  </w:r>
                </w:p>
              </w:tc>
            </w:tr>
            <w:tr w14:paraId="2CF84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6" w:type="pct"/>
                  <w:vMerge w:val="continue"/>
                  <w:vAlign w:val="center"/>
                </w:tcPr>
                <w:p w14:paraId="3719FB7A">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665" w:type="pct"/>
                  <w:vMerge w:val="continue"/>
                  <w:vAlign w:val="center"/>
                </w:tcPr>
                <w:p w14:paraId="465C3C74">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788" w:type="pct"/>
                  <w:vMerge w:val="continue"/>
                  <w:vAlign w:val="center"/>
                </w:tcPr>
                <w:p w14:paraId="31D53832">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698" w:type="pct"/>
                  <w:vMerge w:val="continue"/>
                  <w:vAlign w:val="center"/>
                </w:tcPr>
                <w:p w14:paraId="694BC987">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315" w:type="pct"/>
                  <w:vMerge w:val="continue"/>
                  <w:vAlign w:val="center"/>
                </w:tcPr>
                <w:p w14:paraId="564F85A7">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322" w:type="pct"/>
                  <w:vAlign w:val="center"/>
                </w:tcPr>
                <w:p w14:paraId="317D313F">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核算方法</w:t>
                  </w:r>
                </w:p>
              </w:tc>
              <w:tc>
                <w:tcPr>
                  <w:tcW w:w="485" w:type="pct"/>
                  <w:vAlign w:val="center"/>
                </w:tcPr>
                <w:p w14:paraId="7695A7EF">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产生量</w:t>
                  </w:r>
                </w:p>
                <w:p w14:paraId="633013F5">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t/a</w:t>
                  </w:r>
                </w:p>
              </w:tc>
              <w:tc>
                <w:tcPr>
                  <w:tcW w:w="731" w:type="pct"/>
                  <w:vAlign w:val="center"/>
                </w:tcPr>
                <w:p w14:paraId="163E2D01">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工艺</w:t>
                  </w:r>
                </w:p>
              </w:tc>
              <w:tc>
                <w:tcPr>
                  <w:tcW w:w="587" w:type="pct"/>
                  <w:vAlign w:val="center"/>
                </w:tcPr>
                <w:p w14:paraId="42A812BE">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处置量t/a</w:t>
                  </w:r>
                </w:p>
              </w:tc>
            </w:tr>
            <w:tr w14:paraId="75202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6" w:type="pct"/>
                  <w:vAlign w:val="center"/>
                </w:tcPr>
                <w:p w14:paraId="6CD01987">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办公生活</w:t>
                  </w:r>
                </w:p>
              </w:tc>
              <w:tc>
                <w:tcPr>
                  <w:tcW w:w="665" w:type="pct"/>
                  <w:vAlign w:val="center"/>
                </w:tcPr>
                <w:p w14:paraId="2AE05323">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垃圾桶</w:t>
                  </w:r>
                </w:p>
              </w:tc>
              <w:tc>
                <w:tcPr>
                  <w:tcW w:w="788" w:type="pct"/>
                  <w:vAlign w:val="center"/>
                </w:tcPr>
                <w:p w14:paraId="2DFF722A">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生活垃圾</w:t>
                  </w:r>
                </w:p>
              </w:tc>
              <w:tc>
                <w:tcPr>
                  <w:tcW w:w="698" w:type="pct"/>
                  <w:vAlign w:val="center"/>
                </w:tcPr>
                <w:p w14:paraId="38AECA87">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w:t>
                  </w:r>
                </w:p>
              </w:tc>
              <w:tc>
                <w:tcPr>
                  <w:tcW w:w="315" w:type="pct"/>
                  <w:vAlign w:val="center"/>
                </w:tcPr>
                <w:p w14:paraId="7020254A">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ascii="Times New Roman" w:hAnsi="Times New Roman" w:eastAsia="宋体" w:cs="Times New Roman"/>
                      <w:color w:val="auto"/>
                      <w:position w:val="-10"/>
                      <w:sz w:val="21"/>
                      <w:szCs w:val="21"/>
                      <w:highlight w:val="none"/>
                      <w:lang w:val="en-US" w:eastAsia="zh-CN" w:bidi="ar-SA"/>
                    </w:rPr>
                    <w:t>/</w:t>
                  </w:r>
                </w:p>
              </w:tc>
              <w:tc>
                <w:tcPr>
                  <w:tcW w:w="322" w:type="pct"/>
                  <w:vMerge w:val="restart"/>
                  <w:vAlign w:val="center"/>
                </w:tcPr>
                <w:p w14:paraId="4DB0242B">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产污系数法</w:t>
                  </w:r>
                </w:p>
              </w:tc>
              <w:tc>
                <w:tcPr>
                  <w:tcW w:w="845" w:type="dxa"/>
                  <w:vAlign w:val="center"/>
                </w:tcPr>
                <w:p w14:paraId="16928EFC">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731" w:type="pct"/>
                  <w:vAlign w:val="center"/>
                </w:tcPr>
                <w:p w14:paraId="7C8E81EE">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交由环卫部门清运</w:t>
                  </w:r>
                </w:p>
              </w:tc>
              <w:tc>
                <w:tcPr>
                  <w:tcW w:w="1023" w:type="dxa"/>
                  <w:vAlign w:val="center"/>
                </w:tcPr>
                <w:p w14:paraId="4C826C86">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r>
            <w:tr w14:paraId="6AB17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6" w:type="pct"/>
                  <w:vMerge w:val="restart"/>
                  <w:vAlign w:val="center"/>
                </w:tcPr>
                <w:p w14:paraId="105B6F60">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生产过程</w:t>
                  </w:r>
                </w:p>
              </w:tc>
              <w:tc>
                <w:tcPr>
                  <w:tcW w:w="665" w:type="pct"/>
                  <w:vAlign w:val="center"/>
                </w:tcPr>
                <w:p w14:paraId="48165AC1">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w:t>
                  </w:r>
                </w:p>
              </w:tc>
              <w:tc>
                <w:tcPr>
                  <w:tcW w:w="788" w:type="pct"/>
                  <w:vAlign w:val="center"/>
                </w:tcPr>
                <w:p w14:paraId="44AC6579">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废包装物</w:t>
                  </w:r>
                </w:p>
              </w:tc>
              <w:tc>
                <w:tcPr>
                  <w:tcW w:w="698" w:type="pct"/>
                  <w:vAlign w:val="center"/>
                </w:tcPr>
                <w:p w14:paraId="384822C8">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900-003-S17</w:t>
                  </w:r>
                </w:p>
              </w:tc>
              <w:tc>
                <w:tcPr>
                  <w:tcW w:w="315" w:type="pct"/>
                  <w:vMerge w:val="restart"/>
                  <w:vAlign w:val="center"/>
                </w:tcPr>
                <w:p w14:paraId="414CD273">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一般</w:t>
                  </w:r>
                  <w:r>
                    <w:rPr>
                      <w:rFonts w:hint="eastAsia" w:ascii="Times New Roman" w:hAnsi="Times New Roman" w:eastAsia="宋体" w:cs="Times New Roman"/>
                      <w:color w:val="auto"/>
                      <w:position w:val="-10"/>
                      <w:sz w:val="21"/>
                      <w:szCs w:val="21"/>
                      <w:highlight w:val="none"/>
                      <w:lang w:val="en-US" w:eastAsia="zh-CN" w:bidi="ar-SA"/>
                    </w:rPr>
                    <w:t>工业</w:t>
                  </w:r>
                  <w:r>
                    <w:rPr>
                      <w:rFonts w:hint="default" w:ascii="Times New Roman" w:hAnsi="Times New Roman" w:eastAsia="宋体" w:cs="Times New Roman"/>
                      <w:color w:val="auto"/>
                      <w:position w:val="-10"/>
                      <w:sz w:val="21"/>
                      <w:szCs w:val="21"/>
                      <w:highlight w:val="none"/>
                      <w:lang w:val="en-US" w:eastAsia="zh-CN" w:bidi="ar-SA"/>
                    </w:rPr>
                    <w:t>固体废物</w:t>
                  </w:r>
                </w:p>
              </w:tc>
              <w:tc>
                <w:tcPr>
                  <w:tcW w:w="322" w:type="pct"/>
                  <w:vMerge w:val="continue"/>
                  <w:vAlign w:val="center"/>
                </w:tcPr>
                <w:p w14:paraId="6C6CB584">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845" w:type="dxa"/>
                  <w:vAlign w:val="center"/>
                </w:tcPr>
                <w:p w14:paraId="6F76DD46">
                  <w:pPr>
                    <w:keepNext w:val="0"/>
                    <w:keepLines w:val="0"/>
                    <w:widowControl/>
                    <w:suppressLineNumbers w:val="0"/>
                    <w:jc w:val="center"/>
                    <w:textAlignment w:val="center"/>
                    <w:rPr>
                      <w:rFonts w:hint="eastAsia"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731" w:type="pct"/>
                  <w:vMerge w:val="restart"/>
                  <w:vAlign w:val="center"/>
                </w:tcPr>
                <w:p w14:paraId="0BA31361">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统一收集后外售至资源回收利用单位</w:t>
                  </w:r>
                </w:p>
              </w:tc>
              <w:tc>
                <w:tcPr>
                  <w:tcW w:w="1023" w:type="dxa"/>
                  <w:vAlign w:val="center"/>
                </w:tcPr>
                <w:p w14:paraId="736A4B24">
                  <w:pPr>
                    <w:keepNext w:val="0"/>
                    <w:keepLines w:val="0"/>
                    <w:widowControl/>
                    <w:suppressLineNumbers w:val="0"/>
                    <w:jc w:val="center"/>
                    <w:textAlignment w:val="center"/>
                    <w:rPr>
                      <w:rFonts w:hint="eastAsia"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68855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6" w:type="pct"/>
                  <w:vMerge w:val="continue"/>
                  <w:vAlign w:val="center"/>
                </w:tcPr>
                <w:p w14:paraId="2A5B5F8C">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665" w:type="pct"/>
                  <w:shd w:val="clear" w:color="auto" w:fill="auto"/>
                  <w:vAlign w:val="center"/>
                </w:tcPr>
                <w:p w14:paraId="00324C33">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eastAsia" w:cs="Times New Roman"/>
                      <w:color w:val="auto"/>
                      <w:kern w:val="2"/>
                      <w:position w:val="0"/>
                      <w:sz w:val="21"/>
                      <w:szCs w:val="21"/>
                      <w:highlight w:val="none"/>
                      <w:lang w:val="en-US" w:eastAsia="zh-CN" w:bidi="ar-SA"/>
                    </w:rPr>
                    <w:t>切割加工</w:t>
                  </w:r>
                </w:p>
              </w:tc>
              <w:tc>
                <w:tcPr>
                  <w:tcW w:w="788" w:type="pct"/>
                  <w:shd w:val="clear" w:color="auto" w:fill="auto"/>
                  <w:vAlign w:val="center"/>
                </w:tcPr>
                <w:p w14:paraId="78116238">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eastAsia" w:ascii="Times New Roman" w:hAnsi="Times New Roman" w:eastAsia="宋体" w:cs="Times New Roman"/>
                      <w:color w:val="auto"/>
                      <w:kern w:val="2"/>
                      <w:position w:val="0"/>
                      <w:sz w:val="21"/>
                      <w:szCs w:val="21"/>
                      <w:highlight w:val="none"/>
                      <w:lang w:val="en-US" w:eastAsia="zh-CN" w:bidi="ar-SA"/>
                    </w:rPr>
                  </w:pPr>
                  <w:r>
                    <w:rPr>
                      <w:rFonts w:hint="eastAsia" w:cs="Times New Roman"/>
                      <w:color w:val="auto"/>
                      <w:kern w:val="2"/>
                      <w:position w:val="0"/>
                      <w:sz w:val="21"/>
                      <w:szCs w:val="21"/>
                      <w:highlight w:val="none"/>
                      <w:lang w:val="en-US" w:eastAsia="zh-CN" w:bidi="ar-SA"/>
                    </w:rPr>
                    <w:t>边角料</w:t>
                  </w:r>
                </w:p>
              </w:tc>
              <w:tc>
                <w:tcPr>
                  <w:tcW w:w="698" w:type="pct"/>
                  <w:shd w:val="clear" w:color="auto" w:fill="auto"/>
                  <w:vAlign w:val="center"/>
                </w:tcPr>
                <w:p w14:paraId="3901AEAB">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900-00</w:t>
                  </w:r>
                  <w:r>
                    <w:rPr>
                      <w:rFonts w:hint="eastAsia" w:cs="Times New Roman"/>
                      <w:color w:val="auto"/>
                      <w:position w:val="-10"/>
                      <w:sz w:val="21"/>
                      <w:szCs w:val="21"/>
                      <w:highlight w:val="none"/>
                      <w:lang w:val="en-US" w:eastAsia="zh-CN" w:bidi="ar-SA"/>
                    </w:rPr>
                    <w:t>1</w:t>
                  </w:r>
                  <w:r>
                    <w:rPr>
                      <w:rFonts w:hint="default" w:ascii="Times New Roman" w:hAnsi="Times New Roman" w:eastAsia="宋体" w:cs="Times New Roman"/>
                      <w:color w:val="auto"/>
                      <w:position w:val="-10"/>
                      <w:sz w:val="21"/>
                      <w:szCs w:val="21"/>
                      <w:highlight w:val="none"/>
                      <w:lang w:val="en-US" w:eastAsia="zh-CN" w:bidi="ar-SA"/>
                    </w:rPr>
                    <w:t>-S17</w:t>
                  </w:r>
                </w:p>
              </w:tc>
              <w:tc>
                <w:tcPr>
                  <w:tcW w:w="315" w:type="pct"/>
                  <w:vMerge w:val="continue"/>
                  <w:vAlign w:val="center"/>
                </w:tcPr>
                <w:p w14:paraId="54271214">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322" w:type="pct"/>
                  <w:vMerge w:val="continue"/>
                  <w:vAlign w:val="center"/>
                </w:tcPr>
                <w:p w14:paraId="14693F37">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845" w:type="dxa"/>
                  <w:vAlign w:val="center"/>
                </w:tcPr>
                <w:p w14:paraId="3EE48769">
                  <w:pPr>
                    <w:keepNext w:val="0"/>
                    <w:keepLines w:val="0"/>
                    <w:widowControl/>
                    <w:suppressLineNumbers w:val="0"/>
                    <w:jc w:val="center"/>
                    <w:textAlignment w:val="center"/>
                    <w:rPr>
                      <w:rFonts w:hint="eastAsia"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30.29 </w:t>
                  </w:r>
                </w:p>
              </w:tc>
              <w:tc>
                <w:tcPr>
                  <w:tcW w:w="731" w:type="pct"/>
                  <w:vMerge w:val="continue"/>
                  <w:vAlign w:val="center"/>
                </w:tcPr>
                <w:p w14:paraId="65EF27E3">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1023" w:type="dxa"/>
                  <w:vAlign w:val="center"/>
                </w:tcPr>
                <w:p w14:paraId="0552BA9F">
                  <w:pPr>
                    <w:keepNext w:val="0"/>
                    <w:keepLines w:val="0"/>
                    <w:widowControl/>
                    <w:suppressLineNumbers w:val="0"/>
                    <w:jc w:val="center"/>
                    <w:textAlignment w:val="center"/>
                    <w:rPr>
                      <w:rFonts w:hint="eastAsia"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30.29 </w:t>
                  </w:r>
                </w:p>
              </w:tc>
            </w:tr>
            <w:tr w14:paraId="24021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6" w:type="pct"/>
                  <w:vMerge w:val="continue"/>
                  <w:vAlign w:val="center"/>
                </w:tcPr>
                <w:p w14:paraId="2A6F36C2">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665" w:type="pct"/>
                  <w:vMerge w:val="restart"/>
                  <w:vAlign w:val="center"/>
                </w:tcPr>
                <w:p w14:paraId="4D576283">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废气处理</w:t>
                  </w:r>
                </w:p>
              </w:tc>
              <w:tc>
                <w:tcPr>
                  <w:tcW w:w="788" w:type="pct"/>
                  <w:shd w:val="clear" w:color="auto" w:fill="auto"/>
                  <w:vAlign w:val="center"/>
                </w:tcPr>
                <w:p w14:paraId="38CC56D8">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eastAsia" w:ascii="Times New Roman" w:hAnsi="Times New Roman" w:eastAsia="宋体" w:cs="Times New Roman"/>
                      <w:color w:val="auto"/>
                      <w:kern w:val="2"/>
                      <w:positio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废布袋</w:t>
                  </w:r>
                </w:p>
              </w:tc>
              <w:tc>
                <w:tcPr>
                  <w:tcW w:w="698" w:type="pct"/>
                  <w:vAlign w:val="center"/>
                </w:tcPr>
                <w:p w14:paraId="1AB168D7">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900-099-S17</w:t>
                  </w:r>
                </w:p>
              </w:tc>
              <w:tc>
                <w:tcPr>
                  <w:tcW w:w="315" w:type="pct"/>
                  <w:vMerge w:val="continue"/>
                  <w:vAlign w:val="center"/>
                </w:tcPr>
                <w:p w14:paraId="0EB4E59A">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322" w:type="pct"/>
                  <w:vMerge w:val="continue"/>
                  <w:vAlign w:val="center"/>
                </w:tcPr>
                <w:p w14:paraId="09D19DE8">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845" w:type="dxa"/>
                  <w:vAlign w:val="center"/>
                </w:tcPr>
                <w:p w14:paraId="5A82284F">
                  <w:pPr>
                    <w:keepNext w:val="0"/>
                    <w:keepLines w:val="0"/>
                    <w:widowControl/>
                    <w:suppressLineNumbers w:val="0"/>
                    <w:jc w:val="center"/>
                    <w:textAlignment w:val="center"/>
                    <w:rPr>
                      <w:rFonts w:hint="eastAsia"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731" w:type="pct"/>
                  <w:vMerge w:val="continue"/>
                  <w:vAlign w:val="center"/>
                </w:tcPr>
                <w:p w14:paraId="753D4CE4">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1023" w:type="dxa"/>
                  <w:vAlign w:val="center"/>
                </w:tcPr>
                <w:p w14:paraId="19F5B091">
                  <w:pPr>
                    <w:keepNext w:val="0"/>
                    <w:keepLines w:val="0"/>
                    <w:widowControl/>
                    <w:suppressLineNumbers w:val="0"/>
                    <w:jc w:val="center"/>
                    <w:textAlignment w:val="center"/>
                    <w:rPr>
                      <w:rFonts w:hint="eastAsia"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r>
            <w:tr w14:paraId="4BC42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6" w:type="pct"/>
                  <w:vMerge w:val="continue"/>
                  <w:vAlign w:val="center"/>
                </w:tcPr>
                <w:p w14:paraId="251A7701">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665" w:type="pct"/>
                  <w:vMerge w:val="continue"/>
                  <w:vAlign w:val="center"/>
                </w:tcPr>
                <w:p w14:paraId="23440500">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788" w:type="pct"/>
                  <w:shd w:val="clear" w:color="auto" w:fill="auto"/>
                  <w:vAlign w:val="center"/>
                </w:tcPr>
                <w:p w14:paraId="0B1C9B6B">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eastAsia" w:ascii="Times New Roman" w:hAnsi="Times New Roman" w:eastAsia="宋体" w:cs="Times New Roman"/>
                      <w:color w:val="auto"/>
                      <w:kern w:val="2"/>
                      <w:positio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沉降金属粉尘和除尘器收集粉尘</w:t>
                  </w:r>
                </w:p>
              </w:tc>
              <w:tc>
                <w:tcPr>
                  <w:tcW w:w="698" w:type="pct"/>
                  <w:vAlign w:val="center"/>
                </w:tcPr>
                <w:p w14:paraId="7ADD8267">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900-002-S17</w:t>
                  </w:r>
                </w:p>
              </w:tc>
              <w:tc>
                <w:tcPr>
                  <w:tcW w:w="315" w:type="pct"/>
                  <w:vMerge w:val="continue"/>
                  <w:vAlign w:val="center"/>
                </w:tcPr>
                <w:p w14:paraId="19A7B057">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322" w:type="pct"/>
                  <w:vMerge w:val="continue"/>
                  <w:vAlign w:val="center"/>
                </w:tcPr>
                <w:p w14:paraId="02DD85AF">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845" w:type="dxa"/>
                  <w:vAlign w:val="center"/>
                </w:tcPr>
                <w:p w14:paraId="353A7C87">
                  <w:pPr>
                    <w:keepNext w:val="0"/>
                    <w:keepLines w:val="0"/>
                    <w:widowControl/>
                    <w:suppressLineNumbers w:val="0"/>
                    <w:jc w:val="center"/>
                    <w:textAlignment w:val="center"/>
                    <w:rPr>
                      <w:rFonts w:hint="eastAsia"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12.73 </w:t>
                  </w:r>
                </w:p>
              </w:tc>
              <w:tc>
                <w:tcPr>
                  <w:tcW w:w="731" w:type="pct"/>
                  <w:vMerge w:val="continue"/>
                  <w:vAlign w:val="center"/>
                </w:tcPr>
                <w:p w14:paraId="3E14DFF8">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1023" w:type="dxa"/>
                  <w:vAlign w:val="center"/>
                </w:tcPr>
                <w:p w14:paraId="62A115AD">
                  <w:pPr>
                    <w:keepNext w:val="0"/>
                    <w:keepLines w:val="0"/>
                    <w:widowControl/>
                    <w:suppressLineNumbers w:val="0"/>
                    <w:jc w:val="center"/>
                    <w:textAlignment w:val="center"/>
                    <w:rPr>
                      <w:rFonts w:hint="eastAsia"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12.73 </w:t>
                  </w:r>
                </w:p>
              </w:tc>
            </w:tr>
            <w:tr w14:paraId="7C31F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6" w:type="pct"/>
                  <w:vMerge w:val="continue"/>
                  <w:vAlign w:val="center"/>
                </w:tcPr>
                <w:p w14:paraId="2D5C67BB">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p>
              </w:tc>
              <w:tc>
                <w:tcPr>
                  <w:tcW w:w="665" w:type="pct"/>
                  <w:vMerge w:val="continue"/>
                  <w:vAlign w:val="center"/>
                </w:tcPr>
                <w:p w14:paraId="43A0CF21">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p>
              </w:tc>
              <w:tc>
                <w:tcPr>
                  <w:tcW w:w="788" w:type="pct"/>
                  <w:shd w:val="clear" w:color="auto" w:fill="auto"/>
                  <w:vAlign w:val="center"/>
                </w:tcPr>
                <w:p w14:paraId="765C1D9C">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废滤芯</w:t>
                  </w:r>
                </w:p>
              </w:tc>
              <w:tc>
                <w:tcPr>
                  <w:tcW w:w="698" w:type="pct"/>
                  <w:vAlign w:val="center"/>
                </w:tcPr>
                <w:p w14:paraId="52AB35E5">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900-099-S59</w:t>
                  </w:r>
                </w:p>
              </w:tc>
              <w:tc>
                <w:tcPr>
                  <w:tcW w:w="315" w:type="pct"/>
                  <w:vMerge w:val="continue"/>
                  <w:vAlign w:val="center"/>
                </w:tcPr>
                <w:p w14:paraId="3C01288E">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p>
              </w:tc>
              <w:tc>
                <w:tcPr>
                  <w:tcW w:w="322" w:type="pct"/>
                  <w:vMerge w:val="continue"/>
                  <w:vAlign w:val="center"/>
                </w:tcPr>
                <w:p w14:paraId="4EA9B65D">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p>
              </w:tc>
              <w:tc>
                <w:tcPr>
                  <w:tcW w:w="845" w:type="dxa"/>
                  <w:vAlign w:val="center"/>
                </w:tcPr>
                <w:p w14:paraId="29FB5508">
                  <w:pPr>
                    <w:keepNext w:val="0"/>
                    <w:keepLines w:val="0"/>
                    <w:widowControl/>
                    <w:suppressLineNumbers w:val="0"/>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0.18</w:t>
                  </w:r>
                </w:p>
              </w:tc>
              <w:tc>
                <w:tcPr>
                  <w:tcW w:w="731" w:type="pct"/>
                  <w:vMerge w:val="continue"/>
                  <w:vAlign w:val="center"/>
                </w:tcPr>
                <w:p w14:paraId="55A650CB">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p>
              </w:tc>
              <w:tc>
                <w:tcPr>
                  <w:tcW w:w="1023" w:type="dxa"/>
                  <w:vAlign w:val="center"/>
                </w:tcPr>
                <w:p w14:paraId="1227EA8E">
                  <w:pPr>
                    <w:keepNext w:val="0"/>
                    <w:keepLines w:val="0"/>
                    <w:widowControl/>
                    <w:suppressLineNumbers w:val="0"/>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0.18</w:t>
                  </w:r>
                </w:p>
              </w:tc>
            </w:tr>
            <w:tr w14:paraId="36673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6" w:type="pct"/>
                  <w:vMerge w:val="restart"/>
                  <w:vAlign w:val="center"/>
                </w:tcPr>
                <w:p w14:paraId="5EC1BD5A">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eastAsia" w:ascii="Times New Roman" w:hAnsi="Times New Roman" w:eastAsia="宋体" w:cs="Times New Roman"/>
                      <w:color w:val="auto"/>
                      <w:kern w:val="2"/>
                      <w:position w:val="0"/>
                      <w:sz w:val="21"/>
                      <w:szCs w:val="21"/>
                      <w:highlight w:val="none"/>
                      <w:lang w:val="en-US" w:eastAsia="zh-CN" w:bidi="ar-SA"/>
                    </w:rPr>
                    <w:t>生产过程</w:t>
                  </w:r>
                </w:p>
              </w:tc>
              <w:tc>
                <w:tcPr>
                  <w:tcW w:w="665" w:type="pct"/>
                  <w:vMerge w:val="restart"/>
                  <w:vAlign w:val="center"/>
                </w:tcPr>
                <w:p w14:paraId="74D704C8">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eastAsia" w:cs="Times New Roman"/>
                      <w:color w:val="auto"/>
                      <w:kern w:val="2"/>
                      <w:position w:val="0"/>
                      <w:sz w:val="21"/>
                      <w:szCs w:val="21"/>
                      <w:highlight w:val="none"/>
                      <w:lang w:val="en-US" w:eastAsia="zh-CN" w:bidi="ar-SA"/>
                    </w:rPr>
                    <w:t>成型加工、喷涂等其他生产工序</w:t>
                  </w:r>
                </w:p>
              </w:tc>
              <w:tc>
                <w:tcPr>
                  <w:tcW w:w="788" w:type="pct"/>
                  <w:vAlign w:val="center"/>
                </w:tcPr>
                <w:p w14:paraId="3387E9B5">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eastAsia" w:ascii="Times New Roman" w:hAnsi="Times New Roman" w:eastAsia="宋体" w:cs="Times New Roman"/>
                      <w:color w:val="auto"/>
                      <w:kern w:val="2"/>
                      <w:position w:val="0"/>
                      <w:sz w:val="21"/>
                      <w:szCs w:val="21"/>
                      <w:highlight w:val="none"/>
                      <w:lang w:val="en-US" w:eastAsia="zh-CN" w:bidi="ar-SA"/>
                    </w:rPr>
                  </w:pPr>
                  <w:r>
                    <w:rPr>
                      <w:rFonts w:hint="eastAsia" w:ascii="Times New Roman" w:hAnsi="Times New Roman" w:eastAsia="宋体" w:cs="Times New Roman"/>
                      <w:color w:val="auto"/>
                      <w:kern w:val="2"/>
                      <w:position w:val="0"/>
                      <w:sz w:val="21"/>
                      <w:szCs w:val="21"/>
                      <w:highlight w:val="none"/>
                      <w:lang w:val="en-US" w:eastAsia="zh-CN" w:bidi="ar-SA"/>
                    </w:rPr>
                    <w:t>废</w:t>
                  </w:r>
                  <w:r>
                    <w:rPr>
                      <w:rFonts w:hint="eastAsia" w:cs="Times New Roman"/>
                      <w:color w:val="auto"/>
                      <w:kern w:val="2"/>
                      <w:position w:val="0"/>
                      <w:sz w:val="21"/>
                      <w:szCs w:val="21"/>
                      <w:highlight w:val="none"/>
                      <w:lang w:val="en-US" w:eastAsia="zh-CN" w:bidi="ar-SA"/>
                    </w:rPr>
                    <w:t>包装</w:t>
                  </w:r>
                  <w:r>
                    <w:rPr>
                      <w:rFonts w:hint="eastAsia" w:ascii="Times New Roman" w:hAnsi="Times New Roman" w:eastAsia="宋体" w:cs="Times New Roman"/>
                      <w:color w:val="auto"/>
                      <w:kern w:val="2"/>
                      <w:position w:val="0"/>
                      <w:sz w:val="21"/>
                      <w:szCs w:val="21"/>
                      <w:highlight w:val="none"/>
                      <w:lang w:val="en-US" w:eastAsia="zh-CN" w:bidi="ar-SA"/>
                    </w:rPr>
                    <w:t>桶</w:t>
                  </w:r>
                </w:p>
              </w:tc>
              <w:tc>
                <w:tcPr>
                  <w:tcW w:w="1216" w:type="dxa"/>
                  <w:vAlign w:val="center"/>
                </w:tcPr>
                <w:p w14:paraId="3D780692">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900-041-49</w:t>
                  </w:r>
                </w:p>
              </w:tc>
              <w:tc>
                <w:tcPr>
                  <w:tcW w:w="315" w:type="pct"/>
                  <w:vMerge w:val="restart"/>
                  <w:vAlign w:val="center"/>
                </w:tcPr>
                <w:p w14:paraId="70CC3ABC">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eastAsia" w:ascii="Times New Roman" w:hAnsi="Times New Roman" w:eastAsia="宋体" w:cs="Times New Roman"/>
                      <w:color w:val="auto"/>
                      <w:kern w:val="2"/>
                      <w:position w:val="0"/>
                      <w:sz w:val="21"/>
                      <w:szCs w:val="21"/>
                      <w:highlight w:val="none"/>
                      <w:lang w:val="en-US" w:eastAsia="zh-CN" w:bidi="ar-SA"/>
                    </w:rPr>
                  </w:pPr>
                  <w:r>
                    <w:rPr>
                      <w:rFonts w:hint="eastAsia" w:ascii="Times New Roman" w:hAnsi="Times New Roman" w:eastAsia="宋体" w:cs="Times New Roman"/>
                      <w:color w:val="auto"/>
                      <w:kern w:val="2"/>
                      <w:position w:val="0"/>
                      <w:sz w:val="21"/>
                      <w:szCs w:val="21"/>
                      <w:highlight w:val="none"/>
                      <w:lang w:val="en-US" w:eastAsia="zh-CN" w:bidi="ar-SA"/>
                    </w:rPr>
                    <w:t>危险废物</w:t>
                  </w:r>
                </w:p>
              </w:tc>
              <w:tc>
                <w:tcPr>
                  <w:tcW w:w="322" w:type="pct"/>
                  <w:vMerge w:val="continue"/>
                  <w:vAlign w:val="center"/>
                </w:tcPr>
                <w:p w14:paraId="1659A561">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p>
              </w:tc>
              <w:tc>
                <w:tcPr>
                  <w:tcW w:w="845" w:type="dxa"/>
                  <w:vAlign w:val="center"/>
                </w:tcPr>
                <w:p w14:paraId="5E1413B8">
                  <w:pPr>
                    <w:keepNext w:val="0"/>
                    <w:keepLines w:val="0"/>
                    <w:widowControl/>
                    <w:suppressLineNumbers w:val="0"/>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0.5 </w:t>
                  </w:r>
                </w:p>
              </w:tc>
              <w:tc>
                <w:tcPr>
                  <w:tcW w:w="731" w:type="pct"/>
                  <w:vMerge w:val="restart"/>
                  <w:vAlign w:val="center"/>
                </w:tcPr>
                <w:p w14:paraId="24622AFA">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交由有危险废物处理资质的单位处理</w:t>
                  </w:r>
                </w:p>
              </w:tc>
              <w:tc>
                <w:tcPr>
                  <w:tcW w:w="1023" w:type="dxa"/>
                  <w:vAlign w:val="center"/>
                </w:tcPr>
                <w:p w14:paraId="11006019">
                  <w:pPr>
                    <w:keepNext w:val="0"/>
                    <w:keepLines w:val="0"/>
                    <w:widowControl/>
                    <w:suppressLineNumbers w:val="0"/>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0.5 </w:t>
                  </w:r>
                </w:p>
              </w:tc>
            </w:tr>
            <w:tr w14:paraId="2D004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6" w:type="pct"/>
                  <w:vMerge w:val="continue"/>
                  <w:vAlign w:val="center"/>
                </w:tcPr>
                <w:p w14:paraId="44D55F30">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p>
              </w:tc>
              <w:tc>
                <w:tcPr>
                  <w:tcW w:w="665" w:type="pct"/>
                  <w:vMerge w:val="continue"/>
                  <w:vAlign w:val="center"/>
                </w:tcPr>
                <w:p w14:paraId="411E7B51">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p>
              </w:tc>
              <w:tc>
                <w:tcPr>
                  <w:tcW w:w="788" w:type="pct"/>
                  <w:vAlign w:val="center"/>
                </w:tcPr>
                <w:p w14:paraId="47F0AC4A">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eastAsia" w:ascii="Times New Roman" w:hAnsi="Times New Roman" w:eastAsia="宋体" w:cs="Times New Roman"/>
                      <w:color w:val="auto"/>
                      <w:kern w:val="2"/>
                      <w:position w:val="0"/>
                      <w:sz w:val="21"/>
                      <w:szCs w:val="21"/>
                      <w:highlight w:val="none"/>
                      <w:lang w:val="en-US" w:eastAsia="zh-CN" w:bidi="ar-SA"/>
                    </w:rPr>
                  </w:pPr>
                  <w:r>
                    <w:rPr>
                      <w:rFonts w:hint="eastAsia" w:ascii="Times New Roman" w:hAnsi="Times New Roman" w:eastAsia="宋体" w:cs="Times New Roman"/>
                      <w:color w:val="auto"/>
                      <w:kern w:val="2"/>
                      <w:position w:val="0"/>
                      <w:sz w:val="21"/>
                      <w:szCs w:val="21"/>
                      <w:highlight w:val="none"/>
                      <w:lang w:val="en-US" w:eastAsia="zh-CN" w:bidi="ar-SA"/>
                    </w:rPr>
                    <w:t>废油桶</w:t>
                  </w:r>
                </w:p>
              </w:tc>
              <w:tc>
                <w:tcPr>
                  <w:tcW w:w="1216" w:type="dxa"/>
                  <w:vAlign w:val="center"/>
                </w:tcPr>
                <w:p w14:paraId="298B2AC4">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900-249-08</w:t>
                  </w:r>
                </w:p>
              </w:tc>
              <w:tc>
                <w:tcPr>
                  <w:tcW w:w="315" w:type="pct"/>
                  <w:vMerge w:val="continue"/>
                  <w:vAlign w:val="center"/>
                </w:tcPr>
                <w:p w14:paraId="647DDAAA">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p>
              </w:tc>
              <w:tc>
                <w:tcPr>
                  <w:tcW w:w="322" w:type="pct"/>
                  <w:vMerge w:val="continue"/>
                  <w:vAlign w:val="center"/>
                </w:tcPr>
                <w:p w14:paraId="57DBA771">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p>
              </w:tc>
              <w:tc>
                <w:tcPr>
                  <w:tcW w:w="845" w:type="dxa"/>
                  <w:vAlign w:val="center"/>
                </w:tcPr>
                <w:p w14:paraId="1F455F52">
                  <w:pPr>
                    <w:keepNext w:val="0"/>
                    <w:keepLines w:val="0"/>
                    <w:widowControl/>
                    <w:suppressLineNumbers w:val="0"/>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c>
                <w:tcPr>
                  <w:tcW w:w="731" w:type="pct"/>
                  <w:vMerge w:val="continue"/>
                  <w:vAlign w:val="center"/>
                </w:tcPr>
                <w:p w14:paraId="022D47BB">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p>
              </w:tc>
              <w:tc>
                <w:tcPr>
                  <w:tcW w:w="1023" w:type="dxa"/>
                  <w:vAlign w:val="center"/>
                </w:tcPr>
                <w:p w14:paraId="6EACB5DA">
                  <w:pPr>
                    <w:keepNext w:val="0"/>
                    <w:keepLines w:val="0"/>
                    <w:widowControl/>
                    <w:suppressLineNumbers w:val="0"/>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r>
            <w:tr w14:paraId="5178E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6" w:type="pct"/>
                  <w:vMerge w:val="continue"/>
                  <w:vAlign w:val="center"/>
                </w:tcPr>
                <w:p w14:paraId="0E720BA2">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665" w:type="pct"/>
                  <w:vMerge w:val="continue"/>
                  <w:vAlign w:val="center"/>
                </w:tcPr>
                <w:p w14:paraId="4DCFC5B7">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788" w:type="pct"/>
                  <w:vAlign w:val="center"/>
                </w:tcPr>
                <w:p w14:paraId="5F33E1D9">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eastAsia" w:ascii="Times New Roman" w:hAnsi="Times New Roman" w:eastAsia="宋体" w:cs="Times New Roman"/>
                      <w:color w:val="auto"/>
                      <w:position w:val="-10"/>
                      <w:sz w:val="21"/>
                      <w:szCs w:val="21"/>
                      <w:highlight w:val="none"/>
                      <w:lang w:val="en-US" w:eastAsia="zh-CN" w:bidi="ar-SA"/>
                    </w:rPr>
                  </w:pPr>
                  <w:r>
                    <w:rPr>
                      <w:rFonts w:hint="eastAsia" w:ascii="Times New Roman" w:hAnsi="Times New Roman" w:eastAsia="宋体" w:cs="Times New Roman"/>
                      <w:color w:val="auto"/>
                      <w:position w:val="-10"/>
                      <w:sz w:val="21"/>
                      <w:szCs w:val="21"/>
                      <w:highlight w:val="none"/>
                      <w:lang w:val="en-US" w:eastAsia="zh-CN" w:bidi="ar-SA"/>
                    </w:rPr>
                    <w:t>废</w:t>
                  </w:r>
                  <w:r>
                    <w:rPr>
                      <w:rFonts w:hint="eastAsia" w:cs="Times New Roman"/>
                      <w:color w:val="auto"/>
                      <w:position w:val="-10"/>
                      <w:sz w:val="21"/>
                      <w:szCs w:val="21"/>
                      <w:highlight w:val="none"/>
                      <w:lang w:val="en-US" w:eastAsia="zh-CN" w:bidi="ar-SA"/>
                    </w:rPr>
                    <w:t>机</w:t>
                  </w:r>
                  <w:r>
                    <w:rPr>
                      <w:rFonts w:hint="eastAsia" w:ascii="Times New Roman" w:hAnsi="Times New Roman" w:eastAsia="宋体" w:cs="Times New Roman"/>
                      <w:color w:val="auto"/>
                      <w:position w:val="-10"/>
                      <w:sz w:val="21"/>
                      <w:szCs w:val="21"/>
                      <w:highlight w:val="none"/>
                      <w:lang w:val="en-US" w:eastAsia="zh-CN" w:bidi="ar-SA"/>
                    </w:rPr>
                    <w:t>油</w:t>
                  </w:r>
                </w:p>
              </w:tc>
              <w:tc>
                <w:tcPr>
                  <w:tcW w:w="1216" w:type="dxa"/>
                  <w:vAlign w:val="center"/>
                </w:tcPr>
                <w:p w14:paraId="4AF2BFD2">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900-249-08</w:t>
                  </w:r>
                </w:p>
              </w:tc>
              <w:tc>
                <w:tcPr>
                  <w:tcW w:w="315" w:type="pct"/>
                  <w:vMerge w:val="continue"/>
                  <w:vAlign w:val="center"/>
                </w:tcPr>
                <w:p w14:paraId="03E6FBAB">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322" w:type="pct"/>
                  <w:vMerge w:val="continue"/>
                  <w:vAlign w:val="center"/>
                </w:tcPr>
                <w:p w14:paraId="6145B04A">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845" w:type="dxa"/>
                  <w:vAlign w:val="center"/>
                </w:tcPr>
                <w:p w14:paraId="2890B025">
                  <w:pPr>
                    <w:keepNext w:val="0"/>
                    <w:keepLines w:val="0"/>
                    <w:widowControl/>
                    <w:suppressLineNumbers w:val="0"/>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731" w:type="pct"/>
                  <w:vMerge w:val="continue"/>
                  <w:vAlign w:val="center"/>
                </w:tcPr>
                <w:p w14:paraId="3209808A">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p>
              </w:tc>
              <w:tc>
                <w:tcPr>
                  <w:tcW w:w="1023" w:type="dxa"/>
                  <w:vAlign w:val="center"/>
                </w:tcPr>
                <w:p w14:paraId="19631ABA">
                  <w:pPr>
                    <w:keepNext w:val="0"/>
                    <w:keepLines w:val="0"/>
                    <w:widowControl/>
                    <w:suppressLineNumbers w:val="0"/>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r>
            <w:tr w14:paraId="519F6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6" w:type="pct"/>
                  <w:vMerge w:val="continue"/>
                  <w:vAlign w:val="center"/>
                </w:tcPr>
                <w:p w14:paraId="4BD55774">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665" w:type="pct"/>
                  <w:vMerge w:val="continue"/>
                  <w:vAlign w:val="center"/>
                </w:tcPr>
                <w:p w14:paraId="4A89D10C">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788" w:type="pct"/>
                  <w:vAlign w:val="center"/>
                </w:tcPr>
                <w:p w14:paraId="449C1EAD">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ascii="Times New Roman" w:hAnsi="Times New Roman" w:eastAsia="宋体" w:cs="Times New Roman"/>
                      <w:color w:val="auto"/>
                      <w:position w:val="-10"/>
                      <w:sz w:val="21"/>
                      <w:szCs w:val="21"/>
                      <w:highlight w:val="none"/>
                      <w:lang w:val="en-US" w:eastAsia="zh-CN" w:bidi="ar-SA"/>
                    </w:rPr>
                    <w:t>废含油抹布及手套</w:t>
                  </w:r>
                </w:p>
              </w:tc>
              <w:tc>
                <w:tcPr>
                  <w:tcW w:w="1216" w:type="dxa"/>
                  <w:vAlign w:val="center"/>
                </w:tcPr>
                <w:p w14:paraId="6D01CDAC">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900-041-49</w:t>
                  </w:r>
                </w:p>
              </w:tc>
              <w:tc>
                <w:tcPr>
                  <w:tcW w:w="315" w:type="pct"/>
                  <w:vMerge w:val="continue"/>
                  <w:vAlign w:val="center"/>
                </w:tcPr>
                <w:p w14:paraId="4D7BC45B">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322" w:type="pct"/>
                  <w:vMerge w:val="continue"/>
                  <w:vAlign w:val="center"/>
                </w:tcPr>
                <w:p w14:paraId="00C686F8">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845" w:type="dxa"/>
                  <w:vAlign w:val="center"/>
                </w:tcPr>
                <w:p w14:paraId="301ED2FD">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c>
                <w:tcPr>
                  <w:tcW w:w="731" w:type="pct"/>
                  <w:vMerge w:val="continue"/>
                  <w:vAlign w:val="center"/>
                </w:tcPr>
                <w:p w14:paraId="569356DC">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1023" w:type="dxa"/>
                  <w:vAlign w:val="center"/>
                </w:tcPr>
                <w:p w14:paraId="3C87D19E">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r>
            <w:tr w14:paraId="2FA5C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6" w:type="pct"/>
                  <w:vMerge w:val="continue"/>
                  <w:vAlign w:val="center"/>
                </w:tcPr>
                <w:p w14:paraId="050E6ACF">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665" w:type="pct"/>
                  <w:vMerge w:val="continue"/>
                  <w:vAlign w:val="center"/>
                </w:tcPr>
                <w:p w14:paraId="44100F23">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788" w:type="pct"/>
                  <w:vAlign w:val="center"/>
                </w:tcPr>
                <w:p w14:paraId="4CCDFD86">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eastAsia" w:ascii="Times New Roman" w:hAnsi="Times New Roman" w:eastAsia="宋体"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喷枪清洗废液</w:t>
                  </w:r>
                </w:p>
              </w:tc>
              <w:tc>
                <w:tcPr>
                  <w:tcW w:w="1216" w:type="dxa"/>
                  <w:vAlign w:val="center"/>
                </w:tcPr>
                <w:p w14:paraId="43F3E398">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900-252-12</w:t>
                  </w:r>
                </w:p>
              </w:tc>
              <w:tc>
                <w:tcPr>
                  <w:tcW w:w="315" w:type="pct"/>
                  <w:vMerge w:val="continue"/>
                  <w:vAlign w:val="center"/>
                </w:tcPr>
                <w:p w14:paraId="5FDFF8D2">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322" w:type="pct"/>
                  <w:vMerge w:val="continue"/>
                  <w:vAlign w:val="center"/>
                </w:tcPr>
                <w:p w14:paraId="29922D68">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845" w:type="dxa"/>
                  <w:vAlign w:val="center"/>
                </w:tcPr>
                <w:p w14:paraId="2AAA9268">
                  <w:pPr>
                    <w:keepNext w:val="0"/>
                    <w:keepLines w:val="0"/>
                    <w:widowControl/>
                    <w:suppressLineNumbers w:val="0"/>
                    <w:jc w:val="center"/>
                    <w:textAlignment w:val="center"/>
                    <w:rPr>
                      <w:rFonts w:hint="default"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0.016 </w:t>
                  </w:r>
                </w:p>
              </w:tc>
              <w:tc>
                <w:tcPr>
                  <w:tcW w:w="731" w:type="pct"/>
                  <w:vMerge w:val="continue"/>
                  <w:vAlign w:val="center"/>
                </w:tcPr>
                <w:p w14:paraId="385A9187">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1023" w:type="dxa"/>
                  <w:vAlign w:val="center"/>
                </w:tcPr>
                <w:p w14:paraId="06FDD01A">
                  <w:pPr>
                    <w:keepNext w:val="0"/>
                    <w:keepLines w:val="0"/>
                    <w:widowControl/>
                    <w:suppressLineNumbers w:val="0"/>
                    <w:jc w:val="center"/>
                    <w:textAlignment w:val="center"/>
                    <w:rPr>
                      <w:rFonts w:hint="default"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0.016 </w:t>
                  </w:r>
                </w:p>
              </w:tc>
            </w:tr>
            <w:tr w14:paraId="71B1C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6" w:type="pct"/>
                  <w:vMerge w:val="restart"/>
                  <w:vAlign w:val="center"/>
                </w:tcPr>
                <w:p w14:paraId="314806F4">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ascii="Times New Roman" w:hAnsi="Times New Roman" w:eastAsia="宋体" w:cs="Times New Roman"/>
                      <w:color w:val="auto"/>
                      <w:position w:val="-10"/>
                      <w:sz w:val="21"/>
                      <w:szCs w:val="21"/>
                      <w:highlight w:val="none"/>
                      <w:lang w:val="en-US" w:eastAsia="zh-CN" w:bidi="ar-SA"/>
                    </w:rPr>
                    <w:t>污染治理</w:t>
                  </w:r>
                </w:p>
              </w:tc>
              <w:tc>
                <w:tcPr>
                  <w:tcW w:w="665" w:type="pct"/>
                  <w:vMerge w:val="restart"/>
                  <w:vAlign w:val="center"/>
                </w:tcPr>
                <w:p w14:paraId="213CA769">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ascii="Times New Roman" w:hAnsi="Times New Roman" w:eastAsia="宋体" w:cs="Times New Roman"/>
                      <w:color w:val="auto"/>
                      <w:position w:val="-10"/>
                      <w:sz w:val="21"/>
                      <w:szCs w:val="21"/>
                      <w:highlight w:val="none"/>
                      <w:lang w:val="en-US" w:eastAsia="zh-CN" w:bidi="ar-SA"/>
                    </w:rPr>
                    <w:t>废气治理设施</w:t>
                  </w:r>
                </w:p>
              </w:tc>
              <w:tc>
                <w:tcPr>
                  <w:tcW w:w="788" w:type="pct"/>
                  <w:vAlign w:val="center"/>
                </w:tcPr>
                <w:p w14:paraId="7AE114D6">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废空心球</w:t>
                  </w:r>
                </w:p>
              </w:tc>
              <w:tc>
                <w:tcPr>
                  <w:tcW w:w="1216" w:type="dxa"/>
                  <w:vAlign w:val="center"/>
                </w:tcPr>
                <w:p w14:paraId="688000AE">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900-041-49</w:t>
                  </w:r>
                </w:p>
              </w:tc>
              <w:tc>
                <w:tcPr>
                  <w:tcW w:w="315" w:type="pct"/>
                  <w:vMerge w:val="continue"/>
                  <w:vAlign w:val="center"/>
                </w:tcPr>
                <w:p w14:paraId="32E5E85C">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322" w:type="pct"/>
                  <w:vMerge w:val="continue"/>
                  <w:vAlign w:val="center"/>
                </w:tcPr>
                <w:p w14:paraId="2D88BA06">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845" w:type="dxa"/>
                  <w:vAlign w:val="center"/>
                </w:tcPr>
                <w:p w14:paraId="246F6C47">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731" w:type="pct"/>
                  <w:vMerge w:val="continue"/>
                  <w:vAlign w:val="center"/>
                </w:tcPr>
                <w:p w14:paraId="619E0EC1">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1023" w:type="dxa"/>
                  <w:vAlign w:val="center"/>
                </w:tcPr>
                <w:p w14:paraId="7E04B8A0">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r>
            <w:tr w14:paraId="17F2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6" w:type="pct"/>
                  <w:vMerge w:val="continue"/>
                  <w:vAlign w:val="center"/>
                </w:tcPr>
                <w:p w14:paraId="4724DC0E">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eastAsia" w:ascii="Times New Roman" w:hAnsi="Times New Roman" w:eastAsia="宋体" w:cs="Times New Roman"/>
                      <w:color w:val="auto"/>
                      <w:position w:val="-10"/>
                      <w:sz w:val="21"/>
                      <w:szCs w:val="21"/>
                      <w:highlight w:val="none"/>
                      <w:lang w:val="en-US" w:eastAsia="zh-CN" w:bidi="ar-SA"/>
                    </w:rPr>
                  </w:pPr>
                </w:p>
              </w:tc>
              <w:tc>
                <w:tcPr>
                  <w:tcW w:w="665" w:type="pct"/>
                  <w:vMerge w:val="continue"/>
                  <w:vAlign w:val="center"/>
                </w:tcPr>
                <w:p w14:paraId="0850FA7B">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eastAsia" w:ascii="Times New Roman" w:hAnsi="Times New Roman" w:eastAsia="宋体" w:cs="Times New Roman"/>
                      <w:color w:val="auto"/>
                      <w:position w:val="-10"/>
                      <w:sz w:val="21"/>
                      <w:szCs w:val="21"/>
                      <w:highlight w:val="none"/>
                      <w:lang w:val="en-US" w:eastAsia="zh-CN" w:bidi="ar-SA"/>
                    </w:rPr>
                  </w:pPr>
                </w:p>
              </w:tc>
              <w:tc>
                <w:tcPr>
                  <w:tcW w:w="788" w:type="pct"/>
                  <w:shd w:val="clear" w:color="auto" w:fill="auto"/>
                  <w:vAlign w:val="center"/>
                </w:tcPr>
                <w:p w14:paraId="716395DF">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eastAsia" w:ascii="Times New Roman" w:hAnsi="Times New Roman" w:eastAsia="宋体" w:cs="Times New Roman"/>
                      <w:color w:val="auto"/>
                      <w:kern w:val="2"/>
                      <w:position w:val="-10"/>
                      <w:sz w:val="21"/>
                      <w:szCs w:val="21"/>
                      <w:highlight w:val="none"/>
                      <w:lang w:val="en-US" w:eastAsia="zh-CN" w:bidi="ar-SA"/>
                    </w:rPr>
                  </w:pPr>
                  <w:r>
                    <w:rPr>
                      <w:rFonts w:hint="eastAsia" w:ascii="Times New Roman" w:hAnsi="Times New Roman" w:eastAsia="宋体" w:cs="Times New Roman"/>
                      <w:color w:val="auto"/>
                      <w:position w:val="-10"/>
                      <w:sz w:val="21"/>
                      <w:szCs w:val="21"/>
                      <w:highlight w:val="none"/>
                      <w:lang w:val="en-US" w:eastAsia="zh-CN" w:bidi="ar-SA"/>
                    </w:rPr>
                    <w:t>废过滤棉</w:t>
                  </w:r>
                </w:p>
              </w:tc>
              <w:tc>
                <w:tcPr>
                  <w:tcW w:w="1216" w:type="dxa"/>
                  <w:shd w:val="clear" w:color="auto" w:fill="auto"/>
                  <w:vAlign w:val="center"/>
                </w:tcPr>
                <w:p w14:paraId="779C6BB3">
                  <w:pPr>
                    <w:keepNext w:val="0"/>
                    <w:keepLines w:val="0"/>
                    <w:widowControl/>
                    <w:suppressLineNumbers w:val="0"/>
                    <w:jc w:val="center"/>
                    <w:textAlignment w:val="center"/>
                    <w:rPr>
                      <w:rFonts w:hint="default" w:ascii="Times New Roman" w:hAnsi="Times New Roman" w:eastAsia="宋体" w:cs="Times New Roman"/>
                      <w:color w:val="auto"/>
                      <w:kern w:val="2"/>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900-041-49</w:t>
                  </w:r>
                </w:p>
              </w:tc>
              <w:tc>
                <w:tcPr>
                  <w:tcW w:w="315" w:type="pct"/>
                  <w:vMerge w:val="continue"/>
                  <w:vAlign w:val="center"/>
                </w:tcPr>
                <w:p w14:paraId="3FFF8B3C">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322" w:type="pct"/>
                  <w:vMerge w:val="continue"/>
                  <w:vAlign w:val="center"/>
                </w:tcPr>
                <w:p w14:paraId="19684E7C">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845" w:type="dxa"/>
                  <w:vAlign w:val="center"/>
                </w:tcPr>
                <w:p w14:paraId="19747CC2">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0.59 </w:t>
                  </w:r>
                </w:p>
              </w:tc>
              <w:tc>
                <w:tcPr>
                  <w:tcW w:w="731" w:type="pct"/>
                  <w:vMerge w:val="continue"/>
                  <w:vAlign w:val="center"/>
                </w:tcPr>
                <w:p w14:paraId="48F042BF">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1023" w:type="dxa"/>
                  <w:vAlign w:val="center"/>
                </w:tcPr>
                <w:p w14:paraId="296321F2">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0.59 </w:t>
                  </w:r>
                </w:p>
              </w:tc>
            </w:tr>
            <w:tr w14:paraId="55F9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6" w:type="pct"/>
                  <w:vMerge w:val="continue"/>
                  <w:vAlign w:val="center"/>
                </w:tcPr>
                <w:p w14:paraId="1013503C">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665" w:type="pct"/>
                  <w:vMerge w:val="continue"/>
                  <w:vAlign w:val="center"/>
                </w:tcPr>
                <w:p w14:paraId="25D1D638">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788" w:type="pct"/>
                  <w:vAlign w:val="center"/>
                </w:tcPr>
                <w:p w14:paraId="01936E08">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ascii="Times New Roman" w:hAnsi="Times New Roman" w:eastAsia="宋体" w:cs="Times New Roman"/>
                      <w:color w:val="auto"/>
                      <w:position w:val="-10"/>
                      <w:sz w:val="21"/>
                      <w:szCs w:val="21"/>
                      <w:highlight w:val="none"/>
                      <w:lang w:val="en-US" w:eastAsia="zh-CN" w:bidi="ar-SA"/>
                    </w:rPr>
                    <w:t>废活性炭</w:t>
                  </w:r>
                </w:p>
              </w:tc>
              <w:tc>
                <w:tcPr>
                  <w:tcW w:w="1216" w:type="dxa"/>
                  <w:vAlign w:val="center"/>
                </w:tcPr>
                <w:p w14:paraId="769F61F4">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900-039-49</w:t>
                  </w:r>
                </w:p>
              </w:tc>
              <w:tc>
                <w:tcPr>
                  <w:tcW w:w="315" w:type="pct"/>
                  <w:vMerge w:val="continue"/>
                  <w:vAlign w:val="center"/>
                </w:tcPr>
                <w:p w14:paraId="75ABD98E">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322" w:type="pct"/>
                  <w:vMerge w:val="continue"/>
                  <w:vAlign w:val="center"/>
                </w:tcPr>
                <w:p w14:paraId="5AF5F861">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845" w:type="dxa"/>
                  <w:vAlign w:val="center"/>
                </w:tcPr>
                <w:p w14:paraId="73EBAF6A">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9.115</w:t>
                  </w:r>
                </w:p>
              </w:tc>
              <w:tc>
                <w:tcPr>
                  <w:tcW w:w="731" w:type="pct"/>
                  <w:vMerge w:val="continue"/>
                  <w:vAlign w:val="center"/>
                </w:tcPr>
                <w:p w14:paraId="5E4E8CE4">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1023" w:type="dxa"/>
                  <w:vAlign w:val="center"/>
                </w:tcPr>
                <w:p w14:paraId="6350F916">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9.115</w:t>
                  </w:r>
                </w:p>
              </w:tc>
            </w:tr>
            <w:tr w14:paraId="08473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6" w:type="pct"/>
                  <w:vMerge w:val="continue"/>
                  <w:vAlign w:val="center"/>
                </w:tcPr>
                <w:p w14:paraId="1E7DCA6F">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665" w:type="pct"/>
                  <w:vMerge w:val="continue"/>
                  <w:vAlign w:val="center"/>
                </w:tcPr>
                <w:p w14:paraId="5C6FCA6E">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788" w:type="pct"/>
                  <w:vAlign w:val="center"/>
                </w:tcPr>
                <w:p w14:paraId="1F5EAC71">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喷淋废液及沉渣</w:t>
                  </w:r>
                </w:p>
              </w:tc>
              <w:tc>
                <w:tcPr>
                  <w:tcW w:w="1216" w:type="dxa"/>
                  <w:vAlign w:val="center"/>
                </w:tcPr>
                <w:p w14:paraId="523E6450">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900-252-12</w:t>
                  </w:r>
                </w:p>
              </w:tc>
              <w:tc>
                <w:tcPr>
                  <w:tcW w:w="315" w:type="pct"/>
                  <w:vMerge w:val="continue"/>
                  <w:vAlign w:val="center"/>
                </w:tcPr>
                <w:p w14:paraId="4BB0D2DC">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322" w:type="pct"/>
                  <w:vMerge w:val="continue"/>
                  <w:vAlign w:val="center"/>
                </w:tcPr>
                <w:p w14:paraId="6BD88CD1">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845" w:type="dxa"/>
                  <w:vAlign w:val="center"/>
                </w:tcPr>
                <w:p w14:paraId="36815BB9">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79.73 </w:t>
                  </w:r>
                </w:p>
              </w:tc>
              <w:tc>
                <w:tcPr>
                  <w:tcW w:w="731" w:type="pct"/>
                  <w:vMerge w:val="continue"/>
                  <w:vAlign w:val="center"/>
                </w:tcPr>
                <w:p w14:paraId="16DEF0B3">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1023" w:type="dxa"/>
                  <w:vAlign w:val="center"/>
                </w:tcPr>
                <w:p w14:paraId="4CC6CEF5">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79.73 </w:t>
                  </w:r>
                </w:p>
              </w:tc>
            </w:tr>
            <w:tr w14:paraId="7194F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6" w:type="pct"/>
                  <w:vMerge w:val="continue"/>
                  <w:vAlign w:val="center"/>
                </w:tcPr>
                <w:p w14:paraId="6DAF6564">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665" w:type="pct"/>
                  <w:vMerge w:val="continue"/>
                  <w:vAlign w:val="center"/>
                </w:tcPr>
                <w:p w14:paraId="0132EF7A">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788" w:type="pct"/>
                  <w:vAlign w:val="center"/>
                </w:tcPr>
                <w:p w14:paraId="4153BFC2">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eastAsia"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水性漆喷枪清洗废水</w:t>
                  </w:r>
                </w:p>
              </w:tc>
              <w:tc>
                <w:tcPr>
                  <w:tcW w:w="1216" w:type="dxa"/>
                  <w:vAlign w:val="center"/>
                </w:tcPr>
                <w:p w14:paraId="58CB2ACC">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900-253-12</w:t>
                  </w:r>
                </w:p>
              </w:tc>
              <w:tc>
                <w:tcPr>
                  <w:tcW w:w="315" w:type="pct"/>
                  <w:vMerge w:val="continue"/>
                  <w:vAlign w:val="center"/>
                </w:tcPr>
                <w:p w14:paraId="2B59A64D">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322" w:type="pct"/>
                  <w:vMerge w:val="continue"/>
                  <w:vAlign w:val="center"/>
                </w:tcPr>
                <w:p w14:paraId="5253189F">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845" w:type="dxa"/>
                  <w:vAlign w:val="center"/>
                </w:tcPr>
                <w:p w14:paraId="08F2B7C2">
                  <w:pPr>
                    <w:keepNext w:val="0"/>
                    <w:keepLines w:val="0"/>
                    <w:widowControl/>
                    <w:suppressLineNumbers w:val="0"/>
                    <w:jc w:val="center"/>
                    <w:textAlignment w:val="center"/>
                    <w:rPr>
                      <w:rFonts w:hint="default"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1.35</w:t>
                  </w:r>
                </w:p>
              </w:tc>
              <w:tc>
                <w:tcPr>
                  <w:tcW w:w="731" w:type="pct"/>
                  <w:vMerge w:val="continue"/>
                  <w:vAlign w:val="center"/>
                </w:tcPr>
                <w:p w14:paraId="4EE289C4">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1023" w:type="dxa"/>
                  <w:vAlign w:val="center"/>
                </w:tcPr>
                <w:p w14:paraId="3B3F4478">
                  <w:pPr>
                    <w:keepNext w:val="0"/>
                    <w:keepLines w:val="0"/>
                    <w:widowControl/>
                    <w:suppressLineNumbers w:val="0"/>
                    <w:jc w:val="center"/>
                    <w:textAlignment w:val="center"/>
                    <w:rPr>
                      <w:rFonts w:hint="default"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1.35</w:t>
                  </w:r>
                </w:p>
              </w:tc>
            </w:tr>
            <w:tr w14:paraId="71C80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6" w:type="pct"/>
                  <w:vMerge w:val="continue"/>
                  <w:vAlign w:val="center"/>
                </w:tcPr>
                <w:p w14:paraId="095DC902">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665" w:type="pct"/>
                  <w:vMerge w:val="continue"/>
                  <w:vAlign w:val="center"/>
                </w:tcPr>
                <w:p w14:paraId="1B742079">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788" w:type="pct"/>
                  <w:vAlign w:val="center"/>
                </w:tcPr>
                <w:p w14:paraId="6F947F83">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eastAsia"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网版清洗废液</w:t>
                  </w:r>
                </w:p>
              </w:tc>
              <w:tc>
                <w:tcPr>
                  <w:tcW w:w="1216" w:type="dxa"/>
                  <w:vAlign w:val="center"/>
                </w:tcPr>
                <w:p w14:paraId="68A6FAF3">
                  <w:pPr>
                    <w:keepNext w:val="0"/>
                    <w:keepLines w:val="0"/>
                    <w:widowControl/>
                    <w:suppressLineNumbers w:val="0"/>
                    <w:jc w:val="center"/>
                    <w:textAlignment w:val="center"/>
                    <w:rPr>
                      <w:rFonts w:hint="eastAsia"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900-253-12</w:t>
                  </w:r>
                </w:p>
              </w:tc>
              <w:tc>
                <w:tcPr>
                  <w:tcW w:w="315" w:type="pct"/>
                  <w:vMerge w:val="continue"/>
                  <w:vAlign w:val="center"/>
                </w:tcPr>
                <w:p w14:paraId="41AFCC76">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322" w:type="pct"/>
                  <w:vMerge w:val="continue"/>
                  <w:vAlign w:val="center"/>
                </w:tcPr>
                <w:p w14:paraId="0939D287">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845" w:type="dxa"/>
                  <w:vAlign w:val="center"/>
                </w:tcPr>
                <w:p w14:paraId="32BE0715">
                  <w:pPr>
                    <w:keepNext w:val="0"/>
                    <w:keepLines w:val="0"/>
                    <w:widowControl/>
                    <w:suppressLineNumbers w:val="0"/>
                    <w:jc w:val="center"/>
                    <w:textAlignment w:val="center"/>
                    <w:rPr>
                      <w:rFonts w:hint="default"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0.138 </w:t>
                  </w:r>
                </w:p>
              </w:tc>
              <w:tc>
                <w:tcPr>
                  <w:tcW w:w="731" w:type="pct"/>
                  <w:vMerge w:val="continue"/>
                  <w:vAlign w:val="center"/>
                </w:tcPr>
                <w:p w14:paraId="3BDF361B">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1023" w:type="dxa"/>
                  <w:vAlign w:val="center"/>
                </w:tcPr>
                <w:p w14:paraId="490493DB">
                  <w:pPr>
                    <w:keepNext w:val="0"/>
                    <w:keepLines w:val="0"/>
                    <w:widowControl/>
                    <w:suppressLineNumbers w:val="0"/>
                    <w:jc w:val="center"/>
                    <w:textAlignment w:val="center"/>
                    <w:rPr>
                      <w:rFonts w:hint="default"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0.138 </w:t>
                  </w:r>
                </w:p>
              </w:tc>
            </w:tr>
            <w:tr w14:paraId="0A8B5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6" w:type="pct"/>
                  <w:vMerge w:val="continue"/>
                  <w:vAlign w:val="center"/>
                </w:tcPr>
                <w:p w14:paraId="119E1882">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665" w:type="pct"/>
                  <w:vMerge w:val="continue"/>
                  <w:vAlign w:val="center"/>
                </w:tcPr>
                <w:p w14:paraId="4B709C7B">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788" w:type="pct"/>
                  <w:shd w:val="clear" w:color="auto" w:fill="auto"/>
                  <w:vAlign w:val="center"/>
                </w:tcPr>
                <w:p w14:paraId="0241CF68">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eastAsia" w:ascii="Times New Roman" w:hAnsi="Times New Roman" w:eastAsia="宋体" w:cs="Times New Roman"/>
                      <w:color w:val="auto"/>
                      <w:kern w:val="2"/>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废静电喷粉滤芯</w:t>
                  </w:r>
                </w:p>
              </w:tc>
              <w:tc>
                <w:tcPr>
                  <w:tcW w:w="1216" w:type="dxa"/>
                  <w:shd w:val="clear" w:color="auto" w:fill="auto"/>
                  <w:vAlign w:val="center"/>
                </w:tcPr>
                <w:p w14:paraId="79A50AE7">
                  <w:pPr>
                    <w:keepNext w:val="0"/>
                    <w:keepLines w:val="0"/>
                    <w:widowControl/>
                    <w:suppressLineNumbers w:val="0"/>
                    <w:jc w:val="center"/>
                    <w:textAlignment w:val="center"/>
                    <w:rPr>
                      <w:rFonts w:hint="eastAsia" w:ascii="Times New Roman" w:hAnsi="Times New Roman" w:eastAsia="宋体" w:cs="Times New Roman"/>
                      <w:color w:val="auto"/>
                      <w:kern w:val="2"/>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900-041-49</w:t>
                  </w:r>
                </w:p>
              </w:tc>
              <w:tc>
                <w:tcPr>
                  <w:tcW w:w="315" w:type="pct"/>
                  <w:vMerge w:val="continue"/>
                  <w:vAlign w:val="center"/>
                </w:tcPr>
                <w:p w14:paraId="20783C61">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322" w:type="pct"/>
                  <w:vMerge w:val="continue"/>
                  <w:vAlign w:val="center"/>
                </w:tcPr>
                <w:p w14:paraId="0A0FD735">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845" w:type="dxa"/>
                  <w:vAlign w:val="center"/>
                </w:tcPr>
                <w:p w14:paraId="60155E58">
                  <w:pPr>
                    <w:keepNext w:val="0"/>
                    <w:keepLines w:val="0"/>
                    <w:widowControl/>
                    <w:suppressLineNumbers w:val="0"/>
                    <w:jc w:val="center"/>
                    <w:textAlignment w:val="center"/>
                    <w:rPr>
                      <w:rFonts w:hint="default"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0.096</w:t>
                  </w:r>
                </w:p>
              </w:tc>
              <w:tc>
                <w:tcPr>
                  <w:tcW w:w="731" w:type="pct"/>
                  <w:vMerge w:val="continue"/>
                  <w:vAlign w:val="center"/>
                </w:tcPr>
                <w:p w14:paraId="462E7637">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1023" w:type="dxa"/>
                  <w:vAlign w:val="center"/>
                </w:tcPr>
                <w:p w14:paraId="3763452F">
                  <w:pPr>
                    <w:keepNext w:val="0"/>
                    <w:keepLines w:val="0"/>
                    <w:widowControl/>
                    <w:suppressLineNumbers w:val="0"/>
                    <w:jc w:val="center"/>
                    <w:textAlignment w:val="center"/>
                    <w:rPr>
                      <w:rFonts w:hint="eastAsia"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0.096</w:t>
                  </w:r>
                </w:p>
              </w:tc>
            </w:tr>
            <w:tr w14:paraId="671E4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6" w:type="pct"/>
                  <w:vMerge w:val="continue"/>
                  <w:vAlign w:val="center"/>
                </w:tcPr>
                <w:p w14:paraId="0C458E09">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665" w:type="pct"/>
                  <w:vMerge w:val="continue"/>
                  <w:vAlign w:val="center"/>
                </w:tcPr>
                <w:p w14:paraId="615A1C19">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788" w:type="pct"/>
                  <w:shd w:val="clear" w:color="auto" w:fill="auto"/>
                  <w:vAlign w:val="center"/>
                </w:tcPr>
                <w:p w14:paraId="67C347FE">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eastAsia" w:ascii="Times New Roman" w:hAnsi="Times New Roman" w:eastAsia="宋体" w:cs="Times New Roman"/>
                      <w:color w:val="auto"/>
                      <w:kern w:val="2"/>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废粉末涂料</w:t>
                  </w:r>
                </w:p>
              </w:tc>
              <w:tc>
                <w:tcPr>
                  <w:tcW w:w="1216" w:type="dxa"/>
                  <w:shd w:val="clear" w:color="auto" w:fill="auto"/>
                  <w:vAlign w:val="center"/>
                </w:tcPr>
                <w:p w14:paraId="0B14C7CC">
                  <w:pPr>
                    <w:keepNext w:val="0"/>
                    <w:keepLines w:val="0"/>
                    <w:widowControl/>
                    <w:suppressLineNumbers w:val="0"/>
                    <w:jc w:val="center"/>
                    <w:textAlignment w:val="center"/>
                    <w:rPr>
                      <w:rFonts w:hint="eastAsia" w:ascii="Times New Roman" w:hAnsi="Times New Roman" w:eastAsia="宋体" w:cs="Times New Roman"/>
                      <w:color w:val="auto"/>
                      <w:kern w:val="2"/>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264-013-12</w:t>
                  </w:r>
                </w:p>
              </w:tc>
              <w:tc>
                <w:tcPr>
                  <w:tcW w:w="315" w:type="pct"/>
                  <w:vMerge w:val="continue"/>
                  <w:vAlign w:val="center"/>
                </w:tcPr>
                <w:p w14:paraId="7A26389A">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322" w:type="pct"/>
                  <w:vMerge w:val="continue"/>
                  <w:shd w:val="clear" w:color="auto" w:fill="auto"/>
                  <w:vAlign w:val="center"/>
                </w:tcPr>
                <w:p w14:paraId="6316DF01">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10"/>
                      <w:sz w:val="21"/>
                      <w:szCs w:val="21"/>
                      <w:highlight w:val="none"/>
                      <w:lang w:val="en-US" w:eastAsia="zh-CN" w:bidi="ar-SA"/>
                    </w:rPr>
                  </w:pPr>
                </w:p>
              </w:tc>
              <w:tc>
                <w:tcPr>
                  <w:tcW w:w="845" w:type="dxa"/>
                  <w:shd w:val="clear" w:color="auto" w:fill="auto"/>
                  <w:vAlign w:val="center"/>
                </w:tcPr>
                <w:p w14:paraId="20548521">
                  <w:pPr>
                    <w:keepNext w:val="0"/>
                    <w:keepLines w:val="0"/>
                    <w:widowControl/>
                    <w:suppressLineNumbers w:val="0"/>
                    <w:jc w:val="center"/>
                    <w:textAlignment w:val="center"/>
                    <w:rPr>
                      <w:rFonts w:hint="default" w:ascii="Times New Roman" w:hAnsi="Times New Roman" w:eastAsia="宋体" w:cs="Times New Roman"/>
                      <w:color w:val="auto"/>
                      <w:kern w:val="2"/>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0.375 </w:t>
                  </w:r>
                </w:p>
              </w:tc>
              <w:tc>
                <w:tcPr>
                  <w:tcW w:w="731" w:type="pct"/>
                  <w:vMerge w:val="continue"/>
                  <w:vAlign w:val="center"/>
                </w:tcPr>
                <w:p w14:paraId="17BD83F7">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1023" w:type="dxa"/>
                  <w:vAlign w:val="center"/>
                </w:tcPr>
                <w:p w14:paraId="3CA26779">
                  <w:pPr>
                    <w:keepNext w:val="0"/>
                    <w:keepLines w:val="0"/>
                    <w:widowControl/>
                    <w:suppressLineNumbers w:val="0"/>
                    <w:jc w:val="center"/>
                    <w:textAlignment w:val="center"/>
                    <w:rPr>
                      <w:rFonts w:hint="eastAsia"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0.375 </w:t>
                  </w:r>
                </w:p>
              </w:tc>
            </w:tr>
            <w:tr w14:paraId="1B048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6" w:type="pct"/>
                  <w:vMerge w:val="continue"/>
                  <w:vAlign w:val="center"/>
                </w:tcPr>
                <w:p w14:paraId="37FE0E62">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665" w:type="pct"/>
                  <w:vMerge w:val="restart"/>
                  <w:vAlign w:val="center"/>
                </w:tcPr>
                <w:p w14:paraId="7054B7F1">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废水处理</w:t>
                  </w:r>
                </w:p>
              </w:tc>
              <w:tc>
                <w:tcPr>
                  <w:tcW w:w="788" w:type="pct"/>
                  <w:shd w:val="clear" w:color="auto" w:fill="auto"/>
                  <w:vAlign w:val="center"/>
                </w:tcPr>
                <w:p w14:paraId="169982B6">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eastAsia" w:ascii="Times New Roman" w:hAnsi="Times New Roman" w:eastAsia="宋体" w:cs="Times New Roman"/>
                      <w:color w:val="auto"/>
                      <w:kern w:val="2"/>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废水处理站污泥</w:t>
                  </w:r>
                </w:p>
              </w:tc>
              <w:tc>
                <w:tcPr>
                  <w:tcW w:w="1216" w:type="dxa"/>
                  <w:shd w:val="clear" w:color="auto" w:fill="auto"/>
                  <w:vAlign w:val="center"/>
                </w:tcPr>
                <w:p w14:paraId="1F43D15C">
                  <w:pPr>
                    <w:keepNext w:val="0"/>
                    <w:keepLines w:val="0"/>
                    <w:widowControl/>
                    <w:suppressLineNumbers w:val="0"/>
                    <w:jc w:val="center"/>
                    <w:textAlignment w:val="center"/>
                    <w:rPr>
                      <w:rFonts w:hint="eastAsia" w:ascii="Times New Roman" w:hAnsi="Times New Roman" w:eastAsia="宋体" w:cs="Times New Roman"/>
                      <w:color w:val="auto"/>
                      <w:kern w:val="2"/>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336-064-17</w:t>
                  </w:r>
                </w:p>
              </w:tc>
              <w:tc>
                <w:tcPr>
                  <w:tcW w:w="315" w:type="pct"/>
                  <w:vMerge w:val="continue"/>
                  <w:vAlign w:val="center"/>
                </w:tcPr>
                <w:p w14:paraId="469B4FC0">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322" w:type="pct"/>
                  <w:vMerge w:val="continue"/>
                  <w:vAlign w:val="center"/>
                </w:tcPr>
                <w:p w14:paraId="0546787E">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845" w:type="dxa"/>
                  <w:vAlign w:val="center"/>
                </w:tcPr>
                <w:p w14:paraId="5DDC7A53">
                  <w:pPr>
                    <w:keepNext w:val="0"/>
                    <w:keepLines w:val="0"/>
                    <w:widowControl/>
                    <w:suppressLineNumbers w:val="0"/>
                    <w:jc w:val="center"/>
                    <w:textAlignment w:val="center"/>
                    <w:rPr>
                      <w:rFonts w:hint="default"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0.186 </w:t>
                  </w:r>
                </w:p>
              </w:tc>
              <w:tc>
                <w:tcPr>
                  <w:tcW w:w="731" w:type="pct"/>
                  <w:vMerge w:val="continue"/>
                  <w:vAlign w:val="center"/>
                </w:tcPr>
                <w:p w14:paraId="21501B44">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1023" w:type="dxa"/>
                  <w:vAlign w:val="center"/>
                </w:tcPr>
                <w:p w14:paraId="7D8D12FB">
                  <w:pPr>
                    <w:keepNext w:val="0"/>
                    <w:keepLines w:val="0"/>
                    <w:widowControl/>
                    <w:suppressLineNumbers w:val="0"/>
                    <w:jc w:val="center"/>
                    <w:textAlignment w:val="center"/>
                    <w:rPr>
                      <w:rFonts w:hint="eastAsia"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0.186 </w:t>
                  </w:r>
                </w:p>
              </w:tc>
            </w:tr>
            <w:tr w14:paraId="63DDE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6" w:type="pct"/>
                  <w:vMerge w:val="continue"/>
                  <w:vAlign w:val="center"/>
                </w:tcPr>
                <w:p w14:paraId="3D19355D">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665" w:type="pct"/>
                  <w:vMerge w:val="continue"/>
                  <w:vAlign w:val="center"/>
                </w:tcPr>
                <w:p w14:paraId="5B4B5C24">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eastAsia" w:cs="Times New Roman"/>
                      <w:color w:val="auto"/>
                      <w:position w:val="-10"/>
                      <w:sz w:val="21"/>
                      <w:szCs w:val="21"/>
                      <w:highlight w:val="none"/>
                      <w:lang w:val="en-US" w:eastAsia="zh-CN" w:bidi="ar-SA"/>
                    </w:rPr>
                  </w:pPr>
                </w:p>
              </w:tc>
              <w:tc>
                <w:tcPr>
                  <w:tcW w:w="788" w:type="pct"/>
                  <w:shd w:val="clear" w:color="auto" w:fill="auto"/>
                  <w:vAlign w:val="center"/>
                </w:tcPr>
                <w:p w14:paraId="69384C8B">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废MBR膜</w:t>
                  </w:r>
                </w:p>
              </w:tc>
              <w:tc>
                <w:tcPr>
                  <w:tcW w:w="1216" w:type="dxa"/>
                  <w:shd w:val="clear" w:color="auto" w:fill="auto"/>
                  <w:vAlign w:val="center"/>
                </w:tcPr>
                <w:p w14:paraId="0CD5E75C">
                  <w:pPr>
                    <w:keepNext w:val="0"/>
                    <w:keepLines w:val="0"/>
                    <w:widowControl/>
                    <w:suppressLineNumbers w:val="0"/>
                    <w:jc w:val="center"/>
                    <w:textAlignment w:val="center"/>
                    <w:rPr>
                      <w:rFonts w:hint="eastAsia"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900-041-49</w:t>
                  </w:r>
                </w:p>
              </w:tc>
              <w:tc>
                <w:tcPr>
                  <w:tcW w:w="315" w:type="pct"/>
                  <w:vMerge w:val="continue"/>
                  <w:vAlign w:val="center"/>
                </w:tcPr>
                <w:p w14:paraId="05A27D79">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322" w:type="pct"/>
                  <w:vMerge w:val="continue"/>
                  <w:vAlign w:val="center"/>
                </w:tcPr>
                <w:p w14:paraId="31B4680F">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845" w:type="dxa"/>
                  <w:vAlign w:val="center"/>
                </w:tcPr>
                <w:p w14:paraId="0E462E99">
                  <w:pPr>
                    <w:keepNext w:val="0"/>
                    <w:keepLines w:val="0"/>
                    <w:widowControl/>
                    <w:suppressLineNumbers w:val="0"/>
                    <w:jc w:val="center"/>
                    <w:textAlignment w:val="center"/>
                    <w:rPr>
                      <w:rFonts w:hint="default"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731" w:type="pct"/>
                  <w:vMerge w:val="continue"/>
                  <w:vAlign w:val="center"/>
                </w:tcPr>
                <w:p w14:paraId="5213DB6D">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1023" w:type="dxa"/>
                  <w:vAlign w:val="center"/>
                </w:tcPr>
                <w:p w14:paraId="6EDD45D8">
                  <w:pPr>
                    <w:keepNext w:val="0"/>
                    <w:keepLines w:val="0"/>
                    <w:widowControl/>
                    <w:suppressLineNumbers w:val="0"/>
                    <w:jc w:val="center"/>
                    <w:textAlignment w:val="center"/>
                    <w:rPr>
                      <w:rFonts w:hint="default"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r>
          </w:tbl>
          <w:p w14:paraId="31B8A5D7">
            <w:pPr>
              <w:keepNext/>
              <w:keepLines/>
              <w:pageBreakBefore w:val="0"/>
              <w:tabs>
                <w:tab w:val="left" w:pos="0"/>
              </w:tabs>
              <w:wordWrap w:val="0"/>
              <w:overflowPunct/>
              <w:bidi w:val="0"/>
              <w:ind w:left="480" w:leftChars="200"/>
              <w:outlineLvl w:val="3"/>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2、固体废物贮存和处置情况</w:t>
            </w:r>
          </w:p>
          <w:p w14:paraId="2B0BA12E">
            <w:pPr>
              <w:pageBreakBefore w:val="0"/>
              <w:widowControl w:val="0"/>
              <w:wordWrap w:val="0"/>
              <w:overflowPunct/>
              <w:bidi w:val="0"/>
              <w:spacing w:line="360" w:lineRule="auto"/>
              <w:ind w:firstLine="480" w:firstLineChars="200"/>
              <w:jc w:val="both"/>
              <w:rPr>
                <w:rFonts w:hint="default" w:ascii="Times New Roman" w:hAnsi="Times New Roman" w:eastAsia="宋体" w:cs="Times New Roman"/>
                <w:b/>
                <w:color w:val="auto"/>
                <w:sz w:val="21"/>
                <w:szCs w:val="21"/>
                <w:highlight w:val="none"/>
                <w:lang w:val="en-US" w:eastAsia="zh-CN"/>
              </w:rPr>
            </w:pPr>
            <w:bookmarkStart w:id="134" w:name="_Ref10526"/>
            <w:r>
              <w:rPr>
                <w:rFonts w:hint="default" w:ascii="Times New Roman" w:hAnsi="Times New Roman" w:eastAsia="宋体" w:cs="Times New Roman"/>
                <w:color w:val="auto"/>
                <w:kern w:val="2"/>
                <w:sz w:val="24"/>
                <w:szCs w:val="24"/>
                <w:highlight w:val="none"/>
                <w:lang w:val="en-US" w:eastAsia="zh-CN" w:bidi="ar-SA"/>
              </w:rPr>
              <w:t>根据《国家危险废物名录》（202</w:t>
            </w:r>
            <w:r>
              <w:rPr>
                <w:rFonts w:hint="eastAsia"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年版），危险废物从产生、收集、贮运、转运、处置等各个环节都可能因管理不善而进入环境，因此在各个环节中，抛落、渗漏、丢弃等问题都可能存在，为了使各种危险废物能合法合理处置，本次评价拟按照《危险废物贮存污染控制标准》（GB 18597-2023）等国家相关法律，提出相应的治理措施，进一步规范收集、贮运、处置等操作过程。</w:t>
            </w:r>
          </w:p>
          <w:p w14:paraId="1ABF45C6">
            <w:pPr>
              <w:keepNext w:val="0"/>
              <w:keepLines w:val="0"/>
              <w:pageBreakBefore w:val="0"/>
              <w:widowControl w:val="0"/>
              <w:numPr>
                <w:ilvl w:val="0"/>
                <w:numId w:val="10"/>
              </w:numPr>
              <w:kinsoku/>
              <w:wordWrap w:val="0"/>
              <w:overflowPunct/>
              <w:topLinePunct w:val="0"/>
              <w:autoSpaceDE/>
              <w:autoSpaceDN/>
              <w:bidi w:val="0"/>
              <w:adjustRightInd/>
              <w:snapToGrid/>
              <w:spacing w:line="240" w:lineRule="auto"/>
              <w:ind w:left="0" w:leftChars="0" w:hanging="1"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lang w:val="en-US" w:eastAsia="zh-CN"/>
              </w:rPr>
              <w:t>危险</w:t>
            </w:r>
            <w:r>
              <w:rPr>
                <w:rFonts w:hint="default" w:ascii="Times New Roman" w:hAnsi="Times New Roman" w:eastAsia="宋体" w:cs="Times New Roman"/>
                <w:b/>
                <w:bCs/>
                <w:color w:val="auto"/>
                <w:kern w:val="2"/>
                <w:sz w:val="21"/>
                <w:szCs w:val="21"/>
                <w:highlight w:val="none"/>
                <w:lang w:val="en-US" w:eastAsia="zh-CN" w:bidi="ar-SA"/>
              </w:rPr>
              <w:t>废物汇总表</w:t>
            </w:r>
          </w:p>
          <w:tbl>
            <w:tblPr>
              <w:tblStyle w:val="43"/>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07"/>
              <w:gridCol w:w="839"/>
              <w:gridCol w:w="1252"/>
              <w:gridCol w:w="784"/>
              <w:gridCol w:w="764"/>
              <w:gridCol w:w="439"/>
              <w:gridCol w:w="759"/>
              <w:gridCol w:w="848"/>
              <w:gridCol w:w="543"/>
              <w:gridCol w:w="714"/>
              <w:gridCol w:w="751"/>
            </w:tblGrid>
            <w:tr w14:paraId="68C0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8" w:type="pct"/>
                  <w:vAlign w:val="center"/>
                </w:tcPr>
                <w:p w14:paraId="49F91DAF">
                  <w:pPr>
                    <w:keepNext w:val="0"/>
                    <w:keepLines w:val="0"/>
                    <w:pageBreakBefore w:val="0"/>
                    <w:widowControl w:val="0"/>
                    <w:kinsoku/>
                    <w:wordWrap w:val="0"/>
                    <w:overflowPunct/>
                    <w:topLinePunct w:val="0"/>
                    <w:autoSpaceDE w:val="0"/>
                    <w:autoSpaceDN w:val="0"/>
                    <w:bidi w:val="0"/>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危险废物名称</w:t>
                  </w:r>
                </w:p>
              </w:tc>
              <w:tc>
                <w:tcPr>
                  <w:tcW w:w="482" w:type="pct"/>
                  <w:vAlign w:val="center"/>
                </w:tcPr>
                <w:p w14:paraId="3D7C5560">
                  <w:pPr>
                    <w:keepNext w:val="0"/>
                    <w:keepLines w:val="0"/>
                    <w:pageBreakBefore w:val="0"/>
                    <w:widowControl w:val="0"/>
                    <w:kinsoku/>
                    <w:wordWrap w:val="0"/>
                    <w:overflowPunct/>
                    <w:topLinePunct w:val="0"/>
                    <w:autoSpaceDE w:val="0"/>
                    <w:autoSpaceDN w:val="0"/>
                    <w:bidi w:val="0"/>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危险废物类别</w:t>
                  </w:r>
                </w:p>
              </w:tc>
              <w:tc>
                <w:tcPr>
                  <w:tcW w:w="719" w:type="pct"/>
                  <w:vAlign w:val="center"/>
                </w:tcPr>
                <w:p w14:paraId="0F255170">
                  <w:pPr>
                    <w:keepNext w:val="0"/>
                    <w:keepLines w:val="0"/>
                    <w:pageBreakBefore w:val="0"/>
                    <w:widowControl w:val="0"/>
                    <w:kinsoku/>
                    <w:wordWrap w:val="0"/>
                    <w:overflowPunct/>
                    <w:topLinePunct w:val="0"/>
                    <w:autoSpaceDE w:val="0"/>
                    <w:autoSpaceDN w:val="0"/>
                    <w:bidi w:val="0"/>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危险废物代码</w:t>
                  </w:r>
                </w:p>
              </w:tc>
              <w:tc>
                <w:tcPr>
                  <w:tcW w:w="450" w:type="pct"/>
                  <w:vAlign w:val="center"/>
                </w:tcPr>
                <w:p w14:paraId="269406D8">
                  <w:pPr>
                    <w:keepNext w:val="0"/>
                    <w:keepLines w:val="0"/>
                    <w:pageBreakBefore w:val="0"/>
                    <w:widowControl w:val="0"/>
                    <w:kinsoku/>
                    <w:wordWrap w:val="0"/>
                    <w:overflowPunct/>
                    <w:topLinePunct w:val="0"/>
                    <w:autoSpaceDE w:val="0"/>
                    <w:autoSpaceDN w:val="0"/>
                    <w:bidi w:val="0"/>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产生量t/a</w:t>
                  </w:r>
                </w:p>
              </w:tc>
              <w:tc>
                <w:tcPr>
                  <w:tcW w:w="439" w:type="pct"/>
                  <w:vAlign w:val="center"/>
                </w:tcPr>
                <w:p w14:paraId="798285A9">
                  <w:pPr>
                    <w:keepNext w:val="0"/>
                    <w:keepLines w:val="0"/>
                    <w:pageBreakBefore w:val="0"/>
                    <w:widowControl w:val="0"/>
                    <w:kinsoku/>
                    <w:wordWrap w:val="0"/>
                    <w:overflowPunct/>
                    <w:topLinePunct w:val="0"/>
                    <w:autoSpaceDE w:val="0"/>
                    <w:autoSpaceDN w:val="0"/>
                    <w:bidi w:val="0"/>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产生工序及装置</w:t>
                  </w:r>
                </w:p>
              </w:tc>
              <w:tc>
                <w:tcPr>
                  <w:tcW w:w="252" w:type="pct"/>
                  <w:vAlign w:val="center"/>
                </w:tcPr>
                <w:p w14:paraId="544D52F5">
                  <w:pPr>
                    <w:keepNext w:val="0"/>
                    <w:keepLines w:val="0"/>
                    <w:pageBreakBefore w:val="0"/>
                    <w:widowControl w:val="0"/>
                    <w:kinsoku/>
                    <w:wordWrap w:val="0"/>
                    <w:overflowPunct/>
                    <w:topLinePunct w:val="0"/>
                    <w:autoSpaceDE w:val="0"/>
                    <w:autoSpaceDN w:val="0"/>
                    <w:bidi w:val="0"/>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形态</w:t>
                  </w:r>
                </w:p>
              </w:tc>
              <w:tc>
                <w:tcPr>
                  <w:tcW w:w="436" w:type="pct"/>
                  <w:vAlign w:val="center"/>
                </w:tcPr>
                <w:p w14:paraId="20C9757B">
                  <w:pPr>
                    <w:keepNext w:val="0"/>
                    <w:keepLines w:val="0"/>
                    <w:pageBreakBefore w:val="0"/>
                    <w:widowControl w:val="0"/>
                    <w:kinsoku/>
                    <w:wordWrap w:val="0"/>
                    <w:overflowPunct/>
                    <w:topLinePunct w:val="0"/>
                    <w:autoSpaceDE w:val="0"/>
                    <w:autoSpaceDN w:val="0"/>
                    <w:bidi w:val="0"/>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主要成分</w:t>
                  </w:r>
                </w:p>
              </w:tc>
              <w:tc>
                <w:tcPr>
                  <w:tcW w:w="487" w:type="pct"/>
                  <w:vAlign w:val="center"/>
                </w:tcPr>
                <w:p w14:paraId="679FDA2B">
                  <w:pPr>
                    <w:keepNext w:val="0"/>
                    <w:keepLines w:val="0"/>
                    <w:pageBreakBefore w:val="0"/>
                    <w:widowControl w:val="0"/>
                    <w:kinsoku/>
                    <w:wordWrap w:val="0"/>
                    <w:overflowPunct/>
                    <w:topLinePunct w:val="0"/>
                    <w:autoSpaceDE w:val="0"/>
                    <w:autoSpaceDN w:val="0"/>
                    <w:bidi w:val="0"/>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有害成分</w:t>
                  </w:r>
                </w:p>
              </w:tc>
              <w:tc>
                <w:tcPr>
                  <w:tcW w:w="312" w:type="pct"/>
                  <w:vAlign w:val="center"/>
                </w:tcPr>
                <w:p w14:paraId="18CD1C4D">
                  <w:pPr>
                    <w:keepNext w:val="0"/>
                    <w:keepLines w:val="0"/>
                    <w:pageBreakBefore w:val="0"/>
                    <w:widowControl w:val="0"/>
                    <w:kinsoku/>
                    <w:wordWrap w:val="0"/>
                    <w:overflowPunct/>
                    <w:topLinePunct w:val="0"/>
                    <w:autoSpaceDE w:val="0"/>
                    <w:autoSpaceDN w:val="0"/>
                    <w:bidi w:val="0"/>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产废周期</w:t>
                  </w:r>
                </w:p>
              </w:tc>
              <w:tc>
                <w:tcPr>
                  <w:tcW w:w="410" w:type="pct"/>
                  <w:vAlign w:val="center"/>
                </w:tcPr>
                <w:p w14:paraId="22330695">
                  <w:pPr>
                    <w:keepNext w:val="0"/>
                    <w:keepLines w:val="0"/>
                    <w:pageBreakBefore w:val="0"/>
                    <w:widowControl w:val="0"/>
                    <w:kinsoku/>
                    <w:wordWrap w:val="0"/>
                    <w:overflowPunct/>
                    <w:topLinePunct w:val="0"/>
                    <w:autoSpaceDE w:val="0"/>
                    <w:autoSpaceDN w:val="0"/>
                    <w:bidi w:val="0"/>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危险特性</w:t>
                  </w:r>
                </w:p>
              </w:tc>
              <w:tc>
                <w:tcPr>
                  <w:tcW w:w="431" w:type="pct"/>
                  <w:vAlign w:val="center"/>
                </w:tcPr>
                <w:p w14:paraId="3FE70B74">
                  <w:pPr>
                    <w:keepNext w:val="0"/>
                    <w:keepLines w:val="0"/>
                    <w:pageBreakBefore w:val="0"/>
                    <w:widowControl w:val="0"/>
                    <w:kinsoku/>
                    <w:wordWrap w:val="0"/>
                    <w:overflowPunct/>
                    <w:topLinePunct w:val="0"/>
                    <w:autoSpaceDE w:val="0"/>
                    <w:autoSpaceDN w:val="0"/>
                    <w:bidi w:val="0"/>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污染防治措施</w:t>
                  </w:r>
                </w:p>
              </w:tc>
            </w:tr>
            <w:tr w14:paraId="1015A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8" w:type="pct"/>
                  <w:vAlign w:val="center"/>
                </w:tcPr>
                <w:p w14:paraId="6F00B815">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ascii="Times New Roman" w:hAnsi="Times New Roman" w:eastAsia="宋体" w:cs="Times New Roman"/>
                      <w:color w:val="auto"/>
                      <w:kern w:val="2"/>
                      <w:position w:val="0"/>
                      <w:sz w:val="21"/>
                      <w:szCs w:val="21"/>
                      <w:highlight w:val="none"/>
                      <w:lang w:val="en-US" w:eastAsia="zh-CN" w:bidi="ar-SA"/>
                    </w:rPr>
                    <w:t>废</w:t>
                  </w:r>
                  <w:r>
                    <w:rPr>
                      <w:rFonts w:hint="eastAsia" w:cs="Times New Roman"/>
                      <w:color w:val="auto"/>
                      <w:kern w:val="2"/>
                      <w:position w:val="0"/>
                      <w:sz w:val="21"/>
                      <w:szCs w:val="21"/>
                      <w:highlight w:val="none"/>
                      <w:lang w:val="en-US" w:eastAsia="zh-CN" w:bidi="ar-SA"/>
                    </w:rPr>
                    <w:t>包装</w:t>
                  </w:r>
                  <w:r>
                    <w:rPr>
                      <w:rFonts w:hint="eastAsia" w:ascii="Times New Roman" w:hAnsi="Times New Roman" w:eastAsia="宋体" w:cs="Times New Roman"/>
                      <w:color w:val="auto"/>
                      <w:kern w:val="2"/>
                      <w:position w:val="0"/>
                      <w:sz w:val="21"/>
                      <w:szCs w:val="21"/>
                      <w:highlight w:val="none"/>
                      <w:lang w:val="en-US" w:eastAsia="zh-CN" w:bidi="ar-SA"/>
                    </w:rPr>
                    <w:t>桶</w:t>
                  </w:r>
                </w:p>
              </w:tc>
              <w:tc>
                <w:tcPr>
                  <w:tcW w:w="482" w:type="pct"/>
                  <w:vAlign w:val="center"/>
                </w:tcPr>
                <w:p w14:paraId="5DAB6358">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HW</w:t>
                  </w:r>
                  <w:r>
                    <w:rPr>
                      <w:rFonts w:hint="eastAsia" w:cs="Times New Roman"/>
                      <w:color w:val="auto"/>
                      <w:position w:val="-10"/>
                      <w:sz w:val="21"/>
                      <w:szCs w:val="21"/>
                      <w:highlight w:val="none"/>
                      <w:lang w:val="en-US" w:eastAsia="zh-CN" w:bidi="ar-SA"/>
                    </w:rPr>
                    <w:t>49</w:t>
                  </w:r>
                </w:p>
              </w:tc>
              <w:tc>
                <w:tcPr>
                  <w:tcW w:w="1252" w:type="dxa"/>
                  <w:vAlign w:val="center"/>
                </w:tcPr>
                <w:p w14:paraId="54CA631B">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900-041-49</w:t>
                  </w:r>
                </w:p>
              </w:tc>
              <w:tc>
                <w:tcPr>
                  <w:tcW w:w="784" w:type="dxa"/>
                  <w:vAlign w:val="center"/>
                </w:tcPr>
                <w:p w14:paraId="4552FA2D">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0.5 </w:t>
                  </w:r>
                </w:p>
              </w:tc>
              <w:tc>
                <w:tcPr>
                  <w:tcW w:w="439" w:type="pct"/>
                  <w:vMerge w:val="restart"/>
                  <w:vAlign w:val="center"/>
                </w:tcPr>
                <w:p w14:paraId="15E5C0BA">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eastAsia" w:cs="Times New Roman"/>
                      <w:color w:val="auto"/>
                      <w:kern w:val="2"/>
                      <w:position w:val="0"/>
                      <w:sz w:val="21"/>
                      <w:szCs w:val="21"/>
                      <w:highlight w:val="none"/>
                      <w:lang w:val="en-US" w:eastAsia="zh-CN" w:bidi="ar-SA"/>
                    </w:rPr>
                    <w:t>成型加工、喷涂等其他生产工序</w:t>
                  </w:r>
                </w:p>
              </w:tc>
              <w:tc>
                <w:tcPr>
                  <w:tcW w:w="252" w:type="pct"/>
                  <w:vAlign w:val="center"/>
                </w:tcPr>
                <w:p w14:paraId="0919384B">
                  <w:pPr>
                    <w:keepNext w:val="0"/>
                    <w:keepLines w:val="0"/>
                    <w:pageBreakBefore w:val="0"/>
                    <w:widowControl w:val="0"/>
                    <w:kinsoku/>
                    <w:wordWrap w:val="0"/>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固态</w:t>
                  </w:r>
                </w:p>
              </w:tc>
              <w:tc>
                <w:tcPr>
                  <w:tcW w:w="436" w:type="pct"/>
                  <w:vAlign w:val="center"/>
                </w:tcPr>
                <w:p w14:paraId="381ECBAB">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ascii="Times New Roman" w:hAnsi="Times New Roman" w:eastAsia="宋体" w:cs="Times New Roman"/>
                      <w:color w:val="auto"/>
                      <w:position w:val="-10"/>
                      <w:sz w:val="21"/>
                      <w:szCs w:val="21"/>
                      <w:highlight w:val="none"/>
                      <w:lang w:val="en-US" w:eastAsia="zh-CN" w:bidi="ar-SA"/>
                    </w:rPr>
                    <w:t>有机</w:t>
                  </w:r>
                  <w:r>
                    <w:rPr>
                      <w:rFonts w:hint="eastAsia" w:cs="Times New Roman"/>
                      <w:color w:val="auto"/>
                      <w:position w:val="-10"/>
                      <w:sz w:val="21"/>
                      <w:szCs w:val="21"/>
                      <w:highlight w:val="none"/>
                      <w:lang w:val="en-US" w:eastAsia="zh-CN" w:bidi="ar-SA"/>
                    </w:rPr>
                    <w:t>溶剂</w:t>
                  </w:r>
                </w:p>
              </w:tc>
              <w:tc>
                <w:tcPr>
                  <w:tcW w:w="487" w:type="pct"/>
                  <w:vAlign w:val="center"/>
                </w:tcPr>
                <w:p w14:paraId="310450FE">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eastAsia" w:ascii="Times New Roman" w:hAnsi="Times New Roman" w:eastAsia="宋体"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VOCs</w:t>
                  </w:r>
                </w:p>
              </w:tc>
              <w:tc>
                <w:tcPr>
                  <w:tcW w:w="312" w:type="pct"/>
                  <w:vAlign w:val="center"/>
                </w:tcPr>
                <w:p w14:paraId="6C1D1921">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1</w:t>
                  </w:r>
                  <w:r>
                    <w:rPr>
                      <w:rFonts w:hint="eastAsia" w:ascii="Times New Roman" w:hAnsi="Times New Roman" w:eastAsia="宋体" w:cs="Times New Roman"/>
                      <w:color w:val="auto"/>
                      <w:position w:val="-10"/>
                      <w:sz w:val="21"/>
                      <w:szCs w:val="21"/>
                      <w:highlight w:val="none"/>
                      <w:lang w:val="en-US" w:eastAsia="zh-CN" w:bidi="ar-SA"/>
                    </w:rPr>
                    <w:t>年</w:t>
                  </w:r>
                </w:p>
              </w:tc>
              <w:tc>
                <w:tcPr>
                  <w:tcW w:w="410" w:type="pct"/>
                  <w:vAlign w:val="center"/>
                </w:tcPr>
                <w:p w14:paraId="10717FED">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T</w:t>
                  </w:r>
                </w:p>
              </w:tc>
              <w:tc>
                <w:tcPr>
                  <w:tcW w:w="431" w:type="pct"/>
                  <w:vMerge w:val="restart"/>
                  <w:vAlign w:val="center"/>
                </w:tcPr>
                <w:p w14:paraId="46CFAA29">
                  <w:pPr>
                    <w:keepNext w:val="0"/>
                    <w:keepLines w:val="0"/>
                    <w:pageBreakBefore w:val="0"/>
                    <w:widowControl w:val="0"/>
                    <w:kinsoku/>
                    <w:wordWrap w:val="0"/>
                    <w:overflowPunct/>
                    <w:topLinePunct w:val="0"/>
                    <w:autoSpaceDE w:val="0"/>
                    <w:autoSpaceDN w:val="0"/>
                    <w:bidi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暂存在危险废物暂存间，定期由危废资质单位处理。</w:t>
                  </w:r>
                </w:p>
              </w:tc>
            </w:tr>
            <w:tr w14:paraId="4A36E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8" w:type="pct"/>
                  <w:vAlign w:val="center"/>
                </w:tcPr>
                <w:p w14:paraId="7E3783D1">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ascii="Times New Roman" w:hAnsi="Times New Roman" w:eastAsia="宋体" w:cs="Times New Roman"/>
                      <w:color w:val="auto"/>
                      <w:kern w:val="2"/>
                      <w:position w:val="0"/>
                      <w:sz w:val="21"/>
                      <w:szCs w:val="21"/>
                      <w:highlight w:val="none"/>
                      <w:lang w:val="en-US" w:eastAsia="zh-CN" w:bidi="ar-SA"/>
                    </w:rPr>
                    <w:t>废油桶</w:t>
                  </w:r>
                </w:p>
              </w:tc>
              <w:tc>
                <w:tcPr>
                  <w:tcW w:w="482" w:type="pct"/>
                  <w:vAlign w:val="center"/>
                </w:tcPr>
                <w:p w14:paraId="4EBBDFF7">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HW</w:t>
                  </w:r>
                  <w:r>
                    <w:rPr>
                      <w:rFonts w:hint="eastAsia" w:ascii="Times New Roman" w:hAnsi="Times New Roman" w:eastAsia="宋体" w:cs="Times New Roman"/>
                      <w:color w:val="auto"/>
                      <w:position w:val="-10"/>
                      <w:sz w:val="21"/>
                      <w:szCs w:val="21"/>
                      <w:highlight w:val="none"/>
                      <w:lang w:val="en-US" w:eastAsia="zh-CN" w:bidi="ar-SA"/>
                    </w:rPr>
                    <w:t>08</w:t>
                  </w:r>
                </w:p>
              </w:tc>
              <w:tc>
                <w:tcPr>
                  <w:tcW w:w="1252" w:type="dxa"/>
                  <w:vAlign w:val="center"/>
                </w:tcPr>
                <w:p w14:paraId="3B7C3CEE">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900-249-08</w:t>
                  </w:r>
                </w:p>
              </w:tc>
              <w:tc>
                <w:tcPr>
                  <w:tcW w:w="784" w:type="dxa"/>
                  <w:vAlign w:val="center"/>
                </w:tcPr>
                <w:p w14:paraId="66D1B24B">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 </w:t>
                  </w:r>
                </w:p>
              </w:tc>
              <w:tc>
                <w:tcPr>
                  <w:tcW w:w="439" w:type="pct"/>
                  <w:vMerge w:val="continue"/>
                  <w:vAlign w:val="center"/>
                </w:tcPr>
                <w:p w14:paraId="148D1D0E">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p>
              </w:tc>
              <w:tc>
                <w:tcPr>
                  <w:tcW w:w="252" w:type="pct"/>
                  <w:vAlign w:val="center"/>
                </w:tcPr>
                <w:p w14:paraId="35DD00BF">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default" w:ascii="Times New Roman" w:hAnsi="Times New Roman" w:eastAsia="宋体" w:cs="Times New Roman"/>
                      <w:color w:val="auto"/>
                      <w:kern w:val="2"/>
                      <w:position w:val="0"/>
                      <w:sz w:val="21"/>
                      <w:szCs w:val="21"/>
                      <w:highlight w:val="none"/>
                      <w:lang w:val="en-US" w:eastAsia="zh-CN" w:bidi="ar-SA"/>
                    </w:rPr>
                    <w:t>固态</w:t>
                  </w:r>
                </w:p>
              </w:tc>
              <w:tc>
                <w:tcPr>
                  <w:tcW w:w="436" w:type="pct"/>
                  <w:vAlign w:val="center"/>
                </w:tcPr>
                <w:p w14:paraId="01C775F1">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矿物油</w:t>
                  </w:r>
                </w:p>
              </w:tc>
              <w:tc>
                <w:tcPr>
                  <w:tcW w:w="487" w:type="pct"/>
                  <w:vAlign w:val="center"/>
                </w:tcPr>
                <w:p w14:paraId="698EFCE4">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矿物油</w:t>
                  </w:r>
                </w:p>
              </w:tc>
              <w:tc>
                <w:tcPr>
                  <w:tcW w:w="312" w:type="pct"/>
                  <w:vAlign w:val="center"/>
                </w:tcPr>
                <w:p w14:paraId="6BCA7E75">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eastAsia"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1</w:t>
                  </w:r>
                  <w:r>
                    <w:rPr>
                      <w:rFonts w:hint="eastAsia" w:ascii="Times New Roman" w:hAnsi="Times New Roman" w:eastAsia="宋体" w:cs="Times New Roman"/>
                      <w:color w:val="auto"/>
                      <w:position w:val="-10"/>
                      <w:sz w:val="21"/>
                      <w:szCs w:val="21"/>
                      <w:highlight w:val="none"/>
                      <w:lang w:val="en-US" w:eastAsia="zh-CN" w:bidi="ar-SA"/>
                    </w:rPr>
                    <w:t>年</w:t>
                  </w:r>
                </w:p>
              </w:tc>
              <w:tc>
                <w:tcPr>
                  <w:tcW w:w="410" w:type="pct"/>
                  <w:vAlign w:val="center"/>
                </w:tcPr>
                <w:p w14:paraId="516DD9C4">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T</w:t>
                  </w:r>
                </w:p>
              </w:tc>
              <w:tc>
                <w:tcPr>
                  <w:tcW w:w="431" w:type="pct"/>
                  <w:vMerge w:val="continue"/>
                  <w:vAlign w:val="center"/>
                </w:tcPr>
                <w:p w14:paraId="7A6C4648">
                  <w:pPr>
                    <w:keepNext w:val="0"/>
                    <w:keepLines w:val="0"/>
                    <w:pageBreakBefore w:val="0"/>
                    <w:widowControl w:val="0"/>
                    <w:kinsoku/>
                    <w:wordWrap w:val="0"/>
                    <w:overflowPunct/>
                    <w:topLinePunct w:val="0"/>
                    <w:autoSpaceDE w:val="0"/>
                    <w:autoSpaceDN w:val="0"/>
                    <w:bidi w:val="0"/>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p>
              </w:tc>
            </w:tr>
            <w:tr w14:paraId="01409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8" w:type="pct"/>
                  <w:vAlign w:val="center"/>
                </w:tcPr>
                <w:p w14:paraId="4A5A858B">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ascii="Times New Roman" w:hAnsi="Times New Roman" w:eastAsia="宋体" w:cs="Times New Roman"/>
                      <w:color w:val="auto"/>
                      <w:position w:val="-10"/>
                      <w:sz w:val="21"/>
                      <w:szCs w:val="21"/>
                      <w:highlight w:val="none"/>
                      <w:lang w:val="en-US" w:eastAsia="zh-CN" w:bidi="ar-SA"/>
                    </w:rPr>
                    <w:t>废</w:t>
                  </w:r>
                  <w:r>
                    <w:rPr>
                      <w:rFonts w:hint="eastAsia" w:cs="Times New Roman"/>
                      <w:color w:val="auto"/>
                      <w:position w:val="-10"/>
                      <w:sz w:val="21"/>
                      <w:szCs w:val="21"/>
                      <w:highlight w:val="none"/>
                      <w:lang w:val="en-US" w:eastAsia="zh-CN" w:bidi="ar-SA"/>
                    </w:rPr>
                    <w:t>机</w:t>
                  </w:r>
                  <w:r>
                    <w:rPr>
                      <w:rFonts w:hint="eastAsia" w:ascii="Times New Roman" w:hAnsi="Times New Roman" w:eastAsia="宋体" w:cs="Times New Roman"/>
                      <w:color w:val="auto"/>
                      <w:position w:val="-10"/>
                      <w:sz w:val="21"/>
                      <w:szCs w:val="21"/>
                      <w:highlight w:val="none"/>
                      <w:lang w:val="en-US" w:eastAsia="zh-CN" w:bidi="ar-SA"/>
                    </w:rPr>
                    <w:t>油</w:t>
                  </w:r>
                </w:p>
              </w:tc>
              <w:tc>
                <w:tcPr>
                  <w:tcW w:w="482" w:type="pct"/>
                  <w:vAlign w:val="center"/>
                </w:tcPr>
                <w:p w14:paraId="693F8019">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HW</w:t>
                  </w:r>
                  <w:r>
                    <w:rPr>
                      <w:rFonts w:hint="eastAsia" w:ascii="Times New Roman" w:hAnsi="Times New Roman" w:eastAsia="宋体" w:cs="Times New Roman"/>
                      <w:color w:val="auto"/>
                      <w:position w:val="-10"/>
                      <w:sz w:val="21"/>
                      <w:szCs w:val="21"/>
                      <w:highlight w:val="none"/>
                      <w:lang w:val="en-US" w:eastAsia="zh-CN" w:bidi="ar-SA"/>
                    </w:rPr>
                    <w:t>08</w:t>
                  </w:r>
                </w:p>
              </w:tc>
              <w:tc>
                <w:tcPr>
                  <w:tcW w:w="1252" w:type="dxa"/>
                  <w:vAlign w:val="center"/>
                </w:tcPr>
                <w:p w14:paraId="5E43F784">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900-249-08</w:t>
                  </w:r>
                </w:p>
              </w:tc>
              <w:tc>
                <w:tcPr>
                  <w:tcW w:w="784" w:type="dxa"/>
                  <w:vAlign w:val="center"/>
                </w:tcPr>
                <w:p w14:paraId="4FFB3DC7">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 </w:t>
                  </w:r>
                </w:p>
              </w:tc>
              <w:tc>
                <w:tcPr>
                  <w:tcW w:w="439" w:type="pct"/>
                  <w:vMerge w:val="continue"/>
                  <w:vAlign w:val="center"/>
                </w:tcPr>
                <w:p w14:paraId="169A0366">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p>
              </w:tc>
              <w:tc>
                <w:tcPr>
                  <w:tcW w:w="252" w:type="pct"/>
                  <w:vAlign w:val="center"/>
                </w:tcPr>
                <w:p w14:paraId="3931E91D">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eastAsia" w:ascii="Times New Roman" w:hAnsi="Times New Roman" w:eastAsia="宋体" w:cs="Times New Roman"/>
                      <w:color w:val="auto"/>
                      <w:kern w:val="2"/>
                      <w:position w:val="0"/>
                      <w:sz w:val="21"/>
                      <w:szCs w:val="21"/>
                      <w:highlight w:val="none"/>
                      <w:lang w:val="en-US" w:eastAsia="zh-CN" w:bidi="ar-SA"/>
                    </w:rPr>
                    <w:t>液</w:t>
                  </w:r>
                  <w:r>
                    <w:rPr>
                      <w:rFonts w:hint="default" w:ascii="Times New Roman" w:hAnsi="Times New Roman" w:eastAsia="宋体" w:cs="Times New Roman"/>
                      <w:color w:val="auto"/>
                      <w:kern w:val="2"/>
                      <w:position w:val="0"/>
                      <w:sz w:val="21"/>
                      <w:szCs w:val="21"/>
                      <w:highlight w:val="none"/>
                      <w:lang w:val="en-US" w:eastAsia="zh-CN" w:bidi="ar-SA"/>
                    </w:rPr>
                    <w:t>态</w:t>
                  </w:r>
                </w:p>
              </w:tc>
              <w:tc>
                <w:tcPr>
                  <w:tcW w:w="436" w:type="pct"/>
                  <w:vAlign w:val="center"/>
                </w:tcPr>
                <w:p w14:paraId="0C6DBE7A">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矿物油</w:t>
                  </w:r>
                </w:p>
              </w:tc>
              <w:tc>
                <w:tcPr>
                  <w:tcW w:w="487" w:type="pct"/>
                  <w:vAlign w:val="center"/>
                </w:tcPr>
                <w:p w14:paraId="51004A66">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矿物油</w:t>
                  </w:r>
                </w:p>
              </w:tc>
              <w:tc>
                <w:tcPr>
                  <w:tcW w:w="312" w:type="pct"/>
                  <w:vAlign w:val="center"/>
                </w:tcPr>
                <w:p w14:paraId="2BA3BCFE">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eastAsia"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1</w:t>
                  </w:r>
                  <w:r>
                    <w:rPr>
                      <w:rFonts w:hint="eastAsia" w:ascii="Times New Roman" w:hAnsi="Times New Roman" w:eastAsia="宋体" w:cs="Times New Roman"/>
                      <w:color w:val="auto"/>
                      <w:position w:val="-10"/>
                      <w:sz w:val="21"/>
                      <w:szCs w:val="21"/>
                      <w:highlight w:val="none"/>
                      <w:lang w:val="en-US" w:eastAsia="zh-CN" w:bidi="ar-SA"/>
                    </w:rPr>
                    <w:t>年</w:t>
                  </w:r>
                </w:p>
              </w:tc>
              <w:tc>
                <w:tcPr>
                  <w:tcW w:w="410" w:type="pct"/>
                  <w:vAlign w:val="center"/>
                </w:tcPr>
                <w:p w14:paraId="6B977ED6">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T</w:t>
                  </w:r>
                </w:p>
              </w:tc>
              <w:tc>
                <w:tcPr>
                  <w:tcW w:w="431" w:type="pct"/>
                  <w:vMerge w:val="continue"/>
                  <w:vAlign w:val="center"/>
                </w:tcPr>
                <w:p w14:paraId="27F1B6F4">
                  <w:pPr>
                    <w:keepNext w:val="0"/>
                    <w:keepLines w:val="0"/>
                    <w:pageBreakBefore w:val="0"/>
                    <w:widowControl w:val="0"/>
                    <w:kinsoku/>
                    <w:wordWrap w:val="0"/>
                    <w:overflowPunct/>
                    <w:topLinePunct w:val="0"/>
                    <w:autoSpaceDE w:val="0"/>
                    <w:autoSpaceDN w:val="0"/>
                    <w:bidi w:val="0"/>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p>
              </w:tc>
            </w:tr>
            <w:tr w14:paraId="20245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8" w:type="pct"/>
                  <w:vAlign w:val="center"/>
                </w:tcPr>
                <w:p w14:paraId="25E7BE04">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ascii="Times New Roman" w:hAnsi="Times New Roman" w:eastAsia="宋体" w:cs="Times New Roman"/>
                      <w:color w:val="auto"/>
                      <w:position w:val="-10"/>
                      <w:sz w:val="21"/>
                      <w:szCs w:val="21"/>
                      <w:highlight w:val="none"/>
                      <w:lang w:val="en-US" w:eastAsia="zh-CN" w:bidi="ar-SA"/>
                    </w:rPr>
                    <w:t>废含油抹布及手套</w:t>
                  </w:r>
                </w:p>
              </w:tc>
              <w:tc>
                <w:tcPr>
                  <w:tcW w:w="482" w:type="pct"/>
                  <w:vAlign w:val="center"/>
                </w:tcPr>
                <w:p w14:paraId="3D9C93BD">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HW49</w:t>
                  </w:r>
                </w:p>
              </w:tc>
              <w:tc>
                <w:tcPr>
                  <w:tcW w:w="1252" w:type="dxa"/>
                  <w:vAlign w:val="center"/>
                </w:tcPr>
                <w:p w14:paraId="5A713A90">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900-041-49</w:t>
                  </w:r>
                </w:p>
              </w:tc>
              <w:tc>
                <w:tcPr>
                  <w:tcW w:w="784" w:type="dxa"/>
                  <w:vAlign w:val="center"/>
                </w:tcPr>
                <w:p w14:paraId="245A91C8">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 </w:t>
                  </w:r>
                </w:p>
              </w:tc>
              <w:tc>
                <w:tcPr>
                  <w:tcW w:w="439" w:type="pct"/>
                  <w:vMerge w:val="continue"/>
                  <w:vAlign w:val="center"/>
                </w:tcPr>
                <w:p w14:paraId="448D932A">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p>
              </w:tc>
              <w:tc>
                <w:tcPr>
                  <w:tcW w:w="252" w:type="pct"/>
                  <w:vAlign w:val="center"/>
                </w:tcPr>
                <w:p w14:paraId="620062DE">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default" w:ascii="Times New Roman" w:hAnsi="Times New Roman" w:eastAsia="宋体" w:cs="Times New Roman"/>
                      <w:color w:val="auto"/>
                      <w:kern w:val="2"/>
                      <w:position w:val="0"/>
                      <w:sz w:val="21"/>
                      <w:szCs w:val="21"/>
                      <w:highlight w:val="none"/>
                      <w:lang w:val="en-US" w:eastAsia="zh-CN" w:bidi="ar-SA"/>
                    </w:rPr>
                    <w:t>固态</w:t>
                  </w:r>
                </w:p>
              </w:tc>
              <w:tc>
                <w:tcPr>
                  <w:tcW w:w="436" w:type="pct"/>
                  <w:vAlign w:val="center"/>
                </w:tcPr>
                <w:p w14:paraId="329C0468">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矿物油</w:t>
                  </w:r>
                </w:p>
              </w:tc>
              <w:tc>
                <w:tcPr>
                  <w:tcW w:w="487" w:type="pct"/>
                  <w:vAlign w:val="center"/>
                </w:tcPr>
                <w:p w14:paraId="4D18A1F3">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矿物油</w:t>
                  </w:r>
                </w:p>
              </w:tc>
              <w:tc>
                <w:tcPr>
                  <w:tcW w:w="312" w:type="pct"/>
                  <w:vAlign w:val="center"/>
                </w:tcPr>
                <w:p w14:paraId="668B019C">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eastAsia"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1</w:t>
                  </w:r>
                  <w:r>
                    <w:rPr>
                      <w:rFonts w:hint="eastAsia" w:ascii="Times New Roman" w:hAnsi="Times New Roman" w:eastAsia="宋体" w:cs="Times New Roman"/>
                      <w:color w:val="auto"/>
                      <w:position w:val="-10"/>
                      <w:sz w:val="21"/>
                      <w:szCs w:val="21"/>
                      <w:highlight w:val="none"/>
                      <w:lang w:val="en-US" w:eastAsia="zh-CN" w:bidi="ar-SA"/>
                    </w:rPr>
                    <w:t>年</w:t>
                  </w:r>
                </w:p>
              </w:tc>
              <w:tc>
                <w:tcPr>
                  <w:tcW w:w="410" w:type="pct"/>
                  <w:vAlign w:val="center"/>
                </w:tcPr>
                <w:p w14:paraId="46A1B29C">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T</w:t>
                  </w:r>
                </w:p>
              </w:tc>
              <w:tc>
                <w:tcPr>
                  <w:tcW w:w="431" w:type="pct"/>
                  <w:vMerge w:val="continue"/>
                  <w:vAlign w:val="center"/>
                </w:tcPr>
                <w:p w14:paraId="35066700">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p>
              </w:tc>
            </w:tr>
            <w:tr w14:paraId="3FC4B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8" w:type="pct"/>
                  <w:vAlign w:val="center"/>
                </w:tcPr>
                <w:p w14:paraId="42D2BCDA">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eastAsia" w:ascii="Times New Roman" w:hAnsi="Times New Roman" w:eastAsia="宋体"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喷枪清洗废液</w:t>
                  </w:r>
                </w:p>
              </w:tc>
              <w:tc>
                <w:tcPr>
                  <w:tcW w:w="482" w:type="pct"/>
                  <w:vAlign w:val="center"/>
                </w:tcPr>
                <w:p w14:paraId="501E846A">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HW12</w:t>
                  </w:r>
                </w:p>
              </w:tc>
              <w:tc>
                <w:tcPr>
                  <w:tcW w:w="1252" w:type="dxa"/>
                  <w:vAlign w:val="center"/>
                </w:tcPr>
                <w:p w14:paraId="3C8E8D63">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900-252-12</w:t>
                  </w:r>
                </w:p>
              </w:tc>
              <w:tc>
                <w:tcPr>
                  <w:tcW w:w="784" w:type="dxa"/>
                  <w:vAlign w:val="center"/>
                </w:tcPr>
                <w:p w14:paraId="7A821AE0">
                  <w:pPr>
                    <w:keepNext w:val="0"/>
                    <w:keepLines w:val="0"/>
                    <w:widowControl/>
                    <w:suppressLineNumbers w:val="0"/>
                    <w:jc w:val="center"/>
                    <w:textAlignment w:val="center"/>
                    <w:rPr>
                      <w:rFonts w:hint="default"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0.016 </w:t>
                  </w:r>
                </w:p>
              </w:tc>
              <w:tc>
                <w:tcPr>
                  <w:tcW w:w="439" w:type="pct"/>
                  <w:vMerge w:val="continue"/>
                  <w:vAlign w:val="center"/>
                </w:tcPr>
                <w:p w14:paraId="45A07851">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p>
              </w:tc>
              <w:tc>
                <w:tcPr>
                  <w:tcW w:w="252" w:type="pct"/>
                  <w:vAlign w:val="center"/>
                </w:tcPr>
                <w:p w14:paraId="0B9EDA4C">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eastAsia" w:cs="Times New Roman"/>
                      <w:color w:val="auto"/>
                      <w:kern w:val="2"/>
                      <w:position w:val="0"/>
                      <w:sz w:val="21"/>
                      <w:szCs w:val="21"/>
                      <w:highlight w:val="none"/>
                      <w:lang w:val="en-US" w:eastAsia="zh-CN" w:bidi="ar-SA"/>
                    </w:rPr>
                    <w:t>液态</w:t>
                  </w:r>
                </w:p>
              </w:tc>
              <w:tc>
                <w:tcPr>
                  <w:tcW w:w="436" w:type="pct"/>
                  <w:vAlign w:val="center"/>
                </w:tcPr>
                <w:p w14:paraId="069370F8">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VOCs</w:t>
                  </w:r>
                </w:p>
              </w:tc>
              <w:tc>
                <w:tcPr>
                  <w:tcW w:w="487" w:type="pct"/>
                  <w:vAlign w:val="center"/>
                </w:tcPr>
                <w:p w14:paraId="1825630B">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VOCs</w:t>
                  </w:r>
                </w:p>
              </w:tc>
              <w:tc>
                <w:tcPr>
                  <w:tcW w:w="312" w:type="pct"/>
                  <w:vAlign w:val="center"/>
                </w:tcPr>
                <w:p w14:paraId="2E226108">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1</w:t>
                  </w:r>
                  <w:r>
                    <w:rPr>
                      <w:rFonts w:hint="eastAsia" w:ascii="Times New Roman" w:hAnsi="Times New Roman" w:eastAsia="宋体" w:cs="Times New Roman"/>
                      <w:color w:val="auto"/>
                      <w:position w:val="-10"/>
                      <w:sz w:val="21"/>
                      <w:szCs w:val="21"/>
                      <w:highlight w:val="none"/>
                      <w:lang w:val="en-US" w:eastAsia="zh-CN" w:bidi="ar-SA"/>
                    </w:rPr>
                    <w:t>年</w:t>
                  </w:r>
                </w:p>
              </w:tc>
              <w:tc>
                <w:tcPr>
                  <w:tcW w:w="410" w:type="pct"/>
                  <w:vAlign w:val="center"/>
                </w:tcPr>
                <w:p w14:paraId="3FCFDD0A">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T</w:t>
                  </w:r>
                </w:p>
              </w:tc>
              <w:tc>
                <w:tcPr>
                  <w:tcW w:w="431" w:type="pct"/>
                  <w:vMerge w:val="continue"/>
                  <w:vAlign w:val="center"/>
                </w:tcPr>
                <w:p w14:paraId="76872ACE">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p>
              </w:tc>
            </w:tr>
            <w:tr w14:paraId="6BEEA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8" w:type="pct"/>
                  <w:vAlign w:val="center"/>
                </w:tcPr>
                <w:p w14:paraId="20745CF6">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废空心球</w:t>
                  </w:r>
                </w:p>
              </w:tc>
              <w:tc>
                <w:tcPr>
                  <w:tcW w:w="482" w:type="pct"/>
                  <w:vAlign w:val="center"/>
                </w:tcPr>
                <w:p w14:paraId="11472883">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HW49</w:t>
                  </w:r>
                </w:p>
              </w:tc>
              <w:tc>
                <w:tcPr>
                  <w:tcW w:w="1252" w:type="dxa"/>
                  <w:vAlign w:val="center"/>
                </w:tcPr>
                <w:p w14:paraId="52D80667">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900-041-49</w:t>
                  </w:r>
                </w:p>
              </w:tc>
              <w:tc>
                <w:tcPr>
                  <w:tcW w:w="784" w:type="dxa"/>
                  <w:vAlign w:val="center"/>
                </w:tcPr>
                <w:p w14:paraId="7F91CA6D">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 </w:t>
                  </w:r>
                </w:p>
              </w:tc>
              <w:tc>
                <w:tcPr>
                  <w:tcW w:w="439" w:type="pct"/>
                  <w:vMerge w:val="restart"/>
                  <w:vAlign w:val="center"/>
                </w:tcPr>
                <w:p w14:paraId="02D4D2A5">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eastAsia" w:ascii="Times New Roman" w:hAnsi="Times New Roman" w:eastAsia="宋体" w:cs="Times New Roman"/>
                      <w:color w:val="auto"/>
                      <w:position w:val="-10"/>
                      <w:sz w:val="21"/>
                      <w:szCs w:val="21"/>
                      <w:highlight w:val="none"/>
                      <w:lang w:val="en-US" w:eastAsia="zh-CN" w:bidi="ar-SA"/>
                    </w:rPr>
                    <w:t>废气治理设施</w:t>
                  </w:r>
                </w:p>
              </w:tc>
              <w:tc>
                <w:tcPr>
                  <w:tcW w:w="252" w:type="pct"/>
                  <w:vAlign w:val="center"/>
                </w:tcPr>
                <w:p w14:paraId="7A33AF60">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default" w:ascii="Times New Roman" w:hAnsi="Times New Roman" w:eastAsia="宋体" w:cs="Times New Roman"/>
                      <w:color w:val="auto"/>
                      <w:kern w:val="2"/>
                      <w:position w:val="0"/>
                      <w:sz w:val="21"/>
                      <w:szCs w:val="21"/>
                      <w:highlight w:val="none"/>
                      <w:lang w:val="en-US" w:eastAsia="zh-CN" w:bidi="ar-SA"/>
                    </w:rPr>
                    <w:t>固态</w:t>
                  </w:r>
                </w:p>
              </w:tc>
              <w:tc>
                <w:tcPr>
                  <w:tcW w:w="436" w:type="pct"/>
                  <w:vAlign w:val="center"/>
                </w:tcPr>
                <w:p w14:paraId="5AF2AB80">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ascii="Times New Roman" w:hAnsi="Times New Roman" w:eastAsia="宋体" w:cs="Times New Roman"/>
                      <w:color w:val="auto"/>
                      <w:position w:val="-10"/>
                      <w:sz w:val="21"/>
                      <w:szCs w:val="21"/>
                      <w:highlight w:val="none"/>
                      <w:lang w:val="en-US" w:eastAsia="zh-CN" w:bidi="ar-SA"/>
                    </w:rPr>
                    <w:t>颗粒物</w:t>
                  </w:r>
                  <w:r>
                    <w:rPr>
                      <w:rFonts w:hint="eastAsia" w:cs="Times New Roman"/>
                      <w:color w:val="auto"/>
                      <w:position w:val="-10"/>
                      <w:sz w:val="21"/>
                      <w:szCs w:val="21"/>
                      <w:highlight w:val="none"/>
                      <w:lang w:val="en-US" w:eastAsia="zh-CN" w:bidi="ar-SA"/>
                    </w:rPr>
                    <w:t>、VOCs</w:t>
                  </w:r>
                </w:p>
              </w:tc>
              <w:tc>
                <w:tcPr>
                  <w:tcW w:w="487" w:type="pct"/>
                  <w:vAlign w:val="center"/>
                </w:tcPr>
                <w:p w14:paraId="2A6D69A5">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ascii="Times New Roman" w:hAnsi="Times New Roman" w:eastAsia="宋体" w:cs="Times New Roman"/>
                      <w:color w:val="auto"/>
                      <w:position w:val="-10"/>
                      <w:sz w:val="21"/>
                      <w:szCs w:val="21"/>
                      <w:highlight w:val="none"/>
                      <w:lang w:val="en-US" w:eastAsia="zh-CN" w:bidi="ar-SA"/>
                    </w:rPr>
                    <w:t>颗粒物</w:t>
                  </w:r>
                  <w:r>
                    <w:rPr>
                      <w:rFonts w:hint="eastAsia" w:cs="Times New Roman"/>
                      <w:color w:val="auto"/>
                      <w:position w:val="-10"/>
                      <w:sz w:val="21"/>
                      <w:szCs w:val="21"/>
                      <w:highlight w:val="none"/>
                      <w:lang w:val="en-US" w:eastAsia="zh-CN" w:bidi="ar-SA"/>
                    </w:rPr>
                    <w:t>、VOCs</w:t>
                  </w:r>
                </w:p>
              </w:tc>
              <w:tc>
                <w:tcPr>
                  <w:tcW w:w="312" w:type="pct"/>
                  <w:vAlign w:val="center"/>
                </w:tcPr>
                <w:p w14:paraId="166A2313">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1年</w:t>
                  </w:r>
                </w:p>
              </w:tc>
              <w:tc>
                <w:tcPr>
                  <w:tcW w:w="410" w:type="pct"/>
                  <w:vAlign w:val="center"/>
                </w:tcPr>
                <w:p w14:paraId="62F9E77B">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T</w:t>
                  </w:r>
                </w:p>
              </w:tc>
              <w:tc>
                <w:tcPr>
                  <w:tcW w:w="431" w:type="pct"/>
                  <w:vMerge w:val="continue"/>
                  <w:vAlign w:val="center"/>
                </w:tcPr>
                <w:p w14:paraId="5C16D412">
                  <w:pPr>
                    <w:keepNext w:val="0"/>
                    <w:keepLines w:val="0"/>
                    <w:pageBreakBefore w:val="0"/>
                    <w:widowControl w:val="0"/>
                    <w:kinsoku/>
                    <w:wordWrap w:val="0"/>
                    <w:overflowPunct/>
                    <w:topLinePunct w:val="0"/>
                    <w:autoSpaceDE w:val="0"/>
                    <w:autoSpaceDN w:val="0"/>
                    <w:bidi w:val="0"/>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p>
              </w:tc>
            </w:tr>
            <w:tr w14:paraId="18709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8" w:type="pct"/>
                  <w:vAlign w:val="center"/>
                </w:tcPr>
                <w:p w14:paraId="278D2E90">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ascii="Times New Roman" w:hAnsi="Times New Roman" w:eastAsia="宋体" w:cs="Times New Roman"/>
                      <w:color w:val="auto"/>
                      <w:position w:val="-10"/>
                      <w:sz w:val="21"/>
                      <w:szCs w:val="21"/>
                      <w:highlight w:val="none"/>
                      <w:lang w:val="en-US" w:eastAsia="zh-CN" w:bidi="ar-SA"/>
                    </w:rPr>
                    <w:t>废过滤棉</w:t>
                  </w:r>
                </w:p>
              </w:tc>
              <w:tc>
                <w:tcPr>
                  <w:tcW w:w="482" w:type="pct"/>
                  <w:vAlign w:val="center"/>
                </w:tcPr>
                <w:p w14:paraId="423716DF">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HW49</w:t>
                  </w:r>
                </w:p>
              </w:tc>
              <w:tc>
                <w:tcPr>
                  <w:tcW w:w="1252" w:type="dxa"/>
                  <w:vAlign w:val="center"/>
                </w:tcPr>
                <w:p w14:paraId="54BE81D5">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900-041-49</w:t>
                  </w:r>
                </w:p>
              </w:tc>
              <w:tc>
                <w:tcPr>
                  <w:tcW w:w="784" w:type="dxa"/>
                  <w:vAlign w:val="center"/>
                </w:tcPr>
                <w:p w14:paraId="6BB97369">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0.59 </w:t>
                  </w:r>
                </w:p>
              </w:tc>
              <w:tc>
                <w:tcPr>
                  <w:tcW w:w="439" w:type="pct"/>
                  <w:vMerge w:val="continue"/>
                  <w:vAlign w:val="center"/>
                </w:tcPr>
                <w:p w14:paraId="2FBD28A1">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p>
              </w:tc>
              <w:tc>
                <w:tcPr>
                  <w:tcW w:w="252" w:type="pct"/>
                  <w:vAlign w:val="center"/>
                </w:tcPr>
                <w:p w14:paraId="67C7FBFD">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default" w:ascii="Times New Roman" w:hAnsi="Times New Roman" w:eastAsia="宋体" w:cs="Times New Roman"/>
                      <w:color w:val="auto"/>
                      <w:kern w:val="2"/>
                      <w:position w:val="0"/>
                      <w:sz w:val="21"/>
                      <w:szCs w:val="21"/>
                      <w:highlight w:val="none"/>
                      <w:lang w:val="en-US" w:eastAsia="zh-CN" w:bidi="ar-SA"/>
                    </w:rPr>
                    <w:t>固态</w:t>
                  </w:r>
                </w:p>
              </w:tc>
              <w:tc>
                <w:tcPr>
                  <w:tcW w:w="436" w:type="pct"/>
                  <w:vAlign w:val="center"/>
                </w:tcPr>
                <w:p w14:paraId="43C61AA0">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ascii="Times New Roman" w:hAnsi="Times New Roman" w:eastAsia="宋体" w:cs="Times New Roman"/>
                      <w:color w:val="auto"/>
                      <w:position w:val="-10"/>
                      <w:sz w:val="21"/>
                      <w:szCs w:val="21"/>
                      <w:highlight w:val="none"/>
                      <w:lang w:val="en-US" w:eastAsia="zh-CN" w:bidi="ar-SA"/>
                    </w:rPr>
                    <w:t>颗粒物</w:t>
                  </w:r>
                  <w:r>
                    <w:rPr>
                      <w:rFonts w:hint="eastAsia" w:cs="Times New Roman"/>
                      <w:color w:val="auto"/>
                      <w:position w:val="-10"/>
                      <w:sz w:val="21"/>
                      <w:szCs w:val="21"/>
                      <w:highlight w:val="none"/>
                      <w:lang w:val="en-US" w:eastAsia="zh-CN" w:bidi="ar-SA"/>
                    </w:rPr>
                    <w:t>、VOCs</w:t>
                  </w:r>
                </w:p>
              </w:tc>
              <w:tc>
                <w:tcPr>
                  <w:tcW w:w="487" w:type="pct"/>
                  <w:vAlign w:val="center"/>
                </w:tcPr>
                <w:p w14:paraId="702B3D06">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ascii="Times New Roman" w:hAnsi="Times New Roman" w:eastAsia="宋体" w:cs="Times New Roman"/>
                      <w:color w:val="auto"/>
                      <w:position w:val="-10"/>
                      <w:sz w:val="21"/>
                      <w:szCs w:val="21"/>
                      <w:highlight w:val="none"/>
                      <w:lang w:val="en-US" w:eastAsia="zh-CN" w:bidi="ar-SA"/>
                    </w:rPr>
                    <w:t>颗粒物</w:t>
                  </w:r>
                  <w:r>
                    <w:rPr>
                      <w:rFonts w:hint="eastAsia" w:cs="Times New Roman"/>
                      <w:color w:val="auto"/>
                      <w:position w:val="-10"/>
                      <w:sz w:val="21"/>
                      <w:szCs w:val="21"/>
                      <w:highlight w:val="none"/>
                      <w:lang w:val="en-US" w:eastAsia="zh-CN" w:bidi="ar-SA"/>
                    </w:rPr>
                    <w:t>、VOCs</w:t>
                  </w:r>
                </w:p>
              </w:tc>
              <w:tc>
                <w:tcPr>
                  <w:tcW w:w="312" w:type="pct"/>
                  <w:vAlign w:val="center"/>
                </w:tcPr>
                <w:p w14:paraId="34B7F9ED">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1个月</w:t>
                  </w:r>
                </w:p>
              </w:tc>
              <w:tc>
                <w:tcPr>
                  <w:tcW w:w="410" w:type="pct"/>
                  <w:vAlign w:val="center"/>
                </w:tcPr>
                <w:p w14:paraId="6D501F1D">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T</w:t>
                  </w:r>
                </w:p>
              </w:tc>
              <w:tc>
                <w:tcPr>
                  <w:tcW w:w="431" w:type="pct"/>
                  <w:vMerge w:val="continue"/>
                  <w:vAlign w:val="center"/>
                </w:tcPr>
                <w:p w14:paraId="716A02D3">
                  <w:pPr>
                    <w:keepNext w:val="0"/>
                    <w:keepLines w:val="0"/>
                    <w:pageBreakBefore w:val="0"/>
                    <w:widowControl w:val="0"/>
                    <w:kinsoku/>
                    <w:wordWrap w:val="0"/>
                    <w:overflowPunct/>
                    <w:topLinePunct w:val="0"/>
                    <w:autoSpaceDE w:val="0"/>
                    <w:autoSpaceDN w:val="0"/>
                    <w:bidi w:val="0"/>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p>
              </w:tc>
            </w:tr>
            <w:tr w14:paraId="65ED6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8" w:type="pct"/>
                  <w:vAlign w:val="center"/>
                </w:tcPr>
                <w:p w14:paraId="6EA27CFE">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ascii="Times New Roman" w:hAnsi="Times New Roman" w:eastAsia="宋体" w:cs="Times New Roman"/>
                      <w:color w:val="auto"/>
                      <w:position w:val="-10"/>
                      <w:sz w:val="21"/>
                      <w:szCs w:val="21"/>
                      <w:highlight w:val="none"/>
                      <w:lang w:val="en-US" w:eastAsia="zh-CN" w:bidi="ar-SA"/>
                    </w:rPr>
                    <w:t>废活性炭</w:t>
                  </w:r>
                </w:p>
              </w:tc>
              <w:tc>
                <w:tcPr>
                  <w:tcW w:w="482" w:type="pct"/>
                  <w:vAlign w:val="center"/>
                </w:tcPr>
                <w:p w14:paraId="666A20C6">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HW49</w:t>
                  </w:r>
                </w:p>
              </w:tc>
              <w:tc>
                <w:tcPr>
                  <w:tcW w:w="1252" w:type="dxa"/>
                  <w:vAlign w:val="center"/>
                </w:tcPr>
                <w:p w14:paraId="1F60F1FF">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900-039-49</w:t>
                  </w:r>
                </w:p>
              </w:tc>
              <w:tc>
                <w:tcPr>
                  <w:tcW w:w="784" w:type="dxa"/>
                  <w:vAlign w:val="center"/>
                </w:tcPr>
                <w:p w14:paraId="53753BC9">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9.115 </w:t>
                  </w:r>
                </w:p>
              </w:tc>
              <w:tc>
                <w:tcPr>
                  <w:tcW w:w="439" w:type="pct"/>
                  <w:vMerge w:val="continue"/>
                  <w:vAlign w:val="center"/>
                </w:tcPr>
                <w:p w14:paraId="0E472B99">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p>
              </w:tc>
              <w:tc>
                <w:tcPr>
                  <w:tcW w:w="252" w:type="pct"/>
                  <w:vAlign w:val="center"/>
                </w:tcPr>
                <w:p w14:paraId="22556208">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default" w:ascii="Times New Roman" w:hAnsi="Times New Roman" w:eastAsia="宋体" w:cs="Times New Roman"/>
                      <w:color w:val="auto"/>
                      <w:kern w:val="2"/>
                      <w:position w:val="0"/>
                      <w:sz w:val="21"/>
                      <w:szCs w:val="21"/>
                      <w:highlight w:val="none"/>
                      <w:lang w:val="en-US" w:eastAsia="zh-CN" w:bidi="ar-SA"/>
                    </w:rPr>
                    <w:t>固态</w:t>
                  </w:r>
                </w:p>
              </w:tc>
              <w:tc>
                <w:tcPr>
                  <w:tcW w:w="436" w:type="pct"/>
                  <w:vAlign w:val="center"/>
                </w:tcPr>
                <w:p w14:paraId="33BCC544">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ascii="Times New Roman" w:hAnsi="Times New Roman" w:eastAsia="宋体" w:cs="Times New Roman"/>
                      <w:color w:val="auto"/>
                      <w:position w:val="-10"/>
                      <w:sz w:val="21"/>
                      <w:szCs w:val="21"/>
                      <w:highlight w:val="none"/>
                      <w:lang w:val="en-US" w:eastAsia="zh-CN" w:bidi="ar-SA"/>
                    </w:rPr>
                    <w:t>颗粒物</w:t>
                  </w:r>
                  <w:r>
                    <w:rPr>
                      <w:rFonts w:hint="eastAsia" w:cs="Times New Roman"/>
                      <w:color w:val="auto"/>
                      <w:position w:val="-10"/>
                      <w:sz w:val="21"/>
                      <w:szCs w:val="21"/>
                      <w:highlight w:val="none"/>
                      <w:lang w:val="en-US" w:eastAsia="zh-CN" w:bidi="ar-SA"/>
                    </w:rPr>
                    <w:t>、VOCs</w:t>
                  </w:r>
                </w:p>
              </w:tc>
              <w:tc>
                <w:tcPr>
                  <w:tcW w:w="487" w:type="pct"/>
                  <w:vAlign w:val="center"/>
                </w:tcPr>
                <w:p w14:paraId="559B1BCA">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ascii="Times New Roman" w:hAnsi="Times New Roman" w:eastAsia="宋体" w:cs="Times New Roman"/>
                      <w:color w:val="auto"/>
                      <w:position w:val="-10"/>
                      <w:sz w:val="21"/>
                      <w:szCs w:val="21"/>
                      <w:highlight w:val="none"/>
                      <w:lang w:val="en-US" w:eastAsia="zh-CN" w:bidi="ar-SA"/>
                    </w:rPr>
                    <w:t>颗粒物</w:t>
                  </w:r>
                  <w:r>
                    <w:rPr>
                      <w:rFonts w:hint="eastAsia" w:cs="Times New Roman"/>
                      <w:color w:val="auto"/>
                      <w:position w:val="-10"/>
                      <w:sz w:val="21"/>
                      <w:szCs w:val="21"/>
                      <w:highlight w:val="none"/>
                      <w:lang w:val="en-US" w:eastAsia="zh-CN" w:bidi="ar-SA"/>
                    </w:rPr>
                    <w:t>、VOCs</w:t>
                  </w:r>
                </w:p>
              </w:tc>
              <w:tc>
                <w:tcPr>
                  <w:tcW w:w="312" w:type="pct"/>
                  <w:vAlign w:val="center"/>
                </w:tcPr>
                <w:p w14:paraId="021E37B7">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3个月</w:t>
                  </w:r>
                </w:p>
              </w:tc>
              <w:tc>
                <w:tcPr>
                  <w:tcW w:w="410" w:type="pct"/>
                  <w:vAlign w:val="center"/>
                </w:tcPr>
                <w:p w14:paraId="4567D186">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T</w:t>
                  </w:r>
                </w:p>
              </w:tc>
              <w:tc>
                <w:tcPr>
                  <w:tcW w:w="431" w:type="pct"/>
                  <w:vMerge w:val="continue"/>
                  <w:vAlign w:val="center"/>
                </w:tcPr>
                <w:p w14:paraId="769EF0CB">
                  <w:pPr>
                    <w:keepNext w:val="0"/>
                    <w:keepLines w:val="0"/>
                    <w:pageBreakBefore w:val="0"/>
                    <w:widowControl w:val="0"/>
                    <w:kinsoku/>
                    <w:wordWrap w:val="0"/>
                    <w:overflowPunct/>
                    <w:topLinePunct w:val="0"/>
                    <w:autoSpaceDE w:val="0"/>
                    <w:autoSpaceDN w:val="0"/>
                    <w:bidi w:val="0"/>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p>
              </w:tc>
            </w:tr>
            <w:tr w14:paraId="7CAFF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8" w:type="pct"/>
                  <w:vAlign w:val="center"/>
                </w:tcPr>
                <w:p w14:paraId="0601F730">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eastAsia" w:ascii="Times New Roman" w:hAnsi="Times New Roman" w:eastAsia="宋体" w:cs="Times New Roman"/>
                      <w:color w:val="auto"/>
                      <w:position w:val="-10"/>
                      <w:sz w:val="21"/>
                      <w:szCs w:val="21"/>
                      <w:highlight w:val="none"/>
                      <w:lang w:val="en-US" w:eastAsia="zh-CN" w:bidi="ar-SA"/>
                    </w:rPr>
                  </w:pPr>
                  <w:r>
                    <w:rPr>
                      <w:rFonts w:hint="eastAsia" w:ascii="Times New Roman" w:hAnsi="Times New Roman" w:eastAsia="宋体" w:cs="Times New Roman"/>
                      <w:color w:val="auto"/>
                      <w:position w:val="-10"/>
                      <w:sz w:val="21"/>
                      <w:szCs w:val="21"/>
                      <w:highlight w:val="none"/>
                      <w:lang w:val="en-US" w:eastAsia="zh-CN" w:bidi="ar-SA"/>
                    </w:rPr>
                    <w:t>喷淋废液及沉渣</w:t>
                  </w:r>
                </w:p>
              </w:tc>
              <w:tc>
                <w:tcPr>
                  <w:tcW w:w="482" w:type="pct"/>
                  <w:vAlign w:val="center"/>
                </w:tcPr>
                <w:p w14:paraId="7563589A">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HW</w:t>
                  </w:r>
                  <w:r>
                    <w:rPr>
                      <w:rFonts w:hint="eastAsia" w:cs="Times New Roman"/>
                      <w:color w:val="auto"/>
                      <w:position w:val="-10"/>
                      <w:sz w:val="21"/>
                      <w:szCs w:val="21"/>
                      <w:highlight w:val="none"/>
                      <w:lang w:val="en-US" w:eastAsia="zh-CN" w:bidi="ar-SA"/>
                    </w:rPr>
                    <w:t>12</w:t>
                  </w:r>
                </w:p>
              </w:tc>
              <w:tc>
                <w:tcPr>
                  <w:tcW w:w="1252" w:type="dxa"/>
                  <w:vAlign w:val="center"/>
                </w:tcPr>
                <w:p w14:paraId="11E1F51A">
                  <w:pPr>
                    <w:keepNext w:val="0"/>
                    <w:keepLines w:val="0"/>
                    <w:widowControl/>
                    <w:suppressLineNumbers w:val="0"/>
                    <w:jc w:val="center"/>
                    <w:textAlignment w:val="center"/>
                    <w:rPr>
                      <w:rFonts w:hint="eastAsia"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900-252-12</w:t>
                  </w:r>
                </w:p>
              </w:tc>
              <w:tc>
                <w:tcPr>
                  <w:tcW w:w="784" w:type="dxa"/>
                  <w:vAlign w:val="center"/>
                </w:tcPr>
                <w:p w14:paraId="20FFBFB2">
                  <w:pPr>
                    <w:keepNext w:val="0"/>
                    <w:keepLines w:val="0"/>
                    <w:widowControl/>
                    <w:suppressLineNumbers w:val="0"/>
                    <w:jc w:val="center"/>
                    <w:textAlignment w:val="center"/>
                    <w:rPr>
                      <w:rFonts w:hint="default"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79.73 </w:t>
                  </w:r>
                </w:p>
              </w:tc>
              <w:tc>
                <w:tcPr>
                  <w:tcW w:w="439" w:type="pct"/>
                  <w:vMerge w:val="continue"/>
                  <w:vAlign w:val="center"/>
                </w:tcPr>
                <w:p w14:paraId="5AD519CB">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p>
              </w:tc>
              <w:tc>
                <w:tcPr>
                  <w:tcW w:w="252" w:type="pct"/>
                  <w:vAlign w:val="center"/>
                </w:tcPr>
                <w:p w14:paraId="550D3D44">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default" w:ascii="Times New Roman" w:hAnsi="Times New Roman" w:eastAsia="宋体" w:cs="Times New Roman"/>
                      <w:color w:val="auto"/>
                      <w:kern w:val="2"/>
                      <w:position w:val="0"/>
                      <w:sz w:val="21"/>
                      <w:szCs w:val="21"/>
                      <w:highlight w:val="none"/>
                      <w:lang w:val="en-US" w:eastAsia="zh-CN" w:bidi="ar-SA"/>
                    </w:rPr>
                    <w:t>固态</w:t>
                  </w:r>
                </w:p>
              </w:tc>
              <w:tc>
                <w:tcPr>
                  <w:tcW w:w="436" w:type="pct"/>
                  <w:vAlign w:val="center"/>
                </w:tcPr>
                <w:p w14:paraId="057D12AE">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eastAsia" w:ascii="Times New Roman" w:hAnsi="Times New Roman" w:eastAsia="宋体"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VOCs</w:t>
                  </w:r>
                </w:p>
              </w:tc>
              <w:tc>
                <w:tcPr>
                  <w:tcW w:w="487" w:type="pct"/>
                  <w:vAlign w:val="center"/>
                </w:tcPr>
                <w:p w14:paraId="0A7B42F3">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eastAsia" w:ascii="Times New Roman" w:hAnsi="Times New Roman" w:eastAsia="宋体"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VOCs</w:t>
                  </w:r>
                </w:p>
              </w:tc>
              <w:tc>
                <w:tcPr>
                  <w:tcW w:w="312" w:type="pct"/>
                  <w:vAlign w:val="center"/>
                </w:tcPr>
                <w:p w14:paraId="77B556F7">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1个月</w:t>
                  </w:r>
                </w:p>
              </w:tc>
              <w:tc>
                <w:tcPr>
                  <w:tcW w:w="410" w:type="pct"/>
                  <w:vAlign w:val="center"/>
                </w:tcPr>
                <w:p w14:paraId="22CF766F">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T</w:t>
                  </w:r>
                </w:p>
              </w:tc>
              <w:tc>
                <w:tcPr>
                  <w:tcW w:w="431" w:type="pct"/>
                  <w:vMerge w:val="continue"/>
                  <w:vAlign w:val="center"/>
                </w:tcPr>
                <w:p w14:paraId="48449497">
                  <w:pPr>
                    <w:keepNext w:val="0"/>
                    <w:keepLines w:val="0"/>
                    <w:pageBreakBefore w:val="0"/>
                    <w:widowControl w:val="0"/>
                    <w:kinsoku/>
                    <w:wordWrap w:val="0"/>
                    <w:overflowPunct/>
                    <w:topLinePunct w:val="0"/>
                    <w:autoSpaceDE w:val="0"/>
                    <w:autoSpaceDN w:val="0"/>
                    <w:bidi w:val="0"/>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p>
              </w:tc>
            </w:tr>
            <w:tr w14:paraId="72637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8" w:type="pct"/>
                  <w:vAlign w:val="center"/>
                </w:tcPr>
                <w:p w14:paraId="71F2F77C">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eastAsia"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水性漆喷枪清洗废水</w:t>
                  </w:r>
                </w:p>
              </w:tc>
              <w:tc>
                <w:tcPr>
                  <w:tcW w:w="482" w:type="pct"/>
                  <w:vAlign w:val="center"/>
                </w:tcPr>
                <w:p w14:paraId="3A27ABB0">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HW12</w:t>
                  </w:r>
                </w:p>
              </w:tc>
              <w:tc>
                <w:tcPr>
                  <w:tcW w:w="1252" w:type="dxa"/>
                  <w:vAlign w:val="center"/>
                </w:tcPr>
                <w:p w14:paraId="4E7FC2CE">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900-253-12</w:t>
                  </w:r>
                </w:p>
              </w:tc>
              <w:tc>
                <w:tcPr>
                  <w:tcW w:w="784" w:type="dxa"/>
                  <w:vAlign w:val="center"/>
                </w:tcPr>
                <w:p w14:paraId="0EEF444D">
                  <w:pPr>
                    <w:keepNext w:val="0"/>
                    <w:keepLines w:val="0"/>
                    <w:widowControl/>
                    <w:suppressLineNumbers w:val="0"/>
                    <w:jc w:val="center"/>
                    <w:textAlignment w:val="center"/>
                    <w:rPr>
                      <w:rFonts w:hint="default"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1.35 </w:t>
                  </w:r>
                </w:p>
              </w:tc>
              <w:tc>
                <w:tcPr>
                  <w:tcW w:w="439" w:type="pct"/>
                  <w:vMerge w:val="continue"/>
                  <w:vAlign w:val="center"/>
                </w:tcPr>
                <w:p w14:paraId="011CDE73">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p>
              </w:tc>
              <w:tc>
                <w:tcPr>
                  <w:tcW w:w="252" w:type="pct"/>
                  <w:vAlign w:val="center"/>
                </w:tcPr>
                <w:p w14:paraId="0C92C6C6">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eastAsia" w:cs="Times New Roman"/>
                      <w:color w:val="auto"/>
                      <w:kern w:val="2"/>
                      <w:position w:val="0"/>
                      <w:sz w:val="21"/>
                      <w:szCs w:val="21"/>
                      <w:highlight w:val="none"/>
                      <w:lang w:val="en-US" w:eastAsia="zh-CN" w:bidi="ar-SA"/>
                    </w:rPr>
                    <w:t>液态</w:t>
                  </w:r>
                </w:p>
              </w:tc>
              <w:tc>
                <w:tcPr>
                  <w:tcW w:w="436" w:type="pct"/>
                  <w:vAlign w:val="center"/>
                </w:tcPr>
                <w:p w14:paraId="533904BB">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eastAsia"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VOCs</w:t>
                  </w:r>
                </w:p>
              </w:tc>
              <w:tc>
                <w:tcPr>
                  <w:tcW w:w="487" w:type="pct"/>
                  <w:vAlign w:val="center"/>
                </w:tcPr>
                <w:p w14:paraId="5863D778">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eastAsia"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VOCs</w:t>
                  </w:r>
                </w:p>
              </w:tc>
              <w:tc>
                <w:tcPr>
                  <w:tcW w:w="312" w:type="pct"/>
                  <w:vAlign w:val="center"/>
                </w:tcPr>
                <w:p w14:paraId="3A63CA69">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eastAsia"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2个月</w:t>
                  </w:r>
                </w:p>
              </w:tc>
              <w:tc>
                <w:tcPr>
                  <w:tcW w:w="410" w:type="pct"/>
                  <w:vAlign w:val="center"/>
                </w:tcPr>
                <w:p w14:paraId="223FAE1C">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T</w:t>
                  </w:r>
                  <w:r>
                    <w:rPr>
                      <w:rFonts w:hint="eastAsia" w:cs="Times New Roman"/>
                      <w:color w:val="auto"/>
                      <w:position w:val="-10"/>
                      <w:sz w:val="21"/>
                      <w:szCs w:val="21"/>
                      <w:highlight w:val="none"/>
                      <w:lang w:val="en-US" w:eastAsia="zh-CN" w:bidi="ar-SA"/>
                    </w:rPr>
                    <w:t>，I</w:t>
                  </w:r>
                </w:p>
              </w:tc>
              <w:tc>
                <w:tcPr>
                  <w:tcW w:w="431" w:type="pct"/>
                  <w:vMerge w:val="continue"/>
                  <w:vAlign w:val="center"/>
                </w:tcPr>
                <w:p w14:paraId="095B63F4">
                  <w:pPr>
                    <w:keepNext w:val="0"/>
                    <w:keepLines w:val="0"/>
                    <w:pageBreakBefore w:val="0"/>
                    <w:widowControl w:val="0"/>
                    <w:kinsoku/>
                    <w:wordWrap w:val="0"/>
                    <w:overflowPunct/>
                    <w:topLinePunct w:val="0"/>
                    <w:autoSpaceDE w:val="0"/>
                    <w:autoSpaceDN w:val="0"/>
                    <w:bidi w:val="0"/>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p>
              </w:tc>
            </w:tr>
            <w:tr w14:paraId="3941B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8" w:type="pct"/>
                  <w:vAlign w:val="center"/>
                </w:tcPr>
                <w:p w14:paraId="12D999AD">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网版清洗废液</w:t>
                  </w:r>
                </w:p>
              </w:tc>
              <w:tc>
                <w:tcPr>
                  <w:tcW w:w="839" w:type="dxa"/>
                  <w:vAlign w:val="center"/>
                </w:tcPr>
                <w:p w14:paraId="74B93B80">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eastAsia"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HW12</w:t>
                  </w:r>
                </w:p>
              </w:tc>
              <w:tc>
                <w:tcPr>
                  <w:tcW w:w="1252" w:type="dxa"/>
                  <w:vAlign w:val="center"/>
                </w:tcPr>
                <w:p w14:paraId="072784E0">
                  <w:pPr>
                    <w:keepNext w:val="0"/>
                    <w:keepLines w:val="0"/>
                    <w:widowControl/>
                    <w:suppressLineNumbers w:val="0"/>
                    <w:jc w:val="center"/>
                    <w:textAlignment w:val="center"/>
                    <w:rPr>
                      <w:rFonts w:hint="eastAsia"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900-253-12</w:t>
                  </w:r>
                </w:p>
              </w:tc>
              <w:tc>
                <w:tcPr>
                  <w:tcW w:w="784" w:type="dxa"/>
                  <w:vAlign w:val="center"/>
                </w:tcPr>
                <w:p w14:paraId="4012D8C5">
                  <w:pPr>
                    <w:keepNext w:val="0"/>
                    <w:keepLines w:val="0"/>
                    <w:widowControl/>
                    <w:suppressLineNumbers w:val="0"/>
                    <w:jc w:val="center"/>
                    <w:textAlignment w:val="center"/>
                    <w:rPr>
                      <w:rFonts w:hint="default"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0.138 </w:t>
                  </w:r>
                </w:p>
              </w:tc>
              <w:tc>
                <w:tcPr>
                  <w:tcW w:w="439" w:type="pct"/>
                  <w:vMerge w:val="continue"/>
                  <w:vAlign w:val="center"/>
                </w:tcPr>
                <w:p w14:paraId="210F7641">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p>
              </w:tc>
              <w:tc>
                <w:tcPr>
                  <w:tcW w:w="439" w:type="dxa"/>
                  <w:vAlign w:val="center"/>
                </w:tcPr>
                <w:p w14:paraId="17909A85">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eastAsia" w:cs="Times New Roman"/>
                      <w:color w:val="auto"/>
                      <w:kern w:val="2"/>
                      <w:position w:val="0"/>
                      <w:sz w:val="21"/>
                      <w:szCs w:val="21"/>
                      <w:highlight w:val="none"/>
                      <w:lang w:val="en-US" w:eastAsia="zh-CN" w:bidi="ar-SA"/>
                    </w:rPr>
                  </w:pPr>
                  <w:r>
                    <w:rPr>
                      <w:rFonts w:hint="eastAsia" w:cs="Times New Roman"/>
                      <w:color w:val="auto"/>
                      <w:kern w:val="2"/>
                      <w:position w:val="0"/>
                      <w:sz w:val="21"/>
                      <w:szCs w:val="21"/>
                      <w:highlight w:val="none"/>
                      <w:lang w:val="en-US" w:eastAsia="zh-CN" w:bidi="ar-SA"/>
                    </w:rPr>
                    <w:t>液态</w:t>
                  </w:r>
                </w:p>
              </w:tc>
              <w:tc>
                <w:tcPr>
                  <w:tcW w:w="759" w:type="dxa"/>
                  <w:vAlign w:val="center"/>
                </w:tcPr>
                <w:p w14:paraId="149EB7ED">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eastAsia"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有机树脂</w:t>
                  </w:r>
                </w:p>
              </w:tc>
              <w:tc>
                <w:tcPr>
                  <w:tcW w:w="848" w:type="dxa"/>
                  <w:vAlign w:val="center"/>
                </w:tcPr>
                <w:p w14:paraId="7CB86F1C">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eastAsia"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有机树脂</w:t>
                  </w:r>
                </w:p>
              </w:tc>
              <w:tc>
                <w:tcPr>
                  <w:tcW w:w="543" w:type="dxa"/>
                  <w:vAlign w:val="center"/>
                </w:tcPr>
                <w:p w14:paraId="60B962E8">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eastAsia"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2个月</w:t>
                  </w:r>
                </w:p>
              </w:tc>
              <w:tc>
                <w:tcPr>
                  <w:tcW w:w="714" w:type="dxa"/>
                  <w:vAlign w:val="center"/>
                </w:tcPr>
                <w:p w14:paraId="6B8447DB">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T</w:t>
                  </w:r>
                  <w:r>
                    <w:rPr>
                      <w:rFonts w:hint="eastAsia" w:cs="Times New Roman"/>
                      <w:color w:val="auto"/>
                      <w:position w:val="-10"/>
                      <w:sz w:val="21"/>
                      <w:szCs w:val="21"/>
                      <w:highlight w:val="none"/>
                      <w:lang w:val="en-US" w:eastAsia="zh-CN" w:bidi="ar-SA"/>
                    </w:rPr>
                    <w:t>，I</w:t>
                  </w:r>
                </w:p>
              </w:tc>
              <w:tc>
                <w:tcPr>
                  <w:tcW w:w="431" w:type="pct"/>
                  <w:vMerge w:val="continue"/>
                  <w:vAlign w:val="center"/>
                </w:tcPr>
                <w:p w14:paraId="20D737FB">
                  <w:pPr>
                    <w:keepNext w:val="0"/>
                    <w:keepLines w:val="0"/>
                    <w:pageBreakBefore w:val="0"/>
                    <w:widowControl w:val="0"/>
                    <w:kinsoku/>
                    <w:wordWrap w:val="0"/>
                    <w:overflowPunct/>
                    <w:topLinePunct w:val="0"/>
                    <w:autoSpaceDE w:val="0"/>
                    <w:autoSpaceDN w:val="0"/>
                    <w:bidi w:val="0"/>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p>
              </w:tc>
            </w:tr>
            <w:tr w14:paraId="2C987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8" w:type="pct"/>
                  <w:shd w:val="clear" w:color="auto" w:fill="auto"/>
                  <w:vAlign w:val="center"/>
                </w:tcPr>
                <w:p w14:paraId="79F87F21">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eastAsia" w:ascii="Times New Roman" w:hAnsi="Times New Roman" w:eastAsia="宋体" w:cs="Times New Roman"/>
                      <w:color w:val="auto"/>
                      <w:kern w:val="2"/>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废静电喷粉滤芯</w:t>
                  </w:r>
                </w:p>
              </w:tc>
              <w:tc>
                <w:tcPr>
                  <w:tcW w:w="482" w:type="pct"/>
                  <w:shd w:val="clear" w:color="auto" w:fill="auto"/>
                  <w:vAlign w:val="center"/>
                </w:tcPr>
                <w:p w14:paraId="7A5401CD">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eastAsia" w:ascii="Times New Roman" w:hAnsi="Times New Roman" w:eastAsia="宋体" w:cs="Times New Roman"/>
                      <w:color w:val="auto"/>
                      <w:kern w:val="2"/>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HW49</w:t>
                  </w:r>
                </w:p>
              </w:tc>
              <w:tc>
                <w:tcPr>
                  <w:tcW w:w="1252" w:type="dxa"/>
                  <w:shd w:val="clear" w:color="auto" w:fill="auto"/>
                  <w:vAlign w:val="center"/>
                </w:tcPr>
                <w:p w14:paraId="11AF9886">
                  <w:pPr>
                    <w:keepNext w:val="0"/>
                    <w:keepLines w:val="0"/>
                    <w:widowControl/>
                    <w:suppressLineNumbers w:val="0"/>
                    <w:jc w:val="center"/>
                    <w:textAlignment w:val="center"/>
                    <w:rPr>
                      <w:rFonts w:hint="eastAsia" w:ascii="Times New Roman" w:hAnsi="Times New Roman" w:eastAsia="宋体" w:cs="Times New Roman"/>
                      <w:color w:val="auto"/>
                      <w:kern w:val="2"/>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900-041-49</w:t>
                  </w:r>
                </w:p>
              </w:tc>
              <w:tc>
                <w:tcPr>
                  <w:tcW w:w="784" w:type="dxa"/>
                  <w:vAlign w:val="center"/>
                </w:tcPr>
                <w:p w14:paraId="4C6468F0">
                  <w:pPr>
                    <w:keepNext w:val="0"/>
                    <w:keepLines w:val="0"/>
                    <w:widowControl/>
                    <w:suppressLineNumbers w:val="0"/>
                    <w:jc w:val="center"/>
                    <w:textAlignment w:val="center"/>
                    <w:rPr>
                      <w:rFonts w:hint="eastAsia"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0.096 </w:t>
                  </w:r>
                </w:p>
              </w:tc>
              <w:tc>
                <w:tcPr>
                  <w:tcW w:w="439" w:type="pct"/>
                  <w:vMerge w:val="continue"/>
                  <w:vAlign w:val="center"/>
                </w:tcPr>
                <w:p w14:paraId="153BF5DE">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p>
              </w:tc>
              <w:tc>
                <w:tcPr>
                  <w:tcW w:w="252" w:type="pct"/>
                  <w:vAlign w:val="center"/>
                </w:tcPr>
                <w:p w14:paraId="41C10EE3">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eastAsia" w:cs="Times New Roman"/>
                      <w:color w:val="auto"/>
                      <w:kern w:val="2"/>
                      <w:position w:val="0"/>
                      <w:sz w:val="21"/>
                      <w:szCs w:val="21"/>
                      <w:highlight w:val="none"/>
                      <w:lang w:val="en-US" w:eastAsia="zh-CN" w:bidi="ar-SA"/>
                    </w:rPr>
                  </w:pPr>
                  <w:r>
                    <w:rPr>
                      <w:rFonts w:hint="default" w:ascii="Times New Roman" w:hAnsi="Times New Roman" w:eastAsia="宋体" w:cs="Times New Roman"/>
                      <w:color w:val="auto"/>
                      <w:kern w:val="2"/>
                      <w:position w:val="0"/>
                      <w:sz w:val="21"/>
                      <w:szCs w:val="21"/>
                      <w:highlight w:val="none"/>
                      <w:lang w:val="en-US" w:eastAsia="zh-CN" w:bidi="ar-SA"/>
                    </w:rPr>
                    <w:t>固态</w:t>
                  </w:r>
                </w:p>
              </w:tc>
              <w:tc>
                <w:tcPr>
                  <w:tcW w:w="436" w:type="pct"/>
                  <w:vAlign w:val="center"/>
                </w:tcPr>
                <w:p w14:paraId="55069DDE">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有机树脂</w:t>
                  </w:r>
                </w:p>
              </w:tc>
              <w:tc>
                <w:tcPr>
                  <w:tcW w:w="487" w:type="pct"/>
                  <w:vAlign w:val="center"/>
                </w:tcPr>
                <w:p w14:paraId="548D358D">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eastAsia"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有机树脂</w:t>
                  </w:r>
                </w:p>
              </w:tc>
              <w:tc>
                <w:tcPr>
                  <w:tcW w:w="312" w:type="pct"/>
                  <w:vAlign w:val="center"/>
                </w:tcPr>
                <w:p w14:paraId="62230E8D">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eastAsia"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2个月</w:t>
                  </w:r>
                </w:p>
              </w:tc>
              <w:tc>
                <w:tcPr>
                  <w:tcW w:w="410" w:type="pct"/>
                  <w:vAlign w:val="center"/>
                </w:tcPr>
                <w:p w14:paraId="062776D0">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T</w:t>
                  </w:r>
                  <w:r>
                    <w:rPr>
                      <w:rFonts w:hint="eastAsia" w:cs="Times New Roman"/>
                      <w:color w:val="auto"/>
                      <w:position w:val="-10"/>
                      <w:sz w:val="21"/>
                      <w:szCs w:val="21"/>
                      <w:highlight w:val="none"/>
                      <w:lang w:val="en-US" w:eastAsia="zh-CN" w:bidi="ar-SA"/>
                    </w:rPr>
                    <w:t>，I</w:t>
                  </w:r>
                </w:p>
              </w:tc>
              <w:tc>
                <w:tcPr>
                  <w:tcW w:w="431" w:type="pct"/>
                  <w:vMerge w:val="continue"/>
                  <w:vAlign w:val="center"/>
                </w:tcPr>
                <w:p w14:paraId="6E934AAE">
                  <w:pPr>
                    <w:keepNext w:val="0"/>
                    <w:keepLines w:val="0"/>
                    <w:pageBreakBefore w:val="0"/>
                    <w:widowControl w:val="0"/>
                    <w:kinsoku/>
                    <w:wordWrap w:val="0"/>
                    <w:overflowPunct/>
                    <w:topLinePunct w:val="0"/>
                    <w:autoSpaceDE w:val="0"/>
                    <w:autoSpaceDN w:val="0"/>
                    <w:bidi w:val="0"/>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p>
              </w:tc>
            </w:tr>
            <w:tr w14:paraId="6D2FA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8" w:type="pct"/>
                  <w:shd w:val="clear" w:color="auto" w:fill="auto"/>
                  <w:vAlign w:val="center"/>
                </w:tcPr>
                <w:p w14:paraId="47FA87BA">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eastAsia" w:ascii="Times New Roman" w:hAnsi="Times New Roman" w:eastAsia="宋体" w:cs="Times New Roman"/>
                      <w:color w:val="auto"/>
                      <w:kern w:val="2"/>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废粉末涂料</w:t>
                  </w:r>
                </w:p>
              </w:tc>
              <w:tc>
                <w:tcPr>
                  <w:tcW w:w="482" w:type="pct"/>
                  <w:shd w:val="clear" w:color="auto" w:fill="auto"/>
                  <w:vAlign w:val="center"/>
                </w:tcPr>
                <w:p w14:paraId="4A82F2EC">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eastAsia" w:ascii="Times New Roman" w:hAnsi="Times New Roman" w:eastAsia="宋体" w:cs="Times New Roman"/>
                      <w:color w:val="auto"/>
                      <w:kern w:val="2"/>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HW12</w:t>
                  </w:r>
                </w:p>
              </w:tc>
              <w:tc>
                <w:tcPr>
                  <w:tcW w:w="1252" w:type="dxa"/>
                  <w:shd w:val="clear" w:color="auto" w:fill="auto"/>
                  <w:vAlign w:val="center"/>
                </w:tcPr>
                <w:p w14:paraId="59173613">
                  <w:pPr>
                    <w:keepNext w:val="0"/>
                    <w:keepLines w:val="0"/>
                    <w:widowControl/>
                    <w:suppressLineNumbers w:val="0"/>
                    <w:jc w:val="center"/>
                    <w:textAlignment w:val="center"/>
                    <w:rPr>
                      <w:rFonts w:hint="eastAsia" w:ascii="Times New Roman" w:hAnsi="Times New Roman" w:eastAsia="宋体" w:cs="Times New Roman"/>
                      <w:color w:val="auto"/>
                      <w:kern w:val="2"/>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264-013-12</w:t>
                  </w:r>
                </w:p>
              </w:tc>
              <w:tc>
                <w:tcPr>
                  <w:tcW w:w="784" w:type="dxa"/>
                  <w:vAlign w:val="center"/>
                </w:tcPr>
                <w:p w14:paraId="6A7D9450">
                  <w:pPr>
                    <w:keepNext w:val="0"/>
                    <w:keepLines w:val="0"/>
                    <w:widowControl/>
                    <w:suppressLineNumbers w:val="0"/>
                    <w:jc w:val="center"/>
                    <w:textAlignment w:val="center"/>
                    <w:rPr>
                      <w:rFonts w:hint="eastAsia"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0.375 </w:t>
                  </w:r>
                </w:p>
              </w:tc>
              <w:tc>
                <w:tcPr>
                  <w:tcW w:w="439" w:type="pct"/>
                  <w:vMerge w:val="continue"/>
                  <w:vAlign w:val="center"/>
                </w:tcPr>
                <w:p w14:paraId="61B06155">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p>
              </w:tc>
              <w:tc>
                <w:tcPr>
                  <w:tcW w:w="252" w:type="pct"/>
                  <w:vAlign w:val="center"/>
                </w:tcPr>
                <w:p w14:paraId="1DFAFDA0">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eastAsia" w:cs="Times New Roman"/>
                      <w:color w:val="auto"/>
                      <w:kern w:val="2"/>
                      <w:position w:val="0"/>
                      <w:sz w:val="21"/>
                      <w:szCs w:val="21"/>
                      <w:highlight w:val="none"/>
                      <w:lang w:val="en-US" w:eastAsia="zh-CN" w:bidi="ar-SA"/>
                    </w:rPr>
                  </w:pPr>
                  <w:r>
                    <w:rPr>
                      <w:rFonts w:hint="default" w:ascii="Times New Roman" w:hAnsi="Times New Roman" w:eastAsia="宋体" w:cs="Times New Roman"/>
                      <w:color w:val="auto"/>
                      <w:kern w:val="2"/>
                      <w:position w:val="0"/>
                      <w:sz w:val="21"/>
                      <w:szCs w:val="21"/>
                      <w:highlight w:val="none"/>
                      <w:lang w:val="en-US" w:eastAsia="zh-CN" w:bidi="ar-SA"/>
                    </w:rPr>
                    <w:t>固态</w:t>
                  </w:r>
                </w:p>
              </w:tc>
              <w:tc>
                <w:tcPr>
                  <w:tcW w:w="436" w:type="pct"/>
                  <w:vAlign w:val="center"/>
                </w:tcPr>
                <w:p w14:paraId="5C8892D8">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eastAsia"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有机树脂</w:t>
                  </w:r>
                </w:p>
              </w:tc>
              <w:tc>
                <w:tcPr>
                  <w:tcW w:w="487" w:type="pct"/>
                  <w:vAlign w:val="center"/>
                </w:tcPr>
                <w:p w14:paraId="6F962AE4">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eastAsia"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有机树脂</w:t>
                  </w:r>
                </w:p>
              </w:tc>
              <w:tc>
                <w:tcPr>
                  <w:tcW w:w="312" w:type="pct"/>
                  <w:vAlign w:val="center"/>
                </w:tcPr>
                <w:p w14:paraId="1C0D53C3">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eastAsia"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2个月</w:t>
                  </w:r>
                </w:p>
              </w:tc>
              <w:tc>
                <w:tcPr>
                  <w:tcW w:w="410" w:type="pct"/>
                  <w:vAlign w:val="center"/>
                </w:tcPr>
                <w:p w14:paraId="0B46F777">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T</w:t>
                  </w:r>
                  <w:r>
                    <w:rPr>
                      <w:rFonts w:hint="eastAsia" w:cs="Times New Roman"/>
                      <w:color w:val="auto"/>
                      <w:position w:val="-10"/>
                      <w:sz w:val="21"/>
                      <w:szCs w:val="21"/>
                      <w:highlight w:val="none"/>
                      <w:lang w:val="en-US" w:eastAsia="zh-CN" w:bidi="ar-SA"/>
                    </w:rPr>
                    <w:t>，I</w:t>
                  </w:r>
                </w:p>
              </w:tc>
              <w:tc>
                <w:tcPr>
                  <w:tcW w:w="431" w:type="pct"/>
                  <w:vMerge w:val="continue"/>
                  <w:vAlign w:val="center"/>
                </w:tcPr>
                <w:p w14:paraId="7AE62947">
                  <w:pPr>
                    <w:keepNext w:val="0"/>
                    <w:keepLines w:val="0"/>
                    <w:pageBreakBefore w:val="0"/>
                    <w:widowControl w:val="0"/>
                    <w:kinsoku/>
                    <w:wordWrap w:val="0"/>
                    <w:overflowPunct/>
                    <w:topLinePunct w:val="0"/>
                    <w:autoSpaceDE w:val="0"/>
                    <w:autoSpaceDN w:val="0"/>
                    <w:bidi w:val="0"/>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p>
              </w:tc>
            </w:tr>
            <w:tr w14:paraId="31B2C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8" w:type="pct"/>
                  <w:shd w:val="clear" w:color="auto" w:fill="auto"/>
                  <w:vAlign w:val="center"/>
                </w:tcPr>
                <w:p w14:paraId="7D0B88ED">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eastAsia" w:ascii="Times New Roman" w:hAnsi="Times New Roman" w:eastAsia="宋体" w:cs="Times New Roman"/>
                      <w:color w:val="auto"/>
                      <w:kern w:val="2"/>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废水处理站污泥</w:t>
                  </w:r>
                </w:p>
              </w:tc>
              <w:tc>
                <w:tcPr>
                  <w:tcW w:w="482" w:type="pct"/>
                  <w:shd w:val="clear" w:color="auto" w:fill="auto"/>
                  <w:vAlign w:val="center"/>
                </w:tcPr>
                <w:p w14:paraId="3EB3491B">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HW17</w:t>
                  </w:r>
                </w:p>
              </w:tc>
              <w:tc>
                <w:tcPr>
                  <w:tcW w:w="1252" w:type="dxa"/>
                  <w:shd w:val="clear" w:color="auto" w:fill="auto"/>
                  <w:vAlign w:val="center"/>
                </w:tcPr>
                <w:p w14:paraId="5FD7BDE0">
                  <w:pPr>
                    <w:keepNext w:val="0"/>
                    <w:keepLines w:val="0"/>
                    <w:widowControl/>
                    <w:suppressLineNumbers w:val="0"/>
                    <w:jc w:val="center"/>
                    <w:textAlignment w:val="center"/>
                    <w:rPr>
                      <w:rFonts w:hint="eastAsia" w:ascii="Times New Roman" w:hAnsi="Times New Roman" w:eastAsia="宋体" w:cs="Times New Roman"/>
                      <w:color w:val="auto"/>
                      <w:kern w:val="2"/>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336-064-17</w:t>
                  </w:r>
                </w:p>
              </w:tc>
              <w:tc>
                <w:tcPr>
                  <w:tcW w:w="784" w:type="dxa"/>
                  <w:vAlign w:val="center"/>
                </w:tcPr>
                <w:p w14:paraId="57021D75">
                  <w:pPr>
                    <w:keepNext w:val="0"/>
                    <w:keepLines w:val="0"/>
                    <w:widowControl/>
                    <w:suppressLineNumbers w:val="0"/>
                    <w:jc w:val="center"/>
                    <w:textAlignment w:val="center"/>
                    <w:rPr>
                      <w:rFonts w:hint="eastAsia"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0.186 </w:t>
                  </w:r>
                </w:p>
              </w:tc>
              <w:tc>
                <w:tcPr>
                  <w:tcW w:w="439" w:type="pct"/>
                  <w:vMerge w:val="restart"/>
                  <w:vAlign w:val="center"/>
                </w:tcPr>
                <w:p w14:paraId="2FCF22F1">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eastAsia" w:ascii="Times New Roman" w:hAnsi="Times New Roman" w:eastAsia="宋体" w:cs="Times New Roman"/>
                      <w:color w:val="auto"/>
                      <w:position w:val="-10"/>
                      <w:sz w:val="21"/>
                      <w:szCs w:val="21"/>
                      <w:highlight w:val="none"/>
                      <w:lang w:val="en-US" w:eastAsia="zh-CN" w:bidi="ar-SA"/>
                    </w:rPr>
                    <w:t>废水治理设施</w:t>
                  </w:r>
                </w:p>
              </w:tc>
              <w:tc>
                <w:tcPr>
                  <w:tcW w:w="252" w:type="pct"/>
                  <w:vAlign w:val="center"/>
                </w:tcPr>
                <w:p w14:paraId="44921B8A">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eastAsia" w:cs="Times New Roman"/>
                      <w:color w:val="auto"/>
                      <w:kern w:val="2"/>
                      <w:position w:val="0"/>
                      <w:sz w:val="21"/>
                      <w:szCs w:val="21"/>
                      <w:highlight w:val="none"/>
                      <w:lang w:val="en-US" w:eastAsia="zh-CN" w:bidi="ar-SA"/>
                    </w:rPr>
                  </w:pPr>
                  <w:r>
                    <w:rPr>
                      <w:rFonts w:hint="default" w:ascii="Times New Roman" w:hAnsi="Times New Roman" w:eastAsia="宋体" w:cs="Times New Roman"/>
                      <w:color w:val="auto"/>
                      <w:kern w:val="2"/>
                      <w:position w:val="0"/>
                      <w:sz w:val="21"/>
                      <w:szCs w:val="21"/>
                      <w:highlight w:val="none"/>
                      <w:lang w:val="en-US" w:eastAsia="zh-CN" w:bidi="ar-SA"/>
                    </w:rPr>
                    <w:t>固态</w:t>
                  </w:r>
                </w:p>
              </w:tc>
              <w:tc>
                <w:tcPr>
                  <w:tcW w:w="436" w:type="pct"/>
                  <w:vAlign w:val="center"/>
                </w:tcPr>
                <w:p w14:paraId="7E4B6049">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油渣</w:t>
                  </w:r>
                </w:p>
              </w:tc>
              <w:tc>
                <w:tcPr>
                  <w:tcW w:w="487" w:type="pct"/>
                  <w:vAlign w:val="center"/>
                </w:tcPr>
                <w:p w14:paraId="21BC29FC">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eastAsia"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油渣</w:t>
                  </w:r>
                </w:p>
              </w:tc>
              <w:tc>
                <w:tcPr>
                  <w:tcW w:w="312" w:type="pct"/>
                  <w:vAlign w:val="center"/>
                </w:tcPr>
                <w:p w14:paraId="1AD5B742">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eastAsia"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2个月</w:t>
                  </w:r>
                </w:p>
              </w:tc>
              <w:tc>
                <w:tcPr>
                  <w:tcW w:w="410" w:type="pct"/>
                  <w:vAlign w:val="center"/>
                </w:tcPr>
                <w:p w14:paraId="2B632977">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T</w:t>
                  </w:r>
                </w:p>
              </w:tc>
              <w:tc>
                <w:tcPr>
                  <w:tcW w:w="431" w:type="pct"/>
                  <w:vMerge w:val="continue"/>
                  <w:vAlign w:val="center"/>
                </w:tcPr>
                <w:p w14:paraId="7A7E2C49">
                  <w:pPr>
                    <w:keepNext w:val="0"/>
                    <w:keepLines w:val="0"/>
                    <w:pageBreakBefore w:val="0"/>
                    <w:widowControl w:val="0"/>
                    <w:kinsoku/>
                    <w:wordWrap w:val="0"/>
                    <w:overflowPunct/>
                    <w:topLinePunct w:val="0"/>
                    <w:autoSpaceDE w:val="0"/>
                    <w:autoSpaceDN w:val="0"/>
                    <w:bidi w:val="0"/>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p>
              </w:tc>
            </w:tr>
            <w:tr w14:paraId="1A9B7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8" w:type="pct"/>
                  <w:shd w:val="clear" w:color="auto" w:fill="auto"/>
                  <w:vAlign w:val="center"/>
                </w:tcPr>
                <w:p w14:paraId="568343A3">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废MBR膜</w:t>
                  </w:r>
                </w:p>
              </w:tc>
              <w:tc>
                <w:tcPr>
                  <w:tcW w:w="482" w:type="pct"/>
                  <w:shd w:val="clear" w:color="auto" w:fill="auto"/>
                  <w:vAlign w:val="center"/>
                </w:tcPr>
                <w:p w14:paraId="24F130FB">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HW49</w:t>
                  </w:r>
                </w:p>
              </w:tc>
              <w:tc>
                <w:tcPr>
                  <w:tcW w:w="1252" w:type="dxa"/>
                  <w:shd w:val="clear" w:color="auto" w:fill="auto"/>
                  <w:vAlign w:val="center"/>
                </w:tcPr>
                <w:p w14:paraId="3F705CAD">
                  <w:pPr>
                    <w:keepNext w:val="0"/>
                    <w:keepLines w:val="0"/>
                    <w:widowControl/>
                    <w:suppressLineNumbers w:val="0"/>
                    <w:jc w:val="center"/>
                    <w:textAlignment w:val="center"/>
                    <w:rPr>
                      <w:rFonts w:hint="eastAsia" w:ascii="Times New Roman" w:hAnsi="Times New Roman" w:eastAsia="宋体" w:cs="Times New Roman"/>
                      <w:color w:val="auto"/>
                      <w:kern w:val="2"/>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900-041-49</w:t>
                  </w:r>
                </w:p>
              </w:tc>
              <w:tc>
                <w:tcPr>
                  <w:tcW w:w="784" w:type="dxa"/>
                  <w:vAlign w:val="center"/>
                </w:tcPr>
                <w:p w14:paraId="37C5AF3D">
                  <w:pPr>
                    <w:keepNext w:val="0"/>
                    <w:keepLines w:val="0"/>
                    <w:widowControl/>
                    <w:suppressLineNumbers w:val="0"/>
                    <w:jc w:val="center"/>
                    <w:textAlignment w:val="center"/>
                    <w:rPr>
                      <w:rFonts w:hint="default"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0.5 </w:t>
                  </w:r>
                </w:p>
              </w:tc>
              <w:tc>
                <w:tcPr>
                  <w:tcW w:w="439" w:type="pct"/>
                  <w:vMerge w:val="continue"/>
                  <w:vAlign w:val="center"/>
                </w:tcPr>
                <w:p w14:paraId="1932B14C">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p>
              </w:tc>
              <w:tc>
                <w:tcPr>
                  <w:tcW w:w="252" w:type="pct"/>
                  <w:vAlign w:val="center"/>
                </w:tcPr>
                <w:p w14:paraId="6CE42DCA">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eastAsia" w:cs="Times New Roman"/>
                      <w:color w:val="auto"/>
                      <w:kern w:val="2"/>
                      <w:position w:val="0"/>
                      <w:sz w:val="21"/>
                      <w:szCs w:val="21"/>
                      <w:highlight w:val="none"/>
                      <w:lang w:val="en-US" w:eastAsia="zh-CN" w:bidi="ar-SA"/>
                    </w:rPr>
                  </w:pPr>
                  <w:r>
                    <w:rPr>
                      <w:rFonts w:hint="default" w:ascii="Times New Roman" w:hAnsi="Times New Roman" w:eastAsia="宋体" w:cs="Times New Roman"/>
                      <w:color w:val="auto"/>
                      <w:kern w:val="2"/>
                      <w:position w:val="0"/>
                      <w:sz w:val="21"/>
                      <w:szCs w:val="21"/>
                      <w:highlight w:val="none"/>
                      <w:lang w:val="en-US" w:eastAsia="zh-CN" w:bidi="ar-SA"/>
                    </w:rPr>
                    <w:t>固态</w:t>
                  </w:r>
                </w:p>
              </w:tc>
              <w:tc>
                <w:tcPr>
                  <w:tcW w:w="436" w:type="pct"/>
                  <w:vAlign w:val="center"/>
                </w:tcPr>
                <w:p w14:paraId="776FB5FF">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污泥</w:t>
                  </w:r>
                </w:p>
              </w:tc>
              <w:tc>
                <w:tcPr>
                  <w:tcW w:w="487" w:type="pct"/>
                  <w:vAlign w:val="center"/>
                </w:tcPr>
                <w:p w14:paraId="426ABDC2">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污泥</w:t>
                  </w:r>
                </w:p>
              </w:tc>
              <w:tc>
                <w:tcPr>
                  <w:tcW w:w="312" w:type="pct"/>
                  <w:vAlign w:val="center"/>
                </w:tcPr>
                <w:p w14:paraId="60706576">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1年</w:t>
                  </w:r>
                </w:p>
              </w:tc>
              <w:tc>
                <w:tcPr>
                  <w:tcW w:w="410" w:type="pct"/>
                  <w:vAlign w:val="center"/>
                </w:tcPr>
                <w:p w14:paraId="06A2D0D3">
                  <w:pPr>
                    <w:keepNext w:val="0"/>
                    <w:keepLines w:val="0"/>
                    <w:pageBreakBefore w:val="0"/>
                    <w:widowControl w:val="0"/>
                    <w:kinsoku/>
                    <w:wordWrap w:val="0"/>
                    <w:overflowPunct/>
                    <w:topLinePunct w:val="0"/>
                    <w:autoSpaceDE w:val="0"/>
                    <w:autoSpaceDN w:val="0"/>
                    <w:bidi w:val="0"/>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T</w:t>
                  </w:r>
                </w:p>
              </w:tc>
              <w:tc>
                <w:tcPr>
                  <w:tcW w:w="431" w:type="pct"/>
                  <w:vMerge w:val="continue"/>
                  <w:vAlign w:val="center"/>
                </w:tcPr>
                <w:p w14:paraId="000E1DC3">
                  <w:pPr>
                    <w:keepNext w:val="0"/>
                    <w:keepLines w:val="0"/>
                    <w:pageBreakBefore w:val="0"/>
                    <w:widowControl w:val="0"/>
                    <w:kinsoku/>
                    <w:wordWrap w:val="0"/>
                    <w:overflowPunct/>
                    <w:topLinePunct w:val="0"/>
                    <w:autoSpaceDE w:val="0"/>
                    <w:autoSpaceDN w:val="0"/>
                    <w:bidi w:val="0"/>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p>
              </w:tc>
            </w:tr>
          </w:tbl>
          <w:p w14:paraId="3D3C6B7A">
            <w:pPr>
              <w:keepNext/>
              <w:keepLines/>
              <w:pageBreakBefore w:val="0"/>
              <w:numPr>
                <w:ilvl w:val="4"/>
                <w:numId w:val="0"/>
              </w:numPr>
              <w:wordWrap w:val="0"/>
              <w:overflowPunct/>
              <w:bidi w:val="0"/>
              <w:spacing w:line="360" w:lineRule="auto"/>
              <w:ind w:firstLine="480" w:firstLineChars="200"/>
              <w:outlineLvl w:val="4"/>
              <w:rPr>
                <w:rFonts w:hint="default" w:ascii="Times New Roman" w:hAnsi="Times New Roman" w:eastAsia="宋体" w:cs="Times New Roman"/>
                <w:b/>
                <w:bCs/>
                <w:color w:val="auto"/>
                <w:sz w:val="24"/>
                <w:szCs w:val="24"/>
                <w:highlight w:val="none"/>
                <w:lang w:val="en-US" w:eastAsia="zh-CN" w:bidi="ar-SA"/>
              </w:rPr>
            </w:pPr>
            <w:r>
              <w:rPr>
                <w:rFonts w:hint="default" w:ascii="Times New Roman" w:hAnsi="Times New Roman" w:eastAsia="宋体" w:cs="Times New Roman"/>
                <w:b/>
                <w:bCs/>
                <w:color w:val="auto"/>
                <w:sz w:val="24"/>
                <w:szCs w:val="24"/>
                <w:highlight w:val="none"/>
                <w:lang w:val="en-US" w:eastAsia="zh-CN" w:bidi="ar-SA"/>
              </w:rPr>
              <w:t>（1）产生和收集</w:t>
            </w:r>
          </w:p>
          <w:p w14:paraId="5D419FC5">
            <w:pPr>
              <w:pageBreakBefore w:val="0"/>
              <w:widowControl w:val="0"/>
              <w:wordWrap w:val="0"/>
              <w:overflowPunct/>
              <w:bidi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危险废物单次产生量很少，部分危险废物有感染性和毒性，其性质相对比较稳定，如果露天堆放，沾染、吸附的有机废气可能会因为日晒雨淋而逐步释放出来，进入大气、地表水体、土壤等环境要素，造成污染影响。</w:t>
            </w:r>
          </w:p>
          <w:p w14:paraId="768D75B3">
            <w:pPr>
              <w:pageBreakBefore w:val="0"/>
              <w:widowControl w:val="0"/>
              <w:wordWrap w:val="0"/>
              <w:overflowPunct/>
              <w:bidi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这些危险废物如果收集不当，随意丢弃，其中的有害成分容易因为跑冒滴漏或者混入其他生活垃圾而进入外部环境，造成污染影响。对此，各类危险废物在产生源头需要立即采用密闭性好、耐腐蚀、相容的塑料容器分类封装，避免遗漏和撒漏；然后移入厂区内部独立专用的贮存设施存放。本项目从产生源头到贮存设施的收集过程基本上都在本项目内部进行，不涉及外部运输和厂区外部环境，因此产生和收集阶段不会对外部环境造成影响。</w:t>
            </w:r>
          </w:p>
          <w:p w14:paraId="522D9196">
            <w:pPr>
              <w:keepNext/>
              <w:keepLines/>
              <w:pageBreakBefore w:val="0"/>
              <w:numPr>
                <w:ilvl w:val="4"/>
                <w:numId w:val="0"/>
              </w:numPr>
              <w:wordWrap w:val="0"/>
              <w:overflowPunct/>
              <w:bidi w:val="0"/>
              <w:spacing w:line="360" w:lineRule="auto"/>
              <w:ind w:firstLine="480" w:firstLineChars="200"/>
              <w:outlineLvl w:val="4"/>
              <w:rPr>
                <w:rFonts w:hint="default" w:ascii="Times New Roman" w:hAnsi="Times New Roman" w:eastAsia="宋体" w:cs="Times New Roman"/>
                <w:b/>
                <w:bCs/>
                <w:color w:val="auto"/>
                <w:sz w:val="24"/>
                <w:szCs w:val="24"/>
                <w:highlight w:val="none"/>
                <w:lang w:val="en-US" w:eastAsia="zh-CN" w:bidi="ar-SA"/>
              </w:rPr>
            </w:pPr>
            <w:r>
              <w:rPr>
                <w:rFonts w:hint="default" w:ascii="Times New Roman" w:hAnsi="Times New Roman" w:eastAsia="宋体" w:cs="Times New Roman"/>
                <w:b/>
                <w:bCs/>
                <w:color w:val="auto"/>
                <w:sz w:val="24"/>
                <w:szCs w:val="24"/>
                <w:highlight w:val="none"/>
                <w:lang w:val="en-US" w:eastAsia="zh-CN" w:bidi="ar-SA"/>
              </w:rPr>
              <w:t>（2）贮存库</w:t>
            </w:r>
          </w:p>
          <w:p w14:paraId="0EAA8628">
            <w:pPr>
              <w:pageBreakBefore w:val="0"/>
              <w:widowControl w:val="0"/>
              <w:wordWrap w:val="0"/>
              <w:overflowPunct/>
              <w:bidi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项目设置一个固定的危险废物贮存库，危险废物贮存过程满足《危险废物贮存污染控制标准》（GB18597-2023）的要求，建设单位应根据废物特性设置符合《危险废物贮存污染控制标准》</w:t>
            </w:r>
            <w:r>
              <w:rPr>
                <w:rFonts w:hint="eastAsia"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GB18597-2023</w:t>
            </w:r>
            <w:r>
              <w:rPr>
                <w:rFonts w:hint="eastAsia"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要求的危险废物暂存场所，且在暂存场所上空设有防雨淋设施，地面采取防渗措施，危险废物收集后分别临时贮存于</w:t>
            </w:r>
            <w:r>
              <w:rPr>
                <w:rFonts w:hint="eastAsia" w:cs="Times New Roman"/>
                <w:color w:val="auto"/>
                <w:kern w:val="2"/>
                <w:sz w:val="24"/>
                <w:szCs w:val="24"/>
                <w:highlight w:val="none"/>
                <w:lang w:val="en-US" w:eastAsia="zh-CN" w:bidi="ar-SA"/>
              </w:rPr>
              <w:t>危险废物暂存间</w:t>
            </w:r>
            <w:r>
              <w:rPr>
                <w:rFonts w:hint="default" w:ascii="Times New Roman" w:hAnsi="Times New Roman" w:eastAsia="宋体" w:cs="Times New Roman"/>
                <w:color w:val="auto"/>
                <w:kern w:val="2"/>
                <w:sz w:val="24"/>
                <w:szCs w:val="24"/>
                <w:highlight w:val="none"/>
                <w:lang w:val="en-US" w:eastAsia="zh-CN" w:bidi="ar-SA"/>
              </w:rPr>
              <w:t>；根据生产需要合理设置贮存量，尽量减少厂内的物料贮存量：严禁将危险废物混入生活垃圾；堆放危险废物的地方要有明显的标志。贮存设施应根据危险废物的形态、物理化学性质、包装形式和污染物迁移途径，采取必要的防风、防晒、防雨、防漏、防渗、防腐以及其他环境污染防治措施，不应露天堆放危险废物。贮存设施应根据危险废物的类别、数量、形态、物理化学性质和污染防治等要求设置必要的贮存分区，避免不相容的危险废物接触、混合。危险废物贮存过程产生的液态废物和固态废物应分类收集，按其环境管理要求妥善处理。贮存库内不同贮存分区之间应采取隔离措施。隔离措施可根据危险废物特性采用过道、隔板或隔墙等方式。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color w:val="auto"/>
                <w:kern w:val="2"/>
                <w:sz w:val="24"/>
                <w:szCs w:val="24"/>
                <w:highlight w:val="none"/>
                <w:vertAlign w:val="superscript"/>
                <w:lang w:val="en-US" w:eastAsia="zh-CN" w:bidi="ar-SA"/>
              </w:rPr>
              <w:t>-7</w:t>
            </w:r>
            <w:r>
              <w:rPr>
                <w:rFonts w:hint="default" w:ascii="Times New Roman" w:hAnsi="Times New Roman" w:eastAsia="宋体" w:cs="Times New Roman"/>
                <w:color w:val="auto"/>
                <w:kern w:val="2"/>
                <w:sz w:val="24"/>
                <w:szCs w:val="24"/>
                <w:highlight w:val="none"/>
                <w:lang w:val="en-US" w:eastAsia="zh-CN" w:bidi="ar-SA"/>
              </w:rPr>
              <w:t>cm/s），或至少2mm 厚高密度聚乙烯膜等人工防渗材料（渗透系数不大于10</w:t>
            </w:r>
            <w:r>
              <w:rPr>
                <w:rFonts w:hint="default" w:ascii="Times New Roman" w:hAnsi="Times New Roman" w:eastAsia="宋体" w:cs="Times New Roman"/>
                <w:color w:val="auto"/>
                <w:kern w:val="2"/>
                <w:sz w:val="24"/>
                <w:szCs w:val="24"/>
                <w:highlight w:val="none"/>
                <w:vertAlign w:val="superscript"/>
                <w:lang w:val="en-US" w:eastAsia="zh-CN" w:bidi="ar-SA"/>
              </w:rPr>
              <w:t>-10</w:t>
            </w:r>
            <w:r>
              <w:rPr>
                <w:rFonts w:hint="default" w:ascii="Times New Roman" w:hAnsi="Times New Roman" w:eastAsia="宋体" w:cs="Times New Roman"/>
                <w:color w:val="auto"/>
                <w:kern w:val="2"/>
                <w:sz w:val="24"/>
                <w:szCs w:val="24"/>
                <w:highlight w:val="none"/>
                <w:lang w:val="en-US" w:eastAsia="zh-CN" w:bidi="ar-SA"/>
              </w:rPr>
              <w:t>cm/s），或其他防渗性能等效的材料。</w:t>
            </w:r>
          </w:p>
          <w:p w14:paraId="188C78EB">
            <w:pPr>
              <w:pageBreakBefore w:val="0"/>
              <w:widowControl w:val="0"/>
              <w:wordWrap w:val="0"/>
              <w:overflowPunct/>
              <w:bidi w:val="0"/>
              <w:spacing w:line="360" w:lineRule="auto"/>
              <w:ind w:firstLine="480" w:firstLineChars="200"/>
              <w:jc w:val="both"/>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项目危险废物贮存场所基本情况见下表。</w:t>
            </w:r>
          </w:p>
          <w:p w14:paraId="1E1E5CBD">
            <w:pPr>
              <w:keepNext w:val="0"/>
              <w:keepLines w:val="0"/>
              <w:pageBreakBefore w:val="0"/>
              <w:widowControl w:val="0"/>
              <w:numPr>
                <w:ilvl w:val="0"/>
                <w:numId w:val="10"/>
              </w:numPr>
              <w:kinsoku/>
              <w:wordWrap w:val="0"/>
              <w:overflowPunct/>
              <w:topLinePunct w:val="0"/>
              <w:autoSpaceDE/>
              <w:autoSpaceDN/>
              <w:bidi w:val="0"/>
              <w:adjustRightInd/>
              <w:snapToGrid/>
              <w:spacing w:line="240" w:lineRule="auto"/>
              <w:ind w:left="0" w:leftChars="0" w:hanging="1"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lang w:val="en-US" w:eastAsia="zh-CN"/>
              </w:rPr>
              <w:t>危险</w:t>
            </w:r>
            <w:r>
              <w:rPr>
                <w:rFonts w:hint="default" w:ascii="Times New Roman" w:hAnsi="Times New Roman" w:eastAsia="宋体" w:cs="Times New Roman"/>
                <w:b/>
                <w:bCs/>
                <w:color w:val="auto"/>
                <w:kern w:val="2"/>
                <w:sz w:val="21"/>
                <w:szCs w:val="21"/>
                <w:highlight w:val="none"/>
                <w:lang w:val="en-US" w:eastAsia="zh-CN" w:bidi="ar-SA"/>
              </w:rPr>
              <w:t>废物贮存场所（设施）基本情况表</w:t>
            </w:r>
          </w:p>
          <w:tbl>
            <w:tblPr>
              <w:tblStyle w:val="4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4"/>
              <w:gridCol w:w="1368"/>
              <w:gridCol w:w="825"/>
              <w:gridCol w:w="1266"/>
              <w:gridCol w:w="736"/>
              <w:gridCol w:w="672"/>
              <w:gridCol w:w="1095"/>
              <w:gridCol w:w="698"/>
              <w:gridCol w:w="807"/>
            </w:tblGrid>
            <w:tr w14:paraId="2CC1A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pct"/>
                  <w:vMerge w:val="restart"/>
                  <w:vAlign w:val="center"/>
                </w:tcPr>
                <w:p w14:paraId="25A4AFF0">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贮存场所（设施）名称</w:t>
                  </w:r>
                </w:p>
              </w:tc>
              <w:tc>
                <w:tcPr>
                  <w:tcW w:w="1987" w:type="pct"/>
                  <w:gridSpan w:val="3"/>
                  <w:vAlign w:val="center"/>
                </w:tcPr>
                <w:p w14:paraId="56D9A74A">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危险废物</w:t>
                  </w:r>
                </w:p>
              </w:tc>
              <w:tc>
                <w:tcPr>
                  <w:tcW w:w="423" w:type="pct"/>
                  <w:vMerge w:val="restart"/>
                  <w:vAlign w:val="center"/>
                </w:tcPr>
                <w:p w14:paraId="45B46598">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位置</w:t>
                  </w:r>
                </w:p>
              </w:tc>
              <w:tc>
                <w:tcPr>
                  <w:tcW w:w="386" w:type="pct"/>
                  <w:vMerge w:val="restart"/>
                  <w:vAlign w:val="center"/>
                </w:tcPr>
                <w:p w14:paraId="43552929">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占地面积</w:t>
                  </w:r>
                </w:p>
              </w:tc>
              <w:tc>
                <w:tcPr>
                  <w:tcW w:w="629" w:type="pct"/>
                  <w:vMerge w:val="restart"/>
                  <w:vAlign w:val="center"/>
                </w:tcPr>
                <w:p w14:paraId="36207118">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贮存方式</w:t>
                  </w:r>
                </w:p>
              </w:tc>
              <w:tc>
                <w:tcPr>
                  <w:tcW w:w="401" w:type="pct"/>
                  <w:vMerge w:val="restart"/>
                  <w:vAlign w:val="center"/>
                </w:tcPr>
                <w:p w14:paraId="045439CD">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贮存能力</w:t>
                  </w:r>
                </w:p>
              </w:tc>
              <w:tc>
                <w:tcPr>
                  <w:tcW w:w="463" w:type="pct"/>
                  <w:vMerge w:val="restart"/>
                  <w:vAlign w:val="center"/>
                </w:tcPr>
                <w:p w14:paraId="45AA8920">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贮存周期</w:t>
                  </w:r>
                </w:p>
              </w:tc>
            </w:tr>
            <w:tr w14:paraId="6BAB9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pct"/>
                  <w:vMerge w:val="continue"/>
                  <w:vAlign w:val="center"/>
                </w:tcPr>
                <w:p w14:paraId="6646ACC8">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786" w:type="pct"/>
                  <w:vAlign w:val="center"/>
                </w:tcPr>
                <w:p w14:paraId="251F959E">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名称</w:t>
                  </w:r>
                </w:p>
              </w:tc>
              <w:tc>
                <w:tcPr>
                  <w:tcW w:w="474" w:type="pct"/>
                  <w:vAlign w:val="center"/>
                </w:tcPr>
                <w:p w14:paraId="15D1B533">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类别</w:t>
                  </w:r>
                </w:p>
              </w:tc>
              <w:tc>
                <w:tcPr>
                  <w:tcW w:w="726" w:type="pct"/>
                  <w:vAlign w:val="center"/>
                </w:tcPr>
                <w:p w14:paraId="34385EC3">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b/>
                      <w:bCs/>
                      <w:color w:val="auto"/>
                      <w:position w:val="-10"/>
                      <w:sz w:val="21"/>
                      <w:szCs w:val="21"/>
                      <w:highlight w:val="none"/>
                      <w:lang w:val="en-US" w:eastAsia="zh-CN" w:bidi="ar-SA"/>
                    </w:rPr>
                  </w:pPr>
                  <w:r>
                    <w:rPr>
                      <w:rFonts w:hint="default" w:ascii="Times New Roman" w:hAnsi="Times New Roman" w:eastAsia="宋体" w:cs="Times New Roman"/>
                      <w:b/>
                      <w:bCs/>
                      <w:color w:val="auto"/>
                      <w:position w:val="-10"/>
                      <w:sz w:val="21"/>
                      <w:szCs w:val="21"/>
                      <w:highlight w:val="none"/>
                      <w:lang w:val="en-US" w:eastAsia="zh-CN" w:bidi="ar-SA"/>
                    </w:rPr>
                    <w:t>代码</w:t>
                  </w:r>
                </w:p>
              </w:tc>
              <w:tc>
                <w:tcPr>
                  <w:tcW w:w="423" w:type="pct"/>
                  <w:vMerge w:val="continue"/>
                  <w:vAlign w:val="center"/>
                </w:tcPr>
                <w:p w14:paraId="6DD98AA6">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386" w:type="pct"/>
                  <w:vMerge w:val="continue"/>
                  <w:vAlign w:val="center"/>
                </w:tcPr>
                <w:p w14:paraId="0F388EDE">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629" w:type="pct"/>
                  <w:vMerge w:val="continue"/>
                  <w:vAlign w:val="center"/>
                </w:tcPr>
                <w:p w14:paraId="2AE6097A">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401" w:type="pct"/>
                  <w:vMerge w:val="continue"/>
                  <w:vAlign w:val="center"/>
                </w:tcPr>
                <w:p w14:paraId="456E7F87">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463" w:type="pct"/>
                  <w:vMerge w:val="continue"/>
                  <w:vAlign w:val="center"/>
                </w:tcPr>
                <w:p w14:paraId="5E95C6E4">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r>
            <w:tr w14:paraId="3C041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pct"/>
                  <w:vMerge w:val="restart"/>
                  <w:vAlign w:val="center"/>
                </w:tcPr>
                <w:p w14:paraId="21498C7D">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危险废物贮存库</w:t>
                  </w:r>
                </w:p>
              </w:tc>
              <w:tc>
                <w:tcPr>
                  <w:tcW w:w="1368" w:type="dxa"/>
                  <w:vAlign w:val="center"/>
                </w:tcPr>
                <w:p w14:paraId="3F33AD51">
                  <w:pPr>
                    <w:keepNext w:val="0"/>
                    <w:keepLines w:val="0"/>
                    <w:widowControl/>
                    <w:suppressLineNumbers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废包装桶</w:t>
                  </w:r>
                </w:p>
              </w:tc>
              <w:tc>
                <w:tcPr>
                  <w:tcW w:w="825" w:type="dxa"/>
                  <w:vAlign w:val="center"/>
                </w:tcPr>
                <w:p w14:paraId="5AFF4FC4">
                  <w:pPr>
                    <w:keepNext w:val="0"/>
                    <w:keepLines w:val="0"/>
                    <w:widowControl/>
                    <w:suppressLineNumbers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HW49</w:t>
                  </w:r>
                </w:p>
              </w:tc>
              <w:tc>
                <w:tcPr>
                  <w:tcW w:w="1266" w:type="dxa"/>
                  <w:vAlign w:val="center"/>
                </w:tcPr>
                <w:p w14:paraId="43E1133F">
                  <w:pPr>
                    <w:keepNext w:val="0"/>
                    <w:keepLines w:val="0"/>
                    <w:widowControl/>
                    <w:suppressLineNumbers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900-041-49</w:t>
                  </w:r>
                </w:p>
              </w:tc>
              <w:tc>
                <w:tcPr>
                  <w:tcW w:w="423" w:type="pct"/>
                  <w:vMerge w:val="restart"/>
                  <w:vAlign w:val="center"/>
                </w:tcPr>
                <w:p w14:paraId="56331122">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厂房东北侧</w:t>
                  </w:r>
                </w:p>
              </w:tc>
              <w:tc>
                <w:tcPr>
                  <w:tcW w:w="386" w:type="pct"/>
                  <w:vMerge w:val="restart"/>
                  <w:vAlign w:val="center"/>
                </w:tcPr>
                <w:p w14:paraId="12A81127">
                  <w:pPr>
                    <w:keepNext w:val="0"/>
                    <w:keepLines w:val="0"/>
                    <w:pageBreakBefore w:val="0"/>
                    <w:widowControl w:val="0"/>
                    <w:kinsoku/>
                    <w:wordWrap w:val="0"/>
                    <w:overflowPunct/>
                    <w:topLinePunct w:val="0"/>
                    <w:autoSpaceDE w:val="0"/>
                    <w:autoSpaceDN w:val="0"/>
                    <w:bidi w:val="0"/>
                    <w:adjustRightInd/>
                    <w:spacing w:line="240" w:lineRule="auto"/>
                    <w:jc w:val="both"/>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30m</w:t>
                  </w:r>
                  <w:r>
                    <w:rPr>
                      <w:rFonts w:hint="eastAsia" w:cs="Times New Roman"/>
                      <w:color w:val="auto"/>
                      <w:position w:val="-10"/>
                      <w:sz w:val="21"/>
                      <w:szCs w:val="21"/>
                      <w:highlight w:val="none"/>
                      <w:vertAlign w:val="superscript"/>
                      <w:lang w:val="en-US" w:eastAsia="zh-CN" w:bidi="ar-SA"/>
                    </w:rPr>
                    <w:t>2</w:t>
                  </w:r>
                </w:p>
              </w:tc>
              <w:tc>
                <w:tcPr>
                  <w:tcW w:w="629" w:type="pct"/>
                  <w:vMerge w:val="restart"/>
                  <w:vAlign w:val="center"/>
                </w:tcPr>
                <w:p w14:paraId="24B48061">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color w:val="auto"/>
                      <w:position w:val="-10"/>
                      <w:sz w:val="21"/>
                      <w:szCs w:val="21"/>
                      <w:highlight w:val="none"/>
                      <w:lang w:val="en-US" w:eastAsia="zh-CN" w:bidi="ar-SA"/>
                    </w:rPr>
                    <w:t>采用密闭性好、耐腐蚀的塑料容器封存</w:t>
                  </w:r>
                </w:p>
              </w:tc>
              <w:tc>
                <w:tcPr>
                  <w:tcW w:w="401" w:type="pct"/>
                  <w:vMerge w:val="restart"/>
                  <w:vAlign w:val="center"/>
                </w:tcPr>
                <w:p w14:paraId="6A4A29D1">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30t</w:t>
                  </w:r>
                </w:p>
              </w:tc>
              <w:tc>
                <w:tcPr>
                  <w:tcW w:w="463" w:type="pct"/>
                  <w:vMerge w:val="restart"/>
                  <w:vAlign w:val="center"/>
                </w:tcPr>
                <w:p w14:paraId="5D25F544">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2个月</w:t>
                  </w:r>
                </w:p>
              </w:tc>
            </w:tr>
            <w:tr w14:paraId="02419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pct"/>
                  <w:vMerge w:val="continue"/>
                  <w:vAlign w:val="center"/>
                </w:tcPr>
                <w:p w14:paraId="32C63B22">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1368" w:type="dxa"/>
                  <w:vAlign w:val="center"/>
                </w:tcPr>
                <w:p w14:paraId="581E5819">
                  <w:pPr>
                    <w:keepNext w:val="0"/>
                    <w:keepLines w:val="0"/>
                    <w:widowControl/>
                    <w:suppressLineNumbers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废油桶</w:t>
                  </w:r>
                </w:p>
              </w:tc>
              <w:tc>
                <w:tcPr>
                  <w:tcW w:w="825" w:type="dxa"/>
                  <w:vAlign w:val="center"/>
                </w:tcPr>
                <w:p w14:paraId="1CDA2034">
                  <w:pPr>
                    <w:keepNext w:val="0"/>
                    <w:keepLines w:val="0"/>
                    <w:widowControl/>
                    <w:suppressLineNumbers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HW08</w:t>
                  </w:r>
                </w:p>
              </w:tc>
              <w:tc>
                <w:tcPr>
                  <w:tcW w:w="1266" w:type="dxa"/>
                  <w:vAlign w:val="center"/>
                </w:tcPr>
                <w:p w14:paraId="4A75AF87">
                  <w:pPr>
                    <w:keepNext w:val="0"/>
                    <w:keepLines w:val="0"/>
                    <w:widowControl/>
                    <w:suppressLineNumbers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900-249-08</w:t>
                  </w:r>
                </w:p>
              </w:tc>
              <w:tc>
                <w:tcPr>
                  <w:tcW w:w="423" w:type="pct"/>
                  <w:vMerge w:val="continue"/>
                  <w:vAlign w:val="center"/>
                </w:tcPr>
                <w:p w14:paraId="4B5C5526">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386" w:type="pct"/>
                  <w:vMerge w:val="continue"/>
                  <w:vAlign w:val="center"/>
                </w:tcPr>
                <w:p w14:paraId="608022F0">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629" w:type="pct"/>
                  <w:vMerge w:val="continue"/>
                  <w:vAlign w:val="center"/>
                </w:tcPr>
                <w:p w14:paraId="391510A7">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401" w:type="pct"/>
                  <w:vMerge w:val="continue"/>
                  <w:vAlign w:val="center"/>
                </w:tcPr>
                <w:p w14:paraId="1ACEFAE5">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463" w:type="pct"/>
                  <w:vMerge w:val="continue"/>
                  <w:vAlign w:val="center"/>
                </w:tcPr>
                <w:p w14:paraId="0CC8A231">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r>
            <w:tr w14:paraId="73405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pct"/>
                  <w:vMerge w:val="continue"/>
                  <w:vAlign w:val="center"/>
                </w:tcPr>
                <w:p w14:paraId="1CD568C8">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1368" w:type="dxa"/>
                  <w:vAlign w:val="center"/>
                </w:tcPr>
                <w:p w14:paraId="5249F6AB">
                  <w:pPr>
                    <w:keepNext w:val="0"/>
                    <w:keepLines w:val="0"/>
                    <w:widowControl/>
                    <w:suppressLineNumbers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废机油</w:t>
                  </w:r>
                </w:p>
              </w:tc>
              <w:tc>
                <w:tcPr>
                  <w:tcW w:w="825" w:type="dxa"/>
                  <w:vAlign w:val="center"/>
                </w:tcPr>
                <w:p w14:paraId="37F8C340">
                  <w:pPr>
                    <w:keepNext w:val="0"/>
                    <w:keepLines w:val="0"/>
                    <w:widowControl/>
                    <w:suppressLineNumbers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HW08</w:t>
                  </w:r>
                </w:p>
              </w:tc>
              <w:tc>
                <w:tcPr>
                  <w:tcW w:w="1266" w:type="dxa"/>
                  <w:vAlign w:val="center"/>
                </w:tcPr>
                <w:p w14:paraId="58E10D51">
                  <w:pPr>
                    <w:keepNext w:val="0"/>
                    <w:keepLines w:val="0"/>
                    <w:widowControl/>
                    <w:suppressLineNumbers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900-249-08</w:t>
                  </w:r>
                </w:p>
              </w:tc>
              <w:tc>
                <w:tcPr>
                  <w:tcW w:w="423" w:type="pct"/>
                  <w:vMerge w:val="continue"/>
                  <w:vAlign w:val="center"/>
                </w:tcPr>
                <w:p w14:paraId="2CBBF908">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386" w:type="pct"/>
                  <w:vMerge w:val="continue"/>
                  <w:vAlign w:val="center"/>
                </w:tcPr>
                <w:p w14:paraId="41C43830">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629" w:type="pct"/>
                  <w:vMerge w:val="continue"/>
                  <w:vAlign w:val="center"/>
                </w:tcPr>
                <w:p w14:paraId="54CD1FAB">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401" w:type="pct"/>
                  <w:vMerge w:val="continue"/>
                  <w:vAlign w:val="center"/>
                </w:tcPr>
                <w:p w14:paraId="34A53080">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463" w:type="pct"/>
                  <w:vMerge w:val="continue"/>
                  <w:vAlign w:val="center"/>
                </w:tcPr>
                <w:p w14:paraId="6BF3FB07">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r>
            <w:tr w14:paraId="156C2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pct"/>
                  <w:vMerge w:val="continue"/>
                  <w:vAlign w:val="center"/>
                </w:tcPr>
                <w:p w14:paraId="7F54AD8D">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1368" w:type="dxa"/>
                  <w:vAlign w:val="center"/>
                </w:tcPr>
                <w:p w14:paraId="3470F26B">
                  <w:pPr>
                    <w:keepNext w:val="0"/>
                    <w:keepLines w:val="0"/>
                    <w:widowControl/>
                    <w:suppressLineNumbers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废含油抹布及手套</w:t>
                  </w:r>
                </w:p>
              </w:tc>
              <w:tc>
                <w:tcPr>
                  <w:tcW w:w="825" w:type="dxa"/>
                  <w:vAlign w:val="center"/>
                </w:tcPr>
                <w:p w14:paraId="1FD362DC">
                  <w:pPr>
                    <w:keepNext w:val="0"/>
                    <w:keepLines w:val="0"/>
                    <w:widowControl/>
                    <w:suppressLineNumbers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HW49</w:t>
                  </w:r>
                </w:p>
              </w:tc>
              <w:tc>
                <w:tcPr>
                  <w:tcW w:w="1266" w:type="dxa"/>
                  <w:vAlign w:val="center"/>
                </w:tcPr>
                <w:p w14:paraId="130D2283">
                  <w:pPr>
                    <w:keepNext w:val="0"/>
                    <w:keepLines w:val="0"/>
                    <w:widowControl/>
                    <w:suppressLineNumbers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900-041-49</w:t>
                  </w:r>
                </w:p>
              </w:tc>
              <w:tc>
                <w:tcPr>
                  <w:tcW w:w="423" w:type="pct"/>
                  <w:vMerge w:val="continue"/>
                  <w:vAlign w:val="center"/>
                </w:tcPr>
                <w:p w14:paraId="333C3C5D">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386" w:type="pct"/>
                  <w:vMerge w:val="continue"/>
                  <w:vAlign w:val="center"/>
                </w:tcPr>
                <w:p w14:paraId="6AB5B0ED">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629" w:type="pct"/>
                  <w:vMerge w:val="continue"/>
                  <w:vAlign w:val="center"/>
                </w:tcPr>
                <w:p w14:paraId="630EDFCE">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401" w:type="pct"/>
                  <w:vMerge w:val="continue"/>
                  <w:vAlign w:val="center"/>
                </w:tcPr>
                <w:p w14:paraId="75F53D76">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463" w:type="pct"/>
                  <w:vMerge w:val="continue"/>
                  <w:vAlign w:val="center"/>
                </w:tcPr>
                <w:p w14:paraId="35E13FEF">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r>
            <w:tr w14:paraId="5089B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pct"/>
                  <w:vMerge w:val="continue"/>
                  <w:vAlign w:val="center"/>
                </w:tcPr>
                <w:p w14:paraId="2FCE21CC">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1368" w:type="dxa"/>
                  <w:vAlign w:val="center"/>
                </w:tcPr>
                <w:p w14:paraId="1F8D6948">
                  <w:pPr>
                    <w:keepNext w:val="0"/>
                    <w:keepLines w:val="0"/>
                    <w:widowControl/>
                    <w:suppressLineNumbers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喷枪清洗废液</w:t>
                  </w:r>
                </w:p>
              </w:tc>
              <w:tc>
                <w:tcPr>
                  <w:tcW w:w="825" w:type="dxa"/>
                  <w:vAlign w:val="center"/>
                </w:tcPr>
                <w:p w14:paraId="334CB29E">
                  <w:pPr>
                    <w:keepNext w:val="0"/>
                    <w:keepLines w:val="0"/>
                    <w:widowControl/>
                    <w:suppressLineNumbers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HW12</w:t>
                  </w:r>
                </w:p>
              </w:tc>
              <w:tc>
                <w:tcPr>
                  <w:tcW w:w="1266" w:type="dxa"/>
                  <w:vAlign w:val="center"/>
                </w:tcPr>
                <w:p w14:paraId="2FF79B44">
                  <w:pPr>
                    <w:keepNext w:val="0"/>
                    <w:keepLines w:val="0"/>
                    <w:widowControl/>
                    <w:suppressLineNumbers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900-252-12</w:t>
                  </w:r>
                </w:p>
              </w:tc>
              <w:tc>
                <w:tcPr>
                  <w:tcW w:w="423" w:type="pct"/>
                  <w:vMerge w:val="continue"/>
                  <w:vAlign w:val="center"/>
                </w:tcPr>
                <w:p w14:paraId="6D2BA56F">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386" w:type="pct"/>
                  <w:vMerge w:val="continue"/>
                  <w:vAlign w:val="center"/>
                </w:tcPr>
                <w:p w14:paraId="1CBE0135">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629" w:type="pct"/>
                  <w:vMerge w:val="continue"/>
                  <w:vAlign w:val="center"/>
                </w:tcPr>
                <w:p w14:paraId="0009DC3C">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401" w:type="pct"/>
                  <w:vMerge w:val="continue"/>
                  <w:vAlign w:val="center"/>
                </w:tcPr>
                <w:p w14:paraId="77FF5AE7">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463" w:type="pct"/>
                  <w:vMerge w:val="continue"/>
                  <w:vAlign w:val="center"/>
                </w:tcPr>
                <w:p w14:paraId="5421D9C3">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r>
            <w:tr w14:paraId="2B93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pct"/>
                  <w:vMerge w:val="continue"/>
                  <w:vAlign w:val="center"/>
                </w:tcPr>
                <w:p w14:paraId="13FC455F">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1368" w:type="dxa"/>
                  <w:vAlign w:val="center"/>
                </w:tcPr>
                <w:p w14:paraId="03082E15">
                  <w:pPr>
                    <w:keepNext w:val="0"/>
                    <w:keepLines w:val="0"/>
                    <w:widowControl/>
                    <w:suppressLineNumbers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废空心球</w:t>
                  </w:r>
                </w:p>
              </w:tc>
              <w:tc>
                <w:tcPr>
                  <w:tcW w:w="825" w:type="dxa"/>
                  <w:vAlign w:val="center"/>
                </w:tcPr>
                <w:p w14:paraId="1E2A0FA4">
                  <w:pPr>
                    <w:keepNext w:val="0"/>
                    <w:keepLines w:val="0"/>
                    <w:widowControl/>
                    <w:suppressLineNumbers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HW49</w:t>
                  </w:r>
                </w:p>
              </w:tc>
              <w:tc>
                <w:tcPr>
                  <w:tcW w:w="1266" w:type="dxa"/>
                  <w:vAlign w:val="center"/>
                </w:tcPr>
                <w:p w14:paraId="6EC1493D">
                  <w:pPr>
                    <w:keepNext w:val="0"/>
                    <w:keepLines w:val="0"/>
                    <w:widowControl/>
                    <w:suppressLineNumbers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900-041-49</w:t>
                  </w:r>
                </w:p>
              </w:tc>
              <w:tc>
                <w:tcPr>
                  <w:tcW w:w="423" w:type="pct"/>
                  <w:vMerge w:val="continue"/>
                  <w:vAlign w:val="center"/>
                </w:tcPr>
                <w:p w14:paraId="71F2962E">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386" w:type="pct"/>
                  <w:vMerge w:val="continue"/>
                  <w:vAlign w:val="center"/>
                </w:tcPr>
                <w:p w14:paraId="379EB260">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629" w:type="pct"/>
                  <w:vMerge w:val="continue"/>
                  <w:vAlign w:val="center"/>
                </w:tcPr>
                <w:p w14:paraId="030360EE">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401" w:type="pct"/>
                  <w:vMerge w:val="continue"/>
                  <w:vAlign w:val="center"/>
                </w:tcPr>
                <w:p w14:paraId="66C1674E">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463" w:type="pct"/>
                  <w:vMerge w:val="continue"/>
                  <w:vAlign w:val="center"/>
                </w:tcPr>
                <w:p w14:paraId="22FEE70A">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r>
            <w:tr w14:paraId="574E2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pct"/>
                  <w:vMerge w:val="continue"/>
                  <w:vAlign w:val="center"/>
                </w:tcPr>
                <w:p w14:paraId="4177431F">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1368" w:type="dxa"/>
                  <w:vAlign w:val="center"/>
                </w:tcPr>
                <w:p w14:paraId="4A80FA0E">
                  <w:pPr>
                    <w:keepNext w:val="0"/>
                    <w:keepLines w:val="0"/>
                    <w:widowControl/>
                    <w:suppressLineNumbers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废过滤棉</w:t>
                  </w:r>
                </w:p>
              </w:tc>
              <w:tc>
                <w:tcPr>
                  <w:tcW w:w="825" w:type="dxa"/>
                  <w:vAlign w:val="center"/>
                </w:tcPr>
                <w:p w14:paraId="3FBF0F0E">
                  <w:pPr>
                    <w:keepNext w:val="0"/>
                    <w:keepLines w:val="0"/>
                    <w:widowControl/>
                    <w:suppressLineNumbers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HW49</w:t>
                  </w:r>
                </w:p>
              </w:tc>
              <w:tc>
                <w:tcPr>
                  <w:tcW w:w="1266" w:type="dxa"/>
                  <w:vAlign w:val="center"/>
                </w:tcPr>
                <w:p w14:paraId="322A6AC4">
                  <w:pPr>
                    <w:keepNext w:val="0"/>
                    <w:keepLines w:val="0"/>
                    <w:widowControl/>
                    <w:suppressLineNumbers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900-041-49</w:t>
                  </w:r>
                </w:p>
              </w:tc>
              <w:tc>
                <w:tcPr>
                  <w:tcW w:w="423" w:type="pct"/>
                  <w:vMerge w:val="continue"/>
                  <w:vAlign w:val="center"/>
                </w:tcPr>
                <w:p w14:paraId="33594D9F">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386" w:type="pct"/>
                  <w:vMerge w:val="continue"/>
                  <w:vAlign w:val="center"/>
                </w:tcPr>
                <w:p w14:paraId="08B5F4FF">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629" w:type="pct"/>
                  <w:vMerge w:val="continue"/>
                  <w:vAlign w:val="center"/>
                </w:tcPr>
                <w:p w14:paraId="32463303">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401" w:type="pct"/>
                  <w:vMerge w:val="continue"/>
                  <w:vAlign w:val="center"/>
                </w:tcPr>
                <w:p w14:paraId="65D35FCE">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463" w:type="pct"/>
                  <w:vMerge w:val="continue"/>
                  <w:vAlign w:val="center"/>
                </w:tcPr>
                <w:p w14:paraId="4C7A3B76">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r>
            <w:tr w14:paraId="13829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pct"/>
                  <w:vMerge w:val="continue"/>
                  <w:vAlign w:val="center"/>
                </w:tcPr>
                <w:p w14:paraId="36687EB3">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1368" w:type="dxa"/>
                  <w:vAlign w:val="center"/>
                </w:tcPr>
                <w:p w14:paraId="01C0FB34">
                  <w:pPr>
                    <w:keepNext w:val="0"/>
                    <w:keepLines w:val="0"/>
                    <w:widowControl/>
                    <w:suppressLineNumbers w:val="0"/>
                    <w:spacing w:line="240" w:lineRule="auto"/>
                    <w:jc w:val="center"/>
                    <w:textAlignment w:val="center"/>
                    <w:rPr>
                      <w:rFonts w:hint="eastAsia" w:ascii="Times New Roman" w:hAnsi="Times New Roman" w:eastAsia="宋体" w:cs="Times New Roman"/>
                      <w:color w:val="auto"/>
                      <w:position w:val="-10"/>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废活性炭</w:t>
                  </w:r>
                </w:p>
              </w:tc>
              <w:tc>
                <w:tcPr>
                  <w:tcW w:w="825" w:type="dxa"/>
                  <w:vAlign w:val="center"/>
                </w:tcPr>
                <w:p w14:paraId="2C3EC7D8">
                  <w:pPr>
                    <w:keepNext w:val="0"/>
                    <w:keepLines w:val="0"/>
                    <w:widowControl/>
                    <w:suppressLineNumbers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HW49</w:t>
                  </w:r>
                </w:p>
              </w:tc>
              <w:tc>
                <w:tcPr>
                  <w:tcW w:w="1266" w:type="dxa"/>
                  <w:vAlign w:val="center"/>
                </w:tcPr>
                <w:p w14:paraId="61222172">
                  <w:pPr>
                    <w:keepNext w:val="0"/>
                    <w:keepLines w:val="0"/>
                    <w:widowControl/>
                    <w:suppressLineNumbers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900-039-49</w:t>
                  </w:r>
                </w:p>
              </w:tc>
              <w:tc>
                <w:tcPr>
                  <w:tcW w:w="423" w:type="pct"/>
                  <w:vMerge w:val="continue"/>
                  <w:vAlign w:val="center"/>
                </w:tcPr>
                <w:p w14:paraId="6780BCA6">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386" w:type="pct"/>
                  <w:vMerge w:val="continue"/>
                  <w:vAlign w:val="center"/>
                </w:tcPr>
                <w:p w14:paraId="13C71DC1">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629" w:type="pct"/>
                  <w:vMerge w:val="continue"/>
                  <w:vAlign w:val="center"/>
                </w:tcPr>
                <w:p w14:paraId="5BE7826D">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401" w:type="pct"/>
                  <w:vMerge w:val="continue"/>
                  <w:vAlign w:val="center"/>
                </w:tcPr>
                <w:p w14:paraId="34E90174">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463" w:type="pct"/>
                  <w:vMerge w:val="continue"/>
                  <w:vAlign w:val="center"/>
                </w:tcPr>
                <w:p w14:paraId="14E84AE0">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r>
            <w:tr w14:paraId="4497C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pct"/>
                  <w:vMerge w:val="continue"/>
                  <w:vAlign w:val="center"/>
                </w:tcPr>
                <w:p w14:paraId="5C0E184F">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1368" w:type="dxa"/>
                  <w:vAlign w:val="center"/>
                </w:tcPr>
                <w:p w14:paraId="217C4083">
                  <w:pPr>
                    <w:keepNext w:val="0"/>
                    <w:keepLines w:val="0"/>
                    <w:widowControl/>
                    <w:suppressLineNumbers w:val="0"/>
                    <w:spacing w:line="240" w:lineRule="auto"/>
                    <w:jc w:val="center"/>
                    <w:textAlignment w:val="center"/>
                    <w:rPr>
                      <w:rFonts w:hint="default" w:cs="Times New Roman"/>
                      <w:color w:val="auto"/>
                      <w:position w:val="-10"/>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喷淋废液及沉渣</w:t>
                  </w:r>
                </w:p>
              </w:tc>
              <w:tc>
                <w:tcPr>
                  <w:tcW w:w="825" w:type="dxa"/>
                  <w:vAlign w:val="center"/>
                </w:tcPr>
                <w:p w14:paraId="7B34A5AF">
                  <w:pPr>
                    <w:keepNext w:val="0"/>
                    <w:keepLines w:val="0"/>
                    <w:widowControl/>
                    <w:suppressLineNumbers w:val="0"/>
                    <w:spacing w:line="240" w:lineRule="auto"/>
                    <w:jc w:val="center"/>
                    <w:textAlignment w:val="center"/>
                    <w:rPr>
                      <w:rFonts w:hint="eastAsia"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HW12</w:t>
                  </w:r>
                </w:p>
              </w:tc>
              <w:tc>
                <w:tcPr>
                  <w:tcW w:w="1266" w:type="dxa"/>
                  <w:vAlign w:val="center"/>
                </w:tcPr>
                <w:p w14:paraId="1D22CFBC">
                  <w:pPr>
                    <w:keepNext w:val="0"/>
                    <w:keepLines w:val="0"/>
                    <w:widowControl/>
                    <w:suppressLineNumbers w:val="0"/>
                    <w:spacing w:line="240" w:lineRule="auto"/>
                    <w:jc w:val="center"/>
                    <w:textAlignment w:val="center"/>
                    <w:rPr>
                      <w:rFonts w:hint="eastAsia"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900-252-12</w:t>
                  </w:r>
                </w:p>
              </w:tc>
              <w:tc>
                <w:tcPr>
                  <w:tcW w:w="423" w:type="pct"/>
                  <w:vMerge w:val="continue"/>
                  <w:vAlign w:val="center"/>
                </w:tcPr>
                <w:p w14:paraId="38F6FFBC">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386" w:type="pct"/>
                  <w:vMerge w:val="continue"/>
                  <w:vAlign w:val="center"/>
                </w:tcPr>
                <w:p w14:paraId="5883F19D">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629" w:type="pct"/>
                  <w:vMerge w:val="continue"/>
                  <w:vAlign w:val="center"/>
                </w:tcPr>
                <w:p w14:paraId="6EB74E93">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401" w:type="pct"/>
                  <w:vMerge w:val="continue"/>
                  <w:vAlign w:val="center"/>
                </w:tcPr>
                <w:p w14:paraId="666674B2">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463" w:type="pct"/>
                  <w:vMerge w:val="continue"/>
                  <w:vAlign w:val="center"/>
                </w:tcPr>
                <w:p w14:paraId="52A2E2FE">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r>
            <w:tr w14:paraId="0EDD5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pct"/>
                  <w:vMerge w:val="continue"/>
                  <w:vAlign w:val="center"/>
                </w:tcPr>
                <w:p w14:paraId="15E00C7B">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1368" w:type="dxa"/>
                  <w:vAlign w:val="center"/>
                </w:tcPr>
                <w:p w14:paraId="1BE64612">
                  <w:pPr>
                    <w:keepNext w:val="0"/>
                    <w:keepLines w:val="0"/>
                    <w:widowControl/>
                    <w:suppressLineNumbers w:val="0"/>
                    <w:spacing w:line="240" w:lineRule="auto"/>
                    <w:jc w:val="center"/>
                    <w:textAlignment w:val="center"/>
                    <w:rPr>
                      <w:rFonts w:hint="eastAsia" w:ascii="Times New Roman" w:hAnsi="Times New Roman" w:eastAsia="宋体" w:cs="Times New Roman"/>
                      <w:color w:val="auto"/>
                      <w:position w:val="-10"/>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水性漆喷枪清洗废水</w:t>
                  </w:r>
                </w:p>
              </w:tc>
              <w:tc>
                <w:tcPr>
                  <w:tcW w:w="825" w:type="dxa"/>
                  <w:vAlign w:val="center"/>
                </w:tcPr>
                <w:p w14:paraId="5CE44471">
                  <w:pPr>
                    <w:keepNext w:val="0"/>
                    <w:keepLines w:val="0"/>
                    <w:widowControl/>
                    <w:suppressLineNumbers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HW12</w:t>
                  </w:r>
                </w:p>
              </w:tc>
              <w:tc>
                <w:tcPr>
                  <w:tcW w:w="1266" w:type="dxa"/>
                  <w:vAlign w:val="center"/>
                </w:tcPr>
                <w:p w14:paraId="4577AA2D">
                  <w:pPr>
                    <w:keepNext w:val="0"/>
                    <w:keepLines w:val="0"/>
                    <w:widowControl/>
                    <w:suppressLineNumbers w:val="0"/>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900-253-12</w:t>
                  </w:r>
                </w:p>
              </w:tc>
              <w:tc>
                <w:tcPr>
                  <w:tcW w:w="423" w:type="pct"/>
                  <w:vMerge w:val="continue"/>
                  <w:vAlign w:val="center"/>
                </w:tcPr>
                <w:p w14:paraId="5DC72364">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386" w:type="pct"/>
                  <w:vMerge w:val="continue"/>
                  <w:vAlign w:val="center"/>
                </w:tcPr>
                <w:p w14:paraId="268BDBB0">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629" w:type="pct"/>
                  <w:vMerge w:val="continue"/>
                  <w:vAlign w:val="center"/>
                </w:tcPr>
                <w:p w14:paraId="6ADE8DFE">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401" w:type="pct"/>
                  <w:vMerge w:val="continue"/>
                  <w:vAlign w:val="center"/>
                </w:tcPr>
                <w:p w14:paraId="66BD54D3">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463" w:type="pct"/>
                  <w:vMerge w:val="continue"/>
                  <w:vAlign w:val="center"/>
                </w:tcPr>
                <w:p w14:paraId="415A5459">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r>
            <w:tr w14:paraId="3056C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pct"/>
                  <w:vMerge w:val="continue"/>
                  <w:vAlign w:val="center"/>
                </w:tcPr>
                <w:p w14:paraId="47A2B7BF">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1368" w:type="dxa"/>
                  <w:vAlign w:val="center"/>
                </w:tcPr>
                <w:p w14:paraId="00891E65">
                  <w:pPr>
                    <w:keepNext w:val="0"/>
                    <w:keepLines w:val="0"/>
                    <w:widowControl/>
                    <w:suppressLineNumbers w:val="0"/>
                    <w:spacing w:line="240" w:lineRule="auto"/>
                    <w:jc w:val="center"/>
                    <w:textAlignment w:val="center"/>
                    <w:rPr>
                      <w:rFonts w:hint="eastAsia" w:cs="Times New Roman"/>
                      <w:color w:val="auto"/>
                      <w:position w:val="-10"/>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网版清洗废液</w:t>
                  </w:r>
                </w:p>
              </w:tc>
              <w:tc>
                <w:tcPr>
                  <w:tcW w:w="825" w:type="dxa"/>
                  <w:vAlign w:val="center"/>
                </w:tcPr>
                <w:p w14:paraId="39109CD7">
                  <w:pPr>
                    <w:keepNext w:val="0"/>
                    <w:keepLines w:val="0"/>
                    <w:widowControl/>
                    <w:suppressLineNumbers w:val="0"/>
                    <w:spacing w:line="240" w:lineRule="auto"/>
                    <w:jc w:val="center"/>
                    <w:textAlignment w:val="center"/>
                    <w:rPr>
                      <w:rFonts w:hint="eastAsia"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HW12</w:t>
                  </w:r>
                </w:p>
              </w:tc>
              <w:tc>
                <w:tcPr>
                  <w:tcW w:w="1266" w:type="dxa"/>
                  <w:vAlign w:val="center"/>
                </w:tcPr>
                <w:p w14:paraId="20F8D92C">
                  <w:pPr>
                    <w:keepNext w:val="0"/>
                    <w:keepLines w:val="0"/>
                    <w:widowControl/>
                    <w:suppressLineNumbers w:val="0"/>
                    <w:spacing w:line="240" w:lineRule="auto"/>
                    <w:jc w:val="center"/>
                    <w:textAlignment w:val="center"/>
                    <w:rPr>
                      <w:rFonts w:hint="eastAsia"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900-253-12</w:t>
                  </w:r>
                </w:p>
              </w:tc>
              <w:tc>
                <w:tcPr>
                  <w:tcW w:w="423" w:type="pct"/>
                  <w:vMerge w:val="continue"/>
                  <w:vAlign w:val="center"/>
                </w:tcPr>
                <w:p w14:paraId="61236BD2">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386" w:type="pct"/>
                  <w:vMerge w:val="continue"/>
                  <w:vAlign w:val="center"/>
                </w:tcPr>
                <w:p w14:paraId="311EEB1C">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629" w:type="pct"/>
                  <w:vMerge w:val="continue"/>
                  <w:vAlign w:val="center"/>
                </w:tcPr>
                <w:p w14:paraId="29907330">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401" w:type="pct"/>
                  <w:vMerge w:val="continue"/>
                  <w:vAlign w:val="center"/>
                </w:tcPr>
                <w:p w14:paraId="4FC95201">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463" w:type="pct"/>
                  <w:vMerge w:val="continue"/>
                  <w:vAlign w:val="center"/>
                </w:tcPr>
                <w:p w14:paraId="3FF008B3">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r>
            <w:tr w14:paraId="560CF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pct"/>
                  <w:vMerge w:val="continue"/>
                  <w:vAlign w:val="center"/>
                </w:tcPr>
                <w:p w14:paraId="029073A1">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1368" w:type="dxa"/>
                  <w:vAlign w:val="center"/>
                </w:tcPr>
                <w:p w14:paraId="2E494518">
                  <w:pPr>
                    <w:keepNext w:val="0"/>
                    <w:keepLines w:val="0"/>
                    <w:widowControl/>
                    <w:suppressLineNumbers w:val="0"/>
                    <w:spacing w:line="240" w:lineRule="auto"/>
                    <w:jc w:val="center"/>
                    <w:textAlignment w:val="center"/>
                    <w:rPr>
                      <w:rFonts w:hint="eastAsia" w:cs="Times New Roman"/>
                      <w:color w:val="auto"/>
                      <w:position w:val="-10"/>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废静电喷粉滤芯</w:t>
                  </w:r>
                </w:p>
              </w:tc>
              <w:tc>
                <w:tcPr>
                  <w:tcW w:w="825" w:type="dxa"/>
                  <w:vAlign w:val="center"/>
                </w:tcPr>
                <w:p w14:paraId="6B6761DA">
                  <w:pPr>
                    <w:keepNext w:val="0"/>
                    <w:keepLines w:val="0"/>
                    <w:widowControl/>
                    <w:suppressLineNumbers w:val="0"/>
                    <w:spacing w:line="240" w:lineRule="auto"/>
                    <w:jc w:val="center"/>
                    <w:textAlignment w:val="center"/>
                    <w:rPr>
                      <w:rFonts w:hint="eastAsia"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HW49</w:t>
                  </w:r>
                </w:p>
              </w:tc>
              <w:tc>
                <w:tcPr>
                  <w:tcW w:w="1266" w:type="dxa"/>
                  <w:vAlign w:val="center"/>
                </w:tcPr>
                <w:p w14:paraId="1548E427">
                  <w:pPr>
                    <w:keepNext w:val="0"/>
                    <w:keepLines w:val="0"/>
                    <w:widowControl/>
                    <w:suppressLineNumbers w:val="0"/>
                    <w:spacing w:line="240" w:lineRule="auto"/>
                    <w:jc w:val="center"/>
                    <w:textAlignment w:val="center"/>
                    <w:rPr>
                      <w:rFonts w:hint="eastAsia"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900-041-49</w:t>
                  </w:r>
                </w:p>
              </w:tc>
              <w:tc>
                <w:tcPr>
                  <w:tcW w:w="423" w:type="pct"/>
                  <w:vMerge w:val="continue"/>
                  <w:vAlign w:val="center"/>
                </w:tcPr>
                <w:p w14:paraId="778B7086">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386" w:type="pct"/>
                  <w:vMerge w:val="continue"/>
                  <w:vAlign w:val="center"/>
                </w:tcPr>
                <w:p w14:paraId="79D63C61">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629" w:type="pct"/>
                  <w:vMerge w:val="continue"/>
                  <w:vAlign w:val="center"/>
                </w:tcPr>
                <w:p w14:paraId="1E0BE6FD">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401" w:type="pct"/>
                  <w:vMerge w:val="continue"/>
                  <w:vAlign w:val="center"/>
                </w:tcPr>
                <w:p w14:paraId="3567388D">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463" w:type="pct"/>
                  <w:vMerge w:val="continue"/>
                  <w:vAlign w:val="center"/>
                </w:tcPr>
                <w:p w14:paraId="2179FEEE">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r>
            <w:tr w14:paraId="12ACD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pct"/>
                  <w:vMerge w:val="continue"/>
                  <w:vAlign w:val="center"/>
                </w:tcPr>
                <w:p w14:paraId="6A8009C6">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1368" w:type="dxa"/>
                  <w:vAlign w:val="center"/>
                </w:tcPr>
                <w:p w14:paraId="15426885">
                  <w:pPr>
                    <w:keepNext w:val="0"/>
                    <w:keepLines w:val="0"/>
                    <w:widowControl/>
                    <w:suppressLineNumbers w:val="0"/>
                    <w:spacing w:line="240" w:lineRule="auto"/>
                    <w:jc w:val="center"/>
                    <w:textAlignment w:val="center"/>
                    <w:rPr>
                      <w:rFonts w:hint="eastAsia" w:cs="Times New Roman"/>
                      <w:color w:val="auto"/>
                      <w:position w:val="-10"/>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废粉末涂料</w:t>
                  </w:r>
                </w:p>
              </w:tc>
              <w:tc>
                <w:tcPr>
                  <w:tcW w:w="825" w:type="dxa"/>
                  <w:vAlign w:val="center"/>
                </w:tcPr>
                <w:p w14:paraId="3FFD5E87">
                  <w:pPr>
                    <w:keepNext w:val="0"/>
                    <w:keepLines w:val="0"/>
                    <w:widowControl/>
                    <w:suppressLineNumbers w:val="0"/>
                    <w:spacing w:line="240" w:lineRule="auto"/>
                    <w:jc w:val="center"/>
                    <w:textAlignment w:val="center"/>
                    <w:rPr>
                      <w:rFonts w:hint="eastAsia"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HW12</w:t>
                  </w:r>
                </w:p>
              </w:tc>
              <w:tc>
                <w:tcPr>
                  <w:tcW w:w="1266" w:type="dxa"/>
                  <w:vAlign w:val="center"/>
                </w:tcPr>
                <w:p w14:paraId="6F7C1447">
                  <w:pPr>
                    <w:keepNext w:val="0"/>
                    <w:keepLines w:val="0"/>
                    <w:widowControl/>
                    <w:suppressLineNumbers w:val="0"/>
                    <w:spacing w:line="240" w:lineRule="auto"/>
                    <w:jc w:val="center"/>
                    <w:textAlignment w:val="center"/>
                    <w:rPr>
                      <w:rFonts w:hint="eastAsia"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264-013-12</w:t>
                  </w:r>
                </w:p>
              </w:tc>
              <w:tc>
                <w:tcPr>
                  <w:tcW w:w="423" w:type="pct"/>
                  <w:vMerge w:val="continue"/>
                  <w:vAlign w:val="center"/>
                </w:tcPr>
                <w:p w14:paraId="3C43590F">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386" w:type="pct"/>
                  <w:vMerge w:val="continue"/>
                  <w:vAlign w:val="center"/>
                </w:tcPr>
                <w:p w14:paraId="136D5C66">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629" w:type="pct"/>
                  <w:vMerge w:val="continue"/>
                  <w:vAlign w:val="center"/>
                </w:tcPr>
                <w:p w14:paraId="2E946050">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401" w:type="pct"/>
                  <w:vMerge w:val="continue"/>
                  <w:vAlign w:val="center"/>
                </w:tcPr>
                <w:p w14:paraId="3E0EC715">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463" w:type="pct"/>
                  <w:vMerge w:val="continue"/>
                  <w:vAlign w:val="center"/>
                </w:tcPr>
                <w:p w14:paraId="29BA7C44">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r>
            <w:tr w14:paraId="55EB3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pct"/>
                  <w:vMerge w:val="continue"/>
                  <w:vAlign w:val="center"/>
                </w:tcPr>
                <w:p w14:paraId="4EBEDA93">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1368" w:type="dxa"/>
                  <w:shd w:val="clear" w:color="auto" w:fill="auto"/>
                  <w:vAlign w:val="center"/>
                </w:tcPr>
                <w:p w14:paraId="783D318E">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position w:val="-10"/>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废水处理站污泥</w:t>
                  </w:r>
                </w:p>
              </w:tc>
              <w:tc>
                <w:tcPr>
                  <w:tcW w:w="825" w:type="dxa"/>
                  <w:shd w:val="clear" w:color="auto" w:fill="auto"/>
                  <w:vAlign w:val="center"/>
                </w:tcPr>
                <w:p w14:paraId="6C6DF62F">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HW17</w:t>
                  </w:r>
                </w:p>
              </w:tc>
              <w:tc>
                <w:tcPr>
                  <w:tcW w:w="1266" w:type="dxa"/>
                  <w:shd w:val="clear" w:color="auto" w:fill="auto"/>
                  <w:vAlign w:val="center"/>
                </w:tcPr>
                <w:p w14:paraId="18D0DC7C">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336-064-17</w:t>
                  </w:r>
                </w:p>
              </w:tc>
              <w:tc>
                <w:tcPr>
                  <w:tcW w:w="423" w:type="pct"/>
                  <w:vMerge w:val="continue"/>
                  <w:vAlign w:val="center"/>
                </w:tcPr>
                <w:p w14:paraId="5D430198">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386" w:type="pct"/>
                  <w:vMerge w:val="continue"/>
                  <w:vAlign w:val="center"/>
                </w:tcPr>
                <w:p w14:paraId="0B04BD79">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629" w:type="pct"/>
                  <w:vMerge w:val="continue"/>
                  <w:vAlign w:val="center"/>
                </w:tcPr>
                <w:p w14:paraId="6604F7F2">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401" w:type="pct"/>
                  <w:vMerge w:val="continue"/>
                  <w:vAlign w:val="center"/>
                </w:tcPr>
                <w:p w14:paraId="5E20E0BC">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463" w:type="pct"/>
                  <w:vMerge w:val="continue"/>
                  <w:vAlign w:val="center"/>
                </w:tcPr>
                <w:p w14:paraId="63FBA458">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r>
            <w:tr w14:paraId="179F1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9" w:type="pct"/>
                  <w:vMerge w:val="continue"/>
                  <w:vAlign w:val="center"/>
                </w:tcPr>
                <w:p w14:paraId="54A76CF5">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1369" w:type="dxa"/>
                  <w:vAlign w:val="center"/>
                </w:tcPr>
                <w:p w14:paraId="78B3723F">
                  <w:pPr>
                    <w:keepNext w:val="0"/>
                    <w:keepLines w:val="0"/>
                    <w:widowControl/>
                    <w:suppressLineNumbers w:val="0"/>
                    <w:spacing w:line="240" w:lineRule="auto"/>
                    <w:jc w:val="center"/>
                    <w:textAlignment w:val="center"/>
                    <w:rPr>
                      <w:rFonts w:hint="eastAsia" w:cs="Times New Roman"/>
                      <w:color w:val="auto"/>
                      <w:position w:val="-10"/>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废</w:t>
                  </w:r>
                  <w:r>
                    <w:rPr>
                      <w:rFonts w:hint="default" w:ascii="Times New Roman" w:hAnsi="Times New Roman" w:eastAsia="宋体" w:cs="Times New Roman"/>
                      <w:i w:val="0"/>
                      <w:iCs w:val="0"/>
                      <w:color w:val="auto"/>
                      <w:kern w:val="0"/>
                      <w:sz w:val="21"/>
                      <w:szCs w:val="21"/>
                      <w:highlight w:val="none"/>
                      <w:u w:val="none"/>
                      <w:lang w:val="en-US" w:eastAsia="zh-CN" w:bidi="ar"/>
                    </w:rPr>
                    <w:t>MBR</w:t>
                  </w:r>
                  <w:r>
                    <w:rPr>
                      <w:rFonts w:hint="eastAsia" w:ascii="宋体" w:hAnsi="宋体" w:eastAsia="宋体" w:cs="宋体"/>
                      <w:i w:val="0"/>
                      <w:iCs w:val="0"/>
                      <w:color w:val="auto"/>
                      <w:kern w:val="0"/>
                      <w:sz w:val="21"/>
                      <w:szCs w:val="21"/>
                      <w:highlight w:val="none"/>
                      <w:u w:val="none"/>
                      <w:lang w:val="en-US" w:eastAsia="zh-CN" w:bidi="ar"/>
                    </w:rPr>
                    <w:t>膜</w:t>
                  </w:r>
                </w:p>
              </w:tc>
              <w:tc>
                <w:tcPr>
                  <w:tcW w:w="826" w:type="dxa"/>
                  <w:vAlign w:val="center"/>
                </w:tcPr>
                <w:p w14:paraId="139CCAFE">
                  <w:pPr>
                    <w:keepNext w:val="0"/>
                    <w:keepLines w:val="0"/>
                    <w:widowControl/>
                    <w:suppressLineNumbers w:val="0"/>
                    <w:spacing w:line="240" w:lineRule="auto"/>
                    <w:jc w:val="center"/>
                    <w:textAlignment w:val="center"/>
                    <w:rPr>
                      <w:rFonts w:hint="eastAsia"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HW49</w:t>
                  </w:r>
                </w:p>
              </w:tc>
              <w:tc>
                <w:tcPr>
                  <w:tcW w:w="1264" w:type="dxa"/>
                  <w:vAlign w:val="center"/>
                </w:tcPr>
                <w:p w14:paraId="306C1C84">
                  <w:pPr>
                    <w:keepNext w:val="0"/>
                    <w:keepLines w:val="0"/>
                    <w:widowControl/>
                    <w:suppressLineNumbers w:val="0"/>
                    <w:spacing w:line="240" w:lineRule="auto"/>
                    <w:jc w:val="center"/>
                    <w:textAlignment w:val="center"/>
                    <w:rPr>
                      <w:rFonts w:hint="eastAsia"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900-041-49</w:t>
                  </w:r>
                </w:p>
              </w:tc>
              <w:tc>
                <w:tcPr>
                  <w:tcW w:w="423" w:type="pct"/>
                  <w:vMerge w:val="continue"/>
                  <w:vAlign w:val="center"/>
                </w:tcPr>
                <w:p w14:paraId="70E97B29">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386" w:type="pct"/>
                  <w:vMerge w:val="continue"/>
                  <w:vAlign w:val="center"/>
                </w:tcPr>
                <w:p w14:paraId="672430DF">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629" w:type="pct"/>
                  <w:vMerge w:val="continue"/>
                  <w:vAlign w:val="center"/>
                </w:tcPr>
                <w:p w14:paraId="1CE88961">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401" w:type="pct"/>
                  <w:vMerge w:val="continue"/>
                  <w:vAlign w:val="center"/>
                </w:tcPr>
                <w:p w14:paraId="0CF3A483">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c>
                <w:tcPr>
                  <w:tcW w:w="463" w:type="pct"/>
                  <w:vMerge w:val="continue"/>
                  <w:vAlign w:val="center"/>
                </w:tcPr>
                <w:p w14:paraId="16BFB093">
                  <w:pPr>
                    <w:keepNext w:val="0"/>
                    <w:keepLines w:val="0"/>
                    <w:pageBreakBefore w:val="0"/>
                    <w:widowControl w:val="0"/>
                    <w:kinsoku/>
                    <w:wordWrap w:val="0"/>
                    <w:overflowPunct/>
                    <w:topLinePunct w:val="0"/>
                    <w:autoSpaceDE w:val="0"/>
                    <w:autoSpaceDN w:val="0"/>
                    <w:bidi w:val="0"/>
                    <w:adjustRightInd/>
                    <w:spacing w:line="240" w:lineRule="auto"/>
                    <w:jc w:val="center"/>
                    <w:textAlignment w:val="center"/>
                    <w:rPr>
                      <w:rFonts w:hint="default" w:ascii="Times New Roman" w:hAnsi="Times New Roman" w:eastAsia="宋体" w:cs="Times New Roman"/>
                      <w:color w:val="auto"/>
                      <w:position w:val="-10"/>
                      <w:sz w:val="21"/>
                      <w:szCs w:val="21"/>
                      <w:highlight w:val="none"/>
                      <w:lang w:val="en-US" w:eastAsia="zh-CN" w:bidi="ar-SA"/>
                    </w:rPr>
                  </w:pPr>
                </w:p>
              </w:tc>
            </w:tr>
          </w:tbl>
          <w:p w14:paraId="0C42D758">
            <w:pPr>
              <w:keepNext/>
              <w:keepLines/>
              <w:pageBreakBefore w:val="0"/>
              <w:tabs>
                <w:tab w:val="left" w:pos="0"/>
              </w:tabs>
              <w:wordWrap w:val="0"/>
              <w:overflowPunct/>
              <w:bidi w:val="0"/>
              <w:ind w:left="480"/>
              <w:outlineLvl w:val="4"/>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（3）转运、处置</w:t>
            </w:r>
          </w:p>
          <w:bookmarkEnd w:id="134"/>
          <w:p w14:paraId="00FEDDE8">
            <w:pPr>
              <w:pageBreakBefore w:val="0"/>
              <w:widowControl w:val="0"/>
              <w:wordWrap w:val="0"/>
              <w:overflowPunct/>
              <w:bidi w:val="0"/>
              <w:spacing w:line="360" w:lineRule="auto"/>
              <w:ind w:firstLine="480" w:firstLineChars="200"/>
              <w:jc w:val="both"/>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项目内部无利用或处置危险废物的能力和设施，需要委托具有危险废物处理资质的单位处置。根据广东省生态环境厅危险废物经营许可证颁发情况（截至202</w:t>
            </w:r>
            <w:r>
              <w:rPr>
                <w:rFonts w:hint="eastAsia" w:cs="Times New Roman"/>
                <w:color w:val="auto"/>
                <w:kern w:val="2"/>
                <w:sz w:val="24"/>
                <w:szCs w:val="24"/>
                <w:highlight w:val="none"/>
                <w:lang w:val="en-US" w:eastAsia="zh-CN" w:bidi="ar-SA"/>
              </w:rPr>
              <w:t>4</w:t>
            </w:r>
            <w:r>
              <w:rPr>
                <w:rFonts w:hint="default" w:ascii="Times New Roman" w:hAnsi="Times New Roman" w:eastAsia="宋体" w:cs="Times New Roman"/>
                <w:color w:val="auto"/>
                <w:kern w:val="2"/>
                <w:sz w:val="24"/>
                <w:szCs w:val="24"/>
                <w:highlight w:val="none"/>
                <w:lang w:val="en-US" w:eastAsia="zh-CN" w:bidi="ar-SA"/>
              </w:rPr>
              <w:t>年</w:t>
            </w:r>
            <w:r>
              <w:rPr>
                <w:rFonts w:hint="eastAsia" w:cs="Times New Roman"/>
                <w:color w:val="auto"/>
                <w:kern w:val="2"/>
                <w:sz w:val="24"/>
                <w:szCs w:val="24"/>
                <w:highlight w:val="none"/>
                <w:lang w:val="en-US" w:eastAsia="zh-CN" w:bidi="ar-SA"/>
              </w:rPr>
              <w:t>8</w:t>
            </w:r>
            <w:r>
              <w:rPr>
                <w:rFonts w:hint="default" w:ascii="Times New Roman" w:hAnsi="Times New Roman" w:eastAsia="宋体" w:cs="Times New Roman"/>
                <w:color w:val="auto"/>
                <w:kern w:val="2"/>
                <w:sz w:val="24"/>
                <w:szCs w:val="24"/>
                <w:highlight w:val="none"/>
                <w:lang w:val="en-US" w:eastAsia="zh-CN" w:bidi="ar-SA"/>
              </w:rPr>
              <w:t>月30日），广东省有可以处置本项目危险废物的企业，处理能力充足。建设单位可直接委托其转移处理。</w:t>
            </w:r>
          </w:p>
          <w:p w14:paraId="3C720679">
            <w:pPr>
              <w:keepNext w:val="0"/>
              <w:keepLines w:val="0"/>
              <w:pageBreakBefore w:val="0"/>
              <w:widowControl w:val="0"/>
              <w:numPr>
                <w:ilvl w:val="0"/>
                <w:numId w:val="10"/>
              </w:numPr>
              <w:kinsoku/>
              <w:wordWrap w:val="0"/>
              <w:overflowPunct/>
              <w:topLinePunct w:val="0"/>
              <w:autoSpaceDE/>
              <w:autoSpaceDN/>
              <w:bidi w:val="0"/>
              <w:adjustRightInd/>
              <w:snapToGrid/>
              <w:spacing w:line="240" w:lineRule="auto"/>
              <w:ind w:left="0" w:leftChars="0" w:hanging="1"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lang w:val="en-US" w:eastAsia="zh-CN"/>
              </w:rPr>
              <w:t>广东省</w:t>
            </w:r>
            <w:r>
              <w:rPr>
                <w:rFonts w:hint="default" w:ascii="Times New Roman" w:hAnsi="Times New Roman" w:eastAsia="宋体" w:cs="Times New Roman"/>
                <w:b/>
                <w:bCs/>
                <w:color w:val="auto"/>
                <w:kern w:val="2"/>
                <w:sz w:val="21"/>
                <w:szCs w:val="21"/>
                <w:highlight w:val="none"/>
                <w:lang w:val="en-US" w:eastAsia="zh-CN" w:bidi="ar-SA"/>
              </w:rPr>
              <w:t>内可接收本项目危险废物的处理单位一览表（摘录）</w:t>
            </w:r>
          </w:p>
          <w:tbl>
            <w:tblPr>
              <w:tblStyle w:val="43"/>
              <w:tblW w:w="8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38"/>
              <w:gridCol w:w="1093"/>
              <w:gridCol w:w="976"/>
              <w:gridCol w:w="706"/>
              <w:gridCol w:w="967"/>
              <w:gridCol w:w="4630"/>
            </w:tblGrid>
            <w:tr w14:paraId="799EE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4" w:type="pct"/>
                  <w:vAlign w:val="center"/>
                </w:tcPr>
                <w:p w14:paraId="497682BF">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序号</w:t>
                  </w:r>
                </w:p>
              </w:tc>
              <w:tc>
                <w:tcPr>
                  <w:tcW w:w="627" w:type="pct"/>
                  <w:vAlign w:val="center"/>
                </w:tcPr>
                <w:p w14:paraId="1967C207">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企业名称</w:t>
                  </w:r>
                </w:p>
              </w:tc>
              <w:tc>
                <w:tcPr>
                  <w:tcW w:w="560" w:type="pct"/>
                  <w:vAlign w:val="center"/>
                </w:tcPr>
                <w:p w14:paraId="6BAC914A">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设施地址</w:t>
                  </w:r>
                </w:p>
              </w:tc>
              <w:tc>
                <w:tcPr>
                  <w:tcW w:w="405" w:type="pct"/>
                  <w:vAlign w:val="center"/>
                </w:tcPr>
                <w:p w14:paraId="1F60BAED">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许可证编号</w:t>
                  </w:r>
                </w:p>
              </w:tc>
              <w:tc>
                <w:tcPr>
                  <w:tcW w:w="555" w:type="pct"/>
                  <w:vAlign w:val="center"/>
                </w:tcPr>
                <w:p w14:paraId="4D4B461B">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经营时间有效期</w:t>
                  </w:r>
                </w:p>
              </w:tc>
              <w:tc>
                <w:tcPr>
                  <w:tcW w:w="2657" w:type="pct"/>
                  <w:vAlign w:val="center"/>
                </w:tcPr>
                <w:p w14:paraId="3209DA69">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核准经营范围、类别</w:t>
                  </w:r>
                </w:p>
              </w:tc>
            </w:tr>
            <w:tr w14:paraId="21F0A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4" w:type="pct"/>
                  <w:vAlign w:val="center"/>
                </w:tcPr>
                <w:p w14:paraId="23E1AB06">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627" w:type="pct"/>
                  <w:vAlign w:val="center"/>
                </w:tcPr>
                <w:p w14:paraId="51C61DD0">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shd w:val="clear" w:color="auto" w:fill="FFFFFF"/>
                      <w:lang w:val="en-US" w:eastAsia="zh-CN" w:bidi="ar-SA"/>
                    </w:rPr>
                  </w:pPr>
                  <w:r>
                    <w:rPr>
                      <w:rFonts w:hint="default" w:ascii="Times New Roman" w:hAnsi="Times New Roman" w:eastAsia="宋体" w:cs="Times New Roman"/>
                      <w:color w:val="auto"/>
                      <w:kern w:val="2"/>
                      <w:sz w:val="21"/>
                      <w:szCs w:val="21"/>
                      <w:highlight w:val="none"/>
                      <w:shd w:val="clear" w:color="auto" w:fill="FFFFFF"/>
                      <w:lang w:val="en-US" w:eastAsia="zh-CN" w:bidi="ar-SA"/>
                    </w:rPr>
                    <w:t>广东中耀环境科技有限公司</w:t>
                  </w:r>
                </w:p>
              </w:tc>
              <w:tc>
                <w:tcPr>
                  <w:tcW w:w="560" w:type="pct"/>
                  <w:vAlign w:val="center"/>
                </w:tcPr>
                <w:p w14:paraId="718F5C4C">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shd w:val="clear" w:color="auto" w:fill="FFFFFF"/>
                      <w:lang w:val="en-US" w:eastAsia="zh-CN" w:bidi="ar-SA"/>
                    </w:rPr>
                  </w:pPr>
                  <w:r>
                    <w:rPr>
                      <w:rFonts w:hint="default" w:ascii="Times New Roman" w:hAnsi="Times New Roman" w:eastAsia="宋体" w:cs="Times New Roman"/>
                      <w:color w:val="auto"/>
                      <w:kern w:val="2"/>
                      <w:sz w:val="21"/>
                      <w:szCs w:val="21"/>
                      <w:highlight w:val="none"/>
                      <w:shd w:val="clear" w:color="auto" w:fill="FFFFFF"/>
                      <w:lang w:val="en-US" w:eastAsia="zh-CN" w:bidi="ar-SA"/>
                    </w:rPr>
                    <w:t>韶关市曲江区白土镇兴园南路18号</w:t>
                  </w:r>
                </w:p>
              </w:tc>
              <w:tc>
                <w:tcPr>
                  <w:tcW w:w="405" w:type="pct"/>
                  <w:vAlign w:val="center"/>
                </w:tcPr>
                <w:p w14:paraId="38D49A5A">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shd w:val="clear" w:color="auto" w:fill="FFFFFF"/>
                      <w:lang w:val="en-US" w:eastAsia="zh-CN" w:bidi="ar-SA"/>
                    </w:rPr>
                  </w:pPr>
                  <w:r>
                    <w:rPr>
                      <w:rFonts w:hint="default" w:ascii="Times New Roman" w:hAnsi="Times New Roman" w:eastAsia="宋体" w:cs="Times New Roman"/>
                      <w:color w:val="auto"/>
                      <w:kern w:val="2"/>
                      <w:sz w:val="21"/>
                      <w:szCs w:val="21"/>
                      <w:highlight w:val="none"/>
                      <w:shd w:val="clear" w:color="auto" w:fill="FFFFFF"/>
                      <w:lang w:val="en-US" w:eastAsia="zh-CN" w:bidi="ar-SA"/>
                    </w:rPr>
                    <w:t>440205230524</w:t>
                  </w:r>
                </w:p>
              </w:tc>
              <w:tc>
                <w:tcPr>
                  <w:tcW w:w="555" w:type="pct"/>
                  <w:vAlign w:val="center"/>
                </w:tcPr>
                <w:p w14:paraId="7EE4EBC9">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shd w:val="clear" w:color="auto" w:fill="FFFFFF"/>
                      <w:lang w:val="en-US" w:eastAsia="zh-CN" w:bidi="ar-SA"/>
                    </w:rPr>
                  </w:pPr>
                  <w:r>
                    <w:rPr>
                      <w:rFonts w:hint="default" w:ascii="Times New Roman" w:hAnsi="Times New Roman" w:eastAsia="宋体" w:cs="Times New Roman"/>
                      <w:color w:val="auto"/>
                      <w:kern w:val="2"/>
                      <w:sz w:val="21"/>
                      <w:szCs w:val="21"/>
                      <w:highlight w:val="none"/>
                      <w:lang w:val="en-US" w:eastAsia="zh-CN" w:bidi="ar-SA"/>
                    </w:rPr>
                    <w:t>至202</w:t>
                  </w:r>
                  <w:r>
                    <w:rPr>
                      <w:rFonts w:hint="eastAsia" w:cs="Times New Roman"/>
                      <w:color w:val="auto"/>
                      <w:kern w:val="2"/>
                      <w:sz w:val="21"/>
                      <w:szCs w:val="21"/>
                      <w:highlight w:val="none"/>
                      <w:lang w:val="en-US" w:eastAsia="zh-CN" w:bidi="ar-SA"/>
                    </w:rPr>
                    <w:t>9</w:t>
                  </w:r>
                  <w:r>
                    <w:rPr>
                      <w:rFonts w:hint="default" w:ascii="Times New Roman" w:hAnsi="Times New Roman" w:eastAsia="宋体" w:cs="Times New Roman"/>
                      <w:color w:val="auto"/>
                      <w:kern w:val="2"/>
                      <w:sz w:val="21"/>
                      <w:szCs w:val="21"/>
                      <w:highlight w:val="none"/>
                      <w:lang w:val="en-US" w:eastAsia="zh-CN" w:bidi="ar-SA"/>
                    </w:rPr>
                    <w:t>年</w:t>
                  </w:r>
                  <w:r>
                    <w:rPr>
                      <w:rFonts w:hint="eastAsia" w:cs="Times New Roman"/>
                      <w:color w:val="auto"/>
                      <w:kern w:val="2"/>
                      <w:sz w:val="21"/>
                      <w:szCs w:val="21"/>
                      <w:highlight w:val="none"/>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月</w:t>
                  </w:r>
                  <w:r>
                    <w:rPr>
                      <w:rFonts w:hint="eastAsia" w:cs="Times New Roman"/>
                      <w:color w:val="auto"/>
                      <w:kern w:val="2"/>
                      <w:sz w:val="21"/>
                      <w:szCs w:val="21"/>
                      <w:highlight w:val="none"/>
                      <w:lang w:val="en-US" w:eastAsia="zh-CN" w:bidi="ar-SA"/>
                    </w:rPr>
                    <w:t>17</w:t>
                  </w:r>
                  <w:r>
                    <w:rPr>
                      <w:rFonts w:hint="default" w:ascii="Times New Roman" w:hAnsi="Times New Roman" w:eastAsia="宋体" w:cs="Times New Roman"/>
                      <w:color w:val="auto"/>
                      <w:kern w:val="2"/>
                      <w:sz w:val="21"/>
                      <w:szCs w:val="21"/>
                      <w:highlight w:val="none"/>
                      <w:lang w:val="en-US" w:eastAsia="zh-CN" w:bidi="ar-SA"/>
                    </w:rPr>
                    <w:t>日</w:t>
                  </w:r>
                </w:p>
              </w:tc>
              <w:tc>
                <w:tcPr>
                  <w:tcW w:w="2657" w:type="pct"/>
                  <w:vAlign w:val="center"/>
                </w:tcPr>
                <w:p w14:paraId="7BECCA26">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2"/>
                      <w:sz w:val="21"/>
                      <w:szCs w:val="21"/>
                      <w:highlight w:val="none"/>
                      <w:shd w:val="clear" w:color="auto" w:fill="FFFFFF"/>
                      <w:lang w:val="en-US" w:eastAsia="zh-CN" w:bidi="ar-SA"/>
                    </w:rPr>
                  </w:pPr>
                  <w:r>
                    <w:rPr>
                      <w:rFonts w:hint="default" w:ascii="Times New Roman" w:hAnsi="Times New Roman" w:eastAsia="宋体" w:cs="Times New Roman"/>
                      <w:color w:val="auto"/>
                      <w:kern w:val="2"/>
                      <w:sz w:val="21"/>
                      <w:szCs w:val="21"/>
                      <w:highlight w:val="none"/>
                      <w:shd w:val="clear" w:color="auto" w:fill="FFFFFF"/>
                      <w:lang w:val="en-US" w:eastAsia="zh-CN" w:bidi="ar-SA"/>
                    </w:rPr>
                    <w:t>【收集、贮存、处置（物化处理）】废有机溶剂与含有机溶剂废物（HW06类中900-404-06）3000吨/年、废矿物油与含矿物油废物（HW08类中251-001-08）3000吨/年、油/水、烃/水混合物或乳化液（HW09类）9000吨/年、染料、</w:t>
                  </w:r>
                  <w:r>
                    <w:rPr>
                      <w:rFonts w:hint="default" w:ascii="Times New Roman" w:hAnsi="Times New Roman" w:eastAsia="宋体" w:cs="Times New Roman"/>
                      <w:b/>
                      <w:bCs/>
                      <w:color w:val="auto"/>
                      <w:kern w:val="2"/>
                      <w:sz w:val="21"/>
                      <w:szCs w:val="21"/>
                      <w:highlight w:val="none"/>
                      <w:shd w:val="clear" w:color="auto" w:fill="FFFFFF"/>
                      <w:lang w:val="en-US" w:eastAsia="zh-CN" w:bidi="ar-SA"/>
                    </w:rPr>
                    <w:t>涂料废物（HW12类</w:t>
                  </w:r>
                  <w:r>
                    <w:rPr>
                      <w:rFonts w:hint="default" w:ascii="Times New Roman" w:hAnsi="Times New Roman" w:eastAsia="宋体" w:cs="Times New Roman"/>
                      <w:color w:val="auto"/>
                      <w:kern w:val="2"/>
                      <w:sz w:val="21"/>
                      <w:szCs w:val="21"/>
                      <w:highlight w:val="none"/>
                      <w:shd w:val="clear" w:color="auto" w:fill="FFFFFF"/>
                      <w:lang w:val="en-US" w:eastAsia="zh-CN" w:bidi="ar-SA"/>
                    </w:rPr>
                    <w:t>中264-011-12、</w:t>
                  </w:r>
                  <w:r>
                    <w:rPr>
                      <w:rFonts w:hint="default" w:ascii="Times New Roman" w:hAnsi="Times New Roman" w:eastAsia="宋体" w:cs="Times New Roman"/>
                      <w:b/>
                      <w:bCs/>
                      <w:color w:val="auto"/>
                      <w:kern w:val="2"/>
                      <w:sz w:val="21"/>
                      <w:szCs w:val="21"/>
                      <w:highlight w:val="none"/>
                      <w:shd w:val="clear" w:color="auto" w:fill="FFFFFF"/>
                      <w:lang w:val="en-US" w:eastAsia="zh-CN" w:bidi="ar-SA"/>
                    </w:rPr>
                    <w:t>900-252~253-12</w:t>
                  </w:r>
                  <w:r>
                    <w:rPr>
                      <w:rFonts w:hint="default" w:ascii="Times New Roman" w:hAnsi="Times New Roman" w:eastAsia="宋体" w:cs="Times New Roman"/>
                      <w:color w:val="auto"/>
                      <w:kern w:val="2"/>
                      <w:sz w:val="21"/>
                      <w:szCs w:val="21"/>
                      <w:highlight w:val="none"/>
                      <w:shd w:val="clear" w:color="auto" w:fill="FFFFFF"/>
                      <w:lang w:val="en-US" w:eastAsia="zh-CN" w:bidi="ar-SA"/>
                    </w:rPr>
                    <w:t>、900-255~256-12，限液态）5000吨/年、表面处理废物（HW17类中336-052~053-17、336-056-17，限液态）15000吨/年、无机氟化物废物（HW32类中900-026-32）5000吨/年、废酸（HW34类中251-014-34、264-013-34、261-058-34、313-001-34、336-105-34、398-005~007-34、900-300~308-34、900-349-34，限液态）5000吨/年、废碱（HW35类，限液态）5000吨/年、其他废物（HW49类中900-047-49，限液态）2000吨/年，共计52000吨/年。</w:t>
                  </w:r>
                </w:p>
              </w:tc>
            </w:tr>
            <w:tr w14:paraId="56DEB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94" w:type="pct"/>
                  <w:vAlign w:val="center"/>
                </w:tcPr>
                <w:p w14:paraId="28654333">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p>
              </w:tc>
              <w:tc>
                <w:tcPr>
                  <w:tcW w:w="627" w:type="pct"/>
                  <w:vAlign w:val="center"/>
                </w:tcPr>
                <w:p w14:paraId="3315E7C9">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shd w:val="clear" w:color="auto" w:fill="FFFFFF"/>
                      <w:lang w:val="en-US" w:eastAsia="zh-CN" w:bidi="ar-SA"/>
                    </w:rPr>
                  </w:pPr>
                  <w:r>
                    <w:rPr>
                      <w:rFonts w:hint="default" w:ascii="Times New Roman" w:hAnsi="Times New Roman" w:eastAsia="宋体" w:cs="Times New Roman"/>
                      <w:color w:val="auto"/>
                      <w:kern w:val="2"/>
                      <w:sz w:val="21"/>
                      <w:szCs w:val="21"/>
                      <w:highlight w:val="none"/>
                      <w:shd w:val="clear" w:color="auto" w:fill="FFFFFF"/>
                      <w:lang w:val="en-US" w:eastAsia="zh-CN" w:bidi="ar-SA"/>
                    </w:rPr>
                    <w:t>韶关东江环保再生资源发展有限公司</w:t>
                  </w:r>
                </w:p>
              </w:tc>
              <w:tc>
                <w:tcPr>
                  <w:tcW w:w="560" w:type="pct"/>
                  <w:vAlign w:val="center"/>
                </w:tcPr>
                <w:p w14:paraId="6A2CF82D">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shd w:val="clear" w:color="auto" w:fill="FFFFFF"/>
                      <w:lang w:val="en-US" w:eastAsia="zh-CN" w:bidi="ar-SA"/>
                    </w:rPr>
                  </w:pPr>
                  <w:r>
                    <w:rPr>
                      <w:rFonts w:hint="default" w:ascii="Times New Roman" w:hAnsi="Times New Roman" w:eastAsia="宋体" w:cs="Times New Roman"/>
                      <w:color w:val="auto"/>
                      <w:kern w:val="2"/>
                      <w:sz w:val="21"/>
                      <w:szCs w:val="21"/>
                      <w:highlight w:val="none"/>
                      <w:shd w:val="clear" w:color="auto" w:fill="FFFFFF"/>
                      <w:lang w:val="en-US" w:eastAsia="zh-CN" w:bidi="ar-SA"/>
                    </w:rPr>
                    <w:t>韶关市翁源县铁龙林场</w:t>
                  </w:r>
                </w:p>
              </w:tc>
              <w:tc>
                <w:tcPr>
                  <w:tcW w:w="405" w:type="pct"/>
                  <w:vAlign w:val="center"/>
                </w:tcPr>
                <w:p w14:paraId="10EF3E62">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shd w:val="clear" w:color="auto" w:fill="FFFFFF"/>
                      <w:lang w:val="en-US" w:eastAsia="zh-CN" w:bidi="ar-SA"/>
                    </w:rPr>
                  </w:pPr>
                  <w:r>
                    <w:rPr>
                      <w:rFonts w:hint="default" w:ascii="Times New Roman" w:hAnsi="Times New Roman" w:eastAsia="宋体" w:cs="Times New Roman"/>
                      <w:color w:val="auto"/>
                      <w:kern w:val="2"/>
                      <w:sz w:val="21"/>
                      <w:szCs w:val="21"/>
                      <w:highlight w:val="none"/>
                      <w:shd w:val="clear" w:color="auto" w:fill="FFFFFF"/>
                      <w:lang w:val="en-US" w:eastAsia="zh-CN" w:bidi="ar-SA"/>
                    </w:rPr>
                    <w:t>440229141010</w:t>
                  </w:r>
                </w:p>
              </w:tc>
              <w:tc>
                <w:tcPr>
                  <w:tcW w:w="555" w:type="pct"/>
                  <w:vAlign w:val="center"/>
                </w:tcPr>
                <w:p w14:paraId="44C78083">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至202</w:t>
                  </w:r>
                  <w:r>
                    <w:rPr>
                      <w:rFonts w:hint="eastAsia" w:cs="Times New Roman"/>
                      <w:color w:val="auto"/>
                      <w:kern w:val="2"/>
                      <w:sz w:val="21"/>
                      <w:szCs w:val="21"/>
                      <w:highlight w:val="none"/>
                      <w:lang w:val="en-US" w:eastAsia="zh-CN" w:bidi="ar-SA"/>
                    </w:rPr>
                    <w:t>9</w:t>
                  </w:r>
                  <w:r>
                    <w:rPr>
                      <w:rFonts w:hint="default" w:ascii="Times New Roman" w:hAnsi="Times New Roman" w:eastAsia="宋体" w:cs="Times New Roman"/>
                      <w:color w:val="auto"/>
                      <w:kern w:val="2"/>
                      <w:sz w:val="21"/>
                      <w:szCs w:val="21"/>
                      <w:highlight w:val="none"/>
                      <w:lang w:val="en-US" w:eastAsia="zh-CN" w:bidi="ar-SA"/>
                    </w:rPr>
                    <w:t>年</w:t>
                  </w:r>
                  <w:r>
                    <w:rPr>
                      <w:rFonts w:hint="eastAsia" w:cs="Times New Roman"/>
                      <w:color w:val="auto"/>
                      <w:kern w:val="2"/>
                      <w:sz w:val="21"/>
                      <w:szCs w:val="21"/>
                      <w:highlight w:val="none"/>
                      <w:lang w:val="en-US" w:eastAsia="zh-CN" w:bidi="ar-SA"/>
                    </w:rPr>
                    <w:t>1</w:t>
                  </w:r>
                  <w:r>
                    <w:rPr>
                      <w:rFonts w:hint="default" w:ascii="Times New Roman" w:hAnsi="Times New Roman" w:eastAsia="宋体" w:cs="Times New Roman"/>
                      <w:color w:val="auto"/>
                      <w:kern w:val="2"/>
                      <w:sz w:val="21"/>
                      <w:szCs w:val="21"/>
                      <w:highlight w:val="none"/>
                      <w:lang w:val="en-US" w:eastAsia="zh-CN" w:bidi="ar-SA"/>
                    </w:rPr>
                    <w:t>月</w:t>
                  </w:r>
                  <w:r>
                    <w:rPr>
                      <w:rFonts w:hint="eastAsia" w:cs="Times New Roman"/>
                      <w:color w:val="auto"/>
                      <w:kern w:val="2"/>
                      <w:sz w:val="21"/>
                      <w:szCs w:val="21"/>
                      <w:highlight w:val="none"/>
                      <w:lang w:val="en-US" w:eastAsia="zh-CN" w:bidi="ar-SA"/>
                    </w:rPr>
                    <w:t>9</w:t>
                  </w:r>
                  <w:r>
                    <w:rPr>
                      <w:rFonts w:hint="default" w:ascii="Times New Roman" w:hAnsi="Times New Roman" w:eastAsia="宋体" w:cs="Times New Roman"/>
                      <w:color w:val="auto"/>
                      <w:kern w:val="2"/>
                      <w:sz w:val="21"/>
                      <w:szCs w:val="21"/>
                      <w:highlight w:val="none"/>
                      <w:lang w:val="en-US" w:eastAsia="zh-CN" w:bidi="ar-SA"/>
                    </w:rPr>
                    <w:t>日</w:t>
                  </w:r>
                </w:p>
              </w:tc>
              <w:tc>
                <w:tcPr>
                  <w:tcW w:w="2657" w:type="pct"/>
                  <w:vAlign w:val="center"/>
                </w:tcPr>
                <w:p w14:paraId="73B2EA62">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2"/>
                      <w:sz w:val="21"/>
                      <w:szCs w:val="21"/>
                      <w:highlight w:val="none"/>
                      <w:shd w:val="clear" w:color="auto" w:fill="FFFFFF"/>
                      <w:lang w:val="en-US" w:eastAsia="zh-CN" w:bidi="ar-SA"/>
                    </w:rPr>
                  </w:pPr>
                  <w:r>
                    <w:rPr>
                      <w:rFonts w:hint="default" w:ascii="Times New Roman" w:hAnsi="Times New Roman" w:eastAsia="宋体" w:cs="Times New Roman"/>
                      <w:color w:val="auto"/>
                      <w:kern w:val="2"/>
                      <w:sz w:val="21"/>
                      <w:szCs w:val="21"/>
                      <w:highlight w:val="none"/>
                      <w:shd w:val="clear" w:color="auto" w:fill="FFFFFF"/>
                      <w:lang w:val="en-US" w:eastAsia="zh-CN" w:bidi="ar-SA"/>
                    </w:rPr>
                    <w:t>【收集、贮存、处置（焚烧）】农药废物（HW04类）、木材防腐剂废物（HW05类）、废有机溶剂与含有机溶剂废物（HW06类，不包括900-401~402-06、900-404-06）、热处理含氰废物（HW07类）、</w:t>
                  </w:r>
                  <w:r>
                    <w:rPr>
                      <w:rFonts w:hint="default" w:ascii="Times New Roman" w:hAnsi="Times New Roman" w:eastAsia="宋体" w:cs="Times New Roman"/>
                      <w:b/>
                      <w:bCs/>
                      <w:color w:val="auto"/>
                      <w:kern w:val="2"/>
                      <w:sz w:val="21"/>
                      <w:szCs w:val="21"/>
                      <w:highlight w:val="none"/>
                      <w:shd w:val="clear" w:color="auto" w:fill="FFFFFF"/>
                      <w:lang w:val="en-US" w:eastAsia="zh-CN" w:bidi="ar-SA"/>
                    </w:rPr>
                    <w:t>废矿物油与含矿物油废物（HW08类，不包括沾染矿物油的废铁桶）</w:t>
                  </w:r>
                  <w:r>
                    <w:rPr>
                      <w:rFonts w:hint="default" w:ascii="Times New Roman" w:hAnsi="Times New Roman" w:eastAsia="宋体" w:cs="Times New Roman"/>
                      <w:color w:val="auto"/>
                      <w:kern w:val="2"/>
                      <w:sz w:val="21"/>
                      <w:szCs w:val="21"/>
                      <w:highlight w:val="none"/>
                      <w:shd w:val="clear" w:color="auto" w:fill="FFFFFF"/>
                      <w:lang w:val="en-US" w:eastAsia="zh-CN" w:bidi="ar-SA"/>
                    </w:rPr>
                    <w:t>、精（蒸）馏残渣（HW11类）、染料、涂料废物（HW12类）、有机树脂类废物（HW13类，不包括900-451-13）、感光材料废物（HW16类）、有机磷化合物废物（HW37类）、有机氰化物废物（HW38类）、含酚废物（HW39类）、含醚废物（HW40类）、含有机卤化物废物（HW45类）、其他废物（</w:t>
                  </w:r>
                  <w:r>
                    <w:rPr>
                      <w:rFonts w:hint="default" w:ascii="Times New Roman" w:hAnsi="Times New Roman" w:eastAsia="宋体" w:cs="Times New Roman"/>
                      <w:b/>
                      <w:bCs/>
                      <w:color w:val="auto"/>
                      <w:kern w:val="2"/>
                      <w:sz w:val="21"/>
                      <w:szCs w:val="21"/>
                      <w:highlight w:val="none"/>
                      <w:shd w:val="clear" w:color="auto" w:fill="FFFFFF"/>
                      <w:lang w:val="en-US" w:eastAsia="zh-CN" w:bidi="ar-SA"/>
                    </w:rPr>
                    <w:t>HW49类中的900-039-49、900-041-49，不包括废铁桶</w:t>
                  </w:r>
                  <w:r>
                    <w:rPr>
                      <w:rFonts w:hint="default" w:ascii="Times New Roman" w:hAnsi="Times New Roman" w:eastAsia="宋体" w:cs="Times New Roman"/>
                      <w:color w:val="auto"/>
                      <w:kern w:val="2"/>
                      <w:sz w:val="21"/>
                      <w:szCs w:val="21"/>
                      <w:highlight w:val="none"/>
                      <w:shd w:val="clear" w:color="auto" w:fill="FFFFFF"/>
                      <w:lang w:val="en-US" w:eastAsia="zh-CN" w:bidi="ar-SA"/>
                    </w:rPr>
                    <w:t>），共9500吨/年</w:t>
                  </w:r>
                  <w:r>
                    <w:rPr>
                      <w:rFonts w:hint="eastAsia" w:ascii="Times New Roman" w:hAnsi="Times New Roman" w:eastAsia="宋体" w:cs="Times New Roman"/>
                      <w:color w:val="auto"/>
                      <w:kern w:val="2"/>
                      <w:sz w:val="21"/>
                      <w:szCs w:val="21"/>
                      <w:highlight w:val="none"/>
                      <w:shd w:val="clear" w:color="auto" w:fill="FFFFFF"/>
                      <w:lang w:val="en-US" w:eastAsia="zh-CN" w:bidi="ar-SA"/>
                    </w:rPr>
                    <w:t>。</w:t>
                  </w:r>
                </w:p>
              </w:tc>
            </w:tr>
            <w:tr w14:paraId="304EB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4" w:type="pct"/>
                  <w:vAlign w:val="center"/>
                </w:tcPr>
                <w:p w14:paraId="0FE94C07">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w:t>
                  </w:r>
                </w:p>
              </w:tc>
              <w:tc>
                <w:tcPr>
                  <w:tcW w:w="627" w:type="pct"/>
                  <w:vAlign w:val="center"/>
                </w:tcPr>
                <w:p w14:paraId="15BB1029">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shd w:val="clear" w:color="auto" w:fill="FFFFFF"/>
                      <w:lang w:val="en-US" w:eastAsia="zh-CN" w:bidi="ar-SA"/>
                    </w:rPr>
                  </w:pPr>
                  <w:r>
                    <w:rPr>
                      <w:rFonts w:hint="default" w:ascii="Times New Roman" w:hAnsi="Times New Roman" w:eastAsia="宋体" w:cs="Times New Roman"/>
                      <w:color w:val="auto"/>
                      <w:kern w:val="2"/>
                      <w:sz w:val="21"/>
                      <w:szCs w:val="21"/>
                      <w:highlight w:val="none"/>
                      <w:shd w:val="clear" w:color="auto" w:fill="FFFFFF"/>
                      <w:lang w:val="en-US" w:eastAsia="zh-CN" w:bidi="ar-SA"/>
                    </w:rPr>
                    <w:t>广东华欣环保科技有限公司</w:t>
                  </w:r>
                </w:p>
              </w:tc>
              <w:tc>
                <w:tcPr>
                  <w:tcW w:w="560" w:type="pct"/>
                  <w:vAlign w:val="center"/>
                </w:tcPr>
                <w:p w14:paraId="26F3F404">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shd w:val="clear" w:color="auto" w:fill="FFFFFF"/>
                      <w:lang w:val="en-US" w:eastAsia="zh-CN" w:bidi="ar-SA"/>
                    </w:rPr>
                  </w:pPr>
                  <w:r>
                    <w:rPr>
                      <w:rFonts w:hint="default" w:ascii="Times New Roman" w:hAnsi="Times New Roman" w:eastAsia="宋体" w:cs="Times New Roman"/>
                      <w:color w:val="auto"/>
                      <w:kern w:val="2"/>
                      <w:sz w:val="21"/>
                      <w:szCs w:val="21"/>
                      <w:highlight w:val="none"/>
                      <w:shd w:val="clear" w:color="auto" w:fill="FFFFFF"/>
                      <w:lang w:val="en-US" w:eastAsia="zh-CN" w:bidi="ar-SA"/>
                    </w:rPr>
                    <w:t>韶关市曲江区广东韶钢松山股份有限公司厂区内</w:t>
                  </w:r>
                </w:p>
              </w:tc>
              <w:tc>
                <w:tcPr>
                  <w:tcW w:w="405" w:type="pct"/>
                  <w:vAlign w:val="center"/>
                </w:tcPr>
                <w:p w14:paraId="1BE690D2">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shd w:val="clear" w:color="auto" w:fill="FFFFFF"/>
                      <w:lang w:val="en-US" w:eastAsia="zh-CN" w:bidi="ar-SA"/>
                    </w:rPr>
                  </w:pPr>
                  <w:r>
                    <w:rPr>
                      <w:rFonts w:hint="default" w:ascii="Times New Roman" w:hAnsi="Times New Roman" w:eastAsia="宋体" w:cs="Times New Roman"/>
                      <w:color w:val="auto"/>
                      <w:kern w:val="2"/>
                      <w:sz w:val="21"/>
                      <w:szCs w:val="21"/>
                      <w:highlight w:val="none"/>
                      <w:shd w:val="clear" w:color="auto" w:fill="FFFFFF"/>
                      <w:lang w:val="en-US" w:eastAsia="zh-CN" w:bidi="ar-SA"/>
                    </w:rPr>
                    <w:t>440205220412</w:t>
                  </w:r>
                </w:p>
              </w:tc>
              <w:tc>
                <w:tcPr>
                  <w:tcW w:w="555" w:type="pct"/>
                  <w:vAlign w:val="center"/>
                </w:tcPr>
                <w:p w14:paraId="197EA61B">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至2028年4月9日</w:t>
                  </w:r>
                </w:p>
              </w:tc>
              <w:tc>
                <w:tcPr>
                  <w:tcW w:w="2657" w:type="pct"/>
                  <w:vAlign w:val="center"/>
                </w:tcPr>
                <w:p w14:paraId="10A68337">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kern w:val="2"/>
                      <w:sz w:val="21"/>
                      <w:szCs w:val="21"/>
                      <w:highlight w:val="none"/>
                      <w:shd w:val="clear" w:color="auto" w:fill="FFFFFF"/>
                      <w:lang w:val="en-US" w:eastAsia="zh-CN" w:bidi="ar-SA"/>
                    </w:rPr>
                  </w:pPr>
                  <w:r>
                    <w:rPr>
                      <w:rFonts w:hint="default" w:ascii="Times New Roman" w:hAnsi="Times New Roman" w:eastAsia="宋体" w:cs="Times New Roman"/>
                      <w:color w:val="auto"/>
                      <w:kern w:val="2"/>
                      <w:sz w:val="21"/>
                      <w:szCs w:val="21"/>
                      <w:highlight w:val="none"/>
                      <w:shd w:val="clear" w:color="auto" w:fill="FFFFFF"/>
                      <w:lang w:val="en-US" w:eastAsia="zh-CN" w:bidi="ar-SA"/>
                    </w:rPr>
                    <w:t>【收集、贮存、利用】废矿物油与含矿物油废物（</w:t>
                  </w:r>
                  <w:r>
                    <w:rPr>
                      <w:rFonts w:hint="default" w:ascii="Times New Roman" w:hAnsi="Times New Roman" w:eastAsia="宋体" w:cs="Times New Roman"/>
                      <w:b/>
                      <w:bCs/>
                      <w:color w:val="auto"/>
                      <w:kern w:val="2"/>
                      <w:sz w:val="21"/>
                      <w:szCs w:val="21"/>
                      <w:highlight w:val="none"/>
                      <w:shd w:val="clear" w:color="auto" w:fill="FFFFFF"/>
                      <w:lang w:val="en-US" w:eastAsia="zh-CN" w:bidi="ar-SA"/>
                    </w:rPr>
                    <w:t>HW08类中的900-249-08，仅限沾染矿物油的废铁质包装桶</w:t>
                  </w:r>
                  <w:r>
                    <w:rPr>
                      <w:rFonts w:hint="default" w:ascii="Times New Roman" w:hAnsi="Times New Roman" w:eastAsia="宋体" w:cs="Times New Roman"/>
                      <w:color w:val="auto"/>
                      <w:kern w:val="2"/>
                      <w:sz w:val="21"/>
                      <w:szCs w:val="21"/>
                      <w:highlight w:val="none"/>
                      <w:shd w:val="clear" w:color="auto" w:fill="FFFFFF"/>
                      <w:lang w:val="en-US" w:eastAsia="zh-CN" w:bidi="ar-SA"/>
                    </w:rPr>
                    <w:t xml:space="preserve"> ）1.8万吨/年、其他废物（</w:t>
                  </w:r>
                  <w:r>
                    <w:rPr>
                      <w:rFonts w:hint="default" w:ascii="Times New Roman" w:hAnsi="Times New Roman" w:eastAsia="宋体" w:cs="Times New Roman"/>
                      <w:b/>
                      <w:bCs/>
                      <w:color w:val="auto"/>
                      <w:kern w:val="2"/>
                      <w:sz w:val="21"/>
                      <w:szCs w:val="21"/>
                      <w:highlight w:val="none"/>
                      <w:shd w:val="clear" w:color="auto" w:fill="FFFFFF"/>
                      <w:lang w:val="en-US" w:eastAsia="zh-CN" w:bidi="ar-SA"/>
                    </w:rPr>
                    <w:t>HW49类中的900-041-49，仅限废铁质包装桶</w:t>
                  </w:r>
                  <w:r>
                    <w:rPr>
                      <w:rFonts w:hint="default" w:ascii="Times New Roman" w:hAnsi="Times New Roman" w:eastAsia="宋体" w:cs="Times New Roman"/>
                      <w:color w:val="auto"/>
                      <w:kern w:val="2"/>
                      <w:sz w:val="21"/>
                      <w:szCs w:val="21"/>
                      <w:highlight w:val="none"/>
                      <w:shd w:val="clear" w:color="auto" w:fill="FFFFFF"/>
                      <w:lang w:val="en-US" w:eastAsia="zh-CN" w:bidi="ar-SA"/>
                    </w:rPr>
                    <w:t>）3.2万吨/年、含铬废物（HW21类中的314-001~002-21）10万吨/年、含锌废物（HW23类中的312-001-23、336-103-23（仅限集尘、除尘装置收集的粉尘））1万吨/年，共计16万吨/年。</w:t>
                  </w:r>
                </w:p>
              </w:tc>
            </w:tr>
          </w:tbl>
          <w:p w14:paraId="3662538B">
            <w:pPr>
              <w:pageBreakBefore w:val="0"/>
              <w:widowControl w:val="0"/>
              <w:wordWrap w:val="0"/>
              <w:overflowPunct/>
              <w:bidi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本项目的危险废物种类不多，单次产生量不大，性质较稳定，落实好上述措施后，从产生到转移处置的全过程环境风险均可得到有效控制，不存在重大隐患，不会对外部环境造成重大影响。</w:t>
            </w:r>
          </w:p>
          <w:p w14:paraId="709486DF">
            <w:pPr>
              <w:keepNext/>
              <w:keepLines/>
              <w:pageBreakBefore w:val="0"/>
              <w:widowControl w:val="0"/>
              <w:numPr>
                <w:ilvl w:val="2"/>
                <w:numId w:val="0"/>
              </w:numPr>
              <w:wordWrap w:val="0"/>
              <w:overflowPunct/>
              <w:bidi w:val="0"/>
              <w:spacing w:line="360" w:lineRule="auto"/>
              <w:ind w:firstLine="480" w:firstLineChars="200"/>
              <w:jc w:val="both"/>
              <w:outlineLvl w:val="2"/>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五、土壤、地下水环境影响分析</w:t>
            </w:r>
          </w:p>
          <w:p w14:paraId="17FC01BE">
            <w:pPr>
              <w:pageBreakBefore w:val="0"/>
              <w:widowControl w:val="0"/>
              <w:wordWrap w:val="0"/>
              <w:overflowPunct/>
              <w:bidi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本项目厂区地面已全部硬化，危废间、</w:t>
            </w:r>
            <w:r>
              <w:rPr>
                <w:rFonts w:hint="eastAsia" w:cs="Times New Roman"/>
                <w:color w:val="auto"/>
                <w:kern w:val="2"/>
                <w:sz w:val="24"/>
                <w:szCs w:val="24"/>
                <w:highlight w:val="none"/>
                <w:lang w:val="en-US" w:eastAsia="zh-CN" w:bidi="ar-SA"/>
              </w:rPr>
              <w:t>物料仓库</w:t>
            </w:r>
            <w:r>
              <w:rPr>
                <w:rFonts w:hint="default" w:ascii="Times New Roman" w:hAnsi="Times New Roman" w:eastAsia="宋体" w:cs="Times New Roman"/>
                <w:color w:val="auto"/>
                <w:kern w:val="2"/>
                <w:sz w:val="24"/>
                <w:szCs w:val="24"/>
                <w:highlight w:val="none"/>
                <w:lang w:val="en-US" w:eastAsia="zh-CN" w:bidi="ar-SA"/>
              </w:rPr>
              <w:t>地面硬化，并刷环氧树脂漆防渗层、设置围堰，正常情况下可有效阻止地下水污染途径，对地下水环境不产生影响。本项目所采用的原辅材料组成不含重金属等土壤污染成分，对土壤环境影响极小。本项目厂区按照规范和要求对生产车间、仓库以及危险废物仓库等采取有效的防雨、防渗漏、防溢流等措施，生产车间和仓库已进行场地硬化，因此不进行土壤现状监测。</w:t>
            </w:r>
          </w:p>
          <w:p w14:paraId="12068D9E">
            <w:pPr>
              <w:pageBreakBefore w:val="0"/>
              <w:widowControl w:val="0"/>
              <w:wordWrap w:val="0"/>
              <w:overflowPunct/>
              <w:bidi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各原料组分不含有毒有害的重金属等污染物，也不涉及建设用地、农用地土壤污染风险筛选值和管制值的其他污染物，即项目不涉及土壤影响特征因子，不会引起土壤环境的盐化、酸化、碱化等生态环境变化，因此本次评价不做进一步的土壤累积影响预测。</w:t>
            </w:r>
          </w:p>
          <w:p w14:paraId="51857D88">
            <w:pPr>
              <w:pageBreakBefore w:val="0"/>
              <w:widowControl w:val="0"/>
              <w:wordWrap w:val="0"/>
              <w:overflowPunct/>
              <w:autoSpaceDE w:val="0"/>
              <w:autoSpaceDN w:val="0"/>
              <w:bidi w:val="0"/>
              <w:adjustRightIn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分区管控：</w:t>
            </w:r>
          </w:p>
          <w:p w14:paraId="04A6CA7A">
            <w:pPr>
              <w:pageBreakBefore w:val="0"/>
              <w:widowControl w:val="0"/>
              <w:wordWrap w:val="0"/>
              <w:overflowPunct/>
              <w:bidi w:val="0"/>
              <w:spacing w:line="360" w:lineRule="auto"/>
              <w:ind w:left="0" w:firstLine="480" w:firstLineChars="200"/>
              <w:jc w:val="both"/>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①简单防渗区：办公室及无液态原料的区域仅进行一般地面硬化，无需进行防渗处理。</w:t>
            </w:r>
          </w:p>
          <w:p w14:paraId="36CD6EDE">
            <w:pPr>
              <w:pageBreakBefore w:val="0"/>
              <w:wordWrap w:val="0"/>
              <w:overflowPunct/>
              <w:bidi w:val="0"/>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②一般防渗区：本项目不涉及重金属、持久性有机污染物，液态</w:t>
            </w:r>
            <w:r>
              <w:rPr>
                <w:rFonts w:hint="default" w:ascii="Times New Roman" w:hAnsi="Times New Roman" w:eastAsia="宋体" w:cs="Times New Roman"/>
                <w:color w:val="auto"/>
                <w:highlight w:val="none"/>
                <w:lang w:val="en-US" w:eastAsia="zh-CN"/>
              </w:rPr>
              <w:t>化学品</w:t>
            </w:r>
            <w:r>
              <w:rPr>
                <w:rFonts w:hint="default" w:ascii="Times New Roman" w:hAnsi="Times New Roman" w:eastAsia="宋体" w:cs="Times New Roman"/>
                <w:color w:val="auto"/>
                <w:highlight w:val="none"/>
              </w:rPr>
              <w:t>物料存在</w:t>
            </w:r>
            <w:r>
              <w:rPr>
                <w:rFonts w:hint="eastAsia" w:cs="Times New Roman"/>
                <w:color w:val="auto"/>
                <w:highlight w:val="none"/>
                <w:lang w:val="en-US" w:eastAsia="zh-CN"/>
              </w:rPr>
              <w:t>物料仓库</w:t>
            </w:r>
            <w:r>
              <w:rPr>
                <w:rFonts w:hint="default" w:ascii="Times New Roman" w:hAnsi="Times New Roman" w:eastAsia="宋体" w:cs="Times New Roman"/>
                <w:color w:val="auto"/>
                <w:highlight w:val="none"/>
              </w:rPr>
              <w:t>。因此对生产车间进行一般防渗处理，防渗要求按照等效黏土防渗层Mb≥1.5m，K≤1×10</w:t>
            </w:r>
            <w:r>
              <w:rPr>
                <w:rFonts w:hint="default" w:ascii="Times New Roman" w:hAnsi="Times New Roman" w:eastAsia="宋体" w:cs="Times New Roman"/>
                <w:color w:val="auto"/>
                <w:highlight w:val="none"/>
                <w:vertAlign w:val="superscript"/>
              </w:rPr>
              <w:t>-7</w:t>
            </w:r>
            <w:r>
              <w:rPr>
                <w:rFonts w:hint="default" w:ascii="Times New Roman" w:hAnsi="Times New Roman" w:eastAsia="宋体" w:cs="Times New Roman"/>
                <w:color w:val="auto"/>
                <w:highlight w:val="none"/>
              </w:rPr>
              <w:t>cm/s或参照GB16889执行；</w:t>
            </w:r>
          </w:p>
          <w:p w14:paraId="28C7778E">
            <w:pPr>
              <w:pageBreakBefore w:val="0"/>
              <w:wordWrap w:val="0"/>
              <w:overflowPunct/>
              <w:bidi w:val="0"/>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③重点防渗区：</w:t>
            </w:r>
            <w:r>
              <w:rPr>
                <w:rFonts w:hint="default" w:ascii="Times New Roman" w:hAnsi="Times New Roman" w:eastAsia="宋体" w:cs="Times New Roman"/>
                <w:color w:val="auto"/>
                <w:highlight w:val="none"/>
                <w:lang w:val="en-US" w:eastAsia="zh-CN"/>
              </w:rPr>
              <w:t>本项目</w:t>
            </w:r>
            <w:r>
              <w:rPr>
                <w:rFonts w:hint="eastAsia" w:cs="Times New Roman"/>
                <w:color w:val="auto"/>
                <w:highlight w:val="none"/>
                <w:lang w:val="en-US" w:eastAsia="zh-CN"/>
              </w:rPr>
              <w:t>喷涂漆料</w:t>
            </w:r>
            <w:r>
              <w:rPr>
                <w:rFonts w:hint="default" w:ascii="Times New Roman" w:hAnsi="Times New Roman" w:eastAsia="宋体" w:cs="Times New Roman"/>
                <w:color w:val="auto"/>
                <w:highlight w:val="none"/>
                <w:lang w:val="en-US" w:eastAsia="zh-CN"/>
              </w:rPr>
              <w:t>贮存在</w:t>
            </w:r>
            <w:r>
              <w:rPr>
                <w:rFonts w:hint="eastAsia" w:cs="Times New Roman"/>
                <w:color w:val="auto"/>
                <w:highlight w:val="none"/>
                <w:lang w:val="en-US" w:eastAsia="zh-CN"/>
              </w:rPr>
              <w:t>7#厂房</w:t>
            </w:r>
            <w:r>
              <w:rPr>
                <w:rFonts w:hint="default" w:ascii="Times New Roman" w:hAnsi="Times New Roman" w:eastAsia="宋体" w:cs="Times New Roman"/>
                <w:color w:val="auto"/>
                <w:highlight w:val="none"/>
                <w:lang w:val="en-US" w:eastAsia="zh-CN"/>
              </w:rPr>
              <w:t>中，</w:t>
            </w:r>
            <w:r>
              <w:rPr>
                <w:rFonts w:hint="default" w:ascii="Times New Roman" w:hAnsi="Times New Roman" w:eastAsia="宋体" w:cs="Times New Roman"/>
                <w:color w:val="auto"/>
                <w:highlight w:val="none"/>
              </w:rPr>
              <w:t>危险废物贮存在危废间，对</w:t>
            </w:r>
            <w:r>
              <w:rPr>
                <w:rFonts w:hint="eastAsia" w:cs="Times New Roman"/>
                <w:color w:val="auto"/>
                <w:highlight w:val="none"/>
                <w:lang w:val="en-US" w:eastAsia="zh-CN"/>
              </w:rPr>
              <w:t>物料仓库</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危废间进行重点防渗处理，要求按照等效黏土防渗层Mb≥6.0m，K≤1×10</w:t>
            </w:r>
            <w:r>
              <w:rPr>
                <w:rFonts w:hint="default" w:ascii="Times New Roman" w:hAnsi="Times New Roman" w:eastAsia="宋体" w:cs="Times New Roman"/>
                <w:color w:val="auto"/>
                <w:highlight w:val="none"/>
                <w:vertAlign w:val="superscript"/>
              </w:rPr>
              <w:t>-7</w:t>
            </w:r>
            <w:r>
              <w:rPr>
                <w:rFonts w:hint="default" w:ascii="Times New Roman" w:hAnsi="Times New Roman" w:eastAsia="宋体" w:cs="Times New Roman"/>
                <w:color w:val="auto"/>
                <w:highlight w:val="none"/>
              </w:rPr>
              <w:t>cm/s或参照GB18598执行</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并设置围堰</w:t>
            </w:r>
            <w:r>
              <w:rPr>
                <w:rFonts w:hint="default" w:ascii="Times New Roman" w:hAnsi="Times New Roman" w:eastAsia="宋体" w:cs="Times New Roman"/>
                <w:color w:val="auto"/>
                <w:highlight w:val="none"/>
              </w:rPr>
              <w:t>。</w:t>
            </w:r>
          </w:p>
          <w:p w14:paraId="70A8542A">
            <w:pPr>
              <w:keepNext/>
              <w:keepLines/>
              <w:pageBreakBefore w:val="0"/>
              <w:tabs>
                <w:tab w:val="left" w:pos="0"/>
              </w:tabs>
              <w:wordWrap w:val="0"/>
              <w:overflowPunct/>
              <w:bidi w:val="0"/>
              <w:ind w:firstLine="480" w:firstLineChars="200"/>
              <w:outlineLvl w:val="2"/>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六、生态环境影响分析</w:t>
            </w:r>
          </w:p>
          <w:p w14:paraId="3C545BC7">
            <w:pPr>
              <w:pageBreakBefore w:val="0"/>
              <w:wordWrap w:val="0"/>
              <w:overflowPunct/>
              <w:bidi w:val="0"/>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经现场调查，项目周边500m范围内未发现珍稀、濒危植物，主要为人工绿化植物群落，植被覆盖率一般，无明显水土流失区；陆生动物以家禽、家畜为主；项目所在地周围100m范围内由于人为开发活动，已逐渐由自然生态环境转为城市人工生态环境，项目所在地属于非重要生境，没有特别受保护的生境和生物及水产资源，对周边生态环境影响较小。</w:t>
            </w:r>
          </w:p>
          <w:p w14:paraId="696C5E49">
            <w:pPr>
              <w:keepNext/>
              <w:keepLines/>
              <w:pageBreakBefore w:val="0"/>
              <w:tabs>
                <w:tab w:val="left" w:pos="0"/>
              </w:tabs>
              <w:wordWrap w:val="0"/>
              <w:overflowPunct/>
              <w:bidi w:val="0"/>
              <w:ind w:left="478"/>
              <w:outlineLvl w:val="2"/>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七、环境风险影响分析</w:t>
            </w:r>
          </w:p>
          <w:p w14:paraId="5446D807">
            <w:pPr>
              <w:keepNext/>
              <w:keepLines/>
              <w:pageBreakBefore w:val="0"/>
              <w:tabs>
                <w:tab w:val="left" w:pos="0"/>
              </w:tabs>
              <w:wordWrap w:val="0"/>
              <w:overflowPunct/>
              <w:bidi w:val="0"/>
              <w:ind w:left="480" w:leftChars="200"/>
              <w:outlineLvl w:val="3"/>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1、环境风险识别</w:t>
            </w:r>
          </w:p>
          <w:p w14:paraId="269B99C7">
            <w:pPr>
              <w:pageBreakBefore w:val="0"/>
              <w:wordWrap w:val="0"/>
              <w:overflowPunct/>
              <w:bidi w:val="0"/>
              <w:ind w:firstLine="480" w:firstLineChars="20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风险评价应以突发事故导致的危险物质环境急性损害防控为目标，对建设项目的环境风险进行分析、预测和评估，提出环境风险预防、控制、减缓措施，明确环境风险监控及应急建议要求，为建设项目环境风险防控提供科学依据。</w:t>
            </w:r>
          </w:p>
          <w:p w14:paraId="1382BA72">
            <w:pPr>
              <w:keepNext/>
              <w:keepLines/>
              <w:pageBreakBefore w:val="0"/>
              <w:tabs>
                <w:tab w:val="left" w:pos="0"/>
              </w:tabs>
              <w:wordWrap w:val="0"/>
              <w:overflowPunct/>
              <w:bidi w:val="0"/>
              <w:ind w:left="480" w:leftChars="200"/>
              <w:outlineLvl w:val="3"/>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2、评价依据</w:t>
            </w:r>
          </w:p>
          <w:p w14:paraId="67A6A95E">
            <w:pPr>
              <w:pageBreakBefore w:val="0"/>
              <w:wordWrap w:val="0"/>
              <w:overflowPunct/>
              <w:bidi w:val="0"/>
              <w:ind w:firstLine="480" w:firstLineChars="20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根据《建设项目环境影响报告表编制技术指南（污染影响类）（试行）》表1专项评价设置原则表，环境风险设置专项评价原则为有毒有害和易燃易爆危险物质存储量超过临界量的建设项目，临界量及其计算方法参考《建设项目环境风险评价技术导则》（HJ 169-2018）附录B、附录C。</w:t>
            </w:r>
          </w:p>
          <w:p w14:paraId="320D1DBD">
            <w:pPr>
              <w:pageBreakBefore w:val="0"/>
              <w:wordWrap w:val="0"/>
              <w:overflowPunct/>
              <w:bidi w:val="0"/>
              <w:ind w:firstLine="480" w:firstLineChars="200"/>
              <w:rPr>
                <w:rFonts w:hint="eastAsia" w:cs="Times New Roman"/>
                <w:color w:val="auto"/>
                <w:highlight w:val="none"/>
                <w:lang w:eastAsia="zh-CN"/>
              </w:rPr>
            </w:pPr>
            <w:r>
              <w:rPr>
                <w:rFonts w:hint="default" w:ascii="Times New Roman" w:hAnsi="Times New Roman" w:eastAsia="宋体" w:cs="Times New Roman"/>
                <w:color w:val="auto"/>
                <w:highlight w:val="none"/>
              </w:rPr>
              <w:t>本项目涉及的风险物质</w:t>
            </w:r>
            <w:r>
              <w:rPr>
                <w:rFonts w:hint="eastAsia" w:cs="Times New Roman"/>
                <w:color w:val="auto"/>
                <w:highlight w:val="none"/>
                <w:lang w:val="en-US" w:eastAsia="zh-CN"/>
              </w:rPr>
              <w:t>中</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机油、废机油按“</w:t>
            </w:r>
            <w:r>
              <w:rPr>
                <w:rFonts w:hint="default" w:ascii="Times New Roman" w:hAnsi="Times New Roman" w:eastAsia="宋体" w:cs="Times New Roman"/>
                <w:color w:val="auto"/>
                <w:highlight w:val="none"/>
              </w:rPr>
              <w:t>表B.1油类物质（矿物油类，如石油、汽油、柴油等；生物柴油等）</w:t>
            </w:r>
            <w:r>
              <w:rPr>
                <w:rFonts w:hint="eastAsia" w:cs="Times New Roman"/>
                <w:color w:val="auto"/>
                <w:highlight w:val="none"/>
                <w:lang w:val="en-US" w:eastAsia="zh-CN"/>
              </w:rPr>
              <w:t>”</w:t>
            </w:r>
            <w:r>
              <w:rPr>
                <w:rFonts w:hint="eastAsia" w:cs="Times New Roman"/>
                <w:color w:val="auto"/>
                <w:highlight w:val="none"/>
                <w:lang w:eastAsia="zh-CN"/>
              </w:rPr>
              <w:t>，</w:t>
            </w:r>
            <w:r>
              <w:rPr>
                <w:rFonts w:hint="default" w:ascii="Times New Roman" w:hAnsi="Times New Roman" w:eastAsia="宋体" w:cs="Times New Roman"/>
                <w:color w:val="auto"/>
                <w:highlight w:val="none"/>
              </w:rPr>
              <w:t>临界值</w:t>
            </w:r>
            <w:r>
              <w:rPr>
                <w:rFonts w:hint="eastAsia" w:cs="Times New Roman"/>
                <w:color w:val="auto"/>
                <w:highlight w:val="none"/>
                <w:lang w:val="en-US" w:eastAsia="zh-CN"/>
              </w:rPr>
              <w:t>取</w:t>
            </w:r>
            <w:r>
              <w:rPr>
                <w:rFonts w:hint="default" w:ascii="Times New Roman" w:hAnsi="Times New Roman" w:eastAsia="宋体" w:cs="Times New Roman"/>
                <w:color w:val="auto"/>
                <w:highlight w:val="none"/>
              </w:rPr>
              <w:t>2500</w:t>
            </w:r>
            <w:r>
              <w:rPr>
                <w:rFonts w:hint="eastAsia" w:cs="Times New Roman"/>
                <w:color w:val="auto"/>
                <w:highlight w:val="none"/>
                <w:lang w:val="en-US" w:eastAsia="zh-CN"/>
              </w:rPr>
              <w:t>t</w:t>
            </w:r>
            <w:r>
              <w:rPr>
                <w:rFonts w:hint="eastAsia" w:cs="Times New Roman"/>
                <w:color w:val="auto"/>
                <w:highlight w:val="none"/>
                <w:lang w:eastAsia="zh-CN"/>
              </w:rPr>
              <w:t>；</w:t>
            </w:r>
          </w:p>
          <w:p w14:paraId="63D85114">
            <w:pPr>
              <w:pageBreakBefore w:val="0"/>
              <w:wordWrap w:val="0"/>
              <w:overflowPunct/>
              <w:bidi w:val="0"/>
              <w:ind w:firstLine="480" w:firstLineChars="200"/>
              <w:rPr>
                <w:rFonts w:hint="eastAsia" w:cs="Times New Roman"/>
                <w:color w:val="auto"/>
                <w:highlight w:val="none"/>
                <w:lang w:val="en-US" w:eastAsia="zh-CN"/>
              </w:rPr>
            </w:pPr>
            <w:r>
              <w:rPr>
                <w:rFonts w:hint="eastAsia" w:cs="Times New Roman"/>
                <w:color w:val="auto"/>
                <w:highlight w:val="none"/>
                <w:lang w:val="en-US" w:eastAsia="zh-CN"/>
              </w:rPr>
              <w:t>油性漆、固化剂、稀释剂按</w:t>
            </w:r>
            <w:r>
              <w:rPr>
                <w:rFonts w:hint="eastAsia" w:cs="Times New Roman"/>
                <w:color w:val="auto"/>
                <w:highlight w:val="none"/>
                <w:lang w:eastAsia="zh-CN"/>
              </w:rPr>
              <w:t>“</w:t>
            </w:r>
            <w:r>
              <w:rPr>
                <w:rFonts w:hint="default" w:ascii="Times New Roman" w:hAnsi="Times New Roman" w:eastAsia="宋体" w:cs="Times New Roman"/>
                <w:color w:val="auto"/>
                <w:highlight w:val="none"/>
              </w:rPr>
              <w:t>表B.1突发环境事件风险物质及临界量</w:t>
            </w:r>
            <w:r>
              <w:rPr>
                <w:rFonts w:hint="eastAsia" w:cs="Times New Roman"/>
                <w:color w:val="auto"/>
                <w:highlight w:val="none"/>
                <w:lang w:val="en-US" w:eastAsia="zh-CN"/>
              </w:rPr>
              <w:t>-二甲苯</w:t>
            </w:r>
            <w:r>
              <w:rPr>
                <w:rFonts w:hint="eastAsia" w:cs="Times New Roman"/>
                <w:color w:val="auto"/>
                <w:highlight w:val="none"/>
                <w:lang w:eastAsia="zh-CN"/>
              </w:rPr>
              <w:t>”，</w:t>
            </w:r>
            <w:r>
              <w:rPr>
                <w:rFonts w:hint="eastAsia" w:cs="Times New Roman"/>
                <w:color w:val="auto"/>
                <w:highlight w:val="none"/>
                <w:lang w:val="en-US" w:eastAsia="zh-CN"/>
              </w:rPr>
              <w:t>临界值取10t；</w:t>
            </w:r>
          </w:p>
          <w:p w14:paraId="032D09D1">
            <w:pPr>
              <w:pageBreakBefore w:val="0"/>
              <w:wordWrap w:val="0"/>
              <w:overflowPunct/>
              <w:bidi w:val="0"/>
              <w:ind w:firstLine="480" w:firstLineChars="200"/>
              <w:rPr>
                <w:rFonts w:hint="default" w:cs="Times New Roman"/>
                <w:color w:val="auto"/>
                <w:highlight w:val="none"/>
                <w:lang w:val="en-US" w:eastAsia="zh-CN"/>
              </w:rPr>
            </w:pPr>
            <w:r>
              <w:rPr>
                <w:rFonts w:hint="eastAsia" w:cs="Times New Roman"/>
                <w:color w:val="auto"/>
                <w:highlight w:val="none"/>
                <w:lang w:val="en-US" w:eastAsia="zh-CN"/>
              </w:rPr>
              <w:t>油墨、脱脂剂、磷化剂、表调剂、除锈剂、网版清洗剂按</w:t>
            </w:r>
            <w:r>
              <w:rPr>
                <w:rFonts w:hint="eastAsia" w:cs="Times New Roman"/>
                <w:color w:val="auto"/>
                <w:highlight w:val="none"/>
                <w:lang w:eastAsia="zh-CN"/>
              </w:rPr>
              <w:t>“</w:t>
            </w:r>
            <w:r>
              <w:rPr>
                <w:rFonts w:hint="default" w:ascii="Times New Roman" w:hAnsi="Times New Roman" w:eastAsia="宋体" w:cs="Times New Roman"/>
                <w:color w:val="auto"/>
                <w:highlight w:val="none"/>
              </w:rPr>
              <w:t>B.2 其他危险物质临界量推荐值--危害水环境物质</w:t>
            </w:r>
            <w:r>
              <w:rPr>
                <w:rFonts w:hint="eastAsia" w:cs="Times New Roman"/>
                <w:color w:val="auto"/>
                <w:highlight w:val="none"/>
                <w:lang w:eastAsia="zh-CN"/>
              </w:rPr>
              <w:t>（</w:t>
            </w:r>
            <w:r>
              <w:rPr>
                <w:rFonts w:hint="default" w:ascii="Times New Roman" w:hAnsi="Times New Roman" w:eastAsia="宋体" w:cs="Times New Roman"/>
                <w:color w:val="auto"/>
                <w:highlight w:val="none"/>
              </w:rPr>
              <w:t>急性毒性类别1</w:t>
            </w:r>
            <w:r>
              <w:rPr>
                <w:rFonts w:hint="eastAsia" w:cs="Times New Roman"/>
                <w:color w:val="auto"/>
                <w:highlight w:val="none"/>
                <w:lang w:eastAsia="zh-CN"/>
              </w:rPr>
              <w:t>）”，</w:t>
            </w:r>
            <w:r>
              <w:rPr>
                <w:rFonts w:hint="eastAsia" w:cs="Times New Roman"/>
                <w:color w:val="auto"/>
                <w:highlight w:val="none"/>
                <w:lang w:val="en-US" w:eastAsia="zh-CN"/>
              </w:rPr>
              <w:t>临界量取100t；</w:t>
            </w:r>
          </w:p>
          <w:p w14:paraId="0423ECC1">
            <w:pPr>
              <w:pageBreakBefore w:val="0"/>
              <w:wordWrap w:val="0"/>
              <w:overflowPunct/>
              <w:bidi w:val="0"/>
              <w:ind w:firstLine="480" w:firstLineChars="20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highlight w:val="none"/>
              </w:rPr>
              <w:t>其余危险废物Q值参照《建设项目环境风险评价技术导则》（HJ169-2018）中“表B.2 其他危险物质临界量推荐值--健康危险急性毒性物质（类别2、类别3）的临界值50</w:t>
            </w:r>
            <w:r>
              <w:rPr>
                <w:rFonts w:hint="eastAsia" w:cs="Times New Roman"/>
                <w:color w:val="auto"/>
                <w:highlight w:val="none"/>
                <w:lang w:val="en-US" w:eastAsia="zh-CN"/>
              </w:rPr>
              <w:t>t</w:t>
            </w:r>
            <w:r>
              <w:rPr>
                <w:rFonts w:hint="default" w:ascii="Times New Roman" w:hAnsi="Times New Roman" w:eastAsia="宋体" w:cs="Times New Roman"/>
                <w:color w:val="auto"/>
                <w:highlight w:val="none"/>
              </w:rPr>
              <w:t>”。</w:t>
            </w:r>
          </w:p>
          <w:p w14:paraId="33C91AFE">
            <w:pPr>
              <w:keepNext w:val="0"/>
              <w:keepLines w:val="0"/>
              <w:pageBreakBefore w:val="0"/>
              <w:widowControl w:val="0"/>
              <w:numPr>
                <w:ilvl w:val="0"/>
                <w:numId w:val="10"/>
              </w:numPr>
              <w:kinsoku/>
              <w:wordWrap w:val="0"/>
              <w:overflowPunct/>
              <w:topLinePunct w:val="0"/>
              <w:autoSpaceDE/>
              <w:autoSpaceDN/>
              <w:bidi w:val="0"/>
              <w:adjustRightInd/>
              <w:snapToGrid/>
              <w:spacing w:line="240" w:lineRule="auto"/>
              <w:ind w:left="0" w:leftChars="0" w:hanging="1"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lang w:val="en-US" w:eastAsia="zh-CN"/>
              </w:rPr>
              <w:t>危险</w:t>
            </w:r>
            <w:r>
              <w:rPr>
                <w:rFonts w:hint="default" w:ascii="Times New Roman" w:hAnsi="Times New Roman" w:eastAsia="宋体" w:cs="Times New Roman"/>
                <w:b/>
                <w:bCs/>
                <w:color w:val="auto"/>
                <w:kern w:val="2"/>
                <w:sz w:val="21"/>
                <w:szCs w:val="21"/>
                <w:highlight w:val="none"/>
                <w:lang w:val="en-US" w:eastAsia="zh-CN" w:bidi="ar-SA"/>
              </w:rPr>
              <w:t>物质识别一览表</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76"/>
              <w:gridCol w:w="1805"/>
              <w:gridCol w:w="2463"/>
              <w:gridCol w:w="2221"/>
              <w:gridCol w:w="1742"/>
            </w:tblGrid>
            <w:tr w14:paraId="286E3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3" w:type="pct"/>
                  <w:tcBorders>
                    <w:top w:val="single" w:color="auto" w:sz="4" w:space="0"/>
                    <w:left w:val="single" w:color="auto" w:sz="4" w:space="0"/>
                    <w:bottom w:val="single" w:color="auto" w:sz="4" w:space="0"/>
                    <w:right w:val="single" w:color="auto" w:sz="4" w:space="0"/>
                    <w:tl2br w:val="nil"/>
                    <w:tr2bl w:val="nil"/>
                  </w:tcBorders>
                  <w:vAlign w:val="center"/>
                </w:tcPr>
                <w:p w14:paraId="63F2F2BB">
                  <w:pPr>
                    <w:pageBreakBefore w:val="0"/>
                    <w:widowControl w:val="0"/>
                    <w:wordWrap w:val="0"/>
                    <w:overflowPunct/>
                    <w:bidi w:val="0"/>
                    <w:spacing w:line="240" w:lineRule="auto"/>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序号</w:t>
                  </w:r>
                </w:p>
              </w:tc>
              <w:tc>
                <w:tcPr>
                  <w:tcW w:w="1036" w:type="pct"/>
                  <w:tcBorders>
                    <w:top w:val="single" w:color="auto" w:sz="4" w:space="0"/>
                    <w:left w:val="single" w:color="auto" w:sz="4" w:space="0"/>
                    <w:bottom w:val="single" w:color="auto" w:sz="4" w:space="0"/>
                    <w:right w:val="single" w:color="auto" w:sz="4" w:space="0"/>
                    <w:tl2br w:val="nil"/>
                    <w:tr2bl w:val="nil"/>
                  </w:tcBorders>
                  <w:vAlign w:val="center"/>
                </w:tcPr>
                <w:p w14:paraId="79007562">
                  <w:pPr>
                    <w:pageBreakBefore w:val="0"/>
                    <w:widowControl w:val="0"/>
                    <w:wordWrap w:val="0"/>
                    <w:overflowPunct/>
                    <w:bidi w:val="0"/>
                    <w:spacing w:line="240" w:lineRule="auto"/>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物质名称</w:t>
                  </w:r>
                </w:p>
              </w:tc>
              <w:tc>
                <w:tcPr>
                  <w:tcW w:w="1414" w:type="pct"/>
                  <w:tcBorders>
                    <w:top w:val="single" w:color="auto" w:sz="4" w:space="0"/>
                    <w:left w:val="single" w:color="auto" w:sz="4" w:space="0"/>
                    <w:bottom w:val="single" w:color="auto" w:sz="4" w:space="0"/>
                    <w:right w:val="single" w:color="auto" w:sz="4" w:space="0"/>
                    <w:tl2br w:val="nil"/>
                    <w:tr2bl w:val="nil"/>
                  </w:tcBorders>
                  <w:vAlign w:val="center"/>
                </w:tcPr>
                <w:p w14:paraId="2442AC29">
                  <w:pPr>
                    <w:pageBreakBefore w:val="0"/>
                    <w:widowControl w:val="0"/>
                    <w:wordWrap w:val="0"/>
                    <w:overflowPunct/>
                    <w:bidi w:val="0"/>
                    <w:spacing w:line="240" w:lineRule="auto"/>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风险特性</w:t>
                  </w:r>
                </w:p>
              </w:tc>
              <w:tc>
                <w:tcPr>
                  <w:tcW w:w="1275" w:type="pct"/>
                  <w:tcBorders>
                    <w:top w:val="single" w:color="auto" w:sz="4" w:space="0"/>
                    <w:left w:val="single" w:color="auto" w:sz="4" w:space="0"/>
                    <w:bottom w:val="single" w:color="auto" w:sz="4" w:space="0"/>
                    <w:right w:val="single" w:color="auto" w:sz="4" w:space="0"/>
                    <w:tl2br w:val="nil"/>
                    <w:tr2bl w:val="nil"/>
                  </w:tcBorders>
                  <w:vAlign w:val="center"/>
                </w:tcPr>
                <w:p w14:paraId="505201D6">
                  <w:pPr>
                    <w:pageBreakBefore w:val="0"/>
                    <w:widowControl w:val="0"/>
                    <w:wordWrap w:val="0"/>
                    <w:overflowPunct/>
                    <w:bidi w:val="0"/>
                    <w:spacing w:line="240" w:lineRule="auto"/>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危险物质</w:t>
                  </w:r>
                </w:p>
              </w:tc>
              <w:tc>
                <w:tcPr>
                  <w:tcW w:w="1000" w:type="pct"/>
                  <w:tcBorders>
                    <w:top w:val="single" w:color="auto" w:sz="4" w:space="0"/>
                    <w:left w:val="single" w:color="auto" w:sz="4" w:space="0"/>
                    <w:bottom w:val="single" w:color="auto" w:sz="4" w:space="0"/>
                    <w:right w:val="single" w:color="auto" w:sz="4" w:space="0"/>
                    <w:tl2br w:val="nil"/>
                    <w:tr2bl w:val="nil"/>
                  </w:tcBorders>
                  <w:vAlign w:val="center"/>
                </w:tcPr>
                <w:p w14:paraId="4B2FC283">
                  <w:pPr>
                    <w:pageBreakBefore w:val="0"/>
                    <w:widowControl w:val="0"/>
                    <w:wordWrap w:val="0"/>
                    <w:overflowPunct/>
                    <w:bidi w:val="0"/>
                    <w:spacing w:line="240" w:lineRule="auto"/>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判断依据</w:t>
                  </w:r>
                </w:p>
              </w:tc>
            </w:tr>
            <w:tr w14:paraId="34D1E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3" w:type="pct"/>
                  <w:tcBorders>
                    <w:top w:val="single" w:color="auto" w:sz="4" w:space="0"/>
                    <w:left w:val="single" w:color="auto" w:sz="4" w:space="0"/>
                    <w:bottom w:val="single" w:color="auto" w:sz="4" w:space="0"/>
                    <w:right w:val="single" w:color="auto" w:sz="4" w:space="0"/>
                    <w:tl2br w:val="nil"/>
                    <w:tr2bl w:val="nil"/>
                  </w:tcBorders>
                  <w:vAlign w:val="center"/>
                </w:tcPr>
                <w:p w14:paraId="07708496">
                  <w:pPr>
                    <w:pageBreakBefore w:val="0"/>
                    <w:widowControl w:val="0"/>
                    <w:wordWrap w:val="0"/>
                    <w:overflowPunct/>
                    <w:bidi w:val="0"/>
                    <w:spacing w:line="240" w:lineRule="auto"/>
                    <w:jc w:val="center"/>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1</w:t>
                  </w:r>
                </w:p>
              </w:tc>
              <w:tc>
                <w:tcPr>
                  <w:tcW w:w="1036" w:type="pct"/>
                  <w:tcBorders>
                    <w:top w:val="single" w:color="auto" w:sz="4" w:space="0"/>
                    <w:left w:val="single" w:color="auto" w:sz="4" w:space="0"/>
                    <w:bottom w:val="single" w:color="auto" w:sz="4" w:space="0"/>
                    <w:right w:val="single" w:color="auto" w:sz="4" w:space="0"/>
                    <w:tl2br w:val="nil"/>
                    <w:tr2bl w:val="nil"/>
                  </w:tcBorders>
                  <w:vAlign w:val="center"/>
                </w:tcPr>
                <w:p w14:paraId="34BF9E63">
                  <w:pPr>
                    <w:pageBreakBefore w:val="0"/>
                    <w:widowControl w:val="0"/>
                    <w:wordWrap w:val="0"/>
                    <w:overflowPunct/>
                    <w:bidi w:val="0"/>
                    <w:spacing w:line="240" w:lineRule="auto"/>
                    <w:jc w:val="center"/>
                    <w:rPr>
                      <w:rFonts w:hint="default" w:ascii="Times New Roman" w:hAnsi="Times New Roman" w:eastAsia="宋体" w:cs="Times New Roman"/>
                      <w:b w:val="0"/>
                      <w:color w:val="auto"/>
                      <w:kern w:val="2"/>
                      <w:sz w:val="21"/>
                      <w:szCs w:val="21"/>
                      <w:highlight w:val="none"/>
                      <w:lang w:val="en-US" w:eastAsia="zh-CN" w:bidi="ar-SA"/>
                    </w:rPr>
                  </w:pPr>
                  <w:r>
                    <w:rPr>
                      <w:rFonts w:hint="eastAsia" w:cs="Times New Roman"/>
                      <w:b w:val="0"/>
                      <w:color w:val="auto"/>
                      <w:kern w:val="2"/>
                      <w:sz w:val="21"/>
                      <w:szCs w:val="21"/>
                      <w:highlight w:val="none"/>
                      <w:lang w:val="en-US" w:eastAsia="zh-CN" w:bidi="ar-SA"/>
                    </w:rPr>
                    <w:t>油性漆</w:t>
                  </w:r>
                </w:p>
              </w:tc>
              <w:tc>
                <w:tcPr>
                  <w:tcW w:w="1414" w:type="pct"/>
                  <w:tcBorders>
                    <w:top w:val="single" w:color="auto" w:sz="4" w:space="0"/>
                    <w:left w:val="single" w:color="auto" w:sz="4" w:space="0"/>
                    <w:bottom w:val="single" w:color="auto" w:sz="4" w:space="0"/>
                    <w:right w:val="single" w:color="auto" w:sz="4" w:space="0"/>
                    <w:tl2br w:val="nil"/>
                    <w:tr2bl w:val="nil"/>
                  </w:tcBorders>
                  <w:vAlign w:val="center"/>
                </w:tcPr>
                <w:p w14:paraId="414C6E1E">
                  <w:pPr>
                    <w:pageBreakBefore w:val="0"/>
                    <w:widowControl w:val="0"/>
                    <w:wordWrap w:val="0"/>
                    <w:overflowPunct/>
                    <w:bidi w:val="0"/>
                    <w:spacing w:line="240" w:lineRule="auto"/>
                    <w:jc w:val="center"/>
                    <w:rPr>
                      <w:rFonts w:hint="default" w:ascii="Times New Roman" w:hAnsi="Times New Roman" w:eastAsia="宋体" w:cs="Times New Roman"/>
                      <w:b w:val="0"/>
                      <w:color w:val="auto"/>
                      <w:kern w:val="2"/>
                      <w:sz w:val="21"/>
                      <w:szCs w:val="21"/>
                      <w:highlight w:val="none"/>
                      <w:lang w:val="en-US" w:eastAsia="zh-CN" w:bidi="ar-SA"/>
                    </w:rPr>
                  </w:pPr>
                  <w:r>
                    <w:rPr>
                      <w:rFonts w:hint="eastAsia" w:cs="Times New Roman"/>
                      <w:b w:val="0"/>
                      <w:color w:val="auto"/>
                      <w:kern w:val="2"/>
                      <w:sz w:val="21"/>
                      <w:szCs w:val="21"/>
                      <w:highlight w:val="none"/>
                      <w:lang w:val="en-US" w:eastAsia="zh-CN" w:bidi="ar-SA"/>
                    </w:rPr>
                    <w:t>环境危害、</w:t>
                  </w:r>
                  <w:r>
                    <w:rPr>
                      <w:rFonts w:hint="default" w:ascii="Times New Roman" w:hAnsi="Times New Roman" w:eastAsia="宋体" w:cs="Times New Roman"/>
                      <w:b w:val="0"/>
                      <w:color w:val="auto"/>
                      <w:kern w:val="2"/>
                      <w:sz w:val="21"/>
                      <w:szCs w:val="21"/>
                      <w:highlight w:val="none"/>
                      <w:lang w:val="en-US" w:eastAsia="zh-CN" w:bidi="ar-SA"/>
                    </w:rPr>
                    <w:t>易燃性</w:t>
                  </w:r>
                </w:p>
              </w:tc>
              <w:tc>
                <w:tcPr>
                  <w:tcW w:w="1275" w:type="pct"/>
                  <w:tcBorders>
                    <w:top w:val="single" w:color="auto" w:sz="4" w:space="0"/>
                    <w:left w:val="single" w:color="auto" w:sz="4" w:space="0"/>
                    <w:bottom w:val="single" w:color="auto" w:sz="4" w:space="0"/>
                    <w:right w:val="single" w:color="auto" w:sz="4" w:space="0"/>
                    <w:tl2br w:val="nil"/>
                    <w:tr2bl w:val="nil"/>
                  </w:tcBorders>
                  <w:vAlign w:val="center"/>
                </w:tcPr>
                <w:p w14:paraId="6708BB1A">
                  <w:pPr>
                    <w:pageBreakBefore w:val="0"/>
                    <w:widowControl w:val="0"/>
                    <w:wordWrap w:val="0"/>
                    <w:overflowPunct/>
                    <w:bidi w:val="0"/>
                    <w:spacing w:line="240" w:lineRule="auto"/>
                    <w:jc w:val="center"/>
                    <w:rPr>
                      <w:rFonts w:hint="default" w:ascii="Times New Roman" w:hAnsi="Times New Roman" w:eastAsia="宋体" w:cs="Times New Roman"/>
                      <w:b w:val="0"/>
                      <w:color w:val="auto"/>
                      <w:kern w:val="2"/>
                      <w:sz w:val="21"/>
                      <w:szCs w:val="21"/>
                      <w:highlight w:val="none"/>
                      <w:lang w:val="en-US" w:eastAsia="zh-CN" w:bidi="ar-SA"/>
                    </w:rPr>
                  </w:pPr>
                  <w:r>
                    <w:rPr>
                      <w:rFonts w:hint="eastAsia" w:cs="Times New Roman"/>
                      <w:b w:val="0"/>
                      <w:color w:val="auto"/>
                      <w:kern w:val="2"/>
                      <w:sz w:val="21"/>
                      <w:szCs w:val="21"/>
                      <w:highlight w:val="none"/>
                      <w:lang w:val="en-US" w:eastAsia="zh-CN" w:bidi="ar-SA"/>
                    </w:rPr>
                    <w:t>有机溶剂</w:t>
                  </w:r>
                </w:p>
              </w:tc>
              <w:tc>
                <w:tcPr>
                  <w:tcW w:w="1000" w:type="pct"/>
                  <w:tcBorders>
                    <w:top w:val="single" w:color="auto" w:sz="4" w:space="0"/>
                    <w:left w:val="single" w:color="auto" w:sz="4" w:space="0"/>
                    <w:bottom w:val="single" w:color="auto" w:sz="4" w:space="0"/>
                    <w:right w:val="single" w:color="auto" w:sz="4" w:space="0"/>
                    <w:tl2br w:val="nil"/>
                    <w:tr2bl w:val="nil"/>
                  </w:tcBorders>
                  <w:vAlign w:val="center"/>
                </w:tcPr>
                <w:p w14:paraId="3683D8CE">
                  <w:pPr>
                    <w:pageBreakBefore w:val="0"/>
                    <w:widowControl w:val="0"/>
                    <w:wordWrap w:val="0"/>
                    <w:overflowPunct/>
                    <w:bidi w:val="0"/>
                    <w:spacing w:line="240" w:lineRule="auto"/>
                    <w:jc w:val="center"/>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HJ 169-2018</w:t>
                  </w:r>
                </w:p>
              </w:tc>
            </w:tr>
            <w:tr w14:paraId="1D633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3" w:type="pct"/>
                  <w:tcBorders>
                    <w:top w:val="single" w:color="auto" w:sz="4" w:space="0"/>
                    <w:left w:val="single" w:color="auto" w:sz="4" w:space="0"/>
                    <w:bottom w:val="single" w:color="auto" w:sz="4" w:space="0"/>
                    <w:right w:val="single" w:color="auto" w:sz="4" w:space="0"/>
                    <w:tl2br w:val="nil"/>
                    <w:tr2bl w:val="nil"/>
                  </w:tcBorders>
                  <w:vAlign w:val="center"/>
                </w:tcPr>
                <w:p w14:paraId="006CF023">
                  <w:pPr>
                    <w:pageBreakBefore w:val="0"/>
                    <w:widowControl w:val="0"/>
                    <w:wordWrap w:val="0"/>
                    <w:overflowPunct/>
                    <w:bidi w:val="0"/>
                    <w:spacing w:line="240" w:lineRule="auto"/>
                    <w:jc w:val="center"/>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2</w:t>
                  </w:r>
                </w:p>
              </w:tc>
              <w:tc>
                <w:tcPr>
                  <w:tcW w:w="1036" w:type="pct"/>
                  <w:tcBorders>
                    <w:top w:val="single" w:color="auto" w:sz="4" w:space="0"/>
                    <w:left w:val="single" w:color="auto" w:sz="4" w:space="0"/>
                    <w:bottom w:val="single" w:color="auto" w:sz="4" w:space="0"/>
                    <w:right w:val="single" w:color="auto" w:sz="4" w:space="0"/>
                    <w:tl2br w:val="nil"/>
                    <w:tr2bl w:val="nil"/>
                  </w:tcBorders>
                  <w:vAlign w:val="center"/>
                </w:tcPr>
                <w:p w14:paraId="64C25DDD">
                  <w:pPr>
                    <w:pageBreakBefore w:val="0"/>
                    <w:widowControl w:val="0"/>
                    <w:wordWrap w:val="0"/>
                    <w:overflowPunct/>
                    <w:bidi w:val="0"/>
                    <w:spacing w:line="240" w:lineRule="auto"/>
                    <w:jc w:val="center"/>
                    <w:rPr>
                      <w:rFonts w:hint="default" w:ascii="Times New Roman" w:hAnsi="Times New Roman" w:eastAsia="宋体" w:cs="Times New Roman"/>
                      <w:b w:val="0"/>
                      <w:color w:val="auto"/>
                      <w:kern w:val="2"/>
                      <w:sz w:val="21"/>
                      <w:szCs w:val="21"/>
                      <w:highlight w:val="none"/>
                      <w:lang w:val="en-US" w:eastAsia="zh-CN" w:bidi="ar-SA"/>
                    </w:rPr>
                  </w:pPr>
                  <w:r>
                    <w:rPr>
                      <w:rFonts w:hint="eastAsia" w:cs="Times New Roman"/>
                      <w:b w:val="0"/>
                      <w:color w:val="auto"/>
                      <w:kern w:val="2"/>
                      <w:sz w:val="21"/>
                      <w:szCs w:val="21"/>
                      <w:highlight w:val="none"/>
                      <w:lang w:val="en-US" w:eastAsia="zh-CN" w:bidi="ar-SA"/>
                    </w:rPr>
                    <w:t>稀释剂</w:t>
                  </w:r>
                </w:p>
              </w:tc>
              <w:tc>
                <w:tcPr>
                  <w:tcW w:w="1414" w:type="pct"/>
                  <w:tcBorders>
                    <w:top w:val="single" w:color="auto" w:sz="4" w:space="0"/>
                    <w:left w:val="single" w:color="auto" w:sz="4" w:space="0"/>
                    <w:bottom w:val="single" w:color="auto" w:sz="4" w:space="0"/>
                    <w:right w:val="single" w:color="auto" w:sz="4" w:space="0"/>
                    <w:tl2br w:val="nil"/>
                    <w:tr2bl w:val="nil"/>
                  </w:tcBorders>
                  <w:vAlign w:val="center"/>
                </w:tcPr>
                <w:p w14:paraId="3A9261AF">
                  <w:pPr>
                    <w:pageBreakBefore w:val="0"/>
                    <w:widowControl w:val="0"/>
                    <w:wordWrap w:val="0"/>
                    <w:overflowPunct/>
                    <w:bidi w:val="0"/>
                    <w:spacing w:line="240" w:lineRule="auto"/>
                    <w:jc w:val="center"/>
                    <w:rPr>
                      <w:rFonts w:hint="default" w:ascii="Times New Roman" w:hAnsi="Times New Roman" w:eastAsia="宋体" w:cs="Times New Roman"/>
                      <w:b w:val="0"/>
                      <w:color w:val="auto"/>
                      <w:kern w:val="2"/>
                      <w:sz w:val="21"/>
                      <w:szCs w:val="21"/>
                      <w:highlight w:val="none"/>
                      <w:lang w:val="en-US" w:eastAsia="zh-CN" w:bidi="ar-SA"/>
                    </w:rPr>
                  </w:pPr>
                  <w:r>
                    <w:rPr>
                      <w:rFonts w:hint="eastAsia" w:cs="Times New Roman"/>
                      <w:b w:val="0"/>
                      <w:color w:val="auto"/>
                      <w:kern w:val="2"/>
                      <w:sz w:val="21"/>
                      <w:szCs w:val="21"/>
                      <w:highlight w:val="none"/>
                      <w:lang w:val="en-US" w:eastAsia="zh-CN" w:bidi="ar-SA"/>
                    </w:rPr>
                    <w:t>环境危害、</w:t>
                  </w:r>
                  <w:r>
                    <w:rPr>
                      <w:rFonts w:hint="default" w:ascii="Times New Roman" w:hAnsi="Times New Roman" w:eastAsia="宋体" w:cs="Times New Roman"/>
                      <w:b w:val="0"/>
                      <w:color w:val="auto"/>
                      <w:kern w:val="2"/>
                      <w:sz w:val="21"/>
                      <w:szCs w:val="21"/>
                      <w:highlight w:val="none"/>
                      <w:lang w:val="en-US" w:eastAsia="zh-CN" w:bidi="ar-SA"/>
                    </w:rPr>
                    <w:t>易燃性</w:t>
                  </w:r>
                </w:p>
              </w:tc>
              <w:tc>
                <w:tcPr>
                  <w:tcW w:w="1275" w:type="pct"/>
                  <w:tcBorders>
                    <w:top w:val="single" w:color="auto" w:sz="4" w:space="0"/>
                    <w:left w:val="single" w:color="auto" w:sz="4" w:space="0"/>
                    <w:bottom w:val="single" w:color="auto" w:sz="4" w:space="0"/>
                    <w:right w:val="single" w:color="auto" w:sz="4" w:space="0"/>
                    <w:tl2br w:val="nil"/>
                    <w:tr2bl w:val="nil"/>
                  </w:tcBorders>
                  <w:vAlign w:val="center"/>
                </w:tcPr>
                <w:p w14:paraId="25C66A78">
                  <w:pPr>
                    <w:pageBreakBefore w:val="0"/>
                    <w:widowControl w:val="0"/>
                    <w:wordWrap w:val="0"/>
                    <w:overflowPunct/>
                    <w:bidi w:val="0"/>
                    <w:spacing w:line="240" w:lineRule="auto"/>
                    <w:jc w:val="center"/>
                    <w:rPr>
                      <w:rFonts w:hint="default" w:ascii="Times New Roman" w:hAnsi="Times New Roman" w:eastAsia="宋体" w:cs="Times New Roman"/>
                      <w:b w:val="0"/>
                      <w:color w:val="auto"/>
                      <w:kern w:val="2"/>
                      <w:sz w:val="21"/>
                      <w:szCs w:val="21"/>
                      <w:highlight w:val="none"/>
                      <w:lang w:val="en-US" w:eastAsia="zh-CN" w:bidi="ar-SA"/>
                    </w:rPr>
                  </w:pPr>
                  <w:r>
                    <w:rPr>
                      <w:rFonts w:hint="eastAsia" w:cs="Times New Roman"/>
                      <w:b w:val="0"/>
                      <w:color w:val="auto"/>
                      <w:kern w:val="2"/>
                      <w:sz w:val="21"/>
                      <w:szCs w:val="21"/>
                      <w:highlight w:val="none"/>
                      <w:lang w:val="en-US" w:eastAsia="zh-CN" w:bidi="ar-SA"/>
                    </w:rPr>
                    <w:t>有机溶剂</w:t>
                  </w:r>
                </w:p>
              </w:tc>
              <w:tc>
                <w:tcPr>
                  <w:tcW w:w="1000" w:type="pct"/>
                  <w:tcBorders>
                    <w:top w:val="single" w:color="auto" w:sz="4" w:space="0"/>
                    <w:left w:val="single" w:color="auto" w:sz="4" w:space="0"/>
                    <w:bottom w:val="single" w:color="auto" w:sz="4" w:space="0"/>
                    <w:right w:val="single" w:color="auto" w:sz="4" w:space="0"/>
                    <w:tl2br w:val="nil"/>
                    <w:tr2bl w:val="nil"/>
                  </w:tcBorders>
                  <w:vAlign w:val="center"/>
                </w:tcPr>
                <w:p w14:paraId="225E42DE">
                  <w:pPr>
                    <w:pageBreakBefore w:val="0"/>
                    <w:widowControl w:val="0"/>
                    <w:wordWrap w:val="0"/>
                    <w:overflowPunct/>
                    <w:bidi w:val="0"/>
                    <w:spacing w:line="240" w:lineRule="auto"/>
                    <w:jc w:val="center"/>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HJ 169-2018</w:t>
                  </w:r>
                </w:p>
              </w:tc>
            </w:tr>
            <w:tr w14:paraId="00B09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3" w:type="pct"/>
                  <w:tcBorders>
                    <w:top w:val="single" w:color="auto" w:sz="4" w:space="0"/>
                    <w:left w:val="single" w:color="auto" w:sz="4" w:space="0"/>
                    <w:bottom w:val="single" w:color="auto" w:sz="4" w:space="0"/>
                    <w:right w:val="single" w:color="auto" w:sz="4" w:space="0"/>
                    <w:tl2br w:val="nil"/>
                    <w:tr2bl w:val="nil"/>
                  </w:tcBorders>
                  <w:vAlign w:val="center"/>
                </w:tcPr>
                <w:p w14:paraId="4A5E6478">
                  <w:pPr>
                    <w:pageBreakBefore w:val="0"/>
                    <w:widowControl w:val="0"/>
                    <w:wordWrap w:val="0"/>
                    <w:overflowPunct/>
                    <w:bidi w:val="0"/>
                    <w:spacing w:line="240" w:lineRule="auto"/>
                    <w:jc w:val="center"/>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3</w:t>
                  </w:r>
                </w:p>
              </w:tc>
              <w:tc>
                <w:tcPr>
                  <w:tcW w:w="1036"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3E5B740">
                  <w:pPr>
                    <w:pageBreakBefore w:val="0"/>
                    <w:widowControl w:val="0"/>
                    <w:wordWrap w:val="0"/>
                    <w:overflowPunct/>
                    <w:bidi w:val="0"/>
                    <w:spacing w:line="240" w:lineRule="auto"/>
                    <w:jc w:val="center"/>
                    <w:rPr>
                      <w:rFonts w:hint="default" w:ascii="Times New Roman" w:hAnsi="Times New Roman" w:eastAsia="宋体" w:cs="Times New Roman"/>
                      <w:b w:val="0"/>
                      <w:color w:val="auto"/>
                      <w:kern w:val="2"/>
                      <w:sz w:val="21"/>
                      <w:szCs w:val="21"/>
                      <w:highlight w:val="none"/>
                      <w:lang w:val="en-US" w:eastAsia="zh-CN" w:bidi="ar-SA"/>
                    </w:rPr>
                  </w:pPr>
                  <w:r>
                    <w:rPr>
                      <w:rFonts w:hint="eastAsia" w:cs="Times New Roman"/>
                      <w:b w:val="0"/>
                      <w:color w:val="auto"/>
                      <w:kern w:val="2"/>
                      <w:sz w:val="21"/>
                      <w:szCs w:val="21"/>
                      <w:highlight w:val="none"/>
                      <w:lang w:val="en-US" w:eastAsia="zh-CN" w:bidi="ar-SA"/>
                    </w:rPr>
                    <w:t>固化剂</w:t>
                  </w:r>
                </w:p>
              </w:tc>
              <w:tc>
                <w:tcPr>
                  <w:tcW w:w="1414"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A4B1A70">
                  <w:pPr>
                    <w:pageBreakBefore w:val="0"/>
                    <w:widowControl w:val="0"/>
                    <w:wordWrap w:val="0"/>
                    <w:overflowPunct/>
                    <w:bidi w:val="0"/>
                    <w:spacing w:line="240" w:lineRule="auto"/>
                    <w:jc w:val="center"/>
                    <w:rPr>
                      <w:rFonts w:hint="default" w:ascii="Times New Roman" w:hAnsi="Times New Roman" w:eastAsia="宋体" w:cs="Times New Roman"/>
                      <w:b w:val="0"/>
                      <w:color w:val="auto"/>
                      <w:kern w:val="2"/>
                      <w:sz w:val="21"/>
                      <w:szCs w:val="21"/>
                      <w:highlight w:val="none"/>
                      <w:lang w:val="en-US" w:eastAsia="zh-CN" w:bidi="ar-SA"/>
                    </w:rPr>
                  </w:pPr>
                  <w:r>
                    <w:rPr>
                      <w:rFonts w:hint="eastAsia" w:cs="Times New Roman"/>
                      <w:b w:val="0"/>
                      <w:color w:val="auto"/>
                      <w:kern w:val="2"/>
                      <w:sz w:val="21"/>
                      <w:szCs w:val="21"/>
                      <w:highlight w:val="none"/>
                      <w:lang w:val="en-US" w:eastAsia="zh-CN" w:bidi="ar-SA"/>
                    </w:rPr>
                    <w:t>环境危害、</w:t>
                  </w:r>
                  <w:r>
                    <w:rPr>
                      <w:rFonts w:hint="default" w:ascii="Times New Roman" w:hAnsi="Times New Roman" w:eastAsia="宋体" w:cs="Times New Roman"/>
                      <w:b w:val="0"/>
                      <w:color w:val="auto"/>
                      <w:kern w:val="2"/>
                      <w:sz w:val="21"/>
                      <w:szCs w:val="21"/>
                      <w:highlight w:val="none"/>
                      <w:lang w:val="en-US" w:eastAsia="zh-CN" w:bidi="ar-SA"/>
                    </w:rPr>
                    <w:t>易燃性</w:t>
                  </w:r>
                </w:p>
              </w:tc>
              <w:tc>
                <w:tcPr>
                  <w:tcW w:w="1275" w:type="pct"/>
                  <w:tcBorders>
                    <w:top w:val="single" w:color="auto" w:sz="4" w:space="0"/>
                    <w:left w:val="single" w:color="auto" w:sz="4" w:space="0"/>
                    <w:right w:val="single" w:color="auto" w:sz="4" w:space="0"/>
                    <w:tl2br w:val="nil"/>
                    <w:tr2bl w:val="nil"/>
                  </w:tcBorders>
                  <w:shd w:val="clear" w:color="auto" w:fill="auto"/>
                  <w:vAlign w:val="center"/>
                </w:tcPr>
                <w:p w14:paraId="3E3887BD">
                  <w:pPr>
                    <w:pageBreakBefore w:val="0"/>
                    <w:widowControl w:val="0"/>
                    <w:wordWrap w:val="0"/>
                    <w:overflowPunct/>
                    <w:bidi w:val="0"/>
                    <w:spacing w:line="240" w:lineRule="auto"/>
                    <w:jc w:val="center"/>
                    <w:rPr>
                      <w:rFonts w:hint="default" w:ascii="Times New Roman" w:hAnsi="Times New Roman" w:eastAsia="宋体" w:cs="Times New Roman"/>
                      <w:b w:val="0"/>
                      <w:color w:val="auto"/>
                      <w:kern w:val="2"/>
                      <w:sz w:val="21"/>
                      <w:szCs w:val="21"/>
                      <w:highlight w:val="none"/>
                      <w:lang w:val="en-US" w:eastAsia="zh-CN" w:bidi="ar-SA"/>
                    </w:rPr>
                  </w:pPr>
                  <w:r>
                    <w:rPr>
                      <w:rFonts w:hint="eastAsia" w:cs="Times New Roman"/>
                      <w:b w:val="0"/>
                      <w:color w:val="auto"/>
                      <w:kern w:val="2"/>
                      <w:sz w:val="21"/>
                      <w:szCs w:val="21"/>
                      <w:highlight w:val="none"/>
                      <w:lang w:val="en-US" w:eastAsia="zh-CN" w:bidi="ar-SA"/>
                    </w:rPr>
                    <w:t>有机溶剂</w:t>
                  </w:r>
                </w:p>
              </w:tc>
              <w:tc>
                <w:tcPr>
                  <w:tcW w:w="1000" w:type="pct"/>
                  <w:tcBorders>
                    <w:top w:val="single" w:color="auto" w:sz="4" w:space="0"/>
                    <w:left w:val="single" w:color="auto" w:sz="4" w:space="0"/>
                    <w:bottom w:val="single" w:color="auto" w:sz="4" w:space="0"/>
                    <w:right w:val="single" w:color="auto" w:sz="4" w:space="0"/>
                    <w:tl2br w:val="nil"/>
                    <w:tr2bl w:val="nil"/>
                  </w:tcBorders>
                  <w:vAlign w:val="center"/>
                </w:tcPr>
                <w:p w14:paraId="45163DC4">
                  <w:pPr>
                    <w:pageBreakBefore w:val="0"/>
                    <w:widowControl w:val="0"/>
                    <w:wordWrap w:val="0"/>
                    <w:overflowPunct/>
                    <w:bidi w:val="0"/>
                    <w:spacing w:line="240" w:lineRule="auto"/>
                    <w:jc w:val="center"/>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HJ 169-2018</w:t>
                  </w:r>
                </w:p>
              </w:tc>
            </w:tr>
            <w:tr w14:paraId="12D23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3" w:type="pct"/>
                  <w:tcBorders>
                    <w:top w:val="single" w:color="auto" w:sz="4" w:space="0"/>
                    <w:left w:val="single" w:color="auto" w:sz="4" w:space="0"/>
                    <w:bottom w:val="single" w:color="auto" w:sz="4" w:space="0"/>
                    <w:right w:val="single" w:color="auto" w:sz="4" w:space="0"/>
                    <w:tl2br w:val="nil"/>
                    <w:tr2bl w:val="nil"/>
                  </w:tcBorders>
                  <w:vAlign w:val="center"/>
                </w:tcPr>
                <w:p w14:paraId="5ACC1F5D">
                  <w:pPr>
                    <w:pageBreakBefore w:val="0"/>
                    <w:widowControl w:val="0"/>
                    <w:wordWrap w:val="0"/>
                    <w:overflowPunct/>
                    <w:bidi w:val="0"/>
                    <w:spacing w:line="240" w:lineRule="auto"/>
                    <w:jc w:val="center"/>
                    <w:rPr>
                      <w:rFonts w:hint="default" w:ascii="Times New Roman" w:hAnsi="Times New Roman" w:eastAsia="宋体" w:cs="Times New Roman"/>
                      <w:b w:val="0"/>
                      <w:color w:val="auto"/>
                      <w:kern w:val="2"/>
                      <w:sz w:val="21"/>
                      <w:szCs w:val="21"/>
                      <w:highlight w:val="none"/>
                      <w:lang w:val="en-US" w:eastAsia="zh-CN" w:bidi="ar-SA"/>
                    </w:rPr>
                  </w:pPr>
                  <w:r>
                    <w:rPr>
                      <w:rFonts w:hint="eastAsia" w:cs="Times New Roman"/>
                      <w:b w:val="0"/>
                      <w:color w:val="auto"/>
                      <w:kern w:val="2"/>
                      <w:sz w:val="21"/>
                      <w:szCs w:val="21"/>
                      <w:highlight w:val="none"/>
                      <w:lang w:val="en-US" w:eastAsia="zh-CN" w:bidi="ar-SA"/>
                    </w:rPr>
                    <w:t>4</w:t>
                  </w:r>
                </w:p>
              </w:tc>
              <w:tc>
                <w:tcPr>
                  <w:tcW w:w="1036"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BCBA748">
                  <w:pPr>
                    <w:pageBreakBefore w:val="0"/>
                    <w:widowControl w:val="0"/>
                    <w:wordWrap w:val="0"/>
                    <w:overflowPunct/>
                    <w:bidi w:val="0"/>
                    <w:spacing w:line="240" w:lineRule="auto"/>
                    <w:jc w:val="center"/>
                    <w:rPr>
                      <w:rFonts w:hint="default" w:cs="Times New Roman"/>
                      <w:b w:val="0"/>
                      <w:color w:val="auto"/>
                      <w:kern w:val="2"/>
                      <w:sz w:val="21"/>
                      <w:szCs w:val="21"/>
                      <w:highlight w:val="none"/>
                      <w:lang w:val="en-US" w:eastAsia="zh-CN" w:bidi="ar-SA"/>
                    </w:rPr>
                  </w:pPr>
                  <w:r>
                    <w:rPr>
                      <w:rFonts w:hint="eastAsia" w:cs="Times New Roman"/>
                      <w:b w:val="0"/>
                      <w:color w:val="auto"/>
                      <w:kern w:val="2"/>
                      <w:sz w:val="21"/>
                      <w:szCs w:val="21"/>
                      <w:highlight w:val="none"/>
                      <w:lang w:val="en-US" w:eastAsia="zh-CN" w:bidi="ar-SA"/>
                    </w:rPr>
                    <w:t>油墨</w:t>
                  </w:r>
                </w:p>
              </w:tc>
              <w:tc>
                <w:tcPr>
                  <w:tcW w:w="1414"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7ED48BA">
                  <w:pPr>
                    <w:pageBreakBefore w:val="0"/>
                    <w:widowControl w:val="0"/>
                    <w:wordWrap w:val="0"/>
                    <w:overflowPunct/>
                    <w:bidi w:val="0"/>
                    <w:spacing w:line="240" w:lineRule="auto"/>
                    <w:jc w:val="center"/>
                    <w:rPr>
                      <w:rFonts w:hint="eastAsia" w:cs="Times New Roman"/>
                      <w:b w:val="0"/>
                      <w:color w:val="auto"/>
                      <w:kern w:val="2"/>
                      <w:sz w:val="21"/>
                      <w:szCs w:val="21"/>
                      <w:highlight w:val="none"/>
                      <w:lang w:val="en-US" w:eastAsia="zh-CN" w:bidi="ar-SA"/>
                    </w:rPr>
                  </w:pPr>
                  <w:r>
                    <w:rPr>
                      <w:rFonts w:hint="eastAsia" w:cs="Times New Roman"/>
                      <w:b w:val="0"/>
                      <w:color w:val="auto"/>
                      <w:kern w:val="2"/>
                      <w:sz w:val="21"/>
                      <w:szCs w:val="21"/>
                      <w:highlight w:val="none"/>
                      <w:lang w:val="en-US" w:eastAsia="zh-CN" w:bidi="ar-SA"/>
                    </w:rPr>
                    <w:t>环境危害、</w:t>
                  </w:r>
                  <w:r>
                    <w:rPr>
                      <w:rFonts w:hint="default" w:ascii="Times New Roman" w:hAnsi="Times New Roman" w:eastAsia="宋体" w:cs="Times New Roman"/>
                      <w:b w:val="0"/>
                      <w:color w:val="auto"/>
                      <w:kern w:val="2"/>
                      <w:sz w:val="21"/>
                      <w:szCs w:val="21"/>
                      <w:highlight w:val="none"/>
                      <w:lang w:val="en-US" w:eastAsia="zh-CN" w:bidi="ar-SA"/>
                    </w:rPr>
                    <w:t>易燃性</w:t>
                  </w:r>
                </w:p>
              </w:tc>
              <w:tc>
                <w:tcPr>
                  <w:tcW w:w="1275" w:type="pct"/>
                  <w:tcBorders>
                    <w:top w:val="single" w:color="auto" w:sz="4" w:space="0"/>
                    <w:left w:val="single" w:color="auto" w:sz="4" w:space="0"/>
                    <w:right w:val="single" w:color="auto" w:sz="4" w:space="0"/>
                    <w:tl2br w:val="nil"/>
                    <w:tr2bl w:val="nil"/>
                  </w:tcBorders>
                  <w:shd w:val="clear" w:color="auto" w:fill="auto"/>
                  <w:vAlign w:val="center"/>
                </w:tcPr>
                <w:p w14:paraId="27D17AA9">
                  <w:pPr>
                    <w:pageBreakBefore w:val="0"/>
                    <w:widowControl w:val="0"/>
                    <w:wordWrap w:val="0"/>
                    <w:overflowPunct/>
                    <w:bidi w:val="0"/>
                    <w:spacing w:line="240" w:lineRule="auto"/>
                    <w:jc w:val="center"/>
                    <w:rPr>
                      <w:rFonts w:hint="eastAsia" w:cs="Times New Roman"/>
                      <w:b w:val="0"/>
                      <w:color w:val="auto"/>
                      <w:kern w:val="2"/>
                      <w:sz w:val="21"/>
                      <w:szCs w:val="21"/>
                      <w:highlight w:val="none"/>
                      <w:lang w:val="en-US" w:eastAsia="zh-CN" w:bidi="ar-SA"/>
                    </w:rPr>
                  </w:pPr>
                  <w:r>
                    <w:rPr>
                      <w:rFonts w:hint="eastAsia" w:cs="Times New Roman"/>
                      <w:b w:val="0"/>
                      <w:color w:val="auto"/>
                      <w:kern w:val="2"/>
                      <w:sz w:val="21"/>
                      <w:szCs w:val="21"/>
                      <w:highlight w:val="none"/>
                      <w:lang w:val="en-US" w:eastAsia="zh-CN" w:bidi="ar-SA"/>
                    </w:rPr>
                    <w:t>有机溶剂</w:t>
                  </w:r>
                </w:p>
              </w:tc>
              <w:tc>
                <w:tcPr>
                  <w:tcW w:w="1000" w:type="pct"/>
                  <w:tcBorders>
                    <w:top w:val="single" w:color="auto" w:sz="4" w:space="0"/>
                    <w:left w:val="single" w:color="auto" w:sz="4" w:space="0"/>
                    <w:bottom w:val="single" w:color="auto" w:sz="4" w:space="0"/>
                    <w:right w:val="single" w:color="auto" w:sz="4" w:space="0"/>
                    <w:tl2br w:val="nil"/>
                    <w:tr2bl w:val="nil"/>
                  </w:tcBorders>
                  <w:vAlign w:val="center"/>
                </w:tcPr>
                <w:p w14:paraId="0198AAFF">
                  <w:pPr>
                    <w:pageBreakBefore w:val="0"/>
                    <w:widowControl w:val="0"/>
                    <w:wordWrap w:val="0"/>
                    <w:overflowPunct/>
                    <w:bidi w:val="0"/>
                    <w:spacing w:line="240" w:lineRule="auto"/>
                    <w:jc w:val="center"/>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HJ 169-2018</w:t>
                  </w:r>
                </w:p>
              </w:tc>
            </w:tr>
            <w:tr w14:paraId="3DE1D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3"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4A234D5">
                  <w:pPr>
                    <w:pageBreakBefore w:val="0"/>
                    <w:widowControl w:val="0"/>
                    <w:wordWrap w:val="0"/>
                    <w:overflowPunct/>
                    <w:bidi w:val="0"/>
                    <w:spacing w:line="240" w:lineRule="auto"/>
                    <w:jc w:val="center"/>
                    <w:rPr>
                      <w:rFonts w:hint="eastAsia" w:ascii="Times New Roman" w:hAnsi="Times New Roman" w:eastAsia="宋体" w:cs="Times New Roman"/>
                      <w:b w:val="0"/>
                      <w:color w:val="auto"/>
                      <w:kern w:val="2"/>
                      <w:sz w:val="21"/>
                      <w:szCs w:val="21"/>
                      <w:highlight w:val="none"/>
                      <w:lang w:val="en-US" w:eastAsia="zh-CN" w:bidi="ar-SA"/>
                    </w:rPr>
                  </w:pPr>
                  <w:r>
                    <w:rPr>
                      <w:rFonts w:hint="eastAsia" w:cs="Times New Roman"/>
                      <w:b w:val="0"/>
                      <w:color w:val="auto"/>
                      <w:kern w:val="2"/>
                      <w:sz w:val="21"/>
                      <w:szCs w:val="21"/>
                      <w:highlight w:val="none"/>
                      <w:lang w:val="en-US" w:eastAsia="zh-CN" w:bidi="ar-SA"/>
                    </w:rPr>
                    <w:t>5</w:t>
                  </w:r>
                </w:p>
              </w:tc>
              <w:tc>
                <w:tcPr>
                  <w:tcW w:w="1036"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D95E4BE">
                  <w:pPr>
                    <w:pageBreakBefore w:val="0"/>
                    <w:widowControl w:val="0"/>
                    <w:wordWrap w:val="0"/>
                    <w:overflowPunct/>
                    <w:bidi w:val="0"/>
                    <w:spacing w:line="240" w:lineRule="auto"/>
                    <w:jc w:val="center"/>
                    <w:rPr>
                      <w:rFonts w:hint="default" w:cs="Times New Roman"/>
                      <w:b w:val="0"/>
                      <w:color w:val="auto"/>
                      <w:kern w:val="2"/>
                      <w:sz w:val="21"/>
                      <w:szCs w:val="21"/>
                      <w:highlight w:val="none"/>
                      <w:lang w:val="en-US" w:eastAsia="zh-CN" w:bidi="ar-SA"/>
                    </w:rPr>
                  </w:pPr>
                  <w:r>
                    <w:rPr>
                      <w:rFonts w:hint="eastAsia" w:cs="Times New Roman"/>
                      <w:b w:val="0"/>
                      <w:color w:val="auto"/>
                      <w:kern w:val="2"/>
                      <w:sz w:val="21"/>
                      <w:szCs w:val="21"/>
                      <w:highlight w:val="none"/>
                      <w:lang w:val="en-US" w:eastAsia="zh-CN" w:bidi="ar-SA"/>
                    </w:rPr>
                    <w:t>酒精</w:t>
                  </w:r>
                </w:p>
              </w:tc>
              <w:tc>
                <w:tcPr>
                  <w:tcW w:w="1414"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EACD38F">
                  <w:pPr>
                    <w:pageBreakBefore w:val="0"/>
                    <w:widowControl w:val="0"/>
                    <w:wordWrap w:val="0"/>
                    <w:overflowPunct/>
                    <w:bidi w:val="0"/>
                    <w:spacing w:line="240" w:lineRule="auto"/>
                    <w:jc w:val="center"/>
                    <w:rPr>
                      <w:rFonts w:hint="eastAsia"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易燃性</w:t>
                  </w:r>
                </w:p>
              </w:tc>
              <w:tc>
                <w:tcPr>
                  <w:tcW w:w="2221" w:type="dxa"/>
                  <w:tcBorders>
                    <w:top w:val="single" w:color="auto" w:sz="4" w:space="0"/>
                    <w:left w:val="single" w:color="auto" w:sz="4" w:space="0"/>
                    <w:right w:val="single" w:color="auto" w:sz="4" w:space="0"/>
                    <w:tl2br w:val="nil"/>
                    <w:tr2bl w:val="nil"/>
                  </w:tcBorders>
                  <w:shd w:val="clear" w:color="auto" w:fill="auto"/>
                  <w:vAlign w:val="center"/>
                </w:tcPr>
                <w:p w14:paraId="0BF5D0FF">
                  <w:pPr>
                    <w:pageBreakBefore w:val="0"/>
                    <w:widowControl w:val="0"/>
                    <w:wordWrap w:val="0"/>
                    <w:overflowPunct/>
                    <w:bidi w:val="0"/>
                    <w:spacing w:line="240" w:lineRule="auto"/>
                    <w:jc w:val="center"/>
                    <w:rPr>
                      <w:rFonts w:hint="eastAsia" w:cs="Times New Roman"/>
                      <w:b w:val="0"/>
                      <w:color w:val="auto"/>
                      <w:kern w:val="2"/>
                      <w:sz w:val="21"/>
                      <w:szCs w:val="21"/>
                      <w:highlight w:val="none"/>
                      <w:lang w:val="en-US" w:eastAsia="zh-CN" w:bidi="ar-SA"/>
                    </w:rPr>
                  </w:pPr>
                  <w:r>
                    <w:rPr>
                      <w:rFonts w:hint="eastAsia" w:cs="Times New Roman"/>
                      <w:b w:val="0"/>
                      <w:color w:val="auto"/>
                      <w:kern w:val="2"/>
                      <w:sz w:val="21"/>
                      <w:szCs w:val="21"/>
                      <w:highlight w:val="none"/>
                      <w:lang w:val="en-US" w:eastAsia="zh-CN" w:bidi="ar-SA"/>
                    </w:rPr>
                    <w:t>有机溶剂</w:t>
                  </w:r>
                </w:p>
              </w:tc>
              <w:tc>
                <w:tcPr>
                  <w:tcW w:w="1742" w:type="dxa"/>
                  <w:tcBorders>
                    <w:top w:val="single" w:color="auto" w:sz="4" w:space="0"/>
                    <w:left w:val="single" w:color="auto" w:sz="4" w:space="0"/>
                    <w:bottom w:val="single" w:color="auto" w:sz="4" w:space="0"/>
                    <w:right w:val="single" w:color="auto" w:sz="4" w:space="0"/>
                    <w:tl2br w:val="nil"/>
                    <w:tr2bl w:val="nil"/>
                  </w:tcBorders>
                  <w:vAlign w:val="center"/>
                </w:tcPr>
                <w:p w14:paraId="46492CCC">
                  <w:pPr>
                    <w:pageBreakBefore w:val="0"/>
                    <w:widowControl w:val="0"/>
                    <w:wordWrap w:val="0"/>
                    <w:overflowPunct/>
                    <w:bidi w:val="0"/>
                    <w:spacing w:line="240" w:lineRule="auto"/>
                    <w:jc w:val="center"/>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HJ 169-2018</w:t>
                  </w:r>
                </w:p>
              </w:tc>
            </w:tr>
            <w:tr w14:paraId="19391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3"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0418473">
                  <w:pPr>
                    <w:pageBreakBefore w:val="0"/>
                    <w:widowControl w:val="0"/>
                    <w:wordWrap w:val="0"/>
                    <w:overflowPunct/>
                    <w:bidi w:val="0"/>
                    <w:spacing w:line="240" w:lineRule="auto"/>
                    <w:jc w:val="center"/>
                    <w:rPr>
                      <w:rFonts w:hint="default" w:ascii="Times New Roman" w:hAnsi="Times New Roman" w:eastAsia="宋体" w:cs="Times New Roman"/>
                      <w:b w:val="0"/>
                      <w:color w:val="auto"/>
                      <w:kern w:val="2"/>
                      <w:sz w:val="21"/>
                      <w:szCs w:val="21"/>
                      <w:highlight w:val="none"/>
                      <w:lang w:val="en-US" w:eastAsia="zh-CN" w:bidi="ar-SA"/>
                    </w:rPr>
                  </w:pPr>
                  <w:r>
                    <w:rPr>
                      <w:rFonts w:hint="eastAsia" w:cs="Times New Roman"/>
                      <w:b w:val="0"/>
                      <w:color w:val="auto"/>
                      <w:kern w:val="2"/>
                      <w:sz w:val="21"/>
                      <w:szCs w:val="21"/>
                      <w:highlight w:val="none"/>
                      <w:lang w:val="en-US" w:eastAsia="zh-CN" w:bidi="ar-SA"/>
                    </w:rPr>
                    <w:t>6</w:t>
                  </w:r>
                </w:p>
              </w:tc>
              <w:tc>
                <w:tcPr>
                  <w:tcW w:w="1036"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5B2496C">
                  <w:pPr>
                    <w:pageBreakBefore w:val="0"/>
                    <w:widowControl w:val="0"/>
                    <w:wordWrap w:val="0"/>
                    <w:overflowPunct/>
                    <w:bidi w:val="0"/>
                    <w:spacing w:line="240" w:lineRule="auto"/>
                    <w:jc w:val="center"/>
                    <w:rPr>
                      <w:rFonts w:hint="default" w:ascii="Times New Roman" w:hAnsi="Times New Roman" w:eastAsia="宋体" w:cs="Times New Roman"/>
                      <w:b w:val="0"/>
                      <w:color w:val="auto"/>
                      <w:kern w:val="2"/>
                      <w:sz w:val="21"/>
                      <w:szCs w:val="21"/>
                      <w:highlight w:val="none"/>
                      <w:lang w:val="en-US" w:eastAsia="zh-CN" w:bidi="ar-SA"/>
                    </w:rPr>
                  </w:pPr>
                  <w:r>
                    <w:rPr>
                      <w:rFonts w:hint="eastAsia" w:cs="Times New Roman"/>
                      <w:b w:val="0"/>
                      <w:color w:val="auto"/>
                      <w:kern w:val="2"/>
                      <w:sz w:val="21"/>
                      <w:szCs w:val="21"/>
                      <w:highlight w:val="none"/>
                      <w:lang w:val="en-US" w:eastAsia="zh-CN" w:bidi="ar-SA"/>
                    </w:rPr>
                    <w:t>机</w:t>
                  </w:r>
                  <w:r>
                    <w:rPr>
                      <w:rFonts w:hint="default" w:ascii="Times New Roman" w:hAnsi="Times New Roman" w:eastAsia="宋体" w:cs="Times New Roman"/>
                      <w:b w:val="0"/>
                      <w:color w:val="auto"/>
                      <w:kern w:val="2"/>
                      <w:sz w:val="21"/>
                      <w:szCs w:val="21"/>
                      <w:highlight w:val="none"/>
                      <w:lang w:val="en-US" w:eastAsia="zh-CN" w:bidi="ar-SA"/>
                    </w:rPr>
                    <w:t>油</w:t>
                  </w:r>
                </w:p>
              </w:tc>
              <w:tc>
                <w:tcPr>
                  <w:tcW w:w="1414"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F1ED304">
                  <w:pPr>
                    <w:pageBreakBefore w:val="0"/>
                    <w:widowControl w:val="0"/>
                    <w:wordWrap w:val="0"/>
                    <w:overflowPunct/>
                    <w:bidi w:val="0"/>
                    <w:spacing w:line="240" w:lineRule="auto"/>
                    <w:jc w:val="center"/>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易燃性</w:t>
                  </w:r>
                </w:p>
              </w:tc>
              <w:tc>
                <w:tcPr>
                  <w:tcW w:w="1275" w:type="pct"/>
                  <w:vMerge w:val="restart"/>
                  <w:tcBorders>
                    <w:left w:val="single" w:color="auto" w:sz="4" w:space="0"/>
                    <w:right w:val="single" w:color="auto" w:sz="4" w:space="0"/>
                    <w:tl2br w:val="nil"/>
                    <w:tr2bl w:val="nil"/>
                  </w:tcBorders>
                  <w:vAlign w:val="center"/>
                </w:tcPr>
                <w:p w14:paraId="5C53BB40">
                  <w:pPr>
                    <w:pageBreakBefore w:val="0"/>
                    <w:widowControl w:val="0"/>
                    <w:wordWrap w:val="0"/>
                    <w:overflowPunct/>
                    <w:bidi w:val="0"/>
                    <w:spacing w:line="240" w:lineRule="auto"/>
                    <w:jc w:val="center"/>
                    <w:rPr>
                      <w:rFonts w:hint="default" w:ascii="Times New Roman" w:hAnsi="Times New Roman" w:eastAsia="宋体" w:cs="Times New Roman"/>
                      <w:b w:val="0"/>
                      <w:color w:val="auto"/>
                      <w:kern w:val="2"/>
                      <w:sz w:val="21"/>
                      <w:szCs w:val="21"/>
                      <w:highlight w:val="none"/>
                      <w:lang w:val="en-US" w:eastAsia="zh-CN" w:bidi="ar-SA"/>
                    </w:rPr>
                  </w:pPr>
                  <w:r>
                    <w:rPr>
                      <w:rFonts w:hint="eastAsia" w:cs="Times New Roman"/>
                      <w:b w:val="0"/>
                      <w:color w:val="auto"/>
                      <w:kern w:val="2"/>
                      <w:sz w:val="21"/>
                      <w:szCs w:val="21"/>
                      <w:highlight w:val="none"/>
                      <w:lang w:val="en-US" w:eastAsia="zh-CN" w:bidi="ar-SA"/>
                    </w:rPr>
                    <w:t>废矿物油</w:t>
                  </w:r>
                </w:p>
              </w:tc>
              <w:tc>
                <w:tcPr>
                  <w:tcW w:w="1000" w:type="pct"/>
                  <w:tcBorders>
                    <w:top w:val="single" w:color="auto" w:sz="4" w:space="0"/>
                    <w:left w:val="single" w:color="auto" w:sz="4" w:space="0"/>
                    <w:bottom w:val="single" w:color="auto" w:sz="4" w:space="0"/>
                    <w:right w:val="single" w:color="auto" w:sz="4" w:space="0"/>
                    <w:tl2br w:val="nil"/>
                    <w:tr2bl w:val="nil"/>
                  </w:tcBorders>
                  <w:vAlign w:val="center"/>
                </w:tcPr>
                <w:p w14:paraId="06C53F5E">
                  <w:pPr>
                    <w:pageBreakBefore w:val="0"/>
                    <w:widowControl w:val="0"/>
                    <w:wordWrap w:val="0"/>
                    <w:overflowPunct/>
                    <w:bidi w:val="0"/>
                    <w:spacing w:line="240" w:lineRule="auto"/>
                    <w:jc w:val="center"/>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HJ 169-2018</w:t>
                  </w:r>
                </w:p>
              </w:tc>
            </w:tr>
            <w:tr w14:paraId="5E823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3"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142F9E5">
                  <w:pPr>
                    <w:pageBreakBefore w:val="0"/>
                    <w:widowControl w:val="0"/>
                    <w:wordWrap w:val="0"/>
                    <w:overflowPunct/>
                    <w:bidi w:val="0"/>
                    <w:spacing w:line="240" w:lineRule="auto"/>
                    <w:jc w:val="center"/>
                    <w:rPr>
                      <w:rFonts w:hint="default" w:ascii="Times New Roman" w:hAnsi="Times New Roman" w:eastAsia="宋体" w:cs="Times New Roman"/>
                      <w:b w:val="0"/>
                      <w:color w:val="auto"/>
                      <w:kern w:val="2"/>
                      <w:sz w:val="21"/>
                      <w:szCs w:val="21"/>
                      <w:highlight w:val="none"/>
                      <w:lang w:val="en-US" w:eastAsia="zh-CN" w:bidi="ar-SA"/>
                    </w:rPr>
                  </w:pPr>
                  <w:r>
                    <w:rPr>
                      <w:rFonts w:hint="eastAsia" w:cs="Times New Roman"/>
                      <w:b w:val="0"/>
                      <w:color w:val="auto"/>
                      <w:kern w:val="2"/>
                      <w:sz w:val="21"/>
                      <w:szCs w:val="21"/>
                      <w:highlight w:val="none"/>
                      <w:lang w:val="en-US" w:eastAsia="zh-CN" w:bidi="ar-SA"/>
                    </w:rPr>
                    <w:t>7</w:t>
                  </w:r>
                </w:p>
              </w:tc>
              <w:tc>
                <w:tcPr>
                  <w:tcW w:w="1036" w:type="pct"/>
                  <w:tcBorders>
                    <w:top w:val="single" w:color="auto" w:sz="4" w:space="0"/>
                    <w:left w:val="single" w:color="auto" w:sz="4" w:space="0"/>
                    <w:bottom w:val="single" w:color="auto" w:sz="4" w:space="0"/>
                    <w:right w:val="single" w:color="auto" w:sz="4" w:space="0"/>
                    <w:tl2br w:val="nil"/>
                    <w:tr2bl w:val="nil"/>
                  </w:tcBorders>
                  <w:vAlign w:val="center"/>
                </w:tcPr>
                <w:p w14:paraId="42AAF65A">
                  <w:pPr>
                    <w:pageBreakBefore w:val="0"/>
                    <w:widowControl w:val="0"/>
                    <w:wordWrap w:val="0"/>
                    <w:overflowPunct/>
                    <w:bidi w:val="0"/>
                    <w:spacing w:line="240" w:lineRule="auto"/>
                    <w:jc w:val="center"/>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废</w:t>
                  </w:r>
                  <w:r>
                    <w:rPr>
                      <w:rFonts w:hint="eastAsia" w:cs="Times New Roman"/>
                      <w:b w:val="0"/>
                      <w:color w:val="auto"/>
                      <w:kern w:val="2"/>
                      <w:sz w:val="21"/>
                      <w:szCs w:val="21"/>
                      <w:highlight w:val="none"/>
                      <w:lang w:val="en-US" w:eastAsia="zh-CN" w:bidi="ar-SA"/>
                    </w:rPr>
                    <w:t>机</w:t>
                  </w:r>
                  <w:r>
                    <w:rPr>
                      <w:rFonts w:hint="default" w:ascii="Times New Roman" w:hAnsi="Times New Roman" w:eastAsia="宋体" w:cs="Times New Roman"/>
                      <w:b w:val="0"/>
                      <w:color w:val="auto"/>
                      <w:kern w:val="2"/>
                      <w:sz w:val="21"/>
                      <w:szCs w:val="21"/>
                      <w:highlight w:val="none"/>
                      <w:lang w:val="en-US" w:eastAsia="zh-CN" w:bidi="ar-SA"/>
                    </w:rPr>
                    <w:t>油</w:t>
                  </w:r>
                </w:p>
              </w:tc>
              <w:tc>
                <w:tcPr>
                  <w:tcW w:w="1414" w:type="pct"/>
                  <w:tcBorders>
                    <w:top w:val="single" w:color="auto" w:sz="4" w:space="0"/>
                    <w:left w:val="single" w:color="auto" w:sz="4" w:space="0"/>
                    <w:bottom w:val="single" w:color="auto" w:sz="4" w:space="0"/>
                    <w:right w:val="single" w:color="auto" w:sz="4" w:space="0"/>
                    <w:tl2br w:val="nil"/>
                    <w:tr2bl w:val="nil"/>
                  </w:tcBorders>
                  <w:vAlign w:val="center"/>
                </w:tcPr>
                <w:p w14:paraId="06BFDAA5">
                  <w:pPr>
                    <w:pageBreakBefore w:val="0"/>
                    <w:widowControl w:val="0"/>
                    <w:wordWrap w:val="0"/>
                    <w:overflowPunct/>
                    <w:bidi w:val="0"/>
                    <w:spacing w:line="240" w:lineRule="auto"/>
                    <w:jc w:val="center"/>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易燃性</w:t>
                  </w:r>
                </w:p>
              </w:tc>
              <w:tc>
                <w:tcPr>
                  <w:tcW w:w="1275" w:type="pct"/>
                  <w:vMerge w:val="continue"/>
                  <w:tcBorders>
                    <w:left w:val="single" w:color="auto" w:sz="4" w:space="0"/>
                    <w:bottom w:val="single" w:color="auto" w:sz="4" w:space="0"/>
                    <w:right w:val="single" w:color="auto" w:sz="4" w:space="0"/>
                    <w:tl2br w:val="nil"/>
                    <w:tr2bl w:val="nil"/>
                  </w:tcBorders>
                  <w:vAlign w:val="center"/>
                </w:tcPr>
                <w:p w14:paraId="14D44A06">
                  <w:pPr>
                    <w:pageBreakBefore w:val="0"/>
                    <w:widowControl w:val="0"/>
                    <w:wordWrap w:val="0"/>
                    <w:overflowPunct/>
                    <w:bidi w:val="0"/>
                    <w:spacing w:line="240" w:lineRule="auto"/>
                    <w:jc w:val="center"/>
                    <w:rPr>
                      <w:rFonts w:hint="default" w:ascii="Times New Roman" w:hAnsi="Times New Roman" w:eastAsia="宋体" w:cs="Times New Roman"/>
                      <w:b w:val="0"/>
                      <w:color w:val="auto"/>
                      <w:kern w:val="2"/>
                      <w:sz w:val="21"/>
                      <w:szCs w:val="21"/>
                      <w:highlight w:val="none"/>
                      <w:lang w:val="en-US" w:eastAsia="zh-CN" w:bidi="ar-SA"/>
                    </w:rPr>
                  </w:pPr>
                </w:p>
              </w:tc>
              <w:tc>
                <w:tcPr>
                  <w:tcW w:w="1000" w:type="pct"/>
                  <w:tcBorders>
                    <w:top w:val="single" w:color="auto" w:sz="4" w:space="0"/>
                    <w:left w:val="single" w:color="auto" w:sz="4" w:space="0"/>
                    <w:bottom w:val="single" w:color="auto" w:sz="4" w:space="0"/>
                    <w:right w:val="single" w:color="auto" w:sz="4" w:space="0"/>
                    <w:tl2br w:val="nil"/>
                    <w:tr2bl w:val="nil"/>
                  </w:tcBorders>
                  <w:vAlign w:val="center"/>
                </w:tcPr>
                <w:p w14:paraId="4A751E4E">
                  <w:pPr>
                    <w:pageBreakBefore w:val="0"/>
                    <w:widowControl w:val="0"/>
                    <w:wordWrap w:val="0"/>
                    <w:overflowPunct/>
                    <w:bidi w:val="0"/>
                    <w:spacing w:line="240" w:lineRule="auto"/>
                    <w:jc w:val="center"/>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HJ 169-2018</w:t>
                  </w:r>
                </w:p>
              </w:tc>
            </w:tr>
            <w:tr w14:paraId="0E71C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3" w:type="pct"/>
                  <w:tcBorders>
                    <w:top w:val="single" w:color="auto" w:sz="4" w:space="0"/>
                    <w:left w:val="single" w:color="auto" w:sz="4" w:space="0"/>
                    <w:bottom w:val="single" w:color="auto" w:sz="4" w:space="0"/>
                    <w:right w:val="single" w:color="auto" w:sz="4" w:space="0"/>
                    <w:tl2br w:val="nil"/>
                    <w:tr2bl w:val="nil"/>
                  </w:tcBorders>
                  <w:vAlign w:val="center"/>
                </w:tcPr>
                <w:p w14:paraId="02648885">
                  <w:pPr>
                    <w:pageBreakBefore w:val="0"/>
                    <w:widowControl w:val="0"/>
                    <w:wordWrap w:val="0"/>
                    <w:overflowPunct/>
                    <w:bidi w:val="0"/>
                    <w:spacing w:line="240" w:lineRule="auto"/>
                    <w:jc w:val="center"/>
                    <w:rPr>
                      <w:rFonts w:hint="default" w:ascii="Times New Roman" w:hAnsi="Times New Roman" w:eastAsia="宋体" w:cs="Times New Roman"/>
                      <w:b w:val="0"/>
                      <w:color w:val="auto"/>
                      <w:kern w:val="2"/>
                      <w:sz w:val="21"/>
                      <w:szCs w:val="21"/>
                      <w:highlight w:val="none"/>
                      <w:lang w:val="en-US" w:eastAsia="zh-CN" w:bidi="ar-SA"/>
                    </w:rPr>
                  </w:pPr>
                  <w:r>
                    <w:rPr>
                      <w:rFonts w:hint="eastAsia" w:cs="Times New Roman"/>
                      <w:b w:val="0"/>
                      <w:color w:val="auto"/>
                      <w:kern w:val="2"/>
                      <w:sz w:val="21"/>
                      <w:szCs w:val="21"/>
                      <w:highlight w:val="none"/>
                      <w:lang w:val="en-US" w:eastAsia="zh-CN" w:bidi="ar-SA"/>
                    </w:rPr>
                    <w:t>8</w:t>
                  </w:r>
                </w:p>
              </w:tc>
              <w:tc>
                <w:tcPr>
                  <w:tcW w:w="1036" w:type="pct"/>
                  <w:tcBorders>
                    <w:top w:val="single" w:color="auto" w:sz="4" w:space="0"/>
                    <w:left w:val="single" w:color="auto" w:sz="4" w:space="0"/>
                    <w:bottom w:val="single" w:color="auto" w:sz="4" w:space="0"/>
                    <w:right w:val="single" w:color="auto" w:sz="4" w:space="0"/>
                    <w:tl2br w:val="nil"/>
                    <w:tr2bl w:val="nil"/>
                  </w:tcBorders>
                  <w:vAlign w:val="center"/>
                </w:tcPr>
                <w:p w14:paraId="5518F159">
                  <w:pPr>
                    <w:pageBreakBefore w:val="0"/>
                    <w:widowControl w:val="0"/>
                    <w:wordWrap w:val="0"/>
                    <w:overflowPunct/>
                    <w:bidi w:val="0"/>
                    <w:spacing w:line="240" w:lineRule="auto"/>
                    <w:jc w:val="center"/>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危险废物</w:t>
                  </w:r>
                </w:p>
              </w:tc>
              <w:tc>
                <w:tcPr>
                  <w:tcW w:w="1414" w:type="pct"/>
                  <w:tcBorders>
                    <w:top w:val="single" w:color="auto" w:sz="4" w:space="0"/>
                    <w:left w:val="single" w:color="auto" w:sz="4" w:space="0"/>
                    <w:bottom w:val="single" w:color="auto" w:sz="4" w:space="0"/>
                    <w:right w:val="single" w:color="auto" w:sz="4" w:space="0"/>
                    <w:tl2br w:val="nil"/>
                    <w:tr2bl w:val="nil"/>
                  </w:tcBorders>
                  <w:vAlign w:val="center"/>
                </w:tcPr>
                <w:p w14:paraId="1F5A3A95">
                  <w:pPr>
                    <w:pageBreakBefore w:val="0"/>
                    <w:widowControl w:val="0"/>
                    <w:wordWrap w:val="0"/>
                    <w:overflowPunct/>
                    <w:bidi w:val="0"/>
                    <w:spacing w:line="240" w:lineRule="auto"/>
                    <w:jc w:val="center"/>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w:t>
                  </w:r>
                </w:p>
              </w:tc>
              <w:tc>
                <w:tcPr>
                  <w:tcW w:w="1275" w:type="pct"/>
                  <w:tcBorders>
                    <w:top w:val="single" w:color="auto" w:sz="4" w:space="0"/>
                    <w:left w:val="single" w:color="auto" w:sz="4" w:space="0"/>
                    <w:bottom w:val="single" w:color="auto" w:sz="4" w:space="0"/>
                    <w:right w:val="single" w:color="auto" w:sz="4" w:space="0"/>
                    <w:tl2br w:val="nil"/>
                    <w:tr2bl w:val="nil"/>
                  </w:tcBorders>
                  <w:vAlign w:val="center"/>
                </w:tcPr>
                <w:p w14:paraId="635B5BCB">
                  <w:pPr>
                    <w:pageBreakBefore w:val="0"/>
                    <w:widowControl w:val="0"/>
                    <w:wordWrap w:val="0"/>
                    <w:overflowPunct/>
                    <w:bidi w:val="0"/>
                    <w:spacing w:line="240" w:lineRule="auto"/>
                    <w:jc w:val="center"/>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危险废物</w:t>
                  </w:r>
                </w:p>
              </w:tc>
              <w:tc>
                <w:tcPr>
                  <w:tcW w:w="1000" w:type="pct"/>
                  <w:tcBorders>
                    <w:top w:val="single" w:color="auto" w:sz="4" w:space="0"/>
                    <w:left w:val="single" w:color="auto" w:sz="4" w:space="0"/>
                    <w:bottom w:val="single" w:color="auto" w:sz="4" w:space="0"/>
                    <w:right w:val="single" w:color="auto" w:sz="4" w:space="0"/>
                    <w:tl2br w:val="nil"/>
                    <w:tr2bl w:val="nil"/>
                  </w:tcBorders>
                  <w:vAlign w:val="center"/>
                </w:tcPr>
                <w:p w14:paraId="79B38AFD">
                  <w:pPr>
                    <w:pageBreakBefore w:val="0"/>
                    <w:widowControl w:val="0"/>
                    <w:wordWrap w:val="0"/>
                    <w:overflowPunct/>
                    <w:bidi w:val="0"/>
                    <w:spacing w:line="240" w:lineRule="auto"/>
                    <w:jc w:val="center"/>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color w:val="auto"/>
                      <w:kern w:val="2"/>
                      <w:sz w:val="21"/>
                      <w:szCs w:val="21"/>
                      <w:highlight w:val="none"/>
                      <w:lang w:val="en-US" w:eastAsia="zh-CN" w:bidi="ar-SA"/>
                    </w:rPr>
                    <w:t>HJ 169-2018</w:t>
                  </w:r>
                </w:p>
              </w:tc>
            </w:tr>
          </w:tbl>
          <w:p w14:paraId="2FA3E0C3">
            <w:pPr>
              <w:pageBreakBefore w:val="0"/>
              <w:wordWrap w:val="0"/>
              <w:overflowPunct/>
              <w:bidi w:val="0"/>
              <w:adjustRightInd w:val="0"/>
              <w:ind w:firstLine="472" w:firstLineChars="20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pacing w:val="-2"/>
                <w:highlight w:val="none"/>
              </w:rPr>
              <w:t>则本项目Q值确定见下表</w:t>
            </w:r>
            <w:r>
              <w:rPr>
                <w:rFonts w:hint="default" w:ascii="Times New Roman" w:hAnsi="Times New Roman" w:eastAsia="宋体" w:cs="Times New Roman"/>
                <w:color w:val="auto"/>
                <w:kern w:val="0"/>
                <w:highlight w:val="none"/>
              </w:rPr>
              <w:t>。</w:t>
            </w:r>
          </w:p>
          <w:p w14:paraId="19D662E2">
            <w:pPr>
              <w:keepNext w:val="0"/>
              <w:keepLines w:val="0"/>
              <w:pageBreakBefore w:val="0"/>
              <w:widowControl w:val="0"/>
              <w:numPr>
                <w:ilvl w:val="0"/>
                <w:numId w:val="10"/>
              </w:numPr>
              <w:kinsoku/>
              <w:wordWrap w:val="0"/>
              <w:overflowPunct/>
              <w:topLinePunct w:val="0"/>
              <w:autoSpaceDE/>
              <w:autoSpaceDN/>
              <w:bidi w:val="0"/>
              <w:adjustRightInd/>
              <w:snapToGrid/>
              <w:spacing w:line="240" w:lineRule="auto"/>
              <w:ind w:left="0" w:leftChars="0" w:hanging="1" w:firstLineChars="0"/>
              <w:jc w:val="center"/>
              <w:textAlignment w:val="auto"/>
              <w:rPr>
                <w:color w:val="auto"/>
                <w:highlight w:val="none"/>
              </w:rPr>
            </w:pPr>
            <w:r>
              <w:rPr>
                <w:rFonts w:hint="eastAsia"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lang w:val="en-US" w:eastAsia="zh-CN"/>
              </w:rPr>
              <w:t>建设</w:t>
            </w:r>
            <w:r>
              <w:rPr>
                <w:rFonts w:hint="default" w:ascii="Times New Roman" w:hAnsi="Times New Roman" w:eastAsia="宋体" w:cs="Times New Roman"/>
                <w:b/>
                <w:bCs/>
                <w:color w:val="auto"/>
                <w:kern w:val="2"/>
                <w:sz w:val="21"/>
                <w:szCs w:val="21"/>
                <w:highlight w:val="none"/>
                <w:lang w:val="en-US" w:eastAsia="zh-CN" w:bidi="ar-SA"/>
              </w:rPr>
              <w:t>项目Q值确定表</w:t>
            </w:r>
          </w:p>
          <w:tbl>
            <w:tblPr>
              <w:tblStyle w:val="125"/>
              <w:tblW w:w="4972"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2112"/>
              <w:gridCol w:w="582"/>
              <w:gridCol w:w="2065"/>
              <w:gridCol w:w="1297"/>
              <w:gridCol w:w="1461"/>
              <w:gridCol w:w="1139"/>
            </w:tblGrid>
            <w:tr w14:paraId="6EDBC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jc w:val="center"/>
              </w:trPr>
              <w:tc>
                <w:tcPr>
                  <w:tcW w:w="1220" w:type="pct"/>
                  <w:tcBorders>
                    <w:tl2br w:val="nil"/>
                    <w:tr2bl w:val="nil"/>
                  </w:tcBorders>
                  <w:vAlign w:val="center"/>
                </w:tcPr>
                <w:p w14:paraId="6D4D7753">
                  <w:pPr>
                    <w:widowControl/>
                    <w:spacing w:line="240" w:lineRule="auto"/>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类别</w:t>
                  </w:r>
                </w:p>
              </w:tc>
              <w:tc>
                <w:tcPr>
                  <w:tcW w:w="1529" w:type="pct"/>
                  <w:gridSpan w:val="2"/>
                  <w:tcBorders>
                    <w:tl2br w:val="nil"/>
                    <w:tr2bl w:val="nil"/>
                  </w:tcBorders>
                  <w:vAlign w:val="center"/>
                </w:tcPr>
                <w:p w14:paraId="4129CF0C">
                  <w:pPr>
                    <w:spacing w:before="0" w:beforeAutospacing="0" w:after="0" w:afterAutospacing="0" w:line="240" w:lineRule="auto"/>
                    <w:ind w:left="0" w:leftChars="0" w:right="0" w:right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color w:val="auto"/>
                      <w:sz w:val="21"/>
                      <w:szCs w:val="21"/>
                      <w:highlight w:val="none"/>
                      <w:lang w:val="en-US" w:eastAsia="zh-CN"/>
                    </w:rPr>
                    <w:t>风险</w:t>
                  </w:r>
                  <w:r>
                    <w:rPr>
                      <w:rFonts w:hint="default" w:ascii="Times New Roman" w:hAnsi="Times New Roman" w:eastAsia="宋体" w:cs="Times New Roman"/>
                      <w:b/>
                      <w:color w:val="auto"/>
                      <w:sz w:val="21"/>
                      <w:szCs w:val="21"/>
                      <w:highlight w:val="none"/>
                    </w:rPr>
                    <w:t>物质</w:t>
                  </w:r>
                </w:p>
              </w:tc>
              <w:tc>
                <w:tcPr>
                  <w:tcW w:w="749" w:type="pct"/>
                  <w:tcBorders>
                    <w:tl2br w:val="nil"/>
                    <w:tr2bl w:val="nil"/>
                  </w:tcBorders>
                  <w:vAlign w:val="center"/>
                </w:tcPr>
                <w:p w14:paraId="4C3A9811">
                  <w:pPr>
                    <w:spacing w:before="0" w:beforeAutospacing="0" w:after="0" w:afterAutospacing="0" w:line="240" w:lineRule="auto"/>
                    <w:ind w:left="0" w:leftChars="0" w:right="0" w:right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color w:val="auto"/>
                      <w:sz w:val="21"/>
                      <w:szCs w:val="21"/>
                      <w:highlight w:val="none"/>
                      <w:lang w:val="en-US" w:eastAsia="zh-CN"/>
                    </w:rPr>
                    <w:t>临界</w:t>
                  </w:r>
                  <w:r>
                    <w:rPr>
                      <w:rFonts w:hint="default" w:ascii="Times New Roman" w:hAnsi="Times New Roman" w:eastAsia="宋体" w:cs="Times New Roman"/>
                      <w:b/>
                      <w:color w:val="auto"/>
                      <w:sz w:val="21"/>
                      <w:szCs w:val="21"/>
                      <w:highlight w:val="none"/>
                    </w:rPr>
                    <w:t>量（t）</w:t>
                  </w:r>
                </w:p>
              </w:tc>
              <w:tc>
                <w:tcPr>
                  <w:tcW w:w="843" w:type="pct"/>
                  <w:tcBorders>
                    <w:tl2br w:val="nil"/>
                    <w:tr2bl w:val="nil"/>
                  </w:tcBorders>
                  <w:vAlign w:val="center"/>
                </w:tcPr>
                <w:p w14:paraId="089EEDCC">
                  <w:pPr>
                    <w:widowControl/>
                    <w:spacing w:line="240" w:lineRule="auto"/>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最大贮存量（</w:t>
                  </w:r>
                  <w:r>
                    <w:rPr>
                      <w:rFonts w:hint="default" w:ascii="Times New Roman" w:hAnsi="Times New Roman" w:eastAsia="宋体" w:cs="Times New Roman"/>
                      <w:b/>
                      <w:bCs/>
                      <w:color w:val="auto"/>
                      <w:kern w:val="0"/>
                      <w:sz w:val="21"/>
                      <w:szCs w:val="21"/>
                      <w:highlight w:val="none"/>
                      <w:lang w:val="en-US" w:eastAsia="zh-CN"/>
                    </w:rPr>
                    <w:t>t</w:t>
                  </w:r>
                  <w:r>
                    <w:rPr>
                      <w:rFonts w:hint="default" w:ascii="Times New Roman" w:hAnsi="Times New Roman" w:eastAsia="宋体" w:cs="Times New Roman"/>
                      <w:b/>
                      <w:bCs/>
                      <w:color w:val="auto"/>
                      <w:kern w:val="0"/>
                      <w:sz w:val="21"/>
                      <w:szCs w:val="21"/>
                      <w:highlight w:val="none"/>
                    </w:rPr>
                    <w:t>）</w:t>
                  </w:r>
                </w:p>
              </w:tc>
              <w:tc>
                <w:tcPr>
                  <w:tcW w:w="657" w:type="pct"/>
                  <w:tcBorders>
                    <w:tl2br w:val="nil"/>
                    <w:tr2bl w:val="nil"/>
                  </w:tcBorders>
                  <w:vAlign w:val="center"/>
                </w:tcPr>
                <w:p w14:paraId="5437F0A4">
                  <w:pPr>
                    <w:widowControl/>
                    <w:spacing w:line="240" w:lineRule="auto"/>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比值Q</w:t>
                  </w:r>
                </w:p>
              </w:tc>
            </w:tr>
            <w:tr w14:paraId="02703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jc w:val="center"/>
              </w:trPr>
              <w:tc>
                <w:tcPr>
                  <w:tcW w:w="1220" w:type="pct"/>
                  <w:tcBorders>
                    <w:bottom w:val="single" w:color="auto" w:sz="4" w:space="0"/>
                    <w:tl2br w:val="nil"/>
                    <w:tr2bl w:val="nil"/>
                  </w:tcBorders>
                  <w:shd w:val="clear" w:color="auto" w:fill="auto"/>
                  <w:vAlign w:val="center"/>
                </w:tcPr>
                <w:p w14:paraId="3E9450B7">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附录B风险物质</w:t>
                  </w:r>
                </w:p>
              </w:tc>
              <w:tc>
                <w:tcPr>
                  <w:tcW w:w="336" w:type="pct"/>
                  <w:tcBorders>
                    <w:bottom w:val="single" w:color="auto" w:sz="4" w:space="0"/>
                    <w:right w:val="single" w:color="auto" w:sz="4" w:space="0"/>
                    <w:tl2br w:val="nil"/>
                    <w:tr2bl w:val="nil"/>
                  </w:tcBorders>
                  <w:shd w:val="clear" w:color="auto" w:fill="auto"/>
                  <w:vAlign w:val="center"/>
                </w:tcPr>
                <w:p w14:paraId="360C5C42">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燃料</w:t>
                  </w:r>
                </w:p>
              </w:tc>
              <w:tc>
                <w:tcPr>
                  <w:tcW w:w="1193" w:type="pct"/>
                  <w:tcBorders>
                    <w:left w:val="single" w:color="auto" w:sz="4" w:space="0"/>
                    <w:bottom w:val="single" w:color="auto" w:sz="4" w:space="0"/>
                    <w:tl2br w:val="nil"/>
                    <w:tr2bl w:val="nil"/>
                  </w:tcBorders>
                  <w:shd w:val="clear" w:color="auto" w:fill="FFFFFF"/>
                  <w:vAlign w:val="center"/>
                </w:tcPr>
                <w:p w14:paraId="539A9A56">
                  <w:pPr>
                    <w:widowControl/>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天然气（甲烷）</w:t>
                  </w:r>
                </w:p>
              </w:tc>
              <w:tc>
                <w:tcPr>
                  <w:tcW w:w="749" w:type="pct"/>
                  <w:tcBorders>
                    <w:tl2br w:val="nil"/>
                    <w:tr2bl w:val="nil"/>
                  </w:tcBorders>
                  <w:vAlign w:val="center"/>
                </w:tcPr>
                <w:p w14:paraId="798CEB73">
                  <w:pPr>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w:t>
                  </w:r>
                </w:p>
              </w:tc>
              <w:tc>
                <w:tcPr>
                  <w:tcW w:w="1461" w:type="dxa"/>
                  <w:tcBorders>
                    <w:tl2br w:val="nil"/>
                    <w:tr2bl w:val="nil"/>
                  </w:tcBorders>
                  <w:vAlign w:val="center"/>
                </w:tcPr>
                <w:p w14:paraId="634DD1BC">
                  <w:pPr>
                    <w:keepNext w:val="0"/>
                    <w:keepLines w:val="0"/>
                    <w:widowControl/>
                    <w:suppressLineNumbers w:val="0"/>
                    <w:jc w:val="center"/>
                    <w:textAlignment w:val="center"/>
                    <w:rPr>
                      <w:rFonts w:hint="default" w:ascii="Times New Roman" w:hAnsi="Times New Roman" w:eastAsia="宋体" w:cs="Times New Roman"/>
                      <w:b w:val="0"/>
                      <w:bCs/>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0.00016</w:t>
                  </w:r>
                </w:p>
              </w:tc>
              <w:tc>
                <w:tcPr>
                  <w:tcW w:w="1139" w:type="dxa"/>
                  <w:tcBorders>
                    <w:tl2br w:val="nil"/>
                    <w:tr2bl w:val="nil"/>
                  </w:tcBorders>
                  <w:vAlign w:val="center"/>
                </w:tcPr>
                <w:p w14:paraId="6F893B66">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0.000016</w:t>
                  </w:r>
                </w:p>
              </w:tc>
            </w:tr>
            <w:tr w14:paraId="16E63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jc w:val="center"/>
              </w:trPr>
              <w:tc>
                <w:tcPr>
                  <w:tcW w:w="1220" w:type="pct"/>
                  <w:tcBorders>
                    <w:top w:val="single" w:color="auto" w:sz="4" w:space="0"/>
                    <w:bottom w:val="single" w:color="auto" w:sz="4" w:space="0"/>
                    <w:tl2br w:val="nil"/>
                    <w:tr2bl w:val="nil"/>
                  </w:tcBorders>
                  <w:shd w:val="clear" w:color="auto" w:fill="auto"/>
                  <w:vAlign w:val="center"/>
                </w:tcPr>
                <w:p w14:paraId="3F5F82D3">
                  <w:pPr>
                    <w:widowControl/>
                    <w:spacing w:line="240" w:lineRule="auto"/>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附录B风险物质</w:t>
                  </w:r>
                </w:p>
              </w:tc>
              <w:tc>
                <w:tcPr>
                  <w:tcW w:w="336" w:type="pct"/>
                  <w:vMerge w:val="restart"/>
                  <w:tcBorders>
                    <w:top w:val="single" w:color="auto" w:sz="4" w:space="0"/>
                    <w:right w:val="single" w:color="auto" w:sz="4" w:space="0"/>
                    <w:tl2br w:val="nil"/>
                    <w:tr2bl w:val="nil"/>
                  </w:tcBorders>
                  <w:shd w:val="clear" w:color="auto" w:fill="auto"/>
                  <w:vAlign w:val="center"/>
                </w:tcPr>
                <w:p w14:paraId="2FF2A3D7">
                  <w:pPr>
                    <w:widowControl/>
                    <w:spacing w:line="240" w:lineRule="auto"/>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辅料</w:t>
                  </w:r>
                </w:p>
              </w:tc>
              <w:tc>
                <w:tcPr>
                  <w:tcW w:w="1193" w:type="pct"/>
                  <w:tcBorders>
                    <w:top w:val="single" w:color="auto" w:sz="4" w:space="0"/>
                    <w:left w:val="single" w:color="auto" w:sz="4" w:space="0"/>
                    <w:bottom w:val="single" w:color="auto" w:sz="4" w:space="0"/>
                    <w:tl2br w:val="nil"/>
                    <w:tr2bl w:val="nil"/>
                  </w:tcBorders>
                  <w:shd w:val="clear" w:color="auto" w:fill="FFFFFF"/>
                  <w:vAlign w:val="center"/>
                </w:tcPr>
                <w:p w14:paraId="32F9A6AA">
                  <w:pPr>
                    <w:widowControl/>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pH调整剂</w:t>
                  </w:r>
                  <w:r>
                    <w:rPr>
                      <w:rFonts w:hint="eastAsia"/>
                      <w:color w:val="auto"/>
                      <w:sz w:val="21"/>
                      <w:szCs w:val="21"/>
                      <w:highlight w:val="none"/>
                      <w:lang w:eastAsia="zh-CN"/>
                    </w:rPr>
                    <w:t>（</w:t>
                  </w:r>
                  <w:r>
                    <w:rPr>
                      <w:rFonts w:hint="eastAsia"/>
                      <w:color w:val="auto"/>
                      <w:sz w:val="21"/>
                      <w:szCs w:val="21"/>
                      <w:highlight w:val="none"/>
                      <w:lang w:val="en-US" w:eastAsia="zh-CN"/>
                    </w:rPr>
                    <w:t>硫酸</w:t>
                  </w:r>
                  <w:r>
                    <w:rPr>
                      <w:rFonts w:hint="eastAsia"/>
                      <w:color w:val="auto"/>
                      <w:sz w:val="21"/>
                      <w:szCs w:val="21"/>
                      <w:highlight w:val="none"/>
                      <w:lang w:eastAsia="zh-CN"/>
                    </w:rPr>
                    <w:t>）</w:t>
                  </w:r>
                </w:p>
              </w:tc>
              <w:tc>
                <w:tcPr>
                  <w:tcW w:w="749" w:type="pct"/>
                  <w:tcBorders>
                    <w:tl2br w:val="nil"/>
                    <w:tr2bl w:val="nil"/>
                  </w:tcBorders>
                  <w:vAlign w:val="center"/>
                </w:tcPr>
                <w:p w14:paraId="5CD6D8ED">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1"/>
                      <w:szCs w:val="21"/>
                      <w:highlight w:val="none"/>
                    </w:rPr>
                    <w:t>0</w:t>
                  </w:r>
                </w:p>
              </w:tc>
              <w:tc>
                <w:tcPr>
                  <w:tcW w:w="1461" w:type="dxa"/>
                  <w:tcBorders>
                    <w:tl2br w:val="nil"/>
                    <w:tr2bl w:val="nil"/>
                  </w:tcBorders>
                  <w:vAlign w:val="center"/>
                </w:tcPr>
                <w:p w14:paraId="73FBC25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0.14</w:t>
                  </w: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139" w:type="dxa"/>
                  <w:tcBorders>
                    <w:tl2br w:val="nil"/>
                    <w:tr2bl w:val="nil"/>
                  </w:tcBorders>
                  <w:vAlign w:val="center"/>
                </w:tcPr>
                <w:p w14:paraId="717C03B1">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0.014</w:t>
                  </w:r>
                </w:p>
              </w:tc>
            </w:tr>
            <w:tr w14:paraId="06ABC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jc w:val="center"/>
              </w:trPr>
              <w:tc>
                <w:tcPr>
                  <w:tcW w:w="1220" w:type="pct"/>
                  <w:vMerge w:val="restart"/>
                  <w:tcBorders>
                    <w:tl2br w:val="nil"/>
                    <w:tr2bl w:val="nil"/>
                  </w:tcBorders>
                  <w:shd w:val="clear" w:color="auto" w:fill="auto"/>
                  <w:vAlign w:val="center"/>
                </w:tcPr>
                <w:p w14:paraId="3FB06DCB">
                  <w:pPr>
                    <w:widowControl/>
                    <w:spacing w:line="240" w:lineRule="auto"/>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健康危险急性毒性物质（类别2、类别3）</w:t>
                  </w:r>
                </w:p>
              </w:tc>
              <w:tc>
                <w:tcPr>
                  <w:tcW w:w="336" w:type="pct"/>
                  <w:vMerge w:val="continue"/>
                  <w:tcBorders>
                    <w:right w:val="single" w:color="auto" w:sz="4" w:space="0"/>
                    <w:tl2br w:val="nil"/>
                    <w:tr2bl w:val="nil"/>
                  </w:tcBorders>
                  <w:shd w:val="clear" w:color="auto" w:fill="auto"/>
                  <w:vAlign w:val="center"/>
                </w:tcPr>
                <w:p w14:paraId="26FF152A">
                  <w:pPr>
                    <w:widowControl/>
                    <w:spacing w:line="240" w:lineRule="auto"/>
                    <w:jc w:val="center"/>
                    <w:textAlignment w:val="center"/>
                    <w:rPr>
                      <w:rFonts w:hint="default" w:ascii="Times New Roman" w:hAnsi="Times New Roman" w:eastAsia="宋体" w:cs="Times New Roman"/>
                      <w:color w:val="auto"/>
                      <w:kern w:val="0"/>
                      <w:sz w:val="21"/>
                      <w:szCs w:val="21"/>
                      <w:highlight w:val="none"/>
                    </w:rPr>
                  </w:pPr>
                </w:p>
              </w:tc>
              <w:tc>
                <w:tcPr>
                  <w:tcW w:w="1193" w:type="pct"/>
                  <w:tcBorders>
                    <w:top w:val="single" w:color="auto" w:sz="4" w:space="0"/>
                    <w:left w:val="single" w:color="auto" w:sz="4" w:space="0"/>
                    <w:bottom w:val="single" w:color="auto" w:sz="4" w:space="0"/>
                    <w:tl2br w:val="nil"/>
                    <w:tr2bl w:val="nil"/>
                  </w:tcBorders>
                  <w:shd w:val="clear" w:color="auto" w:fill="FFFFFF"/>
                  <w:vAlign w:val="center"/>
                </w:tcPr>
                <w:p w14:paraId="54F4CB15">
                  <w:pPr>
                    <w:widowControl/>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油漆、稀释剂、固化剂</w:t>
                  </w:r>
                </w:p>
              </w:tc>
              <w:tc>
                <w:tcPr>
                  <w:tcW w:w="749" w:type="pct"/>
                  <w:tcBorders>
                    <w:tl2br w:val="nil"/>
                    <w:tr2bl w:val="nil"/>
                  </w:tcBorders>
                  <w:vAlign w:val="center"/>
                </w:tcPr>
                <w:p w14:paraId="3C138679">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w:t>
                  </w:r>
                </w:p>
              </w:tc>
              <w:tc>
                <w:tcPr>
                  <w:tcW w:w="1461" w:type="dxa"/>
                  <w:tcBorders>
                    <w:tl2br w:val="nil"/>
                    <w:tr2bl w:val="nil"/>
                  </w:tcBorders>
                  <w:vAlign w:val="center"/>
                </w:tcPr>
                <w:p w14:paraId="3280D16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w:t>
                  </w:r>
                </w:p>
              </w:tc>
              <w:tc>
                <w:tcPr>
                  <w:tcW w:w="1139" w:type="dxa"/>
                  <w:tcBorders>
                    <w:tl2br w:val="nil"/>
                    <w:tr2bl w:val="nil"/>
                  </w:tcBorders>
                  <w:vAlign w:val="center"/>
                </w:tcPr>
                <w:p w14:paraId="5A113CBA">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0.08</w:t>
                  </w:r>
                </w:p>
              </w:tc>
            </w:tr>
            <w:tr w14:paraId="63012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jc w:val="center"/>
              </w:trPr>
              <w:tc>
                <w:tcPr>
                  <w:tcW w:w="1220" w:type="pct"/>
                  <w:vMerge w:val="continue"/>
                  <w:tcBorders>
                    <w:tl2br w:val="nil"/>
                    <w:tr2bl w:val="nil"/>
                  </w:tcBorders>
                  <w:shd w:val="clear" w:color="auto" w:fill="auto"/>
                  <w:vAlign w:val="center"/>
                </w:tcPr>
                <w:p w14:paraId="202F2C1B">
                  <w:pPr>
                    <w:widowControl/>
                    <w:spacing w:line="240" w:lineRule="auto"/>
                    <w:jc w:val="center"/>
                    <w:textAlignment w:val="center"/>
                    <w:rPr>
                      <w:rFonts w:hint="default" w:ascii="Times New Roman" w:hAnsi="Times New Roman" w:eastAsia="宋体" w:cs="Times New Roman"/>
                      <w:color w:val="auto"/>
                      <w:kern w:val="0"/>
                      <w:sz w:val="21"/>
                      <w:szCs w:val="21"/>
                      <w:highlight w:val="none"/>
                    </w:rPr>
                  </w:pPr>
                </w:p>
              </w:tc>
              <w:tc>
                <w:tcPr>
                  <w:tcW w:w="336" w:type="pct"/>
                  <w:vMerge w:val="continue"/>
                  <w:tcBorders>
                    <w:right w:val="single" w:color="auto" w:sz="4" w:space="0"/>
                    <w:tl2br w:val="nil"/>
                    <w:tr2bl w:val="nil"/>
                  </w:tcBorders>
                  <w:shd w:val="clear" w:color="auto" w:fill="auto"/>
                  <w:vAlign w:val="center"/>
                </w:tcPr>
                <w:p w14:paraId="71398C06">
                  <w:pPr>
                    <w:widowControl/>
                    <w:spacing w:line="240" w:lineRule="auto"/>
                    <w:jc w:val="center"/>
                    <w:textAlignment w:val="center"/>
                    <w:rPr>
                      <w:rFonts w:hint="default" w:ascii="Times New Roman" w:hAnsi="Times New Roman" w:eastAsia="宋体" w:cs="Times New Roman"/>
                      <w:color w:val="auto"/>
                      <w:kern w:val="0"/>
                      <w:sz w:val="21"/>
                      <w:szCs w:val="21"/>
                      <w:highlight w:val="none"/>
                    </w:rPr>
                  </w:pPr>
                </w:p>
              </w:tc>
              <w:tc>
                <w:tcPr>
                  <w:tcW w:w="1193" w:type="pct"/>
                  <w:tcBorders>
                    <w:top w:val="single" w:color="auto" w:sz="4" w:space="0"/>
                    <w:tl2br w:val="nil"/>
                    <w:tr2bl w:val="nil"/>
                  </w:tcBorders>
                  <w:shd w:val="clear" w:color="auto" w:fill="FFFFFF"/>
                  <w:vAlign w:val="center"/>
                </w:tcPr>
                <w:p w14:paraId="2184D390">
                  <w:pPr>
                    <w:widowControl/>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机油</w:t>
                  </w:r>
                </w:p>
              </w:tc>
              <w:tc>
                <w:tcPr>
                  <w:tcW w:w="749" w:type="pct"/>
                  <w:tcBorders>
                    <w:tl2br w:val="nil"/>
                    <w:tr2bl w:val="nil"/>
                  </w:tcBorders>
                  <w:vAlign w:val="center"/>
                </w:tcPr>
                <w:p w14:paraId="456BCABC">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2500</w:t>
                  </w:r>
                </w:p>
              </w:tc>
              <w:tc>
                <w:tcPr>
                  <w:tcW w:w="1461" w:type="dxa"/>
                  <w:tcBorders>
                    <w:tl2br w:val="nil"/>
                    <w:tr2bl w:val="nil"/>
                  </w:tcBorders>
                  <w:vAlign w:val="center"/>
                </w:tcPr>
                <w:p w14:paraId="65653CA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1139" w:type="dxa"/>
                  <w:tcBorders>
                    <w:tl2br w:val="nil"/>
                    <w:tr2bl w:val="nil"/>
                  </w:tcBorders>
                  <w:vAlign w:val="center"/>
                </w:tcPr>
                <w:p w14:paraId="7FF4D53C">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0.00004</w:t>
                  </w:r>
                </w:p>
              </w:tc>
            </w:tr>
            <w:tr w14:paraId="23174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jc w:val="center"/>
              </w:trPr>
              <w:tc>
                <w:tcPr>
                  <w:tcW w:w="1220" w:type="pct"/>
                  <w:vMerge w:val="continue"/>
                  <w:tcBorders>
                    <w:tl2br w:val="nil"/>
                    <w:tr2bl w:val="nil"/>
                  </w:tcBorders>
                  <w:shd w:val="clear" w:color="auto" w:fill="auto"/>
                  <w:vAlign w:val="center"/>
                </w:tcPr>
                <w:p w14:paraId="3091B3AF">
                  <w:pPr>
                    <w:widowControl/>
                    <w:spacing w:line="240" w:lineRule="auto"/>
                    <w:jc w:val="center"/>
                    <w:textAlignment w:val="center"/>
                    <w:rPr>
                      <w:rFonts w:hint="default" w:ascii="Times New Roman" w:hAnsi="Times New Roman" w:eastAsia="宋体" w:cs="Times New Roman"/>
                      <w:color w:val="auto"/>
                      <w:kern w:val="0"/>
                      <w:sz w:val="21"/>
                      <w:szCs w:val="21"/>
                      <w:highlight w:val="none"/>
                    </w:rPr>
                  </w:pPr>
                </w:p>
              </w:tc>
              <w:tc>
                <w:tcPr>
                  <w:tcW w:w="336" w:type="pct"/>
                  <w:vMerge w:val="continue"/>
                  <w:tcBorders>
                    <w:right w:val="single" w:color="auto" w:sz="4" w:space="0"/>
                    <w:tl2br w:val="nil"/>
                    <w:tr2bl w:val="nil"/>
                  </w:tcBorders>
                  <w:shd w:val="clear" w:color="auto" w:fill="auto"/>
                  <w:vAlign w:val="center"/>
                </w:tcPr>
                <w:p w14:paraId="30303689">
                  <w:pPr>
                    <w:widowControl/>
                    <w:spacing w:line="240" w:lineRule="auto"/>
                    <w:jc w:val="center"/>
                    <w:textAlignment w:val="center"/>
                    <w:rPr>
                      <w:rFonts w:hint="default" w:ascii="Times New Roman" w:hAnsi="Times New Roman" w:eastAsia="宋体" w:cs="Times New Roman"/>
                      <w:color w:val="auto"/>
                      <w:kern w:val="0"/>
                      <w:sz w:val="21"/>
                      <w:szCs w:val="21"/>
                      <w:highlight w:val="none"/>
                    </w:rPr>
                  </w:pPr>
                </w:p>
              </w:tc>
              <w:tc>
                <w:tcPr>
                  <w:tcW w:w="1193" w:type="pct"/>
                  <w:tcBorders>
                    <w:top w:val="single" w:color="auto" w:sz="4" w:space="0"/>
                    <w:tl2br w:val="nil"/>
                    <w:tr2bl w:val="nil"/>
                  </w:tcBorders>
                  <w:shd w:val="clear" w:color="auto" w:fill="FFFFFF"/>
                  <w:vAlign w:val="center"/>
                </w:tcPr>
                <w:p w14:paraId="555F13E4">
                  <w:pPr>
                    <w:widowControl/>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酒精</w:t>
                  </w:r>
                </w:p>
              </w:tc>
              <w:tc>
                <w:tcPr>
                  <w:tcW w:w="749" w:type="pct"/>
                  <w:tcBorders>
                    <w:tl2br w:val="nil"/>
                    <w:tr2bl w:val="nil"/>
                  </w:tcBorders>
                  <w:vAlign w:val="center"/>
                </w:tcPr>
                <w:p w14:paraId="29846379">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500</w:t>
                  </w:r>
                </w:p>
              </w:tc>
              <w:tc>
                <w:tcPr>
                  <w:tcW w:w="1461" w:type="dxa"/>
                  <w:tcBorders>
                    <w:tl2br w:val="nil"/>
                    <w:tr2bl w:val="nil"/>
                  </w:tcBorders>
                  <w:vAlign w:val="center"/>
                </w:tcPr>
                <w:p w14:paraId="5C6BAC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1139" w:type="dxa"/>
                  <w:tcBorders>
                    <w:tl2br w:val="nil"/>
                    <w:tr2bl w:val="nil"/>
                  </w:tcBorders>
                  <w:vAlign w:val="center"/>
                </w:tcPr>
                <w:p w14:paraId="0F82BE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0.0002</w:t>
                  </w:r>
                </w:p>
              </w:tc>
            </w:tr>
            <w:tr w14:paraId="2B8AB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jc w:val="center"/>
              </w:trPr>
              <w:tc>
                <w:tcPr>
                  <w:tcW w:w="1220" w:type="pct"/>
                  <w:vMerge w:val="continue"/>
                  <w:tcBorders>
                    <w:tl2br w:val="nil"/>
                    <w:tr2bl w:val="nil"/>
                  </w:tcBorders>
                  <w:shd w:val="clear" w:color="auto" w:fill="auto"/>
                  <w:vAlign w:val="center"/>
                </w:tcPr>
                <w:p w14:paraId="10AD1BA9">
                  <w:pPr>
                    <w:widowControl/>
                    <w:spacing w:line="240" w:lineRule="auto"/>
                    <w:jc w:val="center"/>
                    <w:textAlignment w:val="center"/>
                    <w:rPr>
                      <w:rFonts w:hint="default" w:ascii="Times New Roman" w:hAnsi="Times New Roman" w:eastAsia="宋体" w:cs="Times New Roman"/>
                      <w:color w:val="auto"/>
                      <w:kern w:val="0"/>
                      <w:sz w:val="21"/>
                      <w:szCs w:val="21"/>
                      <w:highlight w:val="none"/>
                    </w:rPr>
                  </w:pPr>
                </w:p>
              </w:tc>
              <w:tc>
                <w:tcPr>
                  <w:tcW w:w="336" w:type="pct"/>
                  <w:vMerge w:val="continue"/>
                  <w:tcBorders>
                    <w:right w:val="single" w:color="auto" w:sz="4" w:space="0"/>
                    <w:tl2br w:val="nil"/>
                    <w:tr2bl w:val="nil"/>
                  </w:tcBorders>
                  <w:shd w:val="clear" w:color="auto" w:fill="auto"/>
                  <w:vAlign w:val="center"/>
                </w:tcPr>
                <w:p w14:paraId="649778AD">
                  <w:pPr>
                    <w:widowControl/>
                    <w:spacing w:line="240" w:lineRule="auto"/>
                    <w:jc w:val="center"/>
                    <w:textAlignment w:val="center"/>
                    <w:rPr>
                      <w:rFonts w:hint="default" w:ascii="Times New Roman" w:hAnsi="Times New Roman" w:eastAsia="宋体" w:cs="Times New Roman"/>
                      <w:color w:val="auto"/>
                      <w:kern w:val="0"/>
                      <w:sz w:val="21"/>
                      <w:szCs w:val="21"/>
                      <w:highlight w:val="none"/>
                    </w:rPr>
                  </w:pPr>
                </w:p>
              </w:tc>
              <w:tc>
                <w:tcPr>
                  <w:tcW w:w="1193" w:type="pct"/>
                  <w:tcBorders>
                    <w:top w:val="single" w:color="auto" w:sz="4" w:space="0"/>
                    <w:tl2br w:val="nil"/>
                    <w:tr2bl w:val="nil"/>
                  </w:tcBorders>
                  <w:shd w:val="clear" w:color="auto" w:fill="auto"/>
                  <w:vAlign w:val="center"/>
                </w:tcPr>
                <w:p w14:paraId="2DAA2BE0">
                  <w:pPr>
                    <w:pStyle w:val="61"/>
                    <w:keepNext w:val="0"/>
                    <w:keepLines w:val="0"/>
                    <w:widowControl/>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position w:val="-10"/>
                      <w:sz w:val="21"/>
                      <w:szCs w:val="21"/>
                      <w:highlight w:val="none"/>
                      <w:lang w:val="en-US" w:eastAsia="zh-CN" w:bidi="ar-SA"/>
                    </w:rPr>
                  </w:pPr>
                  <w:r>
                    <w:rPr>
                      <w:rFonts w:hint="eastAsia" w:cs="Times New Roman"/>
                      <w:color w:val="auto"/>
                      <w:highlight w:val="none"/>
                      <w:lang w:val="en-US" w:eastAsia="zh-CN"/>
                    </w:rPr>
                    <w:t>油墨、脱脂剂、磷化剂、表调剂、除锈剂、网版清洗剂</w:t>
                  </w:r>
                  <w:r>
                    <w:rPr>
                      <w:rFonts w:hint="eastAsia" w:cs="Times New Roman"/>
                      <w:color w:val="auto"/>
                      <w:kern w:val="2"/>
                      <w:sz w:val="21"/>
                      <w:szCs w:val="21"/>
                      <w:highlight w:val="none"/>
                      <w:lang w:val="en-US" w:eastAsia="zh-CN" w:bidi="ar-SA"/>
                    </w:rPr>
                    <w:t>等</w:t>
                  </w:r>
                </w:p>
              </w:tc>
              <w:tc>
                <w:tcPr>
                  <w:tcW w:w="749" w:type="pct"/>
                  <w:tcBorders>
                    <w:tl2br w:val="nil"/>
                    <w:tr2bl w:val="nil"/>
                  </w:tcBorders>
                  <w:shd w:val="clear" w:color="auto" w:fill="auto"/>
                  <w:vAlign w:val="center"/>
                </w:tcPr>
                <w:p w14:paraId="24D9A003">
                  <w:pPr>
                    <w:widowControl/>
                    <w:spacing w:line="240" w:lineRule="auto"/>
                    <w:jc w:val="center"/>
                    <w:textAlignment w:val="center"/>
                    <w:rPr>
                      <w:rFonts w:hint="default" w:ascii="Times New Roman" w:hAnsi="Times New Roman" w:eastAsia="宋体"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10</w:t>
                  </w:r>
                  <w:r>
                    <w:rPr>
                      <w:rFonts w:hint="default" w:ascii="Times New Roman" w:hAnsi="Times New Roman" w:eastAsia="宋体" w:cs="Times New Roman"/>
                      <w:b w:val="0"/>
                      <w:bCs/>
                      <w:color w:val="auto"/>
                      <w:kern w:val="0"/>
                      <w:sz w:val="21"/>
                      <w:szCs w:val="21"/>
                      <w:highlight w:val="none"/>
                    </w:rPr>
                    <w:t>0</w:t>
                  </w:r>
                </w:p>
              </w:tc>
              <w:tc>
                <w:tcPr>
                  <w:tcW w:w="1461" w:type="dxa"/>
                  <w:tcBorders>
                    <w:tl2br w:val="nil"/>
                    <w:tr2bl w:val="nil"/>
                  </w:tcBorders>
                  <w:shd w:val="clear" w:color="auto" w:fill="auto"/>
                  <w:vAlign w:val="center"/>
                </w:tcPr>
                <w:p w14:paraId="1DEB2B6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0.86</w:t>
                  </w:r>
                </w:p>
              </w:tc>
              <w:tc>
                <w:tcPr>
                  <w:tcW w:w="1139" w:type="dxa"/>
                  <w:tcBorders>
                    <w:tl2br w:val="nil"/>
                    <w:tr2bl w:val="nil"/>
                  </w:tcBorders>
                  <w:shd w:val="clear" w:color="auto" w:fill="auto"/>
                  <w:vAlign w:val="center"/>
                </w:tcPr>
                <w:p w14:paraId="5B8762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0.0086</w:t>
                  </w:r>
                </w:p>
              </w:tc>
            </w:tr>
            <w:tr w14:paraId="05FDD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jc w:val="center"/>
              </w:trPr>
              <w:tc>
                <w:tcPr>
                  <w:tcW w:w="1220" w:type="pct"/>
                  <w:vMerge w:val="continue"/>
                  <w:tcBorders>
                    <w:bottom w:val="single" w:color="auto" w:sz="4" w:space="0"/>
                    <w:tl2br w:val="nil"/>
                    <w:tr2bl w:val="nil"/>
                  </w:tcBorders>
                  <w:shd w:val="clear" w:color="auto" w:fill="auto"/>
                  <w:vAlign w:val="center"/>
                </w:tcPr>
                <w:p w14:paraId="34F071D6">
                  <w:pPr>
                    <w:widowControl/>
                    <w:spacing w:line="240" w:lineRule="auto"/>
                    <w:jc w:val="center"/>
                    <w:textAlignment w:val="center"/>
                    <w:rPr>
                      <w:rFonts w:hint="default" w:ascii="Times New Roman" w:hAnsi="Times New Roman" w:eastAsia="宋体" w:cs="Times New Roman"/>
                      <w:color w:val="auto"/>
                      <w:kern w:val="0"/>
                      <w:sz w:val="21"/>
                      <w:szCs w:val="21"/>
                      <w:highlight w:val="none"/>
                    </w:rPr>
                  </w:pPr>
                </w:p>
              </w:tc>
              <w:tc>
                <w:tcPr>
                  <w:tcW w:w="336" w:type="pct"/>
                  <w:vMerge w:val="continue"/>
                  <w:tcBorders>
                    <w:right w:val="single" w:color="auto" w:sz="4" w:space="0"/>
                    <w:tl2br w:val="nil"/>
                    <w:tr2bl w:val="nil"/>
                  </w:tcBorders>
                  <w:shd w:val="clear" w:color="auto" w:fill="auto"/>
                  <w:vAlign w:val="center"/>
                </w:tcPr>
                <w:p w14:paraId="5F3BED0E">
                  <w:pPr>
                    <w:widowControl/>
                    <w:spacing w:line="240" w:lineRule="auto"/>
                    <w:jc w:val="center"/>
                    <w:textAlignment w:val="center"/>
                    <w:rPr>
                      <w:rFonts w:hint="default" w:ascii="Times New Roman" w:hAnsi="Times New Roman" w:eastAsia="宋体" w:cs="Times New Roman"/>
                      <w:color w:val="auto"/>
                      <w:kern w:val="0"/>
                      <w:sz w:val="21"/>
                      <w:szCs w:val="21"/>
                      <w:highlight w:val="none"/>
                    </w:rPr>
                  </w:pPr>
                </w:p>
              </w:tc>
              <w:tc>
                <w:tcPr>
                  <w:tcW w:w="1193" w:type="pct"/>
                  <w:tcBorders>
                    <w:bottom w:val="single" w:color="auto" w:sz="4" w:space="0"/>
                    <w:tl2br w:val="nil"/>
                    <w:tr2bl w:val="nil"/>
                  </w:tcBorders>
                  <w:shd w:val="clear" w:color="auto" w:fill="FFFFFF"/>
                  <w:vAlign w:val="center"/>
                </w:tcPr>
                <w:p w14:paraId="3913E2D4">
                  <w:pPr>
                    <w:widowControl/>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液压</w:t>
                  </w:r>
                  <w:r>
                    <w:rPr>
                      <w:rFonts w:hint="default" w:ascii="Times New Roman" w:hAnsi="Times New Roman" w:eastAsia="宋体" w:cs="Times New Roman"/>
                      <w:color w:val="auto"/>
                      <w:kern w:val="0"/>
                      <w:sz w:val="21"/>
                      <w:szCs w:val="21"/>
                      <w:highlight w:val="none"/>
                    </w:rPr>
                    <w:t>油</w:t>
                  </w:r>
                </w:p>
              </w:tc>
              <w:tc>
                <w:tcPr>
                  <w:tcW w:w="749" w:type="pct"/>
                  <w:tcBorders>
                    <w:tl2br w:val="nil"/>
                    <w:tr2bl w:val="nil"/>
                  </w:tcBorders>
                  <w:vAlign w:val="center"/>
                </w:tcPr>
                <w:p w14:paraId="475AD763">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2500</w:t>
                  </w:r>
                </w:p>
              </w:tc>
              <w:tc>
                <w:tcPr>
                  <w:tcW w:w="1461" w:type="dxa"/>
                  <w:tcBorders>
                    <w:tl2br w:val="nil"/>
                    <w:tr2bl w:val="nil"/>
                  </w:tcBorders>
                  <w:vAlign w:val="center"/>
                </w:tcPr>
                <w:p w14:paraId="62B0240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w:t>
                  </w:r>
                </w:p>
              </w:tc>
              <w:tc>
                <w:tcPr>
                  <w:tcW w:w="1139" w:type="dxa"/>
                  <w:tcBorders>
                    <w:tl2br w:val="nil"/>
                    <w:tr2bl w:val="nil"/>
                  </w:tcBorders>
                  <w:vAlign w:val="center"/>
                </w:tcPr>
                <w:p w14:paraId="6363E2B6">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0.00004</w:t>
                  </w:r>
                </w:p>
              </w:tc>
            </w:tr>
            <w:tr w14:paraId="31155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jc w:val="center"/>
              </w:trPr>
              <w:tc>
                <w:tcPr>
                  <w:tcW w:w="1220" w:type="pct"/>
                  <w:tcBorders>
                    <w:top w:val="single" w:color="auto" w:sz="4" w:space="0"/>
                    <w:tl2br w:val="nil"/>
                    <w:tr2bl w:val="nil"/>
                  </w:tcBorders>
                  <w:vAlign w:val="center"/>
                </w:tcPr>
                <w:p w14:paraId="01BAF2C2">
                  <w:pPr>
                    <w:widowControl/>
                    <w:spacing w:line="240" w:lineRule="auto"/>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健康危险急性毒性物质（类别2、类别3）</w:t>
                  </w:r>
                </w:p>
              </w:tc>
              <w:tc>
                <w:tcPr>
                  <w:tcW w:w="336" w:type="pct"/>
                  <w:tcBorders>
                    <w:top w:val="single" w:color="auto" w:sz="4" w:space="0"/>
                    <w:tl2br w:val="nil"/>
                    <w:tr2bl w:val="nil"/>
                  </w:tcBorders>
                  <w:vAlign w:val="center"/>
                </w:tcPr>
                <w:p w14:paraId="08BFDEF1">
                  <w:pPr>
                    <w:widowControl/>
                    <w:spacing w:line="240" w:lineRule="auto"/>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危险废物</w:t>
                  </w:r>
                </w:p>
              </w:tc>
              <w:tc>
                <w:tcPr>
                  <w:tcW w:w="1193" w:type="pct"/>
                  <w:tcBorders>
                    <w:tl2br w:val="nil"/>
                    <w:tr2bl w:val="nil"/>
                  </w:tcBorders>
                  <w:vAlign w:val="center"/>
                </w:tcPr>
                <w:p w14:paraId="2A7C1EF7">
                  <w:pPr>
                    <w:pStyle w:val="61"/>
                    <w:keepNext w:val="0"/>
                    <w:keepLines w:val="0"/>
                    <w:widowControl/>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rPr>
                    <w:t>危险废物</w:t>
                  </w:r>
                </w:p>
              </w:tc>
              <w:tc>
                <w:tcPr>
                  <w:tcW w:w="749" w:type="pct"/>
                  <w:tcBorders>
                    <w:tl2br w:val="nil"/>
                    <w:tr2bl w:val="nil"/>
                  </w:tcBorders>
                  <w:vAlign w:val="center"/>
                </w:tcPr>
                <w:p w14:paraId="28E08988">
                  <w:pPr>
                    <w:widowControl/>
                    <w:spacing w:line="240" w:lineRule="auto"/>
                    <w:jc w:val="center"/>
                    <w:textAlignment w:val="center"/>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rPr>
                    <w:t>50</w:t>
                  </w:r>
                </w:p>
              </w:tc>
              <w:tc>
                <w:tcPr>
                  <w:tcW w:w="1461" w:type="dxa"/>
                  <w:tcBorders>
                    <w:tl2br w:val="nil"/>
                    <w:tr2bl w:val="nil"/>
                  </w:tcBorders>
                  <w:vAlign w:val="center"/>
                </w:tcPr>
                <w:p w14:paraId="3293987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w:t>
                  </w: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139" w:type="dxa"/>
                  <w:tcBorders>
                    <w:tl2br w:val="nil"/>
                    <w:tr2bl w:val="nil"/>
                  </w:tcBorders>
                  <w:vAlign w:val="center"/>
                </w:tcPr>
                <w:p w14:paraId="1167A37C">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0.6</w:t>
                  </w:r>
                </w:p>
              </w:tc>
            </w:tr>
            <w:tr w14:paraId="0DA0B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jc w:val="center"/>
              </w:trPr>
              <w:tc>
                <w:tcPr>
                  <w:tcW w:w="4342" w:type="pct"/>
                  <w:gridSpan w:val="5"/>
                  <w:tcBorders>
                    <w:tl2br w:val="nil"/>
                    <w:tr2bl w:val="nil"/>
                  </w:tcBorders>
                  <w:vAlign w:val="center"/>
                </w:tcPr>
                <w:p w14:paraId="5E056441">
                  <w:pPr>
                    <w:widowControl/>
                    <w:spacing w:line="240" w:lineRule="auto"/>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∑Q=q</w:t>
                  </w:r>
                  <w:r>
                    <w:rPr>
                      <w:rFonts w:hint="default" w:ascii="Times New Roman" w:hAnsi="Times New Roman" w:eastAsia="宋体" w:cs="Times New Roman"/>
                      <w:color w:val="auto"/>
                      <w:kern w:val="0"/>
                      <w:sz w:val="21"/>
                      <w:szCs w:val="21"/>
                      <w:highlight w:val="none"/>
                      <w:vertAlign w:val="subscript"/>
                    </w:rPr>
                    <w:t>1</w:t>
                  </w:r>
                  <w:r>
                    <w:rPr>
                      <w:rFonts w:hint="default" w:ascii="Times New Roman" w:hAnsi="Times New Roman" w:eastAsia="宋体" w:cs="Times New Roman"/>
                      <w:color w:val="auto"/>
                      <w:kern w:val="0"/>
                      <w:sz w:val="21"/>
                      <w:szCs w:val="21"/>
                      <w:highlight w:val="none"/>
                    </w:rPr>
                    <w:t>/Q</w:t>
                  </w:r>
                  <w:r>
                    <w:rPr>
                      <w:rFonts w:hint="default" w:ascii="Times New Roman" w:hAnsi="Times New Roman" w:eastAsia="宋体" w:cs="Times New Roman"/>
                      <w:color w:val="auto"/>
                      <w:kern w:val="0"/>
                      <w:sz w:val="21"/>
                      <w:szCs w:val="21"/>
                      <w:highlight w:val="none"/>
                      <w:vertAlign w:val="subscript"/>
                    </w:rPr>
                    <w:t>1</w:t>
                  </w:r>
                  <w:r>
                    <w:rPr>
                      <w:rFonts w:hint="default" w:ascii="Times New Roman" w:hAnsi="Times New Roman" w:eastAsia="宋体" w:cs="Times New Roman"/>
                      <w:color w:val="auto"/>
                      <w:kern w:val="0"/>
                      <w:sz w:val="21"/>
                      <w:szCs w:val="21"/>
                      <w:highlight w:val="none"/>
                    </w:rPr>
                    <w:t>+q</w:t>
                  </w:r>
                  <w:r>
                    <w:rPr>
                      <w:rFonts w:hint="default" w:ascii="Times New Roman" w:hAnsi="Times New Roman" w:eastAsia="宋体" w:cs="Times New Roman"/>
                      <w:color w:val="auto"/>
                      <w:kern w:val="0"/>
                      <w:sz w:val="21"/>
                      <w:szCs w:val="21"/>
                      <w:highlight w:val="none"/>
                      <w:vertAlign w:val="subscript"/>
                    </w:rPr>
                    <w:t>2</w:t>
                  </w:r>
                  <w:r>
                    <w:rPr>
                      <w:rFonts w:hint="default" w:ascii="Times New Roman" w:hAnsi="Times New Roman" w:eastAsia="宋体" w:cs="Times New Roman"/>
                      <w:color w:val="auto"/>
                      <w:kern w:val="0"/>
                      <w:sz w:val="21"/>
                      <w:szCs w:val="21"/>
                      <w:highlight w:val="none"/>
                    </w:rPr>
                    <w:t>/Q</w:t>
                  </w:r>
                  <w:r>
                    <w:rPr>
                      <w:rFonts w:hint="default" w:ascii="Times New Roman" w:hAnsi="Times New Roman" w:eastAsia="宋体" w:cs="Times New Roman"/>
                      <w:color w:val="auto"/>
                      <w:kern w:val="0"/>
                      <w:sz w:val="21"/>
                      <w:szCs w:val="21"/>
                      <w:highlight w:val="none"/>
                      <w:vertAlign w:val="subscript"/>
                    </w:rPr>
                    <w:t>2</w:t>
                  </w:r>
                  <w:r>
                    <w:rPr>
                      <w:rFonts w:hint="default" w:ascii="Times New Roman" w:hAnsi="Times New Roman" w:eastAsia="宋体" w:cs="Times New Roman"/>
                      <w:color w:val="auto"/>
                      <w:kern w:val="0"/>
                      <w:sz w:val="21"/>
                      <w:szCs w:val="21"/>
                      <w:highlight w:val="none"/>
                    </w:rPr>
                    <w:t>+……+q</w:t>
                  </w:r>
                  <w:r>
                    <w:rPr>
                      <w:rFonts w:hint="default" w:ascii="Times New Roman" w:hAnsi="Times New Roman" w:eastAsia="宋体" w:cs="Times New Roman"/>
                      <w:color w:val="auto"/>
                      <w:kern w:val="0"/>
                      <w:sz w:val="21"/>
                      <w:szCs w:val="21"/>
                      <w:highlight w:val="none"/>
                      <w:vertAlign w:val="subscript"/>
                    </w:rPr>
                    <w:t>n</w:t>
                  </w:r>
                  <w:r>
                    <w:rPr>
                      <w:rFonts w:hint="default" w:ascii="Times New Roman" w:hAnsi="Times New Roman" w:eastAsia="宋体" w:cs="Times New Roman"/>
                      <w:color w:val="auto"/>
                      <w:kern w:val="0"/>
                      <w:sz w:val="21"/>
                      <w:szCs w:val="21"/>
                      <w:highlight w:val="none"/>
                    </w:rPr>
                    <w:t>/Q</w:t>
                  </w:r>
                  <w:r>
                    <w:rPr>
                      <w:rFonts w:hint="default" w:ascii="Times New Roman" w:hAnsi="Times New Roman" w:eastAsia="宋体" w:cs="Times New Roman"/>
                      <w:color w:val="auto"/>
                      <w:kern w:val="0"/>
                      <w:sz w:val="21"/>
                      <w:szCs w:val="21"/>
                      <w:highlight w:val="none"/>
                      <w:vertAlign w:val="subscript"/>
                    </w:rPr>
                    <w:t>n</w:t>
                  </w:r>
                </w:p>
              </w:tc>
              <w:tc>
                <w:tcPr>
                  <w:tcW w:w="657" w:type="pct"/>
                  <w:tcBorders>
                    <w:tl2br w:val="nil"/>
                    <w:tr2bl w:val="nil"/>
                  </w:tcBorders>
                  <w:vAlign w:val="center"/>
                </w:tcPr>
                <w:p w14:paraId="4A59E62E">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Times New Roman" w:hAnsi="Times New Roman" w:eastAsia="宋体" w:cs="Times New Roman"/>
                      <w:b w:val="0"/>
                      <w:bCs/>
                      <w:color w:val="auto"/>
                      <w:sz w:val="21"/>
                      <w:szCs w:val="21"/>
                      <w:highlight w:val="none"/>
                      <w:lang w:val="en-US" w:eastAsia="zh-CN"/>
                    </w:rPr>
                    <w:t>0.</w:t>
                  </w:r>
                  <w:r>
                    <w:rPr>
                      <w:rFonts w:hint="eastAsia" w:cs="Times New Roman"/>
                      <w:b w:val="0"/>
                      <w:bCs/>
                      <w:color w:val="auto"/>
                      <w:sz w:val="21"/>
                      <w:szCs w:val="21"/>
                      <w:highlight w:val="none"/>
                      <w:lang w:val="en-US" w:eastAsia="zh-CN"/>
                    </w:rPr>
                    <w:t>70</w:t>
                  </w:r>
                </w:p>
              </w:tc>
            </w:tr>
            <w:tr w14:paraId="19C6F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jc w:val="center"/>
              </w:trPr>
              <w:tc>
                <w:tcPr>
                  <w:tcW w:w="5000" w:type="pct"/>
                  <w:gridSpan w:val="6"/>
                  <w:tcBorders>
                    <w:tl2br w:val="nil"/>
                    <w:tr2bl w:val="nil"/>
                  </w:tcBorders>
                  <w:vAlign w:val="center"/>
                </w:tcPr>
                <w:p w14:paraId="214BEEF3">
                  <w:pPr>
                    <w:widowControl/>
                    <w:spacing w:line="240" w:lineRule="auto"/>
                    <w:jc w:val="left"/>
                    <w:textAlignment w:val="center"/>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“*”备注：1、本项目</w:t>
                  </w:r>
                  <w:r>
                    <w:rPr>
                      <w:rFonts w:hint="default" w:ascii="Times New Roman" w:hAnsi="Times New Roman" w:eastAsia="宋体" w:cs="Times New Roman"/>
                      <w:color w:val="auto"/>
                      <w:sz w:val="21"/>
                      <w:szCs w:val="21"/>
                      <w:highlight w:val="none"/>
                      <w:lang w:val="en-US" w:eastAsia="zh-CN" w:bidi="ar-SA"/>
                    </w:rPr>
                    <w:t>pH调整剂主要成分为</w:t>
                  </w:r>
                  <w:r>
                    <w:rPr>
                      <w:rFonts w:hint="default" w:ascii="Times New Roman" w:hAnsi="Times New Roman" w:eastAsia="宋体" w:cs="Times New Roman"/>
                      <w:color w:val="auto"/>
                      <w:kern w:val="0"/>
                      <w:sz w:val="21"/>
                      <w:szCs w:val="21"/>
                      <w:highlight w:val="none"/>
                      <w:lang w:val="en-US" w:eastAsia="zh-CN"/>
                    </w:rPr>
                    <w:t>硫酸70%，厂区最大储量为</w:t>
                  </w:r>
                  <w:r>
                    <w:rPr>
                      <w:rFonts w:hint="default" w:ascii="Times New Roman" w:hAnsi="Times New Roman" w:eastAsia="宋体" w:cs="Times New Roman"/>
                      <w:snapToGrid/>
                      <w:color w:val="auto"/>
                      <w:kern w:val="0"/>
                      <w:sz w:val="21"/>
                      <w:szCs w:val="21"/>
                      <w:highlight w:val="none"/>
                      <w:lang w:val="en-US" w:eastAsia="zh-CN"/>
                    </w:rPr>
                    <w:t>0.2</w:t>
                  </w:r>
                  <w:r>
                    <w:rPr>
                      <w:rFonts w:hint="default" w:ascii="Times New Roman" w:hAnsi="Times New Roman" w:eastAsia="宋体" w:cs="Times New Roman"/>
                      <w:color w:val="auto"/>
                      <w:kern w:val="0"/>
                      <w:sz w:val="21"/>
                      <w:szCs w:val="21"/>
                      <w:highlight w:val="none"/>
                      <w:lang w:val="en-US" w:eastAsia="zh-CN"/>
                    </w:rPr>
                    <w:t>t，硫酸为附录B风险物质，折纯后最大贮存量为0.14t。</w:t>
                  </w:r>
                  <w:r>
                    <w:rPr>
                      <w:rFonts w:hint="eastAsia" w:cs="Times New Roman"/>
                      <w:color w:val="auto"/>
                      <w:kern w:val="0"/>
                      <w:sz w:val="21"/>
                      <w:szCs w:val="21"/>
                      <w:highlight w:val="none"/>
                      <w:lang w:val="en-US" w:eastAsia="zh-CN"/>
                    </w:rPr>
                    <w:t>2、危废间以危废贮存间贮存能力计。</w:t>
                  </w:r>
                </w:p>
              </w:tc>
            </w:tr>
          </w:tbl>
          <w:p w14:paraId="2208902E">
            <w:pPr>
              <w:pageBreakBefore w:val="0"/>
              <w:wordWrap w:val="0"/>
              <w:overflowPunct/>
              <w:bidi w:val="0"/>
              <w:ind w:firstLine="480" w:firstLineChars="20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w:t>
            </w:r>
            <w:r>
              <w:rPr>
                <w:rFonts w:hint="default" w:ascii="Times New Roman" w:hAnsi="Times New Roman" w:eastAsia="宋体" w:cs="Times New Roman"/>
                <w:color w:val="auto"/>
                <w:spacing w:val="-2"/>
                <w:highlight w:val="none"/>
              </w:rPr>
              <w:t>《建设项目环境</w:t>
            </w:r>
            <w:r>
              <w:rPr>
                <w:rFonts w:hint="eastAsia" w:eastAsia="宋体" w:cs="Times New Roman"/>
                <w:color w:val="auto"/>
                <w:spacing w:val="-2"/>
                <w:highlight w:val="none"/>
                <w:lang w:val="en-US" w:eastAsia="zh-CN"/>
              </w:rPr>
              <w:t>影响报告表编制技术指南</w:t>
            </w:r>
            <w:r>
              <w:rPr>
                <w:rFonts w:hint="default" w:ascii="Times New Roman" w:hAnsi="Times New Roman" w:eastAsia="宋体" w:cs="Times New Roman"/>
                <w:color w:val="auto"/>
                <w:spacing w:val="-2"/>
                <w:highlight w:val="none"/>
              </w:rPr>
              <w:t>》（</w:t>
            </w:r>
            <w:r>
              <w:rPr>
                <w:rFonts w:hint="eastAsia" w:eastAsia="宋体" w:cs="Times New Roman"/>
                <w:color w:val="auto"/>
                <w:spacing w:val="-2"/>
                <w:highlight w:val="none"/>
                <w:lang w:val="en-US" w:eastAsia="zh-CN"/>
              </w:rPr>
              <w:t>污染影响类</w:t>
            </w:r>
            <w:r>
              <w:rPr>
                <w:rFonts w:hint="default" w:ascii="Times New Roman" w:hAnsi="Times New Roman" w:eastAsia="宋体" w:cs="Times New Roman"/>
                <w:color w:val="auto"/>
                <w:spacing w:val="-2"/>
                <w:highlight w:val="none"/>
              </w:rPr>
              <w:t>）</w:t>
            </w:r>
            <w:r>
              <w:rPr>
                <w:rFonts w:hint="eastAsia" w:eastAsia="宋体" w:cs="Times New Roman"/>
                <w:color w:val="auto"/>
                <w:spacing w:val="-2"/>
                <w:highlight w:val="none"/>
                <w:lang w:eastAsia="zh-CN"/>
              </w:rPr>
              <w:t>（</w:t>
            </w:r>
            <w:r>
              <w:rPr>
                <w:rFonts w:hint="eastAsia" w:eastAsia="宋体" w:cs="Times New Roman"/>
                <w:color w:val="auto"/>
                <w:spacing w:val="-2"/>
                <w:highlight w:val="none"/>
                <w:lang w:val="en-US" w:eastAsia="zh-CN"/>
              </w:rPr>
              <w:t>试行</w:t>
            </w:r>
            <w:r>
              <w:rPr>
                <w:rFonts w:hint="eastAsia" w:eastAsia="宋体" w:cs="Times New Roman"/>
                <w:color w:val="auto"/>
                <w:spacing w:val="-2"/>
                <w:highlight w:val="none"/>
                <w:lang w:eastAsia="zh-CN"/>
              </w:rPr>
              <w:t>）</w:t>
            </w:r>
            <w:r>
              <w:rPr>
                <w:rFonts w:hint="default" w:ascii="Times New Roman" w:hAnsi="Times New Roman" w:eastAsia="宋体" w:cs="Times New Roman"/>
                <w:color w:val="auto"/>
                <w:spacing w:val="-2"/>
                <w:highlight w:val="none"/>
              </w:rPr>
              <w:t>，当Q</w:t>
            </w:r>
            <w:r>
              <w:rPr>
                <w:rFonts w:hint="eastAsia" w:cs="Times New Roman"/>
                <w:color w:val="auto"/>
                <w:spacing w:val="-2"/>
                <w:highlight w:val="none"/>
                <w:lang w:val="en-US" w:eastAsia="zh-CN"/>
              </w:rPr>
              <w:t>=0.70＜</w:t>
            </w:r>
            <w:r>
              <w:rPr>
                <w:rFonts w:hint="default" w:ascii="Times New Roman" w:hAnsi="Times New Roman" w:eastAsia="宋体" w:cs="Times New Roman"/>
                <w:color w:val="auto"/>
                <w:spacing w:val="-2"/>
                <w:highlight w:val="none"/>
              </w:rPr>
              <w:t>1时，</w:t>
            </w:r>
            <w:r>
              <w:rPr>
                <w:rFonts w:hint="eastAsia" w:cs="Times New Roman"/>
                <w:color w:val="auto"/>
                <w:spacing w:val="-2"/>
                <w:highlight w:val="none"/>
                <w:lang w:val="en-US" w:eastAsia="zh-CN"/>
              </w:rPr>
              <w:t>无需编制环境风险专项评价</w:t>
            </w:r>
            <w:r>
              <w:rPr>
                <w:rFonts w:hint="default" w:ascii="Times New Roman" w:hAnsi="Times New Roman" w:eastAsia="宋体" w:cs="Times New Roman"/>
                <w:color w:val="auto"/>
                <w:spacing w:val="-2"/>
                <w:highlight w:val="none"/>
              </w:rPr>
              <w:t>。</w:t>
            </w:r>
          </w:p>
          <w:p w14:paraId="4DEDB26C">
            <w:pPr>
              <w:keepNext/>
              <w:keepLines/>
              <w:pageBreakBefore w:val="0"/>
              <w:numPr>
                <w:ilvl w:val="4"/>
                <w:numId w:val="0"/>
              </w:numPr>
              <w:wordWrap w:val="0"/>
              <w:overflowPunct/>
              <w:bidi w:val="0"/>
              <w:spacing w:line="360" w:lineRule="auto"/>
              <w:ind w:firstLine="480" w:firstLineChars="200"/>
              <w:outlineLvl w:val="4"/>
              <w:rPr>
                <w:rFonts w:hint="default" w:ascii="Times New Roman" w:hAnsi="Times New Roman" w:eastAsia="宋体" w:cs="Times New Roman"/>
                <w:b/>
                <w:bCs/>
                <w:color w:val="auto"/>
                <w:sz w:val="24"/>
                <w:szCs w:val="24"/>
                <w:highlight w:val="none"/>
                <w:lang w:val="en-US" w:eastAsia="zh-CN" w:bidi="ar-SA"/>
              </w:rPr>
            </w:pPr>
            <w:r>
              <w:rPr>
                <w:rFonts w:hint="default" w:ascii="Times New Roman" w:hAnsi="Times New Roman" w:eastAsia="宋体" w:cs="Times New Roman"/>
                <w:b/>
                <w:bCs/>
                <w:color w:val="auto"/>
                <w:sz w:val="24"/>
                <w:szCs w:val="24"/>
                <w:highlight w:val="none"/>
                <w:lang w:val="en-US" w:eastAsia="zh-CN" w:bidi="ar-SA"/>
              </w:rPr>
              <w:t>3、环境敏感目标调查</w:t>
            </w:r>
          </w:p>
          <w:p w14:paraId="45CB5118">
            <w:pPr>
              <w:pageBreakBefore w:val="0"/>
              <w:wordWrap w:val="0"/>
              <w:overflowPunct/>
              <w:bidi w:val="0"/>
              <w:ind w:firstLine="480" w:firstLineChars="200"/>
              <w:jc w:val="left"/>
              <w:rPr>
                <w:rFonts w:hint="default" w:ascii="Times New Roman" w:hAnsi="Times New Roman" w:eastAsia="宋体" w:cs="Times New Roman"/>
                <w:color w:val="auto"/>
                <w:highlight w:val="none"/>
              </w:rPr>
            </w:pPr>
            <w:r>
              <w:rPr>
                <w:rFonts w:hint="eastAsia" w:cs="Times New Roman"/>
                <w:color w:val="auto"/>
                <w:kern w:val="0"/>
                <w:sz w:val="24"/>
                <w:szCs w:val="24"/>
                <w:highlight w:val="none"/>
                <w:lang w:val="en-US" w:eastAsia="zh-CN"/>
              </w:rPr>
              <w:t>本项目拟于</w:t>
            </w:r>
            <w:r>
              <w:rPr>
                <w:rFonts w:hint="default" w:ascii="Times New Roman" w:hAnsi="Times New Roman" w:eastAsia="宋体" w:cs="Times New Roman"/>
                <w:color w:val="auto"/>
                <w:kern w:val="0"/>
                <w:sz w:val="24"/>
                <w:szCs w:val="24"/>
                <w:highlight w:val="none"/>
                <w:lang w:val="en-US" w:eastAsia="zh-CN"/>
              </w:rPr>
              <w:t>韶关市乐昌市乐昌产业转移工业园乐园大道33号(1号厂房)</w:t>
            </w:r>
            <w:r>
              <w:rPr>
                <w:rFonts w:hint="default" w:ascii="Times New Roman" w:hAnsi="Times New Roman" w:eastAsia="宋体" w:cs="Times New Roman"/>
                <w:color w:val="auto"/>
                <w:highlight w:val="none"/>
              </w:rPr>
              <w:t>，厂区四周为</w:t>
            </w:r>
            <w:r>
              <w:rPr>
                <w:rFonts w:hint="eastAsia" w:cs="Times New Roman"/>
                <w:color w:val="auto"/>
                <w:highlight w:val="none"/>
                <w:lang w:val="en-US" w:eastAsia="zh-CN"/>
              </w:rPr>
              <w:t>园区道路</w:t>
            </w:r>
            <w:r>
              <w:rPr>
                <w:rFonts w:hint="default" w:ascii="Times New Roman" w:hAnsi="Times New Roman" w:eastAsia="宋体" w:cs="Times New Roman"/>
                <w:color w:val="auto"/>
                <w:highlight w:val="none"/>
              </w:rPr>
              <w:t>、空地，项目边界周围500m范围内无学校、医院、文物古迹、风景名胜区、自然保护区、水源保护区。本项目最近的环境保护目标为</w:t>
            </w:r>
            <w:r>
              <w:rPr>
                <w:rFonts w:hint="eastAsia" w:cs="Times New Roman"/>
                <w:color w:val="auto"/>
                <w:highlight w:val="none"/>
                <w:lang w:val="en-US" w:eastAsia="zh-CN"/>
              </w:rPr>
              <w:t>北侧170m的规划居住区</w:t>
            </w:r>
            <w:r>
              <w:rPr>
                <w:rFonts w:hint="default" w:ascii="Times New Roman" w:hAnsi="Times New Roman" w:eastAsia="宋体" w:cs="Times New Roman"/>
                <w:color w:val="auto"/>
                <w:highlight w:val="none"/>
              </w:rPr>
              <w:t>。</w:t>
            </w:r>
          </w:p>
          <w:p w14:paraId="4119BB77">
            <w:pPr>
              <w:keepNext/>
              <w:keepLines/>
              <w:pageBreakBefore w:val="0"/>
              <w:numPr>
                <w:ilvl w:val="4"/>
                <w:numId w:val="0"/>
              </w:numPr>
              <w:wordWrap w:val="0"/>
              <w:overflowPunct/>
              <w:bidi w:val="0"/>
              <w:spacing w:line="360" w:lineRule="auto"/>
              <w:ind w:firstLine="480" w:firstLineChars="200"/>
              <w:outlineLvl w:val="4"/>
              <w:rPr>
                <w:rFonts w:hint="default" w:ascii="Times New Roman" w:hAnsi="Times New Roman" w:eastAsia="宋体" w:cs="Times New Roman"/>
                <w:b/>
                <w:bCs/>
                <w:color w:val="auto"/>
                <w:sz w:val="24"/>
                <w:szCs w:val="24"/>
                <w:highlight w:val="none"/>
                <w:lang w:val="en-US" w:eastAsia="zh-CN" w:bidi="ar-SA"/>
              </w:rPr>
            </w:pPr>
            <w:r>
              <w:rPr>
                <w:rFonts w:hint="default" w:ascii="Times New Roman" w:hAnsi="Times New Roman" w:eastAsia="宋体" w:cs="Times New Roman"/>
                <w:b/>
                <w:bCs/>
                <w:color w:val="auto"/>
                <w:sz w:val="24"/>
                <w:szCs w:val="24"/>
                <w:highlight w:val="none"/>
                <w:lang w:val="en-US" w:eastAsia="zh-CN" w:bidi="ar-SA"/>
              </w:rPr>
              <w:t>4、环境风险分析</w:t>
            </w:r>
          </w:p>
          <w:p w14:paraId="0836EDC5">
            <w:pPr>
              <w:keepNext/>
              <w:keepLines/>
              <w:pageBreakBefore w:val="0"/>
              <w:numPr>
                <w:ilvl w:val="4"/>
                <w:numId w:val="0"/>
              </w:numPr>
              <w:wordWrap w:val="0"/>
              <w:overflowPunct/>
              <w:bidi w:val="0"/>
              <w:spacing w:line="360" w:lineRule="auto"/>
              <w:ind w:firstLine="480" w:firstLineChars="200"/>
              <w:outlineLvl w:val="4"/>
              <w:rPr>
                <w:rFonts w:hint="default" w:ascii="Times New Roman" w:hAnsi="Times New Roman" w:eastAsia="宋体" w:cs="Times New Roman"/>
                <w:b/>
                <w:bCs/>
                <w:color w:val="auto"/>
                <w:sz w:val="24"/>
                <w:szCs w:val="24"/>
                <w:highlight w:val="none"/>
                <w:lang w:val="en-US" w:eastAsia="zh-CN" w:bidi="ar-SA"/>
              </w:rPr>
            </w:pPr>
            <w:r>
              <w:rPr>
                <w:rFonts w:hint="default" w:ascii="Times New Roman" w:hAnsi="Times New Roman" w:eastAsia="宋体" w:cs="Times New Roman"/>
                <w:b/>
                <w:bCs/>
                <w:color w:val="auto"/>
                <w:sz w:val="24"/>
                <w:szCs w:val="24"/>
                <w:highlight w:val="none"/>
                <w:lang w:val="en-US" w:eastAsia="zh-CN" w:bidi="ar-SA"/>
              </w:rPr>
              <w:t>（1）大气环境风险分析</w:t>
            </w:r>
          </w:p>
          <w:p w14:paraId="2E3A39C5">
            <w:pPr>
              <w:pageBreakBefore w:val="0"/>
              <w:widowControl/>
              <w:wordWrap w:val="0"/>
              <w:overflowPunct/>
              <w:bidi w:val="0"/>
              <w:ind w:firstLine="48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物料在运输、装卸、储存和使用过程中发生泄漏、火灾，有毒有害物质在高温情况下散发到空气中，泄漏的物料、物料燃烧产生的次生污染物如烟尘、</w:t>
            </w:r>
            <w:r>
              <w:rPr>
                <w:rFonts w:hint="eastAsia" w:cs="Times New Roman"/>
                <w:color w:val="auto"/>
                <w:highlight w:val="none"/>
                <w:lang w:val="en-US" w:eastAsia="zh-CN"/>
              </w:rPr>
              <w:t>苯系物</w:t>
            </w:r>
            <w:r>
              <w:rPr>
                <w:rFonts w:hint="default" w:ascii="Times New Roman" w:hAnsi="Times New Roman" w:eastAsia="宋体" w:cs="Times New Roman"/>
                <w:color w:val="auto"/>
                <w:highlight w:val="none"/>
              </w:rPr>
              <w:t>等将对周边的环境空气带来较为严重的污染甚至对人群健康造成危害。</w:t>
            </w:r>
          </w:p>
          <w:p w14:paraId="5741E47D">
            <w:pPr>
              <w:keepNext/>
              <w:keepLines/>
              <w:pageBreakBefore w:val="0"/>
              <w:numPr>
                <w:ilvl w:val="4"/>
                <w:numId w:val="0"/>
              </w:numPr>
              <w:wordWrap w:val="0"/>
              <w:overflowPunct/>
              <w:bidi w:val="0"/>
              <w:spacing w:line="360" w:lineRule="auto"/>
              <w:ind w:firstLine="480" w:firstLineChars="200"/>
              <w:outlineLvl w:val="4"/>
              <w:rPr>
                <w:rFonts w:hint="default" w:ascii="Times New Roman" w:hAnsi="Times New Roman" w:eastAsia="宋体" w:cs="Times New Roman"/>
                <w:b/>
                <w:bCs/>
                <w:color w:val="auto"/>
                <w:sz w:val="24"/>
                <w:szCs w:val="24"/>
                <w:highlight w:val="none"/>
                <w:lang w:val="en-US" w:eastAsia="zh-CN" w:bidi="ar-SA"/>
              </w:rPr>
            </w:pPr>
            <w:r>
              <w:rPr>
                <w:rFonts w:hint="default" w:ascii="Times New Roman" w:hAnsi="Times New Roman" w:eastAsia="宋体" w:cs="Times New Roman"/>
                <w:b/>
                <w:bCs/>
                <w:color w:val="auto"/>
                <w:sz w:val="24"/>
                <w:szCs w:val="24"/>
                <w:highlight w:val="none"/>
                <w:lang w:val="en-US" w:eastAsia="zh-CN" w:bidi="ar-SA"/>
              </w:rPr>
              <w:t>（2）地表水、地下水环境风险分析</w:t>
            </w:r>
          </w:p>
          <w:p w14:paraId="58C6BB1C">
            <w:pPr>
              <w:pageBreakBefore w:val="0"/>
              <w:wordWrap w:val="0"/>
              <w:overflowPunct/>
              <w:bidi w:val="0"/>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液态有毒有害物质经地表径流或雨水管进入周边水体，或通过地表下渗污染地下水水质，严重污染河涌、水道水质，比如，液态有毒有害物质在运输、装卸、储存和使用过程中发生泄漏，危险废物仓库防渗层损坏等，对地表水、地下水环境带来较为严重的污染。本项目液态化学品均储存在厂房设置的</w:t>
            </w:r>
            <w:r>
              <w:rPr>
                <w:rFonts w:hint="eastAsia" w:cs="Times New Roman"/>
                <w:color w:val="auto"/>
                <w:highlight w:val="none"/>
                <w:lang w:eastAsia="zh-CN"/>
              </w:rPr>
              <w:t>物料仓库</w:t>
            </w:r>
            <w:r>
              <w:rPr>
                <w:rFonts w:hint="default" w:ascii="Times New Roman" w:hAnsi="Times New Roman" w:eastAsia="宋体" w:cs="Times New Roman"/>
                <w:color w:val="auto"/>
                <w:highlight w:val="none"/>
              </w:rPr>
              <w:t>内，且出入口处设置围堰围挡，物料随用随取，不使用时密闭封存，本项目厂区内均已进行地面硬化，厂界四周设置围墙围挡，仅保留厂区出入口，且厂区与</w:t>
            </w:r>
            <w:r>
              <w:rPr>
                <w:rFonts w:hint="default" w:ascii="Times New Roman" w:hAnsi="Times New Roman" w:cs="Times New Roman"/>
                <w:bCs/>
                <w:color w:val="auto"/>
                <w:kern w:val="28"/>
                <w:sz w:val="24"/>
                <w:highlight w:val="none"/>
                <w:lang w:val="en-US" w:eastAsia="zh-CN"/>
              </w:rPr>
              <w:t>东南侧廊田河</w:t>
            </w:r>
            <w:r>
              <w:rPr>
                <w:rFonts w:hint="eastAsia" w:cs="Times New Roman"/>
                <w:bCs/>
                <w:color w:val="auto"/>
                <w:kern w:val="28"/>
                <w:sz w:val="24"/>
                <w:highlight w:val="none"/>
                <w:lang w:val="en-US" w:eastAsia="zh-CN"/>
              </w:rPr>
              <w:t>最小距离为3625</w:t>
            </w:r>
            <w:r>
              <w:rPr>
                <w:rFonts w:hint="default" w:ascii="Times New Roman" w:hAnsi="Times New Roman" w:cs="Times New Roman"/>
                <w:bCs/>
                <w:color w:val="auto"/>
                <w:kern w:val="28"/>
                <w:sz w:val="24"/>
                <w:highlight w:val="none"/>
              </w:rPr>
              <w:t>m</w:t>
            </w:r>
            <w:r>
              <w:rPr>
                <w:rFonts w:hint="default" w:ascii="Times New Roman" w:hAnsi="Times New Roman" w:cs="Times New Roman"/>
                <w:bCs/>
                <w:color w:val="auto"/>
                <w:kern w:val="28"/>
                <w:sz w:val="24"/>
                <w:highlight w:val="none"/>
                <w:lang w:val="en-US" w:eastAsia="zh-CN"/>
              </w:rPr>
              <w:t>处</w:t>
            </w:r>
            <w:r>
              <w:rPr>
                <w:rFonts w:hint="default" w:ascii="Times New Roman" w:hAnsi="Times New Roman" w:cs="Times New Roman"/>
                <w:bCs/>
                <w:color w:val="auto"/>
                <w:kern w:val="28"/>
                <w:sz w:val="24"/>
                <w:highlight w:val="none"/>
              </w:rPr>
              <w:t>，</w:t>
            </w:r>
            <w:r>
              <w:rPr>
                <w:rFonts w:hint="default" w:ascii="Times New Roman" w:hAnsi="Times New Roman" w:cs="Times New Roman"/>
                <w:bCs/>
                <w:color w:val="auto"/>
                <w:kern w:val="28"/>
                <w:sz w:val="24"/>
                <w:highlight w:val="none"/>
                <w:lang w:val="en-US" w:eastAsia="zh-CN"/>
              </w:rPr>
              <w:t>在园区道路阻隔，重力引流情况下，本项目厂区内</w:t>
            </w:r>
            <w:r>
              <w:rPr>
                <w:rFonts w:hint="default" w:ascii="Times New Roman" w:hAnsi="Times New Roman" w:cs="Times New Roman"/>
                <w:bCs/>
                <w:color w:val="auto"/>
                <w:kern w:val="28"/>
                <w:sz w:val="24"/>
                <w:highlight w:val="none"/>
              </w:rPr>
              <w:t>地表径流</w:t>
            </w:r>
            <w:r>
              <w:rPr>
                <w:rFonts w:hint="default" w:ascii="Times New Roman" w:hAnsi="Times New Roman" w:cs="Times New Roman"/>
                <w:bCs/>
                <w:color w:val="auto"/>
                <w:kern w:val="28"/>
                <w:sz w:val="24"/>
                <w:highlight w:val="none"/>
                <w:lang w:val="en-US" w:eastAsia="zh-CN"/>
              </w:rPr>
              <w:t>无法</w:t>
            </w:r>
            <w:r>
              <w:rPr>
                <w:rFonts w:hint="default" w:ascii="Times New Roman" w:hAnsi="Times New Roman" w:cs="Times New Roman"/>
                <w:bCs/>
                <w:color w:val="auto"/>
                <w:kern w:val="28"/>
                <w:sz w:val="24"/>
                <w:highlight w:val="none"/>
              </w:rPr>
              <w:t>直接进入</w:t>
            </w:r>
            <w:r>
              <w:rPr>
                <w:rFonts w:hint="default" w:ascii="Times New Roman" w:hAnsi="Times New Roman" w:cs="Times New Roman"/>
                <w:bCs/>
                <w:color w:val="auto"/>
                <w:kern w:val="28"/>
                <w:sz w:val="24"/>
                <w:highlight w:val="none"/>
                <w:lang w:val="en-US" w:eastAsia="zh-CN"/>
              </w:rPr>
              <w:t>廊田河</w:t>
            </w:r>
            <w:r>
              <w:rPr>
                <w:rFonts w:hint="default" w:ascii="Times New Roman" w:hAnsi="Times New Roman" w:cs="Times New Roman"/>
                <w:bCs/>
                <w:color w:val="auto"/>
                <w:kern w:val="28"/>
                <w:sz w:val="24"/>
                <w:highlight w:val="none"/>
              </w:rPr>
              <w:t>水体中。</w:t>
            </w:r>
            <w:r>
              <w:rPr>
                <w:rFonts w:hint="default" w:ascii="Times New Roman" w:hAnsi="Times New Roman" w:eastAsia="宋体" w:cs="Times New Roman"/>
                <w:color w:val="auto"/>
                <w:highlight w:val="none"/>
              </w:rPr>
              <w:t>因此</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本项目</w:t>
            </w:r>
            <w:r>
              <w:rPr>
                <w:rFonts w:hint="default" w:ascii="Times New Roman" w:hAnsi="Times New Roman" w:eastAsia="宋体" w:cs="Times New Roman"/>
                <w:color w:val="auto"/>
                <w:highlight w:val="none"/>
              </w:rPr>
              <w:t>地表水、地下水环境污染途径</w:t>
            </w:r>
            <w:r>
              <w:rPr>
                <w:rFonts w:hint="default" w:ascii="Times New Roman" w:hAnsi="Times New Roman" w:eastAsia="宋体" w:cs="Times New Roman"/>
                <w:color w:val="auto"/>
                <w:highlight w:val="none"/>
                <w:lang w:val="en-US" w:eastAsia="zh-CN"/>
              </w:rPr>
              <w:t>较少，且有对应防范措施</w:t>
            </w:r>
            <w:r>
              <w:rPr>
                <w:rFonts w:hint="default" w:ascii="Times New Roman" w:hAnsi="Times New Roman" w:eastAsia="宋体" w:cs="Times New Roman"/>
                <w:color w:val="auto"/>
                <w:highlight w:val="none"/>
              </w:rPr>
              <w:t>。</w:t>
            </w:r>
          </w:p>
          <w:p w14:paraId="1904E6A3">
            <w:pPr>
              <w:keepNext/>
              <w:keepLines/>
              <w:pageBreakBefore w:val="0"/>
              <w:widowControl w:val="0"/>
              <w:numPr>
                <w:ilvl w:val="3"/>
                <w:numId w:val="0"/>
              </w:numPr>
              <w:wordWrap w:val="0"/>
              <w:overflowPunct/>
              <w:bidi w:val="0"/>
              <w:spacing w:line="360" w:lineRule="auto"/>
              <w:ind w:firstLine="480" w:firstLineChars="200"/>
              <w:jc w:val="both"/>
              <w:outlineLvl w:val="3"/>
              <w:rPr>
                <w:rFonts w:hint="default" w:ascii="Times New Roman" w:hAnsi="Times New Roman" w:eastAsia="宋体" w:cs="Times New Roman"/>
                <w:b/>
                <w:bCs/>
                <w:color w:val="auto"/>
                <w:kern w:val="2"/>
                <w:sz w:val="24"/>
                <w:szCs w:val="28"/>
                <w:highlight w:val="none"/>
                <w:lang w:val="en-US" w:eastAsia="zh-CN" w:bidi="ar-SA"/>
              </w:rPr>
            </w:pPr>
            <w:r>
              <w:rPr>
                <w:rFonts w:hint="default" w:ascii="Times New Roman" w:hAnsi="Times New Roman" w:eastAsia="宋体" w:cs="Times New Roman"/>
                <w:b/>
                <w:bCs/>
                <w:color w:val="auto"/>
                <w:kern w:val="2"/>
                <w:sz w:val="24"/>
                <w:szCs w:val="28"/>
                <w:highlight w:val="none"/>
                <w:lang w:val="en-US" w:eastAsia="zh-CN" w:bidi="ar-SA"/>
              </w:rPr>
              <w:t>5、环境风险防范措施及应急要求</w:t>
            </w:r>
          </w:p>
          <w:p w14:paraId="4611B082">
            <w:pPr>
              <w:keepNext/>
              <w:keepLines/>
              <w:pageBreakBefore w:val="0"/>
              <w:widowControl w:val="0"/>
              <w:numPr>
                <w:ilvl w:val="5"/>
                <w:numId w:val="0"/>
              </w:numPr>
              <w:wordWrap w:val="0"/>
              <w:overflowPunct/>
              <w:bidi w:val="0"/>
              <w:spacing w:line="360" w:lineRule="auto"/>
              <w:ind w:firstLine="480" w:firstLineChars="200"/>
              <w:jc w:val="both"/>
              <w:outlineLvl w:val="5"/>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①严格执行应急管理、消防等相关规范，从总图布置和建筑安全方面进行风险防范，预留疏散通道或安置场所。</w:t>
            </w:r>
          </w:p>
          <w:p w14:paraId="776A1AB4">
            <w:pPr>
              <w:keepNext/>
              <w:keepLines/>
              <w:pageBreakBefore w:val="0"/>
              <w:widowControl w:val="0"/>
              <w:numPr>
                <w:ilvl w:val="5"/>
                <w:numId w:val="0"/>
              </w:numPr>
              <w:wordWrap w:val="0"/>
              <w:overflowPunct/>
              <w:bidi w:val="0"/>
              <w:spacing w:line="360" w:lineRule="auto"/>
              <w:ind w:firstLine="480" w:firstLineChars="200"/>
              <w:jc w:val="both"/>
              <w:outlineLvl w:val="5"/>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②从优化改进生产工艺、减少储存量、改善储存条件等方面降低风险程度。</w:t>
            </w:r>
          </w:p>
          <w:p w14:paraId="172000D4">
            <w:pPr>
              <w:keepNext/>
              <w:keepLines/>
              <w:pageBreakBefore w:val="0"/>
              <w:widowControl w:val="0"/>
              <w:numPr>
                <w:ilvl w:val="5"/>
                <w:numId w:val="0"/>
              </w:numPr>
              <w:wordWrap w:val="0"/>
              <w:overflowPunct/>
              <w:bidi w:val="0"/>
              <w:spacing w:line="360" w:lineRule="auto"/>
              <w:ind w:firstLine="480" w:firstLineChars="200"/>
              <w:jc w:val="both"/>
              <w:outlineLvl w:val="5"/>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③加强日常管理，降低管理失误而出现的风险事故，提高员工规范性操作水平，减少误操作引发的风险事故。</w:t>
            </w:r>
          </w:p>
          <w:p w14:paraId="1A05C9C7">
            <w:pPr>
              <w:keepNext/>
              <w:keepLines/>
              <w:pageBreakBefore w:val="0"/>
              <w:widowControl w:val="0"/>
              <w:numPr>
                <w:ilvl w:val="5"/>
                <w:numId w:val="0"/>
              </w:numPr>
              <w:wordWrap w:val="0"/>
              <w:overflowPunct/>
              <w:bidi w:val="0"/>
              <w:spacing w:line="360" w:lineRule="auto"/>
              <w:ind w:firstLine="480" w:firstLineChars="200"/>
              <w:jc w:val="both"/>
              <w:outlineLvl w:val="5"/>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④根据贮存的相关要求进行贮存、使用，设置满足要求的围堰区。遵循“源头控制，分区防渗”的原则，做好仓库、车间、危废暂存间的防渗措施，满足相应标准要求。危废间在建筑物内部，达到防风防雨防晒要求，地面硬化并刷环氧树脂漆防渗，四周设置围堰，满足四防要求。</w:t>
            </w:r>
          </w:p>
          <w:p w14:paraId="5F319F13">
            <w:pPr>
              <w:pageBreakBefore w:val="0"/>
              <w:wordWrap w:val="0"/>
              <w:overflowPunct/>
              <w:bidi w:val="0"/>
              <w:ind w:firstLine="480" w:firstLineChars="20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highlight w:val="none"/>
              </w:rPr>
              <w:t>项目风险防范措施详见下表：</w:t>
            </w:r>
          </w:p>
          <w:p w14:paraId="09CA7044">
            <w:pPr>
              <w:keepNext w:val="0"/>
              <w:keepLines w:val="0"/>
              <w:pageBreakBefore w:val="0"/>
              <w:widowControl w:val="0"/>
              <w:numPr>
                <w:ilvl w:val="0"/>
                <w:numId w:val="10"/>
              </w:numPr>
              <w:kinsoku/>
              <w:wordWrap w:val="0"/>
              <w:overflowPunct/>
              <w:topLinePunct w:val="0"/>
              <w:autoSpaceDE/>
              <w:autoSpaceDN/>
              <w:bidi w:val="0"/>
              <w:adjustRightInd/>
              <w:snapToGrid/>
              <w:spacing w:line="240" w:lineRule="auto"/>
              <w:ind w:left="0" w:leftChars="0" w:hanging="1"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lang w:val="en-US" w:eastAsia="zh-CN"/>
              </w:rPr>
              <w:t>项目</w:t>
            </w:r>
            <w:r>
              <w:rPr>
                <w:rFonts w:hint="default" w:ascii="Times New Roman" w:hAnsi="Times New Roman" w:eastAsia="宋体" w:cs="Times New Roman"/>
                <w:b/>
                <w:bCs/>
                <w:color w:val="auto"/>
                <w:kern w:val="2"/>
                <w:sz w:val="21"/>
                <w:szCs w:val="21"/>
                <w:highlight w:val="none"/>
                <w:lang w:val="en-US" w:eastAsia="zh-CN" w:bidi="ar-SA"/>
              </w:rPr>
              <w:t>风险防范措施一览表</w:t>
            </w:r>
          </w:p>
          <w:tbl>
            <w:tblPr>
              <w:tblStyle w:val="125"/>
              <w:tblW w:w="4996"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905"/>
              <w:gridCol w:w="1068"/>
              <w:gridCol w:w="1114"/>
              <w:gridCol w:w="2057"/>
              <w:gridCol w:w="1624"/>
              <w:gridCol w:w="1930"/>
            </w:tblGrid>
            <w:tr w14:paraId="0013D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520" w:type="pct"/>
                  <w:tcBorders>
                    <w:tl2br w:val="nil"/>
                    <w:tr2bl w:val="nil"/>
                  </w:tcBorders>
                  <w:vAlign w:val="center"/>
                </w:tcPr>
                <w:p w14:paraId="3CB63831">
                  <w:pPr>
                    <w:widowControl/>
                    <w:spacing w:line="240" w:lineRule="auto"/>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val="en-US" w:eastAsia="zh-CN"/>
                    </w:rPr>
                    <w:t>风险</w:t>
                  </w:r>
                  <w:r>
                    <w:rPr>
                      <w:rFonts w:hint="default" w:ascii="Times New Roman" w:hAnsi="Times New Roman" w:eastAsia="宋体" w:cs="Times New Roman"/>
                      <w:b/>
                      <w:bCs/>
                      <w:color w:val="auto"/>
                      <w:kern w:val="0"/>
                      <w:sz w:val="21"/>
                      <w:szCs w:val="21"/>
                      <w:highlight w:val="none"/>
                    </w:rPr>
                    <w:t>单元</w:t>
                  </w:r>
                </w:p>
              </w:tc>
              <w:tc>
                <w:tcPr>
                  <w:tcW w:w="614" w:type="pct"/>
                  <w:tcBorders>
                    <w:tl2br w:val="nil"/>
                    <w:tr2bl w:val="nil"/>
                  </w:tcBorders>
                  <w:vAlign w:val="center"/>
                </w:tcPr>
                <w:p w14:paraId="77938C34">
                  <w:pPr>
                    <w:widowControl/>
                    <w:spacing w:line="240" w:lineRule="auto"/>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风险源</w:t>
                  </w:r>
                </w:p>
              </w:tc>
              <w:tc>
                <w:tcPr>
                  <w:tcW w:w="640" w:type="pct"/>
                  <w:tcBorders>
                    <w:tl2br w:val="nil"/>
                    <w:tr2bl w:val="nil"/>
                  </w:tcBorders>
                  <w:vAlign w:val="center"/>
                </w:tcPr>
                <w:p w14:paraId="22D6311A">
                  <w:pPr>
                    <w:widowControl/>
                    <w:spacing w:line="240" w:lineRule="auto"/>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val="en-US" w:eastAsia="zh-CN"/>
                    </w:rPr>
                    <w:t>风险</w:t>
                  </w:r>
                  <w:r>
                    <w:rPr>
                      <w:rFonts w:hint="default" w:ascii="Times New Roman" w:hAnsi="Times New Roman" w:eastAsia="宋体" w:cs="Times New Roman"/>
                      <w:b/>
                      <w:bCs/>
                      <w:color w:val="auto"/>
                      <w:kern w:val="0"/>
                      <w:sz w:val="21"/>
                      <w:szCs w:val="21"/>
                      <w:highlight w:val="none"/>
                    </w:rPr>
                    <w:t>物质</w:t>
                  </w:r>
                </w:p>
              </w:tc>
              <w:tc>
                <w:tcPr>
                  <w:tcW w:w="1182" w:type="pct"/>
                  <w:tcBorders>
                    <w:tl2br w:val="nil"/>
                    <w:tr2bl w:val="nil"/>
                  </w:tcBorders>
                  <w:vAlign w:val="center"/>
                </w:tcPr>
                <w:p w14:paraId="12E50592">
                  <w:pPr>
                    <w:widowControl/>
                    <w:spacing w:line="240" w:lineRule="auto"/>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环境风险类型</w:t>
                  </w:r>
                </w:p>
              </w:tc>
              <w:tc>
                <w:tcPr>
                  <w:tcW w:w="933" w:type="pct"/>
                  <w:tcBorders>
                    <w:tl2br w:val="nil"/>
                    <w:tr2bl w:val="nil"/>
                  </w:tcBorders>
                  <w:vAlign w:val="center"/>
                </w:tcPr>
                <w:p w14:paraId="00532FBA">
                  <w:pPr>
                    <w:widowControl/>
                    <w:spacing w:line="240" w:lineRule="auto"/>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环境影响途径</w:t>
                  </w:r>
                </w:p>
              </w:tc>
              <w:tc>
                <w:tcPr>
                  <w:tcW w:w="1109" w:type="pct"/>
                  <w:tcBorders>
                    <w:tl2br w:val="nil"/>
                    <w:tr2bl w:val="nil"/>
                  </w:tcBorders>
                  <w:vAlign w:val="center"/>
                </w:tcPr>
                <w:p w14:paraId="03079E47">
                  <w:pPr>
                    <w:widowControl/>
                    <w:spacing w:line="240" w:lineRule="auto"/>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可能受影响的环境敏感目标</w:t>
                  </w:r>
                </w:p>
              </w:tc>
            </w:tr>
            <w:tr w14:paraId="240D2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520" w:type="pct"/>
                  <w:tcBorders>
                    <w:bottom w:val="single" w:color="auto" w:sz="4" w:space="0"/>
                    <w:tl2br w:val="nil"/>
                    <w:tr2bl w:val="nil"/>
                  </w:tcBorders>
                  <w:vAlign w:val="center"/>
                </w:tcPr>
                <w:p w14:paraId="7627CFF4">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生产装置</w:t>
                  </w:r>
                </w:p>
              </w:tc>
              <w:tc>
                <w:tcPr>
                  <w:tcW w:w="614" w:type="pct"/>
                  <w:tcBorders>
                    <w:bottom w:val="single" w:color="auto" w:sz="4" w:space="0"/>
                    <w:tl2br w:val="nil"/>
                    <w:tr2bl w:val="nil"/>
                  </w:tcBorders>
                  <w:vAlign w:val="center"/>
                </w:tcPr>
                <w:p w14:paraId="5CEFB252">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钢材</w:t>
                  </w:r>
                  <w:r>
                    <w:rPr>
                      <w:rFonts w:hint="default" w:ascii="Times New Roman" w:hAnsi="Times New Roman" w:eastAsia="宋体" w:cs="Times New Roman"/>
                      <w:color w:val="auto"/>
                      <w:kern w:val="0"/>
                      <w:sz w:val="21"/>
                      <w:szCs w:val="21"/>
                      <w:highlight w:val="none"/>
                      <w:lang w:val="en-US" w:eastAsia="zh-CN"/>
                    </w:rPr>
                    <w:t>表面预处理生产线</w:t>
                  </w:r>
                </w:p>
              </w:tc>
              <w:tc>
                <w:tcPr>
                  <w:tcW w:w="640" w:type="pct"/>
                  <w:tcBorders>
                    <w:tl2br w:val="nil"/>
                    <w:tr2bl w:val="nil"/>
                  </w:tcBorders>
                  <w:vAlign w:val="center"/>
                </w:tcPr>
                <w:p w14:paraId="753831CE">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表面处理废水</w:t>
                  </w:r>
                </w:p>
              </w:tc>
              <w:tc>
                <w:tcPr>
                  <w:tcW w:w="1182" w:type="pct"/>
                  <w:tcBorders>
                    <w:tl2br w:val="nil"/>
                    <w:tr2bl w:val="nil"/>
                  </w:tcBorders>
                  <w:vAlign w:val="center"/>
                </w:tcPr>
                <w:p w14:paraId="3CDB99A5">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泄漏</w:t>
                  </w:r>
                </w:p>
              </w:tc>
              <w:tc>
                <w:tcPr>
                  <w:tcW w:w="933" w:type="pct"/>
                  <w:tcBorders>
                    <w:tl2br w:val="nil"/>
                    <w:tr2bl w:val="nil"/>
                  </w:tcBorders>
                  <w:vAlign w:val="center"/>
                </w:tcPr>
                <w:p w14:paraId="531EFF95">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地表径流、下渗</w:t>
                  </w:r>
                </w:p>
              </w:tc>
              <w:tc>
                <w:tcPr>
                  <w:tcW w:w="1109" w:type="pct"/>
                  <w:tcBorders>
                    <w:tl2br w:val="nil"/>
                    <w:tr2bl w:val="nil"/>
                  </w:tcBorders>
                  <w:vAlign w:val="center"/>
                </w:tcPr>
                <w:p w14:paraId="7A47906E">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地表水、地下水环境</w:t>
                  </w:r>
                </w:p>
              </w:tc>
            </w:tr>
            <w:tr w14:paraId="1EF13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520" w:type="pct"/>
                  <w:tcBorders>
                    <w:top w:val="single" w:color="auto" w:sz="4" w:space="0"/>
                    <w:bottom w:val="single" w:color="auto" w:sz="4" w:space="0"/>
                    <w:tl2br w:val="nil"/>
                    <w:tr2bl w:val="nil"/>
                  </w:tcBorders>
                  <w:vAlign w:val="center"/>
                </w:tcPr>
                <w:p w14:paraId="232E6C88">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辅助生产设施</w:t>
                  </w:r>
                </w:p>
              </w:tc>
              <w:tc>
                <w:tcPr>
                  <w:tcW w:w="614" w:type="pct"/>
                  <w:tcBorders>
                    <w:top w:val="single" w:color="auto" w:sz="4" w:space="0"/>
                    <w:bottom w:val="single" w:color="auto" w:sz="4" w:space="0"/>
                    <w:tl2br w:val="nil"/>
                    <w:tr2bl w:val="nil"/>
                  </w:tcBorders>
                  <w:vAlign w:val="center"/>
                </w:tcPr>
                <w:p w14:paraId="2F8FCBC7">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天然气管道</w:t>
                  </w:r>
                </w:p>
              </w:tc>
              <w:tc>
                <w:tcPr>
                  <w:tcW w:w="640" w:type="pct"/>
                  <w:tcBorders>
                    <w:tl2br w:val="nil"/>
                    <w:tr2bl w:val="nil"/>
                  </w:tcBorders>
                  <w:vAlign w:val="center"/>
                </w:tcPr>
                <w:p w14:paraId="1E8082F2">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甲烷</w:t>
                  </w:r>
                </w:p>
              </w:tc>
              <w:tc>
                <w:tcPr>
                  <w:tcW w:w="1182" w:type="pct"/>
                  <w:tcBorders>
                    <w:tl2br w:val="nil"/>
                    <w:tr2bl w:val="nil"/>
                  </w:tcBorders>
                  <w:vAlign w:val="center"/>
                </w:tcPr>
                <w:p w14:paraId="4BC5A00E">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泄漏、火灾引发的伴生/次生污染</w:t>
                  </w:r>
                </w:p>
              </w:tc>
              <w:tc>
                <w:tcPr>
                  <w:tcW w:w="933" w:type="pct"/>
                  <w:tcBorders>
                    <w:tl2br w:val="nil"/>
                    <w:tr2bl w:val="nil"/>
                  </w:tcBorders>
                  <w:vAlign w:val="center"/>
                </w:tcPr>
                <w:p w14:paraId="30ADC220">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大气扩散</w:t>
                  </w:r>
                </w:p>
              </w:tc>
              <w:tc>
                <w:tcPr>
                  <w:tcW w:w="1109" w:type="pct"/>
                  <w:tcBorders>
                    <w:tl2br w:val="nil"/>
                    <w:tr2bl w:val="nil"/>
                  </w:tcBorders>
                  <w:vAlign w:val="center"/>
                </w:tcPr>
                <w:p w14:paraId="382606D3">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大气环境</w:t>
                  </w:r>
                </w:p>
              </w:tc>
            </w:tr>
            <w:tr w14:paraId="67D0D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520" w:type="pct"/>
                  <w:tcBorders>
                    <w:top w:val="single" w:color="auto" w:sz="4" w:space="0"/>
                    <w:tl2br w:val="nil"/>
                    <w:tr2bl w:val="nil"/>
                  </w:tcBorders>
                  <w:vAlign w:val="center"/>
                </w:tcPr>
                <w:p w14:paraId="035B986E">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储运设施</w:t>
                  </w:r>
                </w:p>
              </w:tc>
              <w:tc>
                <w:tcPr>
                  <w:tcW w:w="614" w:type="pct"/>
                  <w:tcBorders>
                    <w:top w:val="single" w:color="auto" w:sz="4" w:space="0"/>
                    <w:tl2br w:val="nil"/>
                    <w:tr2bl w:val="nil"/>
                  </w:tcBorders>
                  <w:vAlign w:val="center"/>
                </w:tcPr>
                <w:p w14:paraId="20A5237D">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化学品仓库</w:t>
                  </w:r>
                </w:p>
              </w:tc>
              <w:tc>
                <w:tcPr>
                  <w:tcW w:w="640" w:type="pct"/>
                  <w:tcBorders>
                    <w:tl2br w:val="nil"/>
                    <w:tr2bl w:val="nil"/>
                  </w:tcBorders>
                  <w:vAlign w:val="center"/>
                </w:tcPr>
                <w:p w14:paraId="4CEF8C22">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pH调整剂、机油、</w:t>
                  </w:r>
                  <w:r>
                    <w:rPr>
                      <w:rFonts w:hint="eastAsia" w:cs="Times New Roman"/>
                      <w:color w:val="auto"/>
                      <w:kern w:val="0"/>
                      <w:sz w:val="21"/>
                      <w:szCs w:val="21"/>
                      <w:highlight w:val="none"/>
                      <w:lang w:val="en-US" w:eastAsia="zh-CN"/>
                    </w:rPr>
                    <w:t>液压</w:t>
                  </w:r>
                  <w:r>
                    <w:rPr>
                      <w:rFonts w:hint="default" w:ascii="Times New Roman" w:hAnsi="Times New Roman" w:eastAsia="宋体" w:cs="Times New Roman"/>
                      <w:color w:val="auto"/>
                      <w:kern w:val="0"/>
                      <w:sz w:val="21"/>
                      <w:szCs w:val="21"/>
                      <w:highlight w:val="none"/>
                      <w:lang w:val="en-US" w:eastAsia="zh-CN"/>
                    </w:rPr>
                    <w:t>油</w:t>
                  </w:r>
                  <w:r>
                    <w:rPr>
                      <w:rFonts w:hint="eastAsia"/>
                      <w:color w:val="auto"/>
                      <w:sz w:val="21"/>
                      <w:szCs w:val="21"/>
                      <w:highlight w:val="none"/>
                      <w:lang w:val="en-US" w:eastAsia="zh-CN"/>
                    </w:rPr>
                    <w:t>、油漆、稀释剂、固化剂、磷化剂、脱脂剂、油墨、除锈剂、网版清洗剂等</w:t>
                  </w:r>
                </w:p>
              </w:tc>
              <w:tc>
                <w:tcPr>
                  <w:tcW w:w="1182" w:type="pct"/>
                  <w:tcBorders>
                    <w:tl2br w:val="nil"/>
                    <w:tr2bl w:val="nil"/>
                  </w:tcBorders>
                  <w:vAlign w:val="center"/>
                </w:tcPr>
                <w:p w14:paraId="53424573">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泄漏</w:t>
                  </w:r>
                </w:p>
              </w:tc>
              <w:tc>
                <w:tcPr>
                  <w:tcW w:w="933" w:type="pct"/>
                  <w:tcBorders>
                    <w:tl2br w:val="nil"/>
                    <w:tr2bl w:val="nil"/>
                  </w:tcBorders>
                  <w:vAlign w:val="center"/>
                </w:tcPr>
                <w:p w14:paraId="5B0D5179">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地表径流、下渗</w:t>
                  </w:r>
                  <w:r>
                    <w:rPr>
                      <w:rFonts w:hint="default" w:ascii="Times New Roman" w:hAnsi="Times New Roman" w:eastAsia="宋体" w:cs="Times New Roman"/>
                      <w:color w:val="auto"/>
                      <w:kern w:val="0"/>
                      <w:sz w:val="21"/>
                      <w:szCs w:val="21"/>
                      <w:highlight w:val="none"/>
                      <w:lang w:eastAsia="zh-CN"/>
                    </w:rPr>
                    <w:t>、</w:t>
                  </w:r>
                </w:p>
              </w:tc>
              <w:tc>
                <w:tcPr>
                  <w:tcW w:w="1109" w:type="pct"/>
                  <w:tcBorders>
                    <w:tl2br w:val="nil"/>
                    <w:tr2bl w:val="nil"/>
                  </w:tcBorders>
                  <w:vAlign w:val="center"/>
                </w:tcPr>
                <w:p w14:paraId="5AA744E3">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地表水、地下水环境</w:t>
                  </w:r>
                </w:p>
              </w:tc>
            </w:tr>
            <w:tr w14:paraId="598D4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520" w:type="pct"/>
                  <w:vMerge w:val="restart"/>
                  <w:tcBorders>
                    <w:tl2br w:val="nil"/>
                    <w:tr2bl w:val="nil"/>
                  </w:tcBorders>
                  <w:vAlign w:val="center"/>
                </w:tcPr>
                <w:p w14:paraId="3B6C1F68">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rPr>
                    <w:t>储运设施</w:t>
                  </w:r>
                </w:p>
              </w:tc>
              <w:tc>
                <w:tcPr>
                  <w:tcW w:w="614" w:type="pct"/>
                  <w:vMerge w:val="restart"/>
                  <w:tcBorders>
                    <w:tl2br w:val="nil"/>
                    <w:tr2bl w:val="nil"/>
                  </w:tcBorders>
                  <w:vAlign w:val="center"/>
                </w:tcPr>
                <w:p w14:paraId="0C4B879C">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危废暂存间</w:t>
                  </w:r>
                </w:p>
              </w:tc>
              <w:tc>
                <w:tcPr>
                  <w:tcW w:w="640" w:type="pct"/>
                  <w:tcBorders>
                    <w:tl2br w:val="nil"/>
                    <w:tr2bl w:val="nil"/>
                  </w:tcBorders>
                  <w:vAlign w:val="center"/>
                </w:tcPr>
                <w:p w14:paraId="3D2A4457">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废机油</w:t>
                  </w:r>
                </w:p>
              </w:tc>
              <w:tc>
                <w:tcPr>
                  <w:tcW w:w="1182" w:type="pct"/>
                  <w:tcBorders>
                    <w:tl2br w:val="nil"/>
                    <w:tr2bl w:val="nil"/>
                  </w:tcBorders>
                  <w:vAlign w:val="center"/>
                </w:tcPr>
                <w:p w14:paraId="5D108107">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泄漏</w:t>
                  </w:r>
                </w:p>
              </w:tc>
              <w:tc>
                <w:tcPr>
                  <w:tcW w:w="933" w:type="pct"/>
                  <w:tcBorders>
                    <w:tl2br w:val="nil"/>
                    <w:tr2bl w:val="nil"/>
                  </w:tcBorders>
                  <w:vAlign w:val="center"/>
                </w:tcPr>
                <w:p w14:paraId="6D6EB9A3">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地表径流、下渗</w:t>
                  </w:r>
                </w:p>
              </w:tc>
              <w:tc>
                <w:tcPr>
                  <w:tcW w:w="1109" w:type="pct"/>
                  <w:tcBorders>
                    <w:tl2br w:val="nil"/>
                    <w:tr2bl w:val="nil"/>
                  </w:tcBorders>
                  <w:vAlign w:val="center"/>
                </w:tcPr>
                <w:p w14:paraId="14DBB14B">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地表水、地下水环境</w:t>
                  </w:r>
                </w:p>
              </w:tc>
            </w:tr>
            <w:tr w14:paraId="64DDF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520" w:type="pct"/>
                  <w:vMerge w:val="continue"/>
                  <w:tcBorders>
                    <w:tl2br w:val="nil"/>
                    <w:tr2bl w:val="nil"/>
                  </w:tcBorders>
                  <w:vAlign w:val="center"/>
                </w:tcPr>
                <w:p w14:paraId="44A61FEB">
                  <w:pPr>
                    <w:widowControl/>
                    <w:spacing w:line="240" w:lineRule="auto"/>
                    <w:jc w:val="center"/>
                    <w:textAlignment w:val="center"/>
                    <w:rPr>
                      <w:rFonts w:hint="default" w:ascii="Times New Roman" w:hAnsi="Times New Roman" w:eastAsia="宋体" w:cs="Times New Roman"/>
                      <w:color w:val="auto"/>
                      <w:kern w:val="0"/>
                      <w:sz w:val="21"/>
                      <w:szCs w:val="21"/>
                      <w:highlight w:val="none"/>
                    </w:rPr>
                  </w:pPr>
                </w:p>
              </w:tc>
              <w:tc>
                <w:tcPr>
                  <w:tcW w:w="614" w:type="pct"/>
                  <w:vMerge w:val="continue"/>
                  <w:tcBorders>
                    <w:tl2br w:val="nil"/>
                    <w:tr2bl w:val="nil"/>
                  </w:tcBorders>
                  <w:vAlign w:val="center"/>
                </w:tcPr>
                <w:p w14:paraId="16122C22">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p>
              </w:tc>
              <w:tc>
                <w:tcPr>
                  <w:tcW w:w="640" w:type="pct"/>
                  <w:tcBorders>
                    <w:tl2br w:val="nil"/>
                    <w:tr2bl w:val="nil"/>
                  </w:tcBorders>
                  <w:vAlign w:val="center"/>
                </w:tcPr>
                <w:p w14:paraId="3B8A185F">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废</w:t>
                  </w:r>
                  <w:r>
                    <w:rPr>
                      <w:rFonts w:hint="eastAsia"/>
                      <w:color w:val="auto"/>
                      <w:sz w:val="21"/>
                      <w:szCs w:val="21"/>
                      <w:highlight w:val="none"/>
                      <w:lang w:val="en-US" w:eastAsia="zh-CN"/>
                    </w:rPr>
                    <w:t>网版清洗废液、喷淋废液及沉渣</w:t>
                  </w:r>
                </w:p>
              </w:tc>
              <w:tc>
                <w:tcPr>
                  <w:tcW w:w="1182" w:type="pct"/>
                  <w:tcBorders>
                    <w:tl2br w:val="nil"/>
                    <w:tr2bl w:val="nil"/>
                  </w:tcBorders>
                  <w:vAlign w:val="center"/>
                </w:tcPr>
                <w:p w14:paraId="0453ACC5">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泄漏</w:t>
                  </w:r>
                </w:p>
              </w:tc>
              <w:tc>
                <w:tcPr>
                  <w:tcW w:w="933" w:type="pct"/>
                  <w:tcBorders>
                    <w:tl2br w:val="nil"/>
                    <w:tr2bl w:val="nil"/>
                  </w:tcBorders>
                  <w:vAlign w:val="center"/>
                </w:tcPr>
                <w:p w14:paraId="761A05F3">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地表径流、下渗</w:t>
                  </w:r>
                </w:p>
              </w:tc>
              <w:tc>
                <w:tcPr>
                  <w:tcW w:w="1109" w:type="pct"/>
                  <w:tcBorders>
                    <w:tl2br w:val="nil"/>
                    <w:tr2bl w:val="nil"/>
                  </w:tcBorders>
                  <w:vAlign w:val="center"/>
                </w:tcPr>
                <w:p w14:paraId="533ED139">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地表水、地下水环境</w:t>
                  </w:r>
                </w:p>
              </w:tc>
            </w:tr>
            <w:tr w14:paraId="5827F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520" w:type="pct"/>
                  <w:vMerge w:val="continue"/>
                  <w:tcBorders>
                    <w:tl2br w:val="nil"/>
                    <w:tr2bl w:val="nil"/>
                  </w:tcBorders>
                  <w:vAlign w:val="center"/>
                </w:tcPr>
                <w:p w14:paraId="76F125FD">
                  <w:pPr>
                    <w:widowControl/>
                    <w:spacing w:line="240" w:lineRule="auto"/>
                    <w:jc w:val="center"/>
                    <w:textAlignment w:val="center"/>
                    <w:rPr>
                      <w:rFonts w:hint="default" w:ascii="Times New Roman" w:hAnsi="Times New Roman" w:eastAsia="宋体" w:cs="Times New Roman"/>
                      <w:color w:val="auto"/>
                      <w:kern w:val="0"/>
                      <w:sz w:val="21"/>
                      <w:szCs w:val="21"/>
                      <w:highlight w:val="none"/>
                    </w:rPr>
                  </w:pPr>
                </w:p>
              </w:tc>
              <w:tc>
                <w:tcPr>
                  <w:tcW w:w="614" w:type="pct"/>
                  <w:vMerge w:val="continue"/>
                  <w:tcBorders>
                    <w:tl2br w:val="nil"/>
                    <w:tr2bl w:val="nil"/>
                  </w:tcBorders>
                  <w:vAlign w:val="center"/>
                </w:tcPr>
                <w:p w14:paraId="6A740D2B">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p>
              </w:tc>
              <w:tc>
                <w:tcPr>
                  <w:tcW w:w="640" w:type="pct"/>
                  <w:tcBorders>
                    <w:tl2br w:val="nil"/>
                    <w:tr2bl w:val="nil"/>
                  </w:tcBorders>
                  <w:vAlign w:val="center"/>
                </w:tcPr>
                <w:p w14:paraId="088976ED">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磷</w:t>
                  </w:r>
                  <w:r>
                    <w:rPr>
                      <w:rFonts w:hint="default" w:ascii="Times New Roman" w:hAnsi="Times New Roman" w:eastAsia="宋体" w:cs="Times New Roman"/>
                      <w:color w:val="auto"/>
                      <w:kern w:val="0"/>
                      <w:sz w:val="21"/>
                      <w:szCs w:val="21"/>
                      <w:highlight w:val="none"/>
                      <w:lang w:val="en-US" w:eastAsia="zh-CN"/>
                    </w:rPr>
                    <w:t>化池废槽液</w:t>
                  </w:r>
                </w:p>
              </w:tc>
              <w:tc>
                <w:tcPr>
                  <w:tcW w:w="1182" w:type="pct"/>
                  <w:tcBorders>
                    <w:tl2br w:val="nil"/>
                    <w:tr2bl w:val="nil"/>
                  </w:tcBorders>
                  <w:vAlign w:val="center"/>
                </w:tcPr>
                <w:p w14:paraId="58FCA471">
                  <w:pPr>
                    <w:widowControl/>
                    <w:spacing w:line="240" w:lineRule="auto"/>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泄漏</w:t>
                  </w:r>
                </w:p>
              </w:tc>
              <w:tc>
                <w:tcPr>
                  <w:tcW w:w="933" w:type="pct"/>
                  <w:tcBorders>
                    <w:tl2br w:val="nil"/>
                    <w:tr2bl w:val="nil"/>
                  </w:tcBorders>
                  <w:vAlign w:val="center"/>
                </w:tcPr>
                <w:p w14:paraId="04923F7F">
                  <w:pPr>
                    <w:widowControl/>
                    <w:spacing w:line="240" w:lineRule="auto"/>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地表径流、下渗</w:t>
                  </w:r>
                </w:p>
              </w:tc>
              <w:tc>
                <w:tcPr>
                  <w:tcW w:w="1109" w:type="pct"/>
                  <w:tcBorders>
                    <w:tl2br w:val="nil"/>
                    <w:tr2bl w:val="nil"/>
                  </w:tcBorders>
                  <w:vAlign w:val="center"/>
                </w:tcPr>
                <w:p w14:paraId="3DEE4920">
                  <w:pPr>
                    <w:widowControl/>
                    <w:spacing w:line="240" w:lineRule="auto"/>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地表水、地下水环境</w:t>
                  </w:r>
                </w:p>
              </w:tc>
            </w:tr>
            <w:tr w14:paraId="04CA29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520" w:type="pct"/>
                  <w:vMerge w:val="restart"/>
                  <w:tcBorders>
                    <w:tl2br w:val="nil"/>
                    <w:tr2bl w:val="nil"/>
                  </w:tcBorders>
                  <w:vAlign w:val="center"/>
                </w:tcPr>
                <w:p w14:paraId="3B207A8A">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环境保护设施</w:t>
                  </w:r>
                </w:p>
              </w:tc>
              <w:tc>
                <w:tcPr>
                  <w:tcW w:w="614" w:type="pct"/>
                  <w:tcBorders>
                    <w:tl2br w:val="nil"/>
                    <w:tr2bl w:val="nil"/>
                  </w:tcBorders>
                  <w:vAlign w:val="center"/>
                </w:tcPr>
                <w:p w14:paraId="35AC7BAC">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污水处理站</w:t>
                  </w:r>
                </w:p>
              </w:tc>
              <w:tc>
                <w:tcPr>
                  <w:tcW w:w="640" w:type="pct"/>
                  <w:tcBorders>
                    <w:tl2br w:val="nil"/>
                    <w:tr2bl w:val="nil"/>
                  </w:tcBorders>
                  <w:vAlign w:val="center"/>
                </w:tcPr>
                <w:p w14:paraId="5C1941CA">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表面处理废水</w:t>
                  </w:r>
                </w:p>
              </w:tc>
              <w:tc>
                <w:tcPr>
                  <w:tcW w:w="1182" w:type="pct"/>
                  <w:tcBorders>
                    <w:tl2br w:val="nil"/>
                    <w:tr2bl w:val="nil"/>
                  </w:tcBorders>
                  <w:vAlign w:val="center"/>
                </w:tcPr>
                <w:p w14:paraId="053B53AE">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泄漏</w:t>
                  </w:r>
                </w:p>
              </w:tc>
              <w:tc>
                <w:tcPr>
                  <w:tcW w:w="933" w:type="pct"/>
                  <w:tcBorders>
                    <w:tl2br w:val="nil"/>
                    <w:tr2bl w:val="nil"/>
                  </w:tcBorders>
                  <w:vAlign w:val="center"/>
                </w:tcPr>
                <w:p w14:paraId="16A9AE0B">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地表径流、下渗</w:t>
                  </w:r>
                  <w:r>
                    <w:rPr>
                      <w:rFonts w:hint="default" w:ascii="Times New Roman" w:hAnsi="Times New Roman" w:eastAsia="宋体" w:cs="Times New Roman"/>
                      <w:color w:val="auto"/>
                      <w:kern w:val="0"/>
                      <w:sz w:val="21"/>
                      <w:szCs w:val="21"/>
                      <w:highlight w:val="none"/>
                      <w:lang w:eastAsia="zh-CN"/>
                    </w:rPr>
                    <w:t>、</w:t>
                  </w:r>
                </w:p>
              </w:tc>
              <w:tc>
                <w:tcPr>
                  <w:tcW w:w="1109" w:type="pct"/>
                  <w:tcBorders>
                    <w:tl2br w:val="nil"/>
                    <w:tr2bl w:val="nil"/>
                  </w:tcBorders>
                  <w:vAlign w:val="center"/>
                </w:tcPr>
                <w:p w14:paraId="7E7ADA51">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地表水、地下水环境</w:t>
                  </w:r>
                </w:p>
              </w:tc>
            </w:tr>
            <w:tr w14:paraId="3367F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520" w:type="pct"/>
                  <w:vMerge w:val="continue"/>
                  <w:tcBorders>
                    <w:tl2br w:val="nil"/>
                    <w:tr2bl w:val="nil"/>
                  </w:tcBorders>
                  <w:vAlign w:val="center"/>
                </w:tcPr>
                <w:p w14:paraId="73788111">
                  <w:pPr>
                    <w:widowControl/>
                    <w:spacing w:line="240" w:lineRule="auto"/>
                    <w:jc w:val="center"/>
                    <w:textAlignment w:val="center"/>
                    <w:rPr>
                      <w:rFonts w:hint="default" w:ascii="Times New Roman" w:hAnsi="Times New Roman" w:eastAsia="宋体" w:cs="Times New Roman"/>
                      <w:color w:val="auto"/>
                      <w:kern w:val="0"/>
                      <w:sz w:val="21"/>
                      <w:szCs w:val="21"/>
                      <w:highlight w:val="none"/>
                    </w:rPr>
                  </w:pPr>
                </w:p>
              </w:tc>
              <w:tc>
                <w:tcPr>
                  <w:tcW w:w="614" w:type="pct"/>
                  <w:tcBorders>
                    <w:tl2br w:val="nil"/>
                    <w:tr2bl w:val="nil"/>
                  </w:tcBorders>
                  <w:vAlign w:val="center"/>
                </w:tcPr>
                <w:p w14:paraId="02813EB9">
                  <w:pPr>
                    <w:widowControl/>
                    <w:spacing w:line="240" w:lineRule="auto"/>
                    <w:jc w:val="center"/>
                    <w:textAlignment w:val="center"/>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废气处理</w:t>
                  </w:r>
                  <w:r>
                    <w:rPr>
                      <w:rFonts w:hint="default" w:ascii="Times New Roman" w:hAnsi="Times New Roman" w:eastAsia="宋体" w:cs="Times New Roman"/>
                      <w:color w:val="auto"/>
                      <w:kern w:val="0"/>
                      <w:sz w:val="21"/>
                      <w:szCs w:val="21"/>
                      <w:highlight w:val="none"/>
                    </w:rPr>
                    <w:t>系统</w:t>
                  </w:r>
                </w:p>
              </w:tc>
              <w:tc>
                <w:tcPr>
                  <w:tcW w:w="640" w:type="pct"/>
                  <w:tcBorders>
                    <w:tl2br w:val="nil"/>
                    <w:tr2bl w:val="nil"/>
                  </w:tcBorders>
                  <w:vAlign w:val="center"/>
                </w:tcPr>
                <w:p w14:paraId="41DB7C4F">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1182" w:type="pct"/>
                  <w:tcBorders>
                    <w:tl2br w:val="nil"/>
                    <w:tr2bl w:val="nil"/>
                  </w:tcBorders>
                  <w:vAlign w:val="center"/>
                </w:tcPr>
                <w:p w14:paraId="0983CE1D">
                  <w:pPr>
                    <w:widowControl/>
                    <w:spacing w:line="240" w:lineRule="auto"/>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系统故障导致废气超标排放</w:t>
                  </w:r>
                </w:p>
              </w:tc>
              <w:tc>
                <w:tcPr>
                  <w:tcW w:w="933" w:type="pct"/>
                  <w:tcBorders>
                    <w:tl2br w:val="nil"/>
                    <w:tr2bl w:val="nil"/>
                  </w:tcBorders>
                  <w:vAlign w:val="center"/>
                </w:tcPr>
                <w:p w14:paraId="0101E8BC">
                  <w:pPr>
                    <w:widowControl/>
                    <w:spacing w:line="240" w:lineRule="auto"/>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大气扩散</w:t>
                  </w:r>
                </w:p>
              </w:tc>
              <w:tc>
                <w:tcPr>
                  <w:tcW w:w="1109" w:type="pct"/>
                  <w:tcBorders>
                    <w:tl2br w:val="nil"/>
                    <w:tr2bl w:val="nil"/>
                  </w:tcBorders>
                  <w:vAlign w:val="center"/>
                </w:tcPr>
                <w:p w14:paraId="075A69AE">
                  <w:pPr>
                    <w:widowControl/>
                    <w:spacing w:line="240" w:lineRule="auto"/>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大气环境</w:t>
                  </w:r>
                </w:p>
              </w:tc>
            </w:tr>
          </w:tbl>
          <w:p w14:paraId="1DE91F7E">
            <w:pPr>
              <w:pStyle w:val="38"/>
              <w:spacing w:after="0" w:line="360" w:lineRule="auto"/>
              <w:ind w:firstLine="482"/>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
                <w:sz w:val="24"/>
                <w:szCs w:val="24"/>
                <w:highlight w:val="none"/>
              </w:rPr>
              <w:t>⑤事故应急池：</w:t>
            </w:r>
          </w:p>
          <w:p w14:paraId="1D075F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事故应急池容积计算参考《事故状态下水体污染的预防与控制技术要求》（Q/SY 1190-2013）的规定进行核算。</w:t>
            </w:r>
          </w:p>
          <w:p w14:paraId="394EBC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总</w:t>
            </w: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1</w:t>
            </w: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vertAlign w:val="subscript"/>
              </w:rPr>
              <w:t>max</w:t>
            </w: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5</w:t>
            </w:r>
          </w:p>
          <w:p w14:paraId="1CA6AB60">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式中：V</w:t>
            </w:r>
            <w:r>
              <w:rPr>
                <w:rFonts w:hint="default" w:ascii="Times New Roman" w:hAnsi="Times New Roman" w:eastAsia="宋体" w:cs="Times New Roman"/>
                <w:color w:val="auto"/>
                <w:sz w:val="24"/>
                <w:szCs w:val="24"/>
                <w:highlight w:val="none"/>
                <w:vertAlign w:val="subscript"/>
              </w:rPr>
              <w:t>1</w:t>
            </w:r>
            <w:r>
              <w:rPr>
                <w:rFonts w:hint="default" w:ascii="Times New Roman" w:hAnsi="Times New Roman" w:eastAsia="宋体" w:cs="Times New Roman"/>
                <w:color w:val="auto"/>
                <w:sz w:val="24"/>
                <w:szCs w:val="24"/>
                <w:highlight w:val="none"/>
              </w:rPr>
              <w:t>—收集系统范围内发生事故的一个罐组或一套装置的物料量。</w:t>
            </w:r>
          </w:p>
          <w:p w14:paraId="21AFCEA2">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项目所用化学品、原辅材料等不使用时封闭储存于化学品仓或原料仓中，化学品仓和危废间已做好防渗措施，</w:t>
            </w:r>
            <w:r>
              <w:rPr>
                <w:rFonts w:hint="default" w:ascii="Times New Roman" w:hAnsi="Times New Roman" w:cs="Times New Roman"/>
                <w:color w:val="auto"/>
                <w:sz w:val="24"/>
                <w:szCs w:val="24"/>
                <w:highlight w:val="none"/>
                <w:lang w:val="en-US" w:eastAsia="zh-CN"/>
              </w:rPr>
              <w:t>取各构筑物内最大一个液态物料储存容器的容积，本项目取</w:t>
            </w:r>
            <w:r>
              <w:rPr>
                <w:rFonts w:hint="eastAsia" w:ascii="Times New Roman" w:hAnsi="Times New Roman" w:cs="Times New Roman"/>
                <w:color w:val="auto"/>
                <w:sz w:val="24"/>
                <w:szCs w:val="24"/>
                <w:highlight w:val="none"/>
                <w:lang w:val="en-US" w:eastAsia="zh-CN"/>
              </w:rPr>
              <w:t>9.6</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（脱脂池</w:t>
            </w:r>
            <w:r>
              <w:rPr>
                <w:rFonts w:hint="eastAsia" w:ascii="Times New Roman" w:hAnsi="Times New Roman" w:cs="Times New Roman"/>
                <w:color w:val="auto"/>
                <w:sz w:val="24"/>
                <w:szCs w:val="24"/>
                <w:highlight w:val="none"/>
                <w:vertAlign w:val="baseline"/>
                <w:lang w:val="en-US" w:eastAsia="zh-CN"/>
              </w:rPr>
              <w:t>、表调池</w:t>
            </w:r>
            <w:r>
              <w:rPr>
                <w:rFonts w:hint="default" w:ascii="Times New Roman" w:hAnsi="Times New Roman" w:cs="Times New Roman"/>
                <w:color w:val="auto"/>
                <w:sz w:val="24"/>
                <w:szCs w:val="24"/>
                <w:highlight w:val="none"/>
                <w:vertAlign w:val="baseline"/>
                <w:lang w:val="en-US" w:eastAsia="zh-CN"/>
              </w:rPr>
              <w:t>），即</w:t>
            </w:r>
            <w:r>
              <w:rPr>
                <w:rFonts w:hint="default" w:ascii="Times New Roman" w:hAnsi="Times New Roman" w:cs="Times New Roman"/>
                <w:color w:val="auto"/>
                <w:sz w:val="24"/>
                <w:szCs w:val="24"/>
                <w:highlight w:val="none"/>
                <w:lang w:eastAsia="zh-CN"/>
              </w:rPr>
              <w:t>V</w:t>
            </w:r>
            <w:r>
              <w:rPr>
                <w:rFonts w:hint="default"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9.6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cs="Times New Roman"/>
                <w:color w:val="auto"/>
                <w:sz w:val="24"/>
                <w:szCs w:val="24"/>
                <w:highlight w:val="none"/>
                <w:lang w:eastAsia="zh-CN"/>
              </w:rPr>
              <w:t>；</w:t>
            </w:r>
          </w:p>
          <w:p w14:paraId="7644684D">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—发生事故的储罐或装置的消防水量</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参考《消防给水及消火栓系统技术规范》（GB 50974-2014）</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本项目</w:t>
            </w:r>
            <w:r>
              <w:rPr>
                <w:rFonts w:hint="eastAsia" w:ascii="Times New Roman" w:hAnsi="Times New Roman" w:cs="Times New Roman"/>
                <w:color w:val="auto"/>
                <w:sz w:val="24"/>
                <w:szCs w:val="24"/>
                <w:highlight w:val="none"/>
                <w:lang w:val="en-US" w:eastAsia="zh-CN"/>
              </w:rPr>
              <w:t>租赁</w:t>
            </w:r>
            <w:r>
              <w:rPr>
                <w:rFonts w:hint="default" w:ascii="Times New Roman" w:hAnsi="Times New Roman" w:cs="Times New Roman"/>
                <w:color w:val="auto"/>
                <w:sz w:val="24"/>
                <w:szCs w:val="24"/>
                <w:highlight w:val="none"/>
                <w:lang w:val="en-US" w:eastAsia="zh-CN"/>
              </w:rPr>
              <w:t>厂房均属于耐火等级一级的丁类厂房，厂房占地面积为</w:t>
            </w:r>
            <w:r>
              <w:rPr>
                <w:rFonts w:hint="eastAsia" w:ascii="Times New Roman" w:hAnsi="Times New Roman" w:cs="Times New Roman"/>
                <w:color w:val="auto"/>
                <w:kern w:val="2"/>
                <w:sz w:val="24"/>
                <w:szCs w:val="24"/>
                <w:highlight w:val="none"/>
                <w:lang w:val="en-US" w:eastAsia="zh-CN" w:bidi="ar-SA"/>
              </w:rPr>
              <w:t>5400</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，计算建筑体积为</w:t>
            </w:r>
            <w:r>
              <w:rPr>
                <w:rFonts w:hint="eastAsia" w:ascii="Times New Roman" w:hAnsi="Times New Roman" w:cs="Times New Roman"/>
                <w:color w:val="auto"/>
                <w:sz w:val="24"/>
                <w:szCs w:val="24"/>
                <w:highlight w:val="none"/>
                <w:lang w:val="en-US" w:eastAsia="zh-CN"/>
              </w:rPr>
              <w:t>64800</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，建筑物室外消火栓设计流量为20L/s；建筑物室内消火栓设计流量为10L/s。火灾延续时间按</w:t>
            </w:r>
            <w:r>
              <w:rPr>
                <w:rFonts w:hint="eastAsia" w:ascii="Times New Roman" w:hAnsi="Times New Roman" w:cs="Times New Roman"/>
                <w:color w:val="auto"/>
                <w:sz w:val="24"/>
                <w:szCs w:val="24"/>
                <w:highlight w:val="none"/>
                <w:vertAlign w:val="baseline"/>
                <w:lang w:val="en-US" w:eastAsia="zh-CN"/>
              </w:rPr>
              <w:t>2</w:t>
            </w:r>
            <w:r>
              <w:rPr>
                <w:rFonts w:hint="default" w:ascii="Times New Roman" w:hAnsi="Times New Roman" w:cs="Times New Roman"/>
                <w:color w:val="auto"/>
                <w:sz w:val="24"/>
                <w:szCs w:val="24"/>
                <w:highlight w:val="none"/>
                <w:vertAlign w:val="baseline"/>
                <w:lang w:val="en-US" w:eastAsia="zh-CN"/>
              </w:rPr>
              <w:t>h计算。</w:t>
            </w:r>
            <w:r>
              <w:rPr>
                <w:rFonts w:hint="default" w:ascii="Times New Roman" w:hAnsi="Times New Roman" w:eastAsia="宋体" w:cs="Times New Roman"/>
                <w:color w:val="auto"/>
                <w:sz w:val="24"/>
                <w:szCs w:val="24"/>
                <w:highlight w:val="none"/>
              </w:rPr>
              <w:t>经计算，生产车间消防用水量为</w:t>
            </w:r>
            <w:r>
              <w:rPr>
                <w:rFonts w:hint="default" w:ascii="Times New Roman" w:hAnsi="Times New Roman" w:cs="Times New Roman"/>
                <w:color w:val="auto"/>
                <w:sz w:val="24"/>
                <w:szCs w:val="24"/>
                <w:highlight w:val="none"/>
                <w:lang w:val="en-US" w:eastAsia="zh-CN"/>
              </w:rPr>
              <w:t>324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lang w:val="en-US" w:eastAsia="zh-CN"/>
              </w:rPr>
              <w:t>消防废水产污系数取0.9计算，计算得消防废水为</w:t>
            </w:r>
            <w:r>
              <w:rPr>
                <w:rFonts w:hint="eastAsia" w:ascii="Times New Roman" w:hAnsi="Times New Roman" w:cs="Times New Roman"/>
                <w:color w:val="auto"/>
                <w:sz w:val="24"/>
                <w:szCs w:val="24"/>
                <w:highlight w:val="none"/>
                <w:lang w:val="en-US" w:eastAsia="zh-CN"/>
              </w:rPr>
              <w:t>194.4</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即</w:t>
            </w: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194.4</w:t>
            </w:r>
            <w:r>
              <w:rPr>
                <w:rFonts w:hint="default" w:ascii="Times New Roman" w:hAnsi="Times New Roman" w:cs="Times New Roman"/>
                <w:color w:val="auto"/>
                <w:sz w:val="24"/>
                <w:szCs w:val="24"/>
                <w:highlight w:val="none"/>
                <w:lang w:eastAsia="zh-CN"/>
              </w:rPr>
              <w:t>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val="en-US" w:eastAsia="zh-CN"/>
              </w:rPr>
              <w:t>；</w:t>
            </w:r>
          </w:p>
          <w:p w14:paraId="6DA28EEA">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—发生事故时可以转输到其他储存或处理设施的物料量，m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项目在各个厂房均设置</w:t>
            </w:r>
            <w:r>
              <w:rPr>
                <w:rFonts w:hint="default" w:ascii="Times New Roman" w:hAnsi="Times New Roman" w:cs="Times New Roman"/>
                <w:color w:val="auto"/>
                <w:kern w:val="0"/>
                <w:sz w:val="24"/>
                <w:szCs w:val="24"/>
                <w:highlight w:val="none"/>
                <w:lang w:val="en-US" w:eastAsia="zh-CN"/>
              </w:rPr>
              <w:t>了3cm高度、20cm宽度的门槛，用于在不影响物料运输工具车出入情况下预防外部雨水流入生产厂房中；而生产厂房墙壁及门槛在厂房内形成了一定容量“围堰区”。</w:t>
            </w:r>
          </w:p>
          <w:p w14:paraId="2399A5FF">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本项目</w:t>
            </w:r>
            <w:r>
              <w:rPr>
                <w:rFonts w:hint="default" w:ascii="Times New Roman" w:hAnsi="Times New Roman" w:cs="Times New Roman"/>
                <w:color w:val="auto"/>
                <w:sz w:val="24"/>
                <w:szCs w:val="24"/>
                <w:highlight w:val="none"/>
                <w:lang w:val="en-US" w:eastAsia="zh-CN"/>
              </w:rPr>
              <w:t>厂房占地面积为</w:t>
            </w:r>
            <w:r>
              <w:rPr>
                <w:rFonts w:hint="eastAsia" w:ascii="Times New Roman" w:hAnsi="Times New Roman" w:cs="Times New Roman"/>
                <w:color w:val="auto"/>
                <w:kern w:val="2"/>
                <w:sz w:val="24"/>
                <w:szCs w:val="24"/>
                <w:highlight w:val="none"/>
                <w:lang w:val="en-US" w:eastAsia="zh-CN" w:bidi="ar-SA"/>
              </w:rPr>
              <w:t>5400</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kern w:val="0"/>
                <w:sz w:val="24"/>
                <w:szCs w:val="24"/>
                <w:highlight w:val="none"/>
                <w:lang w:val="en-US" w:eastAsia="zh-CN"/>
              </w:rPr>
              <w:t>围堰高度按3cm计算，计算得本项目V</w:t>
            </w:r>
            <w:r>
              <w:rPr>
                <w:rFonts w:hint="default" w:ascii="Times New Roman" w:hAnsi="Times New Roman" w:cs="Times New Roman"/>
                <w:color w:val="auto"/>
                <w:kern w:val="0"/>
                <w:sz w:val="24"/>
                <w:szCs w:val="24"/>
                <w:highlight w:val="none"/>
                <w:vertAlign w:val="subscript"/>
                <w:lang w:val="en-US" w:eastAsia="zh-CN"/>
              </w:rPr>
              <w:t>3</w:t>
            </w:r>
            <w:r>
              <w:rPr>
                <w:rFonts w:hint="default" w:ascii="Times New Roman" w:hAnsi="Times New Roman" w:cs="Times New Roman"/>
                <w:color w:val="auto"/>
                <w:kern w:val="0"/>
                <w:sz w:val="24"/>
                <w:szCs w:val="24"/>
                <w:highlight w:val="none"/>
                <w:lang w:val="en-US" w:eastAsia="zh-CN"/>
              </w:rPr>
              <w:t>=</w:t>
            </w:r>
            <w:r>
              <w:rPr>
                <w:rFonts w:hint="eastAsia" w:ascii="Times New Roman" w:hAnsi="Times New Roman" w:cs="Times New Roman"/>
                <w:color w:val="auto"/>
                <w:kern w:val="0"/>
                <w:sz w:val="24"/>
                <w:szCs w:val="24"/>
                <w:highlight w:val="none"/>
                <w:lang w:val="en-US" w:eastAsia="zh-CN"/>
              </w:rPr>
              <w:t>162</w:t>
            </w:r>
            <w:r>
              <w:rPr>
                <w:rFonts w:hint="default" w:ascii="Times New Roman" w:hAnsi="Times New Roman" w:cs="Times New Roman"/>
                <w:color w:val="auto"/>
                <w:kern w:val="0"/>
                <w:sz w:val="24"/>
                <w:szCs w:val="24"/>
                <w:highlight w:val="none"/>
                <w:lang w:val="en-US" w:eastAsia="zh-CN"/>
              </w:rPr>
              <w:t>m</w:t>
            </w:r>
            <w:r>
              <w:rPr>
                <w:rFonts w:hint="default" w:ascii="Times New Roman" w:hAnsi="Times New Roman" w:cs="Times New Roman"/>
                <w:color w:val="auto"/>
                <w:kern w:val="0"/>
                <w:sz w:val="24"/>
                <w:szCs w:val="24"/>
                <w:highlight w:val="none"/>
                <w:vertAlign w:val="superscript"/>
                <w:lang w:val="en-US" w:eastAsia="zh-CN"/>
              </w:rPr>
              <w:t>3</w:t>
            </w:r>
            <w:r>
              <w:rPr>
                <w:rFonts w:hint="default" w:ascii="Times New Roman" w:hAnsi="Times New Roman" w:cs="Times New Roman"/>
                <w:color w:val="auto"/>
                <w:kern w:val="0"/>
                <w:sz w:val="24"/>
                <w:szCs w:val="24"/>
                <w:highlight w:val="none"/>
                <w:vertAlign w:val="baseline"/>
                <w:lang w:val="en-US" w:eastAsia="zh-CN"/>
              </w:rPr>
              <w:t>。</w:t>
            </w:r>
          </w:p>
          <w:p w14:paraId="5458F3C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rPr>
              <w:t>—发生事故时仍必须进入该收集系统的生产废水量，m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eastAsia="zh-CN"/>
              </w:rPr>
              <w:t>事故发生时即停止生产，不会持续产生生产废水，</w:t>
            </w:r>
            <w:r>
              <w:rPr>
                <w:rFonts w:hint="default" w:ascii="Times New Roman" w:hAnsi="Times New Roman" w:cs="Times New Roman"/>
                <w:color w:val="auto"/>
                <w:sz w:val="24"/>
                <w:szCs w:val="24"/>
                <w:highlight w:val="none"/>
                <w:lang w:val="en-US" w:eastAsia="zh-CN"/>
              </w:rPr>
              <w:t>且本项目铝卷表面预处理生产线中各水池均设置有截流阀门，可在发生事故时关闭生产废水排放管道，</w:t>
            </w:r>
            <w:r>
              <w:rPr>
                <w:rFonts w:hint="default" w:ascii="Times New Roman" w:hAnsi="Times New Roman" w:cs="Times New Roman"/>
                <w:color w:val="auto"/>
                <w:sz w:val="24"/>
                <w:szCs w:val="24"/>
                <w:highlight w:val="none"/>
                <w:lang w:eastAsia="zh-CN"/>
              </w:rPr>
              <w:t>故</w:t>
            </w:r>
            <w:r>
              <w:rPr>
                <w:rFonts w:hint="default" w:ascii="Times New Roman" w:hAnsi="Times New Roman" w:cs="Times New Roman"/>
                <w:color w:val="auto"/>
                <w:sz w:val="24"/>
                <w:szCs w:val="24"/>
                <w:highlight w:val="none"/>
                <w:lang w:val="en-US" w:eastAsia="zh-CN"/>
              </w:rPr>
              <w:t>V</w:t>
            </w:r>
            <w:r>
              <w:rPr>
                <w:rFonts w:hint="default" w:ascii="Times New Roman" w:hAnsi="Times New Roman" w:cs="Times New Roman"/>
                <w:color w:val="auto"/>
                <w:sz w:val="24"/>
                <w:szCs w:val="24"/>
                <w:highlight w:val="none"/>
                <w:vertAlign w:val="subscript"/>
                <w:lang w:val="en-US" w:eastAsia="zh-CN"/>
              </w:rPr>
              <w:t>4</w:t>
            </w:r>
            <w:r>
              <w:rPr>
                <w:rFonts w:hint="default"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lang w:eastAsia="zh-CN"/>
              </w:rPr>
              <w:t>；</w:t>
            </w:r>
          </w:p>
          <w:p w14:paraId="011E7583">
            <w:pPr>
              <w:keepNext w:val="0"/>
              <w:keepLines w:val="0"/>
              <w:suppressLineNumbers w:val="0"/>
              <w:spacing w:before="0" w:beforeAutospacing="0" w:after="0" w:afterAutospacing="0" w:line="360" w:lineRule="auto"/>
              <w:ind w:left="0" w:right="0" w:firstLine="56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5</w:t>
            </w:r>
            <w:r>
              <w:rPr>
                <w:rFonts w:hint="default" w:ascii="Times New Roman" w:hAnsi="Times New Roman" w:eastAsia="宋体" w:cs="Times New Roman"/>
                <w:color w:val="auto"/>
                <w:sz w:val="24"/>
                <w:szCs w:val="24"/>
                <w:highlight w:val="none"/>
              </w:rPr>
              <w:t>—发生事故时可能进入该收集系统的降雨量，m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cs="Times New Roman"/>
                <w:color w:val="auto"/>
                <w:sz w:val="24"/>
                <w:szCs w:val="24"/>
                <w:highlight w:val="none"/>
                <w:lang w:eastAsia="zh-CN"/>
              </w:rPr>
              <w:t>。</w:t>
            </w:r>
          </w:p>
          <w:p w14:paraId="5087D1A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V</w:t>
            </w:r>
            <w:r>
              <w:rPr>
                <w:rFonts w:hint="default" w:ascii="Times New Roman" w:hAnsi="Times New Roman" w:eastAsia="宋体" w:cs="Times New Roman"/>
                <w:color w:val="auto"/>
                <w:kern w:val="0"/>
                <w:sz w:val="24"/>
                <w:szCs w:val="24"/>
                <w:highlight w:val="none"/>
                <w:vertAlign w:val="subscript"/>
              </w:rPr>
              <w:t>5</w:t>
            </w:r>
            <w:r>
              <w:rPr>
                <w:rFonts w:hint="default" w:ascii="Times New Roman" w:hAnsi="Times New Roman" w:eastAsia="宋体" w:cs="Times New Roman"/>
                <w:color w:val="auto"/>
                <w:kern w:val="0"/>
                <w:sz w:val="24"/>
                <w:szCs w:val="24"/>
                <w:highlight w:val="none"/>
              </w:rPr>
              <w:t>=10qF</w:t>
            </w:r>
            <w:r>
              <w:rPr>
                <w:rFonts w:hint="default" w:ascii="Times New Roman" w:hAnsi="Times New Roman" w:cs="Times New Roman"/>
                <w:color w:val="auto"/>
                <w:kern w:val="0"/>
                <w:sz w:val="24"/>
                <w:szCs w:val="24"/>
                <w:highlight w:val="none"/>
                <w:lang w:val="en-US" w:eastAsia="zh-CN"/>
              </w:rPr>
              <w:t>a</w:t>
            </w:r>
            <w:r>
              <w:rPr>
                <w:rFonts w:hint="default" w:ascii="Times New Roman" w:hAnsi="Times New Roman" w:eastAsia="宋体" w:cs="Times New Roman"/>
                <w:color w:val="auto"/>
                <w:kern w:val="0"/>
                <w:sz w:val="24"/>
                <w:szCs w:val="24"/>
                <w:highlight w:val="none"/>
              </w:rPr>
              <w:t>；</w:t>
            </w:r>
          </w:p>
          <w:p w14:paraId="2E0ADC6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rPr>
              <w:t>q——降雨强度，按平均日降雨量</w:t>
            </w:r>
            <w:r>
              <w:rPr>
                <w:rFonts w:hint="default" w:ascii="Times New Roman" w:hAnsi="Times New Roman" w:eastAsia="宋体" w:cs="Times New Roman"/>
                <w:color w:val="auto"/>
                <w:kern w:val="0"/>
                <w:sz w:val="24"/>
                <w:szCs w:val="24"/>
                <w:highlight w:val="none"/>
                <w:lang w:eastAsia="zh-CN"/>
              </w:rPr>
              <w:t>，mm；</w:t>
            </w:r>
            <w:r>
              <w:rPr>
                <w:rFonts w:hint="default" w:ascii="Times New Roman" w:hAnsi="Times New Roman" w:eastAsia="宋体" w:cs="Times New Roman"/>
                <w:color w:val="auto"/>
                <w:kern w:val="0"/>
                <w:sz w:val="24"/>
                <w:szCs w:val="24"/>
                <w:highlight w:val="none"/>
                <w:lang w:val="en-US" w:eastAsia="zh-CN"/>
              </w:rPr>
              <w:t>根据</w:t>
            </w:r>
            <w:r>
              <w:rPr>
                <w:rFonts w:hint="default" w:ascii="Times New Roman" w:hAnsi="Times New Roman" w:eastAsia="宋体" w:cs="Times New Roman"/>
                <w:color w:val="auto"/>
                <w:kern w:val="0"/>
                <w:sz w:val="24"/>
                <w:szCs w:val="24"/>
                <w:highlight w:val="none"/>
              </w:rPr>
              <w:t>《水体污染防控紧急措施设计导则》，降雨强度按一年内降雨天数内的平均日降雨强度计</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q=q</w:t>
            </w:r>
            <w:r>
              <w:rPr>
                <w:rFonts w:hint="default" w:ascii="Times New Roman" w:hAnsi="Times New Roman" w:eastAsia="宋体" w:cs="Times New Roman"/>
                <w:color w:val="auto"/>
                <w:kern w:val="0"/>
                <w:sz w:val="24"/>
                <w:szCs w:val="24"/>
                <w:highlight w:val="none"/>
                <w:vertAlign w:val="subscript"/>
                <w:lang w:val="en-US" w:eastAsia="zh-CN"/>
              </w:rPr>
              <w:t>a</w:t>
            </w:r>
            <w:r>
              <w:rPr>
                <w:rFonts w:hint="default" w:ascii="Times New Roman" w:hAnsi="Times New Roman" w:eastAsia="宋体" w:cs="Times New Roman"/>
                <w:color w:val="auto"/>
                <w:kern w:val="0"/>
                <w:sz w:val="24"/>
                <w:szCs w:val="24"/>
                <w:highlight w:val="none"/>
                <w:lang w:val="en-US" w:eastAsia="zh-CN"/>
              </w:rPr>
              <w:t>/n；</w:t>
            </w:r>
          </w:p>
          <w:p w14:paraId="5DD9BC0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qa</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val="en-US" w:eastAsia="zh-CN"/>
              </w:rPr>
              <w:t>年平均降雨量，mm；</w:t>
            </w:r>
          </w:p>
          <w:p w14:paraId="74993AF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n</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val="en-US" w:eastAsia="zh-CN"/>
              </w:rPr>
              <w:t>年平均降雨天数；</w:t>
            </w:r>
          </w:p>
          <w:p w14:paraId="1C5D1F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F——必须进入事故废水收集系统的雨水汇水面积，ha；</w:t>
            </w:r>
          </w:p>
          <w:p w14:paraId="59BFA2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a</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val="en-US" w:eastAsia="zh-CN"/>
              </w:rPr>
              <w:t>径流系数，取0.9。</w:t>
            </w:r>
          </w:p>
          <w:p w14:paraId="240665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kern w:val="0"/>
                <w:sz w:val="24"/>
                <w:szCs w:val="24"/>
                <w:highlight w:val="none"/>
                <w:lang w:val="en-US" w:eastAsia="zh-CN"/>
              </w:rPr>
              <w:t>经</w:t>
            </w:r>
            <w:r>
              <w:rPr>
                <w:rFonts w:hint="default" w:ascii="Times New Roman" w:hAnsi="Times New Roman" w:eastAsia="宋体" w:cs="Times New Roman"/>
                <w:color w:val="auto"/>
                <w:kern w:val="0"/>
                <w:sz w:val="24"/>
                <w:szCs w:val="24"/>
                <w:highlight w:val="none"/>
                <w:lang w:val="en-US" w:eastAsia="zh-CN"/>
              </w:rPr>
              <w:t>查询乐昌市生态环境状况公开数据</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val="en-US" w:eastAsia="zh-CN"/>
              </w:rPr>
              <w:t>乐昌市全市多年平均降雨量在1300</w:t>
            </w:r>
            <w:r>
              <w:rPr>
                <w:rFonts w:hint="default" w:ascii="Times New Roman" w:hAnsi="Times New Roman"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1550毫米之间，雨水多集中在4~6月。202</w:t>
            </w:r>
            <w:r>
              <w:rPr>
                <w:rFonts w:hint="eastAsia" w:ascii="Times New Roman" w:hAnsi="Times New Roman" w:eastAsia="宋体" w:cs="Times New Roman"/>
                <w:color w:val="auto"/>
                <w:kern w:val="0"/>
                <w:sz w:val="24"/>
                <w:szCs w:val="24"/>
                <w:highlight w:val="none"/>
                <w:lang w:val="en-US" w:eastAsia="zh-CN"/>
              </w:rPr>
              <w:t>5</w:t>
            </w:r>
            <w:r>
              <w:rPr>
                <w:rFonts w:hint="default" w:ascii="Times New Roman" w:hAnsi="Times New Roman" w:eastAsia="宋体" w:cs="Times New Roman"/>
                <w:color w:val="auto"/>
                <w:kern w:val="0"/>
                <w:sz w:val="24"/>
                <w:szCs w:val="24"/>
                <w:highlight w:val="none"/>
                <w:lang w:val="en-US" w:eastAsia="zh-CN"/>
              </w:rPr>
              <w:t>年全市一般年平均降雨量</w:t>
            </w:r>
            <w:r>
              <w:rPr>
                <w:rFonts w:hint="eastAsia" w:ascii="Times New Roman" w:hAnsi="Times New Roman" w:eastAsia="宋体" w:cs="Times New Roman"/>
                <w:color w:val="auto"/>
                <w:kern w:val="0"/>
                <w:sz w:val="24"/>
                <w:szCs w:val="24"/>
                <w:highlight w:val="none"/>
                <w:lang w:val="en-US" w:eastAsia="zh-CN"/>
              </w:rPr>
              <w:t>1530</w:t>
            </w:r>
            <w:r>
              <w:rPr>
                <w:rFonts w:hint="default" w:ascii="Times New Roman" w:hAnsi="Times New Roman" w:eastAsia="宋体" w:cs="Times New Roman"/>
                <w:color w:val="auto"/>
                <w:kern w:val="0"/>
                <w:sz w:val="24"/>
                <w:szCs w:val="24"/>
                <w:highlight w:val="none"/>
                <w:lang w:val="en-US" w:eastAsia="zh-CN"/>
              </w:rPr>
              <w:t>毫米，降雨天数为14</w:t>
            </w:r>
            <w:r>
              <w:rPr>
                <w:rFonts w:hint="eastAsia" w:ascii="Times New Roman" w:hAnsi="Times New Roman" w:eastAsia="宋体" w:cs="Times New Roman"/>
                <w:color w:val="auto"/>
                <w:kern w:val="0"/>
                <w:sz w:val="24"/>
                <w:szCs w:val="24"/>
                <w:highlight w:val="none"/>
                <w:lang w:val="en-US" w:eastAsia="zh-CN"/>
              </w:rPr>
              <w:t>1</w:t>
            </w:r>
            <w:r>
              <w:rPr>
                <w:rFonts w:hint="default" w:ascii="Times New Roman" w:hAnsi="Times New Roman" w:eastAsia="宋体" w:cs="Times New Roman"/>
                <w:color w:val="auto"/>
                <w:kern w:val="0"/>
                <w:sz w:val="24"/>
                <w:szCs w:val="24"/>
                <w:highlight w:val="none"/>
                <w:lang w:val="en-US" w:eastAsia="zh-CN"/>
              </w:rPr>
              <w:t>天，本项目以此作为计算依据，厂房</w:t>
            </w:r>
            <w:r>
              <w:rPr>
                <w:rFonts w:hint="default" w:ascii="Times New Roman" w:hAnsi="Times New Roman" w:eastAsia="宋体" w:cs="Times New Roman"/>
                <w:color w:val="auto"/>
                <w:sz w:val="24"/>
                <w:szCs w:val="24"/>
                <w:highlight w:val="none"/>
              </w:rPr>
              <w:t>汇水面积</w:t>
            </w:r>
            <w:r>
              <w:rPr>
                <w:rFonts w:hint="default" w:ascii="Times New Roman" w:hAnsi="Times New Roman" w:eastAsia="宋体" w:cs="Times New Roman"/>
                <w:color w:val="auto"/>
                <w:sz w:val="24"/>
                <w:szCs w:val="24"/>
                <w:highlight w:val="none"/>
                <w:lang w:val="en-US" w:eastAsia="zh-CN"/>
              </w:rPr>
              <w:t>F</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除去绿地面积</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为</w:t>
            </w:r>
            <w:r>
              <w:rPr>
                <w:rFonts w:hint="eastAsia" w:ascii="Times New Roman" w:hAnsi="Times New Roman" w:cs="Times New Roman"/>
                <w:color w:val="auto"/>
                <w:sz w:val="24"/>
                <w:szCs w:val="24"/>
                <w:highlight w:val="none"/>
                <w:lang w:val="en-US" w:eastAsia="zh-CN"/>
              </w:rPr>
              <w:t>5400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0.54</w:t>
            </w:r>
            <w:r>
              <w:rPr>
                <w:rFonts w:hint="default" w:ascii="Times New Roman" w:hAnsi="Times New Roman" w:eastAsia="宋体" w:cs="Times New Roman"/>
                <w:color w:val="auto"/>
                <w:sz w:val="24"/>
                <w:szCs w:val="24"/>
                <w:highlight w:val="none"/>
                <w:lang w:val="en-US" w:eastAsia="zh-CN"/>
              </w:rPr>
              <w:t>ha），</w:t>
            </w:r>
            <w:r>
              <w:rPr>
                <w:rFonts w:hint="default" w:ascii="Times New Roman" w:hAnsi="Times New Roman" w:eastAsia="宋体" w:cs="Times New Roman"/>
                <w:color w:val="auto"/>
                <w:kern w:val="0"/>
                <w:sz w:val="24"/>
                <w:szCs w:val="24"/>
                <w:highlight w:val="none"/>
              </w:rPr>
              <w:t>计算</w:t>
            </w:r>
            <w:r>
              <w:rPr>
                <w:rFonts w:hint="default" w:ascii="Times New Roman" w:hAnsi="Times New Roman" w:eastAsia="宋体" w:cs="Times New Roman"/>
                <w:color w:val="auto"/>
                <w:kern w:val="0"/>
                <w:sz w:val="24"/>
                <w:szCs w:val="24"/>
                <w:highlight w:val="none"/>
                <w:lang w:val="en-US" w:eastAsia="zh-CN"/>
              </w:rPr>
              <w:t>得</w:t>
            </w:r>
            <w:r>
              <w:rPr>
                <w:rFonts w:hint="default" w:ascii="Times New Roman" w:hAnsi="Times New Roman" w:eastAsia="宋体" w:cs="Times New Roman"/>
                <w:color w:val="auto"/>
                <w:sz w:val="24"/>
                <w:szCs w:val="24"/>
                <w:highlight w:val="none"/>
              </w:rPr>
              <w:t>可能进入该收集系统的雨水量约为</w:t>
            </w:r>
            <w:r>
              <w:rPr>
                <w:rFonts w:hint="eastAsia" w:ascii="Times New Roman" w:hAnsi="Times New Roman" w:cs="Times New Roman"/>
                <w:color w:val="auto"/>
                <w:sz w:val="24"/>
                <w:szCs w:val="24"/>
                <w:highlight w:val="none"/>
                <w:lang w:val="en-US" w:eastAsia="zh-CN"/>
              </w:rPr>
              <w:t>52.74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则</w:t>
            </w:r>
            <w:r>
              <w:rPr>
                <w:rFonts w:hint="default" w:ascii="Times New Roman" w:hAnsi="Times New Roman" w:eastAsia="宋体" w:cs="Times New Roman"/>
                <w:color w:val="auto"/>
                <w:kern w:val="2"/>
                <w:sz w:val="24"/>
                <w:szCs w:val="24"/>
                <w:highlight w:val="none"/>
                <w:lang w:val="en-US" w:eastAsia="zh-CN" w:bidi="ar-SA"/>
              </w:rPr>
              <w:t>V</w:t>
            </w:r>
            <w:r>
              <w:rPr>
                <w:rFonts w:hint="default" w:ascii="Times New Roman" w:hAnsi="Times New Roman" w:eastAsia="宋体" w:cs="Times New Roman"/>
                <w:color w:val="auto"/>
                <w:kern w:val="2"/>
                <w:sz w:val="24"/>
                <w:szCs w:val="24"/>
                <w:highlight w:val="none"/>
                <w:vertAlign w:val="subscript"/>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cs="Times New Roman"/>
                <w:color w:val="auto"/>
                <w:sz w:val="24"/>
                <w:szCs w:val="24"/>
                <w:highlight w:val="none"/>
                <w:lang w:val="en-US" w:eastAsia="zh-CN"/>
              </w:rPr>
              <w:t>52.74</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sz w:val="24"/>
                <w:szCs w:val="24"/>
                <w:highlight w:val="none"/>
              </w:rPr>
              <w:t>。</w:t>
            </w:r>
          </w:p>
          <w:p w14:paraId="16C71216">
            <w:pPr>
              <w:keepNext w:val="0"/>
              <w:keepLines w:val="0"/>
              <w:suppressLineNumbers w:val="0"/>
              <w:spacing w:before="0" w:beforeAutospacing="0" w:after="0" w:afterAutospacing="0" w:line="360" w:lineRule="auto"/>
              <w:ind w:left="0" w:right="0" w:firstLine="56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为满足消防或其他事故时废水收集需要，</w:t>
            </w: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所需的事故储存设施总有效容积V</w:t>
            </w:r>
            <w:r>
              <w:rPr>
                <w:rFonts w:hint="default" w:ascii="Times New Roman" w:hAnsi="Times New Roman" w:eastAsia="宋体" w:cs="Times New Roman"/>
                <w:color w:val="auto"/>
                <w:sz w:val="24"/>
                <w:szCs w:val="24"/>
                <w:highlight w:val="none"/>
                <w:vertAlign w:val="subscript"/>
              </w:rPr>
              <w:t>总</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9.6</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194.4</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162</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52.74</w:t>
            </w:r>
            <w:r>
              <w:rPr>
                <w:rFonts w:hint="default" w:ascii="Times New Roman" w:hAnsi="Times New Roman" w:eastAsia="宋体"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94.74</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sz w:val="24"/>
                <w:szCs w:val="24"/>
                <w:highlight w:val="none"/>
              </w:rPr>
              <w:t>。</w:t>
            </w:r>
          </w:p>
          <w:p w14:paraId="55738E15">
            <w:pPr>
              <w:keepNext/>
              <w:keepLines/>
              <w:pageBreakBefore w:val="0"/>
              <w:widowControl w:val="0"/>
              <w:numPr>
                <w:ilvl w:val="3"/>
                <w:numId w:val="0"/>
              </w:numPr>
              <w:wordWrap w:val="0"/>
              <w:overflowPunct/>
              <w:bidi w:val="0"/>
              <w:spacing w:line="360" w:lineRule="auto"/>
              <w:ind w:firstLine="480" w:firstLineChars="200"/>
              <w:jc w:val="both"/>
              <w:outlineLvl w:val="3"/>
              <w:rPr>
                <w:rFonts w:hint="default" w:ascii="Times New Roman" w:hAnsi="Times New Roman" w:eastAsia="宋体" w:cs="Times New Roman"/>
                <w:b/>
                <w:bCs/>
                <w:color w:val="auto"/>
                <w:kern w:val="2"/>
                <w:sz w:val="24"/>
                <w:szCs w:val="28"/>
                <w:highlight w:val="none"/>
                <w:lang w:val="en-US" w:eastAsia="zh-CN" w:bidi="ar-SA"/>
              </w:rPr>
            </w:pPr>
            <w:r>
              <w:rPr>
                <w:rFonts w:hint="default" w:ascii="Times New Roman" w:hAnsi="Times New Roman" w:cs="Times New Roman"/>
                <w:b w:val="0"/>
                <w:bCs w:val="0"/>
                <w:color w:val="auto"/>
                <w:sz w:val="24"/>
                <w:szCs w:val="24"/>
                <w:highlight w:val="none"/>
              </w:rPr>
              <w:t>本项目事故废水依托自建事故应急池，厂区设有1个有效容积为</w:t>
            </w:r>
            <w:r>
              <w:rPr>
                <w:rFonts w:hint="default" w:ascii="Times New Roman" w:hAnsi="Times New Roman" w:cs="Times New Roman"/>
                <w:b w:val="0"/>
                <w:bCs w:val="0"/>
                <w:color w:val="auto"/>
                <w:sz w:val="24"/>
                <w:szCs w:val="24"/>
                <w:highlight w:val="none"/>
                <w:lang w:val="en-US" w:eastAsia="zh-CN"/>
              </w:rPr>
              <w:t>1</w:t>
            </w:r>
            <w:r>
              <w:rPr>
                <w:rFonts w:hint="eastAsia" w:ascii="Times New Roman" w:hAnsi="Times New Roman" w:cs="Times New Roman"/>
                <w:b w:val="0"/>
                <w:bCs w:val="0"/>
                <w:color w:val="auto"/>
                <w:sz w:val="24"/>
                <w:szCs w:val="24"/>
                <w:highlight w:val="none"/>
                <w:lang w:val="en-US" w:eastAsia="zh-CN"/>
              </w:rPr>
              <w:t>0</w:t>
            </w:r>
            <w:r>
              <w:rPr>
                <w:rFonts w:hint="default" w:ascii="Times New Roman" w:hAnsi="Times New Roman" w:cs="Times New Roman"/>
                <w:b w:val="0"/>
                <w:bCs w:val="0"/>
                <w:color w:val="auto"/>
                <w:sz w:val="24"/>
                <w:szCs w:val="24"/>
                <w:highlight w:val="none"/>
                <w:lang w:val="en-US" w:eastAsia="zh-CN"/>
              </w:rPr>
              <w:t>0</w:t>
            </w:r>
            <w:r>
              <w:rPr>
                <w:rFonts w:hint="default" w:ascii="Times New Roman" w:hAnsi="Times New Roman" w:cs="Times New Roman"/>
                <w:b w:val="0"/>
                <w:bCs w:val="0"/>
                <w:color w:val="auto"/>
                <w:sz w:val="24"/>
                <w:szCs w:val="24"/>
                <w:highlight w:val="none"/>
              </w:rPr>
              <w:t>m</w:t>
            </w:r>
            <w:r>
              <w:rPr>
                <w:rFonts w:hint="default" w:ascii="Times New Roman" w:hAnsi="Times New Roman" w:cs="Times New Roman"/>
                <w:b w:val="0"/>
                <w:bCs w:val="0"/>
                <w:color w:val="auto"/>
                <w:sz w:val="24"/>
                <w:szCs w:val="24"/>
                <w:highlight w:val="none"/>
                <w:vertAlign w:val="superscript"/>
              </w:rPr>
              <w:t>3</w:t>
            </w:r>
            <w:r>
              <w:rPr>
                <w:rFonts w:hint="default" w:ascii="Times New Roman" w:hAnsi="Times New Roman" w:cs="Times New Roman"/>
                <w:b w:val="0"/>
                <w:bCs w:val="0"/>
                <w:color w:val="auto"/>
                <w:sz w:val="24"/>
                <w:szCs w:val="24"/>
                <w:highlight w:val="none"/>
              </w:rPr>
              <w:t>的事故应急池</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且本项目厂房设有围堰及沙包等应急措施及物资。当发生事故时，泄漏物料、消防废水等事故废水均能截留在厂区内。园区定期对事故应急系统进行排查，发现存在问题，马上进行检修，确保事故时能有效运行</w:t>
            </w:r>
            <w:r>
              <w:rPr>
                <w:rFonts w:hint="default" w:ascii="Times New Roman" w:hAnsi="Times New Roman" w:cs="Times New Roman"/>
                <w:b w:val="0"/>
                <w:bCs w:val="0"/>
                <w:color w:val="auto"/>
                <w:sz w:val="24"/>
                <w:szCs w:val="24"/>
                <w:highlight w:val="none"/>
                <w:lang w:eastAsia="zh-CN"/>
              </w:rPr>
              <w:t>。</w:t>
            </w:r>
          </w:p>
          <w:p w14:paraId="3280DB28">
            <w:pPr>
              <w:keepNext/>
              <w:keepLines/>
              <w:pageBreakBefore w:val="0"/>
              <w:widowControl w:val="0"/>
              <w:numPr>
                <w:ilvl w:val="3"/>
                <w:numId w:val="0"/>
              </w:numPr>
              <w:wordWrap w:val="0"/>
              <w:overflowPunct/>
              <w:bidi w:val="0"/>
              <w:spacing w:line="360" w:lineRule="auto"/>
              <w:ind w:firstLine="480" w:firstLineChars="200"/>
              <w:jc w:val="both"/>
              <w:outlineLvl w:val="3"/>
              <w:rPr>
                <w:rFonts w:hint="default" w:ascii="Times New Roman" w:hAnsi="Times New Roman" w:eastAsia="宋体" w:cs="Times New Roman"/>
                <w:b/>
                <w:bCs/>
                <w:color w:val="auto"/>
                <w:kern w:val="2"/>
                <w:sz w:val="24"/>
                <w:szCs w:val="28"/>
                <w:highlight w:val="none"/>
                <w:lang w:val="en-US" w:eastAsia="zh-CN" w:bidi="ar-SA"/>
              </w:rPr>
            </w:pPr>
            <w:r>
              <w:rPr>
                <w:rFonts w:hint="default" w:ascii="Times New Roman" w:hAnsi="Times New Roman" w:eastAsia="宋体" w:cs="Times New Roman"/>
                <w:b/>
                <w:bCs/>
                <w:color w:val="auto"/>
                <w:kern w:val="2"/>
                <w:sz w:val="24"/>
                <w:szCs w:val="28"/>
                <w:highlight w:val="none"/>
                <w:lang w:val="en-US" w:eastAsia="zh-CN" w:bidi="ar-SA"/>
              </w:rPr>
              <w:t>6、项目制定突发环境事件应急措施</w:t>
            </w:r>
          </w:p>
          <w:p w14:paraId="2C7C5DAC">
            <w:pPr>
              <w:pageBreakBefore w:val="0"/>
              <w:widowControl w:val="0"/>
              <w:wordWrap w:val="0"/>
              <w:overflowPunct/>
              <w:autoSpaceDE w:val="0"/>
              <w:autoSpaceDN w:val="0"/>
              <w:bidi w:val="0"/>
              <w:adjustRightInd w:val="0"/>
              <w:spacing w:line="360" w:lineRule="auto"/>
              <w:ind w:firstLine="480" w:firstLineChars="200"/>
              <w:jc w:val="both"/>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为有效防范突发环境事件的发生，及时、合理处置可能发生的各类重大、特大环境污染事故，保障人民群众身心健康及正常生产、生活活动，本项目应依据《中华人民共和国环境保护法》及相关法律的规定，</w:t>
            </w:r>
            <w:r>
              <w:rPr>
                <w:rFonts w:hint="eastAsia" w:cs="Times New Roman"/>
                <w:color w:val="auto"/>
                <w:kern w:val="2"/>
                <w:sz w:val="24"/>
                <w:szCs w:val="24"/>
                <w:highlight w:val="none"/>
                <w:lang w:val="en-US" w:eastAsia="zh-CN" w:bidi="ar-SA"/>
              </w:rPr>
              <w:t>设置应急池1个100m</w:t>
            </w:r>
            <w:r>
              <w:rPr>
                <w:rFonts w:hint="eastAsia" w:cs="Times New Roman"/>
                <w:color w:val="auto"/>
                <w:kern w:val="2"/>
                <w:sz w:val="24"/>
                <w:szCs w:val="24"/>
                <w:highlight w:val="none"/>
                <w:vertAlign w:val="superscript"/>
                <w:lang w:val="en-US" w:eastAsia="zh-CN" w:bidi="ar-SA"/>
              </w:rPr>
              <w:t>3</w:t>
            </w:r>
            <w:r>
              <w:rPr>
                <w:rFonts w:hint="eastAsia" w:cs="Times New Roman"/>
                <w:color w:val="auto"/>
                <w:kern w:val="2"/>
                <w:sz w:val="24"/>
                <w:szCs w:val="24"/>
                <w:highlight w:val="none"/>
                <w:vertAlign w:val="baseli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制定本项目的应急预案，详见</w:t>
            </w:r>
            <w:r>
              <w:rPr>
                <w:rFonts w:hint="eastAsia" w:cs="Times New Roman"/>
                <w:color w:val="auto"/>
                <w:kern w:val="2"/>
                <w:sz w:val="24"/>
                <w:szCs w:val="24"/>
                <w:highlight w:val="none"/>
                <w:lang w:val="en-US" w:eastAsia="zh-CN" w:bidi="ar-SA"/>
              </w:rPr>
              <w:t>下</w:t>
            </w:r>
            <w:r>
              <w:rPr>
                <w:rFonts w:hint="default" w:ascii="Times New Roman" w:hAnsi="Times New Roman" w:eastAsia="宋体" w:cs="Times New Roman"/>
                <w:color w:val="auto"/>
                <w:kern w:val="2"/>
                <w:sz w:val="24"/>
                <w:szCs w:val="24"/>
                <w:highlight w:val="none"/>
                <w:lang w:val="en-US" w:eastAsia="zh-CN" w:bidi="ar-SA"/>
              </w:rPr>
              <w:t>表突发事故应急预案要点。</w:t>
            </w:r>
          </w:p>
          <w:p w14:paraId="0F9E9CC8">
            <w:pPr>
              <w:keepNext w:val="0"/>
              <w:keepLines w:val="0"/>
              <w:pageBreakBefore w:val="0"/>
              <w:widowControl w:val="0"/>
              <w:numPr>
                <w:ilvl w:val="0"/>
                <w:numId w:val="10"/>
              </w:numPr>
              <w:kinsoku/>
              <w:wordWrap w:val="0"/>
              <w:overflowPunct/>
              <w:topLinePunct w:val="0"/>
              <w:autoSpaceDE/>
              <w:autoSpaceDN/>
              <w:bidi w:val="0"/>
              <w:adjustRightInd/>
              <w:snapToGrid/>
              <w:spacing w:line="240" w:lineRule="auto"/>
              <w:ind w:left="0" w:leftChars="0" w:hanging="1"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lang w:val="en-US" w:eastAsia="zh-CN"/>
              </w:rPr>
              <w:t>突发</w:t>
            </w:r>
            <w:r>
              <w:rPr>
                <w:rFonts w:hint="default" w:ascii="Times New Roman" w:hAnsi="Times New Roman" w:eastAsia="宋体" w:cs="Times New Roman"/>
                <w:b/>
                <w:bCs/>
                <w:color w:val="auto"/>
                <w:kern w:val="2"/>
                <w:sz w:val="21"/>
                <w:szCs w:val="21"/>
                <w:highlight w:val="none"/>
                <w:lang w:val="en-US" w:eastAsia="zh-CN" w:bidi="ar-SA"/>
              </w:rPr>
              <w:t>环境事件应急预案</w:t>
            </w:r>
            <w:r>
              <w:rPr>
                <w:rFonts w:hint="eastAsia" w:cs="Times New Roman"/>
                <w:b/>
                <w:bCs/>
                <w:color w:val="auto"/>
                <w:kern w:val="2"/>
                <w:sz w:val="21"/>
                <w:szCs w:val="21"/>
                <w:highlight w:val="none"/>
                <w:lang w:val="en-US" w:eastAsia="zh-CN" w:bidi="ar-SA"/>
              </w:rPr>
              <w:t>要点</w:t>
            </w:r>
            <w:r>
              <w:rPr>
                <w:rFonts w:hint="default" w:ascii="Times New Roman" w:hAnsi="Times New Roman" w:eastAsia="宋体" w:cs="Times New Roman"/>
                <w:b/>
                <w:bCs/>
                <w:color w:val="auto"/>
                <w:kern w:val="2"/>
                <w:sz w:val="21"/>
                <w:szCs w:val="21"/>
                <w:highlight w:val="none"/>
                <w:lang w:val="en-US" w:eastAsia="zh-CN" w:bidi="ar-SA"/>
              </w:rPr>
              <w:t>表</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2165"/>
              <w:gridCol w:w="5805"/>
            </w:tblGrid>
            <w:tr w14:paraId="0A034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Align w:val="center"/>
                </w:tcPr>
                <w:p w14:paraId="45CF9BDC">
                  <w:pPr>
                    <w:pageBreakBefore w:val="0"/>
                    <w:wordWrap w:val="0"/>
                    <w:overflowPunct/>
                    <w:bidi w:val="0"/>
                    <w:spacing w:before="0"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序号</w:t>
                  </w:r>
                </w:p>
              </w:tc>
              <w:tc>
                <w:tcPr>
                  <w:tcW w:w="1243" w:type="pct"/>
                  <w:vAlign w:val="center"/>
                </w:tcPr>
                <w:p w14:paraId="2B015A3B">
                  <w:pPr>
                    <w:pageBreakBefore w:val="0"/>
                    <w:wordWrap w:val="0"/>
                    <w:overflowPunct/>
                    <w:bidi w:val="0"/>
                    <w:spacing w:before="0"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项目</w:t>
                  </w:r>
                </w:p>
              </w:tc>
              <w:tc>
                <w:tcPr>
                  <w:tcW w:w="3333" w:type="pct"/>
                  <w:vAlign w:val="center"/>
                </w:tcPr>
                <w:p w14:paraId="0930B15D">
                  <w:pPr>
                    <w:pageBreakBefore w:val="0"/>
                    <w:wordWrap w:val="0"/>
                    <w:overflowPunct/>
                    <w:bidi w:val="0"/>
                    <w:spacing w:before="0"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内容及要求</w:t>
                  </w:r>
                </w:p>
              </w:tc>
            </w:tr>
            <w:tr w14:paraId="2085D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Align w:val="center"/>
                </w:tcPr>
                <w:p w14:paraId="7A3CC7DF">
                  <w:pPr>
                    <w:pageBreakBefore w:val="0"/>
                    <w:wordWrap w:val="0"/>
                    <w:overflowPunct/>
                    <w:bidi w:val="0"/>
                    <w:spacing w:before="0"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w:t>
                  </w:r>
                </w:p>
              </w:tc>
              <w:tc>
                <w:tcPr>
                  <w:tcW w:w="1243" w:type="pct"/>
                  <w:vAlign w:val="center"/>
                </w:tcPr>
                <w:p w14:paraId="68B7FD2B">
                  <w:pPr>
                    <w:pageBreakBefore w:val="0"/>
                    <w:wordWrap w:val="0"/>
                    <w:overflowPunct/>
                    <w:bidi w:val="0"/>
                    <w:spacing w:before="0"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应急组织机构、人员</w:t>
                  </w:r>
                </w:p>
              </w:tc>
              <w:tc>
                <w:tcPr>
                  <w:tcW w:w="3333" w:type="pct"/>
                  <w:vAlign w:val="center"/>
                </w:tcPr>
                <w:p w14:paraId="0DAB5AD8">
                  <w:pPr>
                    <w:pageBreakBefore w:val="0"/>
                    <w:wordWrap w:val="0"/>
                    <w:overflowPunct/>
                    <w:bidi w:val="0"/>
                    <w:spacing w:before="0"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设立事故应急机构、人员由企业主要领导、安全负责人、环保负责人等主要人员组成</w:t>
                  </w:r>
                </w:p>
              </w:tc>
            </w:tr>
            <w:tr w14:paraId="44594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Align w:val="center"/>
                </w:tcPr>
                <w:p w14:paraId="4CE09E12">
                  <w:pPr>
                    <w:pageBreakBefore w:val="0"/>
                    <w:wordWrap w:val="0"/>
                    <w:overflowPunct/>
                    <w:bidi w:val="0"/>
                    <w:spacing w:before="0"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w:t>
                  </w:r>
                </w:p>
              </w:tc>
              <w:tc>
                <w:tcPr>
                  <w:tcW w:w="1243" w:type="pct"/>
                  <w:vAlign w:val="center"/>
                </w:tcPr>
                <w:p w14:paraId="4B08C2FC">
                  <w:pPr>
                    <w:pageBreakBefore w:val="0"/>
                    <w:wordWrap w:val="0"/>
                    <w:overflowPunct/>
                    <w:bidi w:val="0"/>
                    <w:spacing w:before="0"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预案分级响应条件</w:t>
                  </w:r>
                </w:p>
              </w:tc>
              <w:tc>
                <w:tcPr>
                  <w:tcW w:w="3333" w:type="pct"/>
                  <w:vAlign w:val="center"/>
                </w:tcPr>
                <w:p w14:paraId="177778D5">
                  <w:pPr>
                    <w:pageBreakBefore w:val="0"/>
                    <w:wordWrap w:val="0"/>
                    <w:overflowPunct/>
                    <w:bidi w:val="0"/>
                    <w:spacing w:before="0"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规定预案的级别及分级响应程序</w:t>
                  </w:r>
                </w:p>
              </w:tc>
            </w:tr>
            <w:tr w14:paraId="4B8E4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Align w:val="center"/>
                </w:tcPr>
                <w:p w14:paraId="3E6CA95D">
                  <w:pPr>
                    <w:pageBreakBefore w:val="0"/>
                    <w:wordWrap w:val="0"/>
                    <w:overflowPunct/>
                    <w:bidi w:val="0"/>
                    <w:spacing w:before="0"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3</w:t>
                  </w:r>
                </w:p>
              </w:tc>
              <w:tc>
                <w:tcPr>
                  <w:tcW w:w="1243" w:type="pct"/>
                  <w:vAlign w:val="center"/>
                </w:tcPr>
                <w:p w14:paraId="58E4E1CC">
                  <w:pPr>
                    <w:pageBreakBefore w:val="0"/>
                    <w:wordWrap w:val="0"/>
                    <w:overflowPunct/>
                    <w:bidi w:val="0"/>
                    <w:spacing w:before="0"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应急救援保障</w:t>
                  </w:r>
                </w:p>
              </w:tc>
              <w:tc>
                <w:tcPr>
                  <w:tcW w:w="3333" w:type="pct"/>
                  <w:vAlign w:val="center"/>
                </w:tcPr>
                <w:p w14:paraId="2E3635D0">
                  <w:pPr>
                    <w:pageBreakBefore w:val="0"/>
                    <w:wordWrap w:val="0"/>
                    <w:overflowPunct/>
                    <w:bidi w:val="0"/>
                    <w:spacing w:before="0"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企业应配备必要的应急设施设备器材：事故易发的工作岗位配备必需的防护用品等</w:t>
                  </w:r>
                </w:p>
              </w:tc>
            </w:tr>
            <w:tr w14:paraId="07EF5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Align w:val="center"/>
                </w:tcPr>
                <w:p w14:paraId="15DA4031">
                  <w:pPr>
                    <w:pageBreakBefore w:val="0"/>
                    <w:wordWrap w:val="0"/>
                    <w:overflowPunct/>
                    <w:bidi w:val="0"/>
                    <w:spacing w:before="0"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4</w:t>
                  </w:r>
                </w:p>
              </w:tc>
              <w:tc>
                <w:tcPr>
                  <w:tcW w:w="1243" w:type="pct"/>
                  <w:vAlign w:val="center"/>
                </w:tcPr>
                <w:p w14:paraId="25BCD0E7">
                  <w:pPr>
                    <w:pageBreakBefore w:val="0"/>
                    <w:wordWrap w:val="0"/>
                    <w:overflowPunct/>
                    <w:bidi w:val="0"/>
                    <w:spacing w:before="0"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报警、通讯联络方式</w:t>
                  </w:r>
                </w:p>
              </w:tc>
              <w:tc>
                <w:tcPr>
                  <w:tcW w:w="3333" w:type="pct"/>
                  <w:vAlign w:val="center"/>
                </w:tcPr>
                <w:p w14:paraId="4C304AF7">
                  <w:pPr>
                    <w:pageBreakBefore w:val="0"/>
                    <w:wordWrap w:val="0"/>
                    <w:overflowPunct/>
                    <w:bidi w:val="0"/>
                    <w:spacing w:before="0"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建立专用的报警和通讯线路，保证指挥部人员与现场人员手机与信息交流的渠道畅通</w:t>
                  </w:r>
                </w:p>
              </w:tc>
            </w:tr>
            <w:tr w14:paraId="50BE4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Align w:val="center"/>
                </w:tcPr>
                <w:p w14:paraId="56B0B910">
                  <w:pPr>
                    <w:pageBreakBefore w:val="0"/>
                    <w:wordWrap w:val="0"/>
                    <w:overflowPunct/>
                    <w:bidi w:val="0"/>
                    <w:spacing w:before="0"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5</w:t>
                  </w:r>
                </w:p>
              </w:tc>
              <w:tc>
                <w:tcPr>
                  <w:tcW w:w="1243" w:type="pct"/>
                  <w:vAlign w:val="center"/>
                </w:tcPr>
                <w:p w14:paraId="16C4CDD3">
                  <w:pPr>
                    <w:pageBreakBefore w:val="0"/>
                    <w:wordWrap w:val="0"/>
                    <w:overflowPunct/>
                    <w:bidi w:val="0"/>
                    <w:spacing w:before="0"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应急监测、抢险救援及控制措施</w:t>
                  </w:r>
                </w:p>
              </w:tc>
              <w:tc>
                <w:tcPr>
                  <w:tcW w:w="3333" w:type="pct"/>
                  <w:vAlign w:val="center"/>
                </w:tcPr>
                <w:p w14:paraId="2F8D38DB">
                  <w:pPr>
                    <w:pageBreakBefore w:val="0"/>
                    <w:wordWrap w:val="0"/>
                    <w:overflowPunct/>
                    <w:bidi w:val="0"/>
                    <w:spacing w:before="0"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发生事故时，要保证现场的事故处理设施和全厂的应急处理系统能够紧急启动，并对事故产生的污染物进行有效的控制，同时启动当地的环境应急监测系统</w:t>
                  </w:r>
                </w:p>
              </w:tc>
            </w:tr>
            <w:tr w14:paraId="3CD7F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Align w:val="center"/>
                </w:tcPr>
                <w:p w14:paraId="11266D89">
                  <w:pPr>
                    <w:pageBreakBefore w:val="0"/>
                    <w:wordWrap w:val="0"/>
                    <w:overflowPunct/>
                    <w:bidi w:val="0"/>
                    <w:spacing w:before="0"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6</w:t>
                  </w:r>
                </w:p>
              </w:tc>
              <w:tc>
                <w:tcPr>
                  <w:tcW w:w="1243" w:type="pct"/>
                  <w:vAlign w:val="center"/>
                </w:tcPr>
                <w:p w14:paraId="57E1DC9E">
                  <w:pPr>
                    <w:pageBreakBefore w:val="0"/>
                    <w:wordWrap w:val="0"/>
                    <w:overflowPunct/>
                    <w:bidi w:val="0"/>
                    <w:spacing w:before="0"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应急监测、防护措施、泄漏措施和器材</w:t>
                  </w:r>
                </w:p>
              </w:tc>
              <w:tc>
                <w:tcPr>
                  <w:tcW w:w="3333" w:type="pct"/>
                  <w:vAlign w:val="center"/>
                </w:tcPr>
                <w:p w14:paraId="0F8E0449">
                  <w:pPr>
                    <w:pageBreakBefore w:val="0"/>
                    <w:wordWrap w:val="0"/>
                    <w:overflowPunct/>
                    <w:bidi w:val="0"/>
                    <w:spacing w:before="0"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设立必要的控制和清除污染的相应措施。事故发生时，要及时发现事故发生地点和环节，并利用已有的防护措施减少污染物的排放</w:t>
                  </w:r>
                </w:p>
              </w:tc>
            </w:tr>
            <w:tr w14:paraId="4FD48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Align w:val="center"/>
                </w:tcPr>
                <w:p w14:paraId="4B40DEBB">
                  <w:pPr>
                    <w:pageBreakBefore w:val="0"/>
                    <w:wordWrap w:val="0"/>
                    <w:overflowPunct/>
                    <w:bidi w:val="0"/>
                    <w:spacing w:before="0"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7</w:t>
                  </w:r>
                </w:p>
              </w:tc>
              <w:tc>
                <w:tcPr>
                  <w:tcW w:w="1243" w:type="pct"/>
                  <w:vAlign w:val="center"/>
                </w:tcPr>
                <w:p w14:paraId="56D6F530">
                  <w:pPr>
                    <w:pageBreakBefore w:val="0"/>
                    <w:wordWrap w:val="0"/>
                    <w:overflowPunct/>
                    <w:bidi w:val="0"/>
                    <w:spacing w:before="0"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人员紧急撤离、疏散组织计划</w:t>
                  </w:r>
                </w:p>
              </w:tc>
              <w:tc>
                <w:tcPr>
                  <w:tcW w:w="3333" w:type="pct"/>
                  <w:vAlign w:val="center"/>
                </w:tcPr>
                <w:p w14:paraId="5A9A1019">
                  <w:pPr>
                    <w:pageBreakBefore w:val="0"/>
                    <w:wordWrap w:val="0"/>
                    <w:overflowPunct/>
                    <w:bidi w:val="0"/>
                    <w:spacing w:before="0"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由事故应急现场指挥部负责及时向上级各有关部门及周边邻近单位和居民点告知事故的危险程度及严重性，指派人员协助邻近单位、村民疏散、撤离至安全地带。</w:t>
                  </w:r>
                </w:p>
              </w:tc>
            </w:tr>
            <w:tr w14:paraId="5F5DC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Align w:val="center"/>
                </w:tcPr>
                <w:p w14:paraId="64ED225F">
                  <w:pPr>
                    <w:pageBreakBefore w:val="0"/>
                    <w:wordWrap w:val="0"/>
                    <w:overflowPunct/>
                    <w:bidi w:val="0"/>
                    <w:spacing w:before="0"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8</w:t>
                  </w:r>
                </w:p>
              </w:tc>
              <w:tc>
                <w:tcPr>
                  <w:tcW w:w="1243" w:type="pct"/>
                  <w:vAlign w:val="center"/>
                </w:tcPr>
                <w:p w14:paraId="3267BA8C">
                  <w:pPr>
                    <w:pageBreakBefore w:val="0"/>
                    <w:wordWrap w:val="0"/>
                    <w:overflowPunct/>
                    <w:bidi w:val="0"/>
                    <w:spacing w:before="0"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事故应急救援关闭程序与恢复措施</w:t>
                  </w:r>
                </w:p>
              </w:tc>
              <w:tc>
                <w:tcPr>
                  <w:tcW w:w="3333" w:type="pct"/>
                  <w:vAlign w:val="center"/>
                </w:tcPr>
                <w:p w14:paraId="08583103">
                  <w:pPr>
                    <w:pageBreakBefore w:val="0"/>
                    <w:wordWrap w:val="0"/>
                    <w:overflowPunct/>
                    <w:bidi w:val="0"/>
                    <w:spacing w:before="0"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规定应急状态终止程序、事故现场善后处理、邻近区域解除事故警戒及善后恢复措施</w:t>
                  </w:r>
                </w:p>
              </w:tc>
            </w:tr>
            <w:tr w14:paraId="59FF9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Align w:val="center"/>
                </w:tcPr>
                <w:p w14:paraId="3E4B0F83">
                  <w:pPr>
                    <w:pageBreakBefore w:val="0"/>
                    <w:wordWrap w:val="0"/>
                    <w:overflowPunct/>
                    <w:bidi w:val="0"/>
                    <w:spacing w:before="0"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9</w:t>
                  </w:r>
                </w:p>
              </w:tc>
              <w:tc>
                <w:tcPr>
                  <w:tcW w:w="1243" w:type="pct"/>
                  <w:vAlign w:val="center"/>
                </w:tcPr>
                <w:p w14:paraId="1CCF548D">
                  <w:pPr>
                    <w:pageBreakBefore w:val="0"/>
                    <w:wordWrap w:val="0"/>
                    <w:overflowPunct/>
                    <w:bidi w:val="0"/>
                    <w:spacing w:before="0"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应急培训计划</w:t>
                  </w:r>
                </w:p>
              </w:tc>
              <w:tc>
                <w:tcPr>
                  <w:tcW w:w="3333" w:type="pct"/>
                  <w:vAlign w:val="center"/>
                </w:tcPr>
                <w:p w14:paraId="3CE74BB5">
                  <w:pPr>
                    <w:pageBreakBefore w:val="0"/>
                    <w:wordWrap w:val="0"/>
                    <w:overflowPunct/>
                    <w:bidi w:val="0"/>
                    <w:spacing w:before="0"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企业要注意日常工作中对事故应急处理的培训，以提高职工的安全防范意识</w:t>
                  </w:r>
                </w:p>
              </w:tc>
            </w:tr>
            <w:tr w14:paraId="4AEE9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3" w:type="pct"/>
                  <w:vAlign w:val="center"/>
                </w:tcPr>
                <w:p w14:paraId="5CB0DEFC">
                  <w:pPr>
                    <w:pageBreakBefore w:val="0"/>
                    <w:wordWrap w:val="0"/>
                    <w:overflowPunct/>
                    <w:bidi w:val="0"/>
                    <w:spacing w:before="0"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10</w:t>
                  </w:r>
                </w:p>
              </w:tc>
              <w:tc>
                <w:tcPr>
                  <w:tcW w:w="1243" w:type="pct"/>
                  <w:vAlign w:val="center"/>
                </w:tcPr>
                <w:p w14:paraId="41B78DBF">
                  <w:pPr>
                    <w:pageBreakBefore w:val="0"/>
                    <w:wordWrap w:val="0"/>
                    <w:overflowPunct/>
                    <w:bidi w:val="0"/>
                    <w:spacing w:before="0"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公众教育和信息</w:t>
                  </w:r>
                </w:p>
              </w:tc>
              <w:tc>
                <w:tcPr>
                  <w:tcW w:w="3333" w:type="pct"/>
                  <w:vAlign w:val="center"/>
                </w:tcPr>
                <w:p w14:paraId="369E4127">
                  <w:pPr>
                    <w:pageBreakBefore w:val="0"/>
                    <w:wordWrap w:val="0"/>
                    <w:overflowPunct/>
                    <w:bidi w:val="0"/>
                    <w:spacing w:before="0" w:line="240" w:lineRule="auto"/>
                    <w:ind w:firstLine="0" w:firstLine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通过各种方式，对周围居民等进行事故防范宣传</w:t>
                  </w:r>
                </w:p>
              </w:tc>
            </w:tr>
          </w:tbl>
          <w:p w14:paraId="06111F92">
            <w:pPr>
              <w:keepNext/>
              <w:keepLines/>
              <w:pageBreakBefore w:val="0"/>
              <w:widowControl w:val="0"/>
              <w:numPr>
                <w:ilvl w:val="3"/>
                <w:numId w:val="0"/>
              </w:numPr>
              <w:wordWrap w:val="0"/>
              <w:overflowPunct/>
              <w:bidi w:val="0"/>
              <w:spacing w:line="360" w:lineRule="auto"/>
              <w:ind w:firstLine="480" w:firstLineChars="200"/>
              <w:jc w:val="both"/>
              <w:outlineLvl w:val="3"/>
              <w:rPr>
                <w:rFonts w:hint="default" w:ascii="Times New Roman" w:hAnsi="Times New Roman" w:eastAsia="宋体" w:cs="Times New Roman"/>
                <w:b/>
                <w:bCs/>
                <w:color w:val="auto"/>
                <w:kern w:val="2"/>
                <w:sz w:val="24"/>
                <w:szCs w:val="28"/>
                <w:highlight w:val="none"/>
                <w:lang w:val="en-US" w:eastAsia="zh-CN" w:bidi="ar-SA"/>
              </w:rPr>
            </w:pPr>
            <w:r>
              <w:rPr>
                <w:rFonts w:hint="default" w:ascii="Times New Roman" w:hAnsi="Times New Roman" w:eastAsia="宋体" w:cs="Times New Roman"/>
                <w:b/>
                <w:bCs/>
                <w:color w:val="auto"/>
                <w:kern w:val="2"/>
                <w:sz w:val="24"/>
                <w:szCs w:val="28"/>
                <w:highlight w:val="none"/>
                <w:lang w:val="en-US" w:eastAsia="zh-CN" w:bidi="ar-SA"/>
              </w:rPr>
              <w:t>7、环境风险分析小结与建议</w:t>
            </w:r>
          </w:p>
          <w:p w14:paraId="38E8F119">
            <w:pPr>
              <w:keepNext w:val="0"/>
              <w:keepLines w:val="0"/>
              <w:pageBreakBefore w:val="0"/>
              <w:wordWrap w:val="0"/>
              <w:overflowPunct/>
              <w:bidi w:val="0"/>
              <w:ind w:left="0" w:firstLine="480" w:firstLineChars="200"/>
              <w:outlineLvl w:val="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本项目风险物质</w:t>
            </w:r>
            <w:r>
              <w:rPr>
                <w:rFonts w:hint="eastAsia" w:cs="Times New Roman"/>
                <w:color w:val="auto"/>
                <w:highlight w:val="none"/>
                <w:lang w:eastAsia="zh-CN"/>
              </w:rPr>
              <w:t>为油性漆、稀释剂、固化剂、白乳胶、机油、废机油、危险废物</w:t>
            </w:r>
            <w:r>
              <w:rPr>
                <w:rFonts w:hint="default" w:ascii="Times New Roman" w:hAnsi="Times New Roman" w:eastAsia="宋体" w:cs="Times New Roman"/>
                <w:color w:val="auto"/>
                <w:highlight w:val="none"/>
              </w:rPr>
              <w:t>，泄漏、火灾、爆炸等事故发生概率较低，物质泄漏、火灾、爆炸等事故下引发的伴生/次生污染物排放的风险隐患较低，在落实上述防范措施后，生产过程的环境风险总体可控。</w:t>
            </w:r>
          </w:p>
          <w:p w14:paraId="58091A08">
            <w:pPr>
              <w:pageBreakBefore w:val="0"/>
              <w:wordWrap w:val="0"/>
              <w:overflowPunct/>
              <w:bidi w:val="0"/>
              <w:ind w:firstLine="480" w:firstLineChars="200"/>
              <w:jc w:val="left"/>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8、环保验收“三同时”</w:t>
            </w:r>
          </w:p>
          <w:p w14:paraId="51FC192D">
            <w:pPr>
              <w:keepNext/>
              <w:keepLines/>
              <w:pageBreakBefore w:val="0"/>
              <w:tabs>
                <w:tab w:val="left" w:pos="0"/>
              </w:tabs>
              <w:wordWrap w:val="0"/>
              <w:overflowPunct/>
              <w:bidi w:val="0"/>
              <w:ind w:firstLine="480" w:firstLineChars="200"/>
              <w:outlineLvl w:val="2"/>
              <w:rPr>
                <w:color w:val="auto"/>
                <w:highlight w:val="none"/>
              </w:rPr>
            </w:pPr>
            <w:r>
              <w:rPr>
                <w:rFonts w:hint="default" w:ascii="Times New Roman" w:hAnsi="Times New Roman" w:eastAsia="宋体" w:cs="Times New Roman"/>
                <w:b w:val="0"/>
                <w:bCs w:val="0"/>
                <w:color w:val="auto"/>
                <w:kern w:val="0"/>
                <w:sz w:val="24"/>
                <w:szCs w:val="24"/>
                <w:highlight w:val="none"/>
              </w:rPr>
              <w:t>建设单位应严格按照国家“三同时”政策及时做好有关工作，保证环保工程与主体工程同时设计、同时施工、同时投入使用，切实履行本评价所提出的各项污染防治对策与建议，保证做到各污染物达标排放。项目“三同时”环境保护验收情况见下表：</w:t>
            </w:r>
          </w:p>
          <w:p w14:paraId="5CC468E8">
            <w:pPr>
              <w:keepNext w:val="0"/>
              <w:keepLines w:val="0"/>
              <w:pageBreakBefore w:val="0"/>
              <w:widowControl w:val="0"/>
              <w:numPr>
                <w:ilvl w:val="0"/>
                <w:numId w:val="10"/>
              </w:numPr>
              <w:kinsoku/>
              <w:wordWrap w:val="0"/>
              <w:overflowPunct/>
              <w:topLinePunct w:val="0"/>
              <w:autoSpaceDE/>
              <w:autoSpaceDN/>
              <w:bidi w:val="0"/>
              <w:adjustRightInd/>
              <w:snapToGrid/>
              <w:spacing w:line="240" w:lineRule="auto"/>
              <w:ind w:left="0" w:leftChars="0" w:hanging="1"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项目环境保护“三同时”验收一览表</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
              <w:gridCol w:w="1592"/>
              <w:gridCol w:w="1529"/>
              <w:gridCol w:w="2371"/>
              <w:gridCol w:w="2677"/>
            </w:tblGrid>
            <w:tr w14:paraId="5FC47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9" w:type="pct"/>
                  <w:vAlign w:val="center"/>
                </w:tcPr>
                <w:p w14:paraId="07BC2C1B">
                  <w:pPr>
                    <w:widowControl w:val="0"/>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项目</w:t>
                  </w:r>
                </w:p>
              </w:tc>
              <w:tc>
                <w:tcPr>
                  <w:tcW w:w="914" w:type="pct"/>
                  <w:vAlign w:val="center"/>
                </w:tcPr>
                <w:p w14:paraId="0B9D6C8D">
                  <w:pPr>
                    <w:widowControl w:val="0"/>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污染源</w:t>
                  </w:r>
                </w:p>
              </w:tc>
              <w:tc>
                <w:tcPr>
                  <w:tcW w:w="878" w:type="pct"/>
                  <w:vAlign w:val="center"/>
                </w:tcPr>
                <w:p w14:paraId="1AAB2B7A">
                  <w:pPr>
                    <w:widowControl w:val="0"/>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污染物</w:t>
                  </w:r>
                </w:p>
              </w:tc>
              <w:tc>
                <w:tcPr>
                  <w:tcW w:w="1361" w:type="pct"/>
                  <w:vAlign w:val="center"/>
                </w:tcPr>
                <w:p w14:paraId="493483BC">
                  <w:pPr>
                    <w:widowControl w:val="0"/>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防治措施</w:t>
                  </w:r>
                </w:p>
              </w:tc>
              <w:tc>
                <w:tcPr>
                  <w:tcW w:w="1536" w:type="pct"/>
                  <w:vAlign w:val="center"/>
                </w:tcPr>
                <w:p w14:paraId="230F5A3F">
                  <w:pPr>
                    <w:widowControl w:val="0"/>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验收标准</w:t>
                  </w:r>
                </w:p>
              </w:tc>
            </w:tr>
            <w:tr w14:paraId="2E1DE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9" w:type="pct"/>
                  <w:vMerge w:val="restart"/>
                  <w:vAlign w:val="center"/>
                </w:tcPr>
                <w:p w14:paraId="138F29CF">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废水</w:t>
                  </w:r>
                </w:p>
              </w:tc>
              <w:tc>
                <w:tcPr>
                  <w:tcW w:w="914" w:type="pct"/>
                  <w:vAlign w:val="center"/>
                </w:tcPr>
                <w:p w14:paraId="44F531EC">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DW001</w:t>
                  </w:r>
                  <w:r>
                    <w:rPr>
                      <w:rFonts w:hint="eastAsia" w:ascii="Times New Roman" w:hAnsi="Times New Roman" w:eastAsia="宋体" w:cs="Times New Roman"/>
                      <w:color w:val="auto"/>
                      <w:sz w:val="21"/>
                      <w:szCs w:val="21"/>
                      <w:highlight w:val="none"/>
                      <w:lang w:val="en-US" w:eastAsia="zh-CN"/>
                    </w:rPr>
                    <w:t>生活污水</w:t>
                  </w:r>
                  <w:r>
                    <w:rPr>
                      <w:rFonts w:hint="default" w:ascii="Times New Roman" w:hAnsi="Times New Roman" w:eastAsia="宋体" w:cs="Times New Roman"/>
                      <w:color w:val="auto"/>
                      <w:sz w:val="21"/>
                      <w:szCs w:val="21"/>
                      <w:highlight w:val="none"/>
                      <w:lang w:val="en-US" w:eastAsia="zh-CN"/>
                    </w:rPr>
                    <w:t>排放口</w:t>
                  </w:r>
                </w:p>
              </w:tc>
              <w:tc>
                <w:tcPr>
                  <w:tcW w:w="878" w:type="pct"/>
                  <w:vAlign w:val="center"/>
                </w:tcPr>
                <w:p w14:paraId="494D2973">
                  <w:pPr>
                    <w:keepNext w:val="0"/>
                    <w:keepLines w:val="0"/>
                    <w:pageBreakBefore w:val="0"/>
                    <w:widowControl/>
                    <w:suppressLineNumbers w:val="0"/>
                    <w:tabs>
                      <w:tab w:val="left" w:pos="-2848"/>
                    </w:tabs>
                    <w:kinsoku/>
                    <w:overflowPunct/>
                    <w:topLinePunct w:val="0"/>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pH、CODCr、BOD</w:t>
                  </w:r>
                  <w:r>
                    <w:rPr>
                      <w:rFonts w:hint="default" w:ascii="Times New Roman" w:hAnsi="Times New Roman" w:eastAsia="宋体" w:cs="Times New Roman"/>
                      <w:color w:val="auto"/>
                      <w:kern w:val="2"/>
                      <w:sz w:val="21"/>
                      <w:szCs w:val="21"/>
                      <w:highlight w:val="none"/>
                      <w:vertAlign w:val="subscript"/>
                      <w:lang w:val="en-US" w:eastAsia="zh-CN" w:bidi="ar-SA"/>
                    </w:rPr>
                    <w:t>5</w:t>
                  </w:r>
                  <w:r>
                    <w:rPr>
                      <w:rFonts w:hint="default" w:ascii="Times New Roman" w:hAnsi="Times New Roman" w:eastAsia="宋体" w:cs="Times New Roman"/>
                      <w:color w:val="auto"/>
                      <w:kern w:val="2"/>
                      <w:sz w:val="21"/>
                      <w:szCs w:val="21"/>
                      <w:highlight w:val="none"/>
                      <w:lang w:val="en-US" w:eastAsia="zh-CN" w:bidi="ar-SA"/>
                    </w:rPr>
                    <w:t>、SS、氨氮、总磷、动植物油</w:t>
                  </w:r>
                </w:p>
              </w:tc>
              <w:tc>
                <w:tcPr>
                  <w:tcW w:w="1361" w:type="pct"/>
                  <w:vAlign w:val="center"/>
                </w:tcPr>
                <w:p w14:paraId="3066EC99">
                  <w:pPr>
                    <w:keepNext w:val="0"/>
                    <w:keepLines w:val="0"/>
                    <w:pageBreakBefore w:val="0"/>
                    <w:widowControl/>
                    <w:suppressLineNumbers w:val="0"/>
                    <w:tabs>
                      <w:tab w:val="left" w:pos="-2848"/>
                    </w:tabs>
                    <w:kinsoku/>
                    <w:overflowPunct/>
                    <w:topLinePunct w:val="0"/>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生活污水经</w:t>
                  </w:r>
                  <w:r>
                    <w:rPr>
                      <w:rFonts w:hint="eastAsia" w:cs="Times New Roman"/>
                      <w:color w:val="auto"/>
                      <w:kern w:val="2"/>
                      <w:sz w:val="21"/>
                      <w:szCs w:val="21"/>
                      <w:highlight w:val="none"/>
                      <w:lang w:val="en-US" w:eastAsia="zh-CN" w:bidi="ar-SA"/>
                    </w:rPr>
                    <w:t>三级化粪池</w:t>
                  </w:r>
                  <w:r>
                    <w:rPr>
                      <w:rFonts w:hint="default" w:ascii="Times New Roman" w:hAnsi="Times New Roman" w:eastAsia="宋体" w:cs="Times New Roman"/>
                      <w:color w:val="auto"/>
                      <w:kern w:val="2"/>
                      <w:sz w:val="21"/>
                      <w:szCs w:val="21"/>
                      <w:highlight w:val="none"/>
                      <w:lang w:val="en-US" w:eastAsia="zh-CN" w:bidi="ar-SA"/>
                    </w:rPr>
                    <w:t>处理</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经园区污水管网排入园区污水处理厂进一步处理后，排入武江</w:t>
                  </w:r>
                </w:p>
              </w:tc>
              <w:tc>
                <w:tcPr>
                  <w:tcW w:w="1536" w:type="pct"/>
                  <w:vAlign w:val="center"/>
                </w:tcPr>
                <w:p w14:paraId="1CCFD1AA">
                  <w:pPr>
                    <w:pStyle w:val="20"/>
                    <w:keepNext w:val="0"/>
                    <w:keepLines w:val="0"/>
                    <w:pageBreakBefore w:val="0"/>
                    <w:suppressLineNumbers w:val="0"/>
                    <w:kinsoku/>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广东省《水污染物排放限值》（DB44/26-2001）第二时段三级标准</w:t>
                  </w:r>
                  <w:r>
                    <w:rPr>
                      <w:rFonts w:hint="eastAsia" w:ascii="Times New Roman" w:hAnsi="Times New Roman" w:eastAsia="宋体"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lang w:val="en-US" w:eastAsia="zh-CN"/>
                    </w:rPr>
                    <w:t>园区污水处理厂接管水质要求</w:t>
                  </w:r>
                  <w:r>
                    <w:rPr>
                      <w:rFonts w:hint="eastAsia" w:ascii="Times New Roman" w:hAnsi="Times New Roman" w:eastAsia="宋体" w:cs="Times New Roman"/>
                      <w:color w:val="auto"/>
                      <w:sz w:val="21"/>
                      <w:szCs w:val="21"/>
                      <w:highlight w:val="none"/>
                      <w:lang w:val="en-US" w:eastAsia="zh-CN"/>
                    </w:rPr>
                    <w:t>两</w:t>
                  </w:r>
                  <w:r>
                    <w:rPr>
                      <w:rFonts w:hint="default" w:ascii="Times New Roman" w:hAnsi="Times New Roman" w:eastAsia="宋体" w:cs="Times New Roman"/>
                      <w:color w:val="auto"/>
                      <w:sz w:val="21"/>
                      <w:szCs w:val="21"/>
                      <w:highlight w:val="none"/>
                      <w:lang w:val="en-US" w:eastAsia="zh-CN"/>
                    </w:rPr>
                    <w:t>者较严值要求</w:t>
                  </w:r>
                </w:p>
              </w:tc>
            </w:tr>
            <w:tr w14:paraId="2DA93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9" w:type="pct"/>
                  <w:vMerge w:val="continue"/>
                  <w:vAlign w:val="center"/>
                </w:tcPr>
                <w:p w14:paraId="6D973994">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14" w:type="pct"/>
                  <w:vAlign w:val="center"/>
                </w:tcPr>
                <w:p w14:paraId="597125E4">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DW00</w:t>
                  </w:r>
                  <w:r>
                    <w:rPr>
                      <w:rFonts w:hint="eastAsia" w:ascii="Times New Roman" w:hAnsi="Times New Roman" w:eastAsia="宋体" w:cs="Times New Roman"/>
                      <w:color w:val="auto"/>
                      <w:sz w:val="21"/>
                      <w:szCs w:val="21"/>
                      <w:highlight w:val="none"/>
                      <w:lang w:val="en-US" w:eastAsia="zh-CN"/>
                    </w:rPr>
                    <w:t>2生产废水</w:t>
                  </w:r>
                  <w:r>
                    <w:rPr>
                      <w:rFonts w:hint="default" w:ascii="Times New Roman" w:hAnsi="Times New Roman" w:eastAsia="宋体" w:cs="Times New Roman"/>
                      <w:color w:val="auto"/>
                      <w:sz w:val="21"/>
                      <w:szCs w:val="21"/>
                      <w:highlight w:val="none"/>
                      <w:lang w:val="en-US" w:eastAsia="zh-CN"/>
                    </w:rPr>
                    <w:t>排放口</w:t>
                  </w:r>
                </w:p>
              </w:tc>
              <w:tc>
                <w:tcPr>
                  <w:tcW w:w="878" w:type="pct"/>
                  <w:vAlign w:val="center"/>
                </w:tcPr>
                <w:p w14:paraId="56D0CB4B">
                  <w:pPr>
                    <w:keepNext w:val="0"/>
                    <w:keepLines w:val="0"/>
                    <w:pageBreakBefore w:val="0"/>
                    <w:widowControl/>
                    <w:suppressLineNumbers w:val="0"/>
                    <w:tabs>
                      <w:tab w:val="left" w:pos="-2848"/>
                    </w:tabs>
                    <w:kinsoku/>
                    <w:overflowPunct/>
                    <w:topLinePunct w:val="0"/>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pH、COD</w:t>
                  </w:r>
                  <w:r>
                    <w:rPr>
                      <w:rFonts w:hint="default" w:ascii="Times New Roman" w:hAnsi="Times New Roman" w:eastAsia="宋体" w:cs="Times New Roman"/>
                      <w:color w:val="auto"/>
                      <w:kern w:val="2"/>
                      <w:sz w:val="21"/>
                      <w:szCs w:val="21"/>
                      <w:highlight w:val="none"/>
                      <w:vertAlign w:val="subscript"/>
                      <w:lang w:val="en-US" w:eastAsia="zh-CN" w:bidi="ar-SA"/>
                    </w:rPr>
                    <w:t>Cr</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BOD</w:t>
                  </w:r>
                  <w:r>
                    <w:rPr>
                      <w:rFonts w:hint="eastAsia" w:ascii="Times New Roman" w:hAnsi="Times New Roman" w:eastAsia="宋体" w:cs="Times New Roman"/>
                      <w:color w:val="auto"/>
                      <w:kern w:val="2"/>
                      <w:sz w:val="21"/>
                      <w:szCs w:val="21"/>
                      <w:highlight w:val="none"/>
                      <w:vertAlign w:val="subscript"/>
                      <w:lang w:val="en-US" w:eastAsia="zh-CN" w:bidi="ar-SA"/>
                    </w:rPr>
                    <w:t>5</w:t>
                  </w:r>
                  <w:r>
                    <w:rPr>
                      <w:rFonts w:hint="eastAsia" w:ascii="Times New Roman" w:hAnsi="Times New Roman" w:eastAsia="宋体" w:cs="Times New Roman"/>
                      <w:color w:val="auto"/>
                      <w:kern w:val="2"/>
                      <w:sz w:val="21"/>
                      <w:szCs w:val="21"/>
                      <w:highlight w:val="none"/>
                      <w:lang w:val="en-US" w:eastAsia="zh-CN" w:bidi="ar-SA"/>
                    </w:rPr>
                    <w:t>、NH</w:t>
                  </w:r>
                  <w:r>
                    <w:rPr>
                      <w:rFonts w:hint="eastAsia" w:ascii="Times New Roman" w:hAnsi="Times New Roman" w:eastAsia="宋体" w:cs="Times New Roman"/>
                      <w:color w:val="auto"/>
                      <w:kern w:val="2"/>
                      <w:sz w:val="21"/>
                      <w:szCs w:val="21"/>
                      <w:highlight w:val="none"/>
                      <w:vertAlign w:val="subscript"/>
                      <w:lang w:val="en-US" w:eastAsia="zh-CN" w:bidi="ar-SA"/>
                    </w:rPr>
                    <w:t>3</w:t>
                  </w:r>
                  <w:r>
                    <w:rPr>
                      <w:rFonts w:hint="eastAsia" w:ascii="Times New Roman" w:hAnsi="Times New Roman" w:eastAsia="宋体" w:cs="Times New Roman"/>
                      <w:color w:val="auto"/>
                      <w:kern w:val="2"/>
                      <w:sz w:val="21"/>
                      <w:szCs w:val="21"/>
                      <w:highlight w:val="none"/>
                      <w:lang w:val="en-US" w:eastAsia="zh-CN" w:bidi="ar-SA"/>
                    </w:rPr>
                    <w:t>-N、</w:t>
                  </w:r>
                  <w:r>
                    <w:rPr>
                      <w:rFonts w:hint="default" w:ascii="Times New Roman" w:hAnsi="Times New Roman" w:eastAsia="宋体" w:cs="Times New Roman"/>
                      <w:color w:val="auto"/>
                      <w:kern w:val="2"/>
                      <w:sz w:val="21"/>
                      <w:szCs w:val="21"/>
                      <w:highlight w:val="none"/>
                      <w:lang w:val="en-US" w:eastAsia="zh-CN" w:bidi="ar-SA"/>
                    </w:rPr>
                    <w:t>SS、石油类、阴离子表面活性剂、</w:t>
                  </w:r>
                  <w:r>
                    <w:rPr>
                      <w:rFonts w:hint="eastAsia" w:cs="Times New Roman"/>
                      <w:color w:val="auto"/>
                      <w:kern w:val="2"/>
                      <w:sz w:val="21"/>
                      <w:szCs w:val="21"/>
                      <w:highlight w:val="none"/>
                      <w:lang w:val="en-US" w:eastAsia="zh-CN" w:bidi="ar-SA"/>
                    </w:rPr>
                    <w:t>TP、TN、总锌、</w:t>
                  </w:r>
                  <w:r>
                    <w:rPr>
                      <w:rFonts w:hint="default" w:ascii="Times New Roman" w:hAnsi="Times New Roman" w:eastAsia="宋体" w:cs="Times New Roman"/>
                      <w:color w:val="auto"/>
                      <w:kern w:val="2"/>
                      <w:sz w:val="21"/>
                      <w:szCs w:val="21"/>
                      <w:highlight w:val="none"/>
                      <w:lang w:val="en-US" w:eastAsia="zh-CN" w:bidi="ar-SA"/>
                    </w:rPr>
                    <w:t>氟化物</w:t>
                  </w:r>
                </w:p>
              </w:tc>
              <w:tc>
                <w:tcPr>
                  <w:tcW w:w="1361" w:type="pct"/>
                  <w:vAlign w:val="center"/>
                </w:tcPr>
                <w:p w14:paraId="5327F48F">
                  <w:pPr>
                    <w:keepNext w:val="0"/>
                    <w:keepLines w:val="0"/>
                    <w:pageBreakBefore w:val="0"/>
                    <w:widowControl/>
                    <w:suppressLineNumbers w:val="0"/>
                    <w:tabs>
                      <w:tab w:val="left" w:pos="-2848"/>
                    </w:tabs>
                    <w:kinsoku/>
                    <w:overflowPunct/>
                    <w:topLinePunct w:val="0"/>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经企业自建污水处理站（工艺为“</w:t>
                  </w:r>
                  <w:r>
                    <w:rPr>
                      <w:rFonts w:hint="eastAsia" w:cs="Times New Roman"/>
                      <w:color w:val="auto"/>
                      <w:sz w:val="21"/>
                      <w:szCs w:val="21"/>
                      <w:highlight w:val="none"/>
                      <w:lang w:val="en-US" w:eastAsia="zh-CN"/>
                    </w:rPr>
                    <w:t>中和调节+混凝沉淀+二级除磷+水解酸化+接触氧化+MBR膜池</w:t>
                  </w:r>
                  <w:r>
                    <w:rPr>
                      <w:rFonts w:hint="default" w:ascii="Times New Roman" w:hAnsi="Times New Roman" w:eastAsia="宋体" w:cs="Times New Roman"/>
                      <w:color w:val="auto"/>
                      <w:kern w:val="2"/>
                      <w:sz w:val="21"/>
                      <w:szCs w:val="21"/>
                      <w:highlight w:val="none"/>
                      <w:lang w:val="en-US" w:eastAsia="zh-CN" w:bidi="ar-SA"/>
                    </w:rPr>
                    <w:t>”）处理后，经园区污水管网排入园区污水处理厂进一步处理后，排入武江</w:t>
                  </w:r>
                </w:p>
              </w:tc>
              <w:tc>
                <w:tcPr>
                  <w:tcW w:w="1536" w:type="pct"/>
                  <w:vAlign w:val="center"/>
                </w:tcPr>
                <w:p w14:paraId="69F915FD">
                  <w:pPr>
                    <w:pStyle w:val="20"/>
                    <w:keepNext w:val="0"/>
                    <w:keepLines w:val="0"/>
                    <w:pageBreakBefore w:val="0"/>
                    <w:suppressLineNumbers w:val="0"/>
                    <w:kinsoku/>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《电镀水污染物排放标准》（DB44/1597-2015）表2新建项目水污染物排放限值</w:t>
                  </w:r>
                  <w:r>
                    <w:rPr>
                      <w:rFonts w:hint="eastAsia" w:cs="Times New Roman"/>
                      <w:color w:val="auto"/>
                      <w:sz w:val="21"/>
                      <w:szCs w:val="21"/>
                      <w:highlight w:val="none"/>
                      <w:lang w:val="en-US" w:eastAsia="zh-CN"/>
                    </w:rPr>
                    <w:t>、</w:t>
                  </w:r>
                  <w:r>
                    <w:rPr>
                      <w:rFonts w:hint="eastAsia" w:cs="Times New Roman"/>
                      <w:snapToGrid w:val="0"/>
                      <w:color w:val="auto"/>
                      <w:kern w:val="0"/>
                      <w:sz w:val="21"/>
                      <w:szCs w:val="18"/>
                      <w:highlight w:val="none"/>
                      <w:lang w:val="en-US" w:eastAsia="zh-CN" w:bidi="ar-SA"/>
                    </w:rPr>
                    <w:t>广东省《水污染物排放限值》（DB44/26-2001）第二时段三级标准、</w:t>
                  </w:r>
                  <w:r>
                    <w:rPr>
                      <w:rFonts w:hint="default" w:ascii="Times New Roman" w:hAnsi="Times New Roman" w:eastAsia="宋体" w:cs="Times New Roman"/>
                      <w:color w:val="auto"/>
                      <w:sz w:val="21"/>
                      <w:szCs w:val="21"/>
                      <w:highlight w:val="none"/>
                      <w:lang w:val="en-US" w:eastAsia="zh-CN"/>
                    </w:rPr>
                    <w:t>园区污水处理厂接管水质要求</w:t>
                  </w:r>
                  <w:r>
                    <w:rPr>
                      <w:rFonts w:hint="eastAsia" w:cs="Times New Roman"/>
                      <w:color w:val="auto"/>
                      <w:sz w:val="21"/>
                      <w:szCs w:val="21"/>
                      <w:highlight w:val="none"/>
                      <w:lang w:val="en-US" w:eastAsia="zh-CN"/>
                    </w:rPr>
                    <w:t>三</w:t>
                  </w:r>
                  <w:r>
                    <w:rPr>
                      <w:rFonts w:hint="default" w:ascii="Times New Roman" w:hAnsi="Times New Roman" w:eastAsia="宋体" w:cs="Times New Roman"/>
                      <w:color w:val="auto"/>
                      <w:sz w:val="21"/>
                      <w:szCs w:val="21"/>
                      <w:highlight w:val="none"/>
                      <w:lang w:val="en-US" w:eastAsia="zh-CN"/>
                    </w:rPr>
                    <w:t>者较严值</w:t>
                  </w:r>
                </w:p>
              </w:tc>
            </w:tr>
            <w:tr w14:paraId="25A7E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9" w:type="pct"/>
                  <w:vMerge w:val="restart"/>
                  <w:vAlign w:val="center"/>
                </w:tcPr>
                <w:p w14:paraId="452767CE">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废气</w:t>
                  </w:r>
                </w:p>
              </w:tc>
              <w:tc>
                <w:tcPr>
                  <w:tcW w:w="914" w:type="pct"/>
                  <w:vAlign w:val="center"/>
                </w:tcPr>
                <w:p w14:paraId="32FF590A">
                  <w:pPr>
                    <w:keepNext w:val="0"/>
                    <w:keepLines w:val="0"/>
                    <w:pageBreakBefore w:val="0"/>
                    <w:widowControl/>
                    <w:suppressLineNumbers w:val="0"/>
                    <w:tabs>
                      <w:tab w:val="left" w:pos="-2848"/>
                    </w:tabs>
                    <w:kinsoku/>
                    <w:overflowPunct/>
                    <w:topLinePunct w:val="0"/>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2"/>
                      <w:sz w:val="21"/>
                      <w:szCs w:val="21"/>
                      <w:highlight w:val="none"/>
                      <w:lang w:val="en-US" w:eastAsia="zh-CN" w:bidi="ar-SA"/>
                    </w:rPr>
                    <w:t>抛光打磨粉尘（DA00</w:t>
                  </w:r>
                  <w:r>
                    <w:rPr>
                      <w:rFonts w:hint="eastAsia" w:ascii="Times New Roman" w:hAnsi="Times New Roman" w:eastAsia="宋体" w:cs="Times New Roman"/>
                      <w:color w:val="auto"/>
                      <w:kern w:val="2"/>
                      <w:sz w:val="21"/>
                      <w:szCs w:val="21"/>
                      <w:highlight w:val="none"/>
                      <w:lang w:val="en-US" w:eastAsia="zh-CN" w:bidi="ar-SA"/>
                    </w:rPr>
                    <w:t>1</w:t>
                  </w:r>
                  <w:r>
                    <w:rPr>
                      <w:rFonts w:hint="default" w:ascii="Times New Roman" w:hAnsi="Times New Roman" w:eastAsia="宋体" w:cs="Times New Roman"/>
                      <w:color w:val="auto"/>
                      <w:kern w:val="2"/>
                      <w:sz w:val="21"/>
                      <w:szCs w:val="21"/>
                      <w:highlight w:val="none"/>
                      <w:lang w:val="en-US" w:eastAsia="zh-CN" w:bidi="ar-SA"/>
                    </w:rPr>
                    <w:t>）</w:t>
                  </w:r>
                </w:p>
              </w:tc>
              <w:tc>
                <w:tcPr>
                  <w:tcW w:w="878" w:type="pct"/>
                  <w:vAlign w:val="center"/>
                </w:tcPr>
                <w:p w14:paraId="4E346C84">
                  <w:pPr>
                    <w:keepNext w:val="0"/>
                    <w:keepLines w:val="0"/>
                    <w:pageBreakBefore w:val="0"/>
                    <w:widowControl/>
                    <w:suppressLineNumbers w:val="0"/>
                    <w:tabs>
                      <w:tab w:val="left" w:pos="-2848"/>
                    </w:tabs>
                    <w:kinsoku/>
                    <w:overflowPunct/>
                    <w:topLinePunct w:val="0"/>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2"/>
                      <w:sz w:val="21"/>
                      <w:szCs w:val="21"/>
                      <w:highlight w:val="none"/>
                      <w:lang w:val="en-US" w:eastAsia="zh-CN" w:bidi="ar-SA"/>
                    </w:rPr>
                    <w:t>颗粒物</w:t>
                  </w:r>
                </w:p>
              </w:tc>
              <w:tc>
                <w:tcPr>
                  <w:tcW w:w="1361" w:type="pct"/>
                  <w:vAlign w:val="center"/>
                </w:tcPr>
                <w:p w14:paraId="17F36994">
                  <w:pPr>
                    <w:keepNext w:val="0"/>
                    <w:keepLines w:val="0"/>
                    <w:pageBreakBefore w:val="0"/>
                    <w:widowControl/>
                    <w:suppressLineNumbers w:val="0"/>
                    <w:tabs>
                      <w:tab w:val="left" w:pos="-2848"/>
                    </w:tabs>
                    <w:kinsoku/>
                    <w:overflowPunct/>
                    <w:topLinePunct w:val="0"/>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经</w:t>
                  </w:r>
                  <w:r>
                    <w:rPr>
                      <w:rFonts w:hint="default" w:ascii="Times New Roman" w:hAnsi="Times New Roman" w:eastAsia="宋体" w:cs="Times New Roman"/>
                      <w:color w:val="auto"/>
                      <w:kern w:val="2"/>
                      <w:sz w:val="21"/>
                      <w:szCs w:val="21"/>
                      <w:highlight w:val="none"/>
                      <w:lang w:val="en-US" w:eastAsia="zh-CN" w:bidi="ar-SA"/>
                    </w:rPr>
                    <w:t>布袋除尘器处理后经</w:t>
                  </w:r>
                  <w:r>
                    <w:rPr>
                      <w:rFonts w:hint="default" w:ascii="Times New Roman" w:hAnsi="Times New Roman" w:eastAsia="宋体" w:cs="Times New Roman"/>
                      <w:color w:val="auto"/>
                      <w:kern w:val="0"/>
                      <w:sz w:val="21"/>
                      <w:szCs w:val="21"/>
                      <w:highlight w:val="none"/>
                      <w:lang w:val="en-US" w:eastAsia="zh-CN"/>
                    </w:rPr>
                    <w:t>15m</w:t>
                  </w:r>
                  <w:r>
                    <w:rPr>
                      <w:rFonts w:hint="default" w:ascii="Times New Roman" w:hAnsi="Times New Roman" w:eastAsia="宋体" w:cs="Times New Roman"/>
                      <w:color w:val="auto"/>
                      <w:kern w:val="2"/>
                      <w:sz w:val="21"/>
                      <w:szCs w:val="21"/>
                      <w:highlight w:val="none"/>
                      <w:lang w:val="en-US" w:eastAsia="zh-CN" w:bidi="ar-SA"/>
                    </w:rPr>
                    <w:t>高排气筒（DA00</w:t>
                  </w:r>
                  <w:r>
                    <w:rPr>
                      <w:rFonts w:hint="eastAsia" w:ascii="Times New Roman" w:hAnsi="Times New Roman" w:eastAsia="宋体" w:cs="Times New Roman"/>
                      <w:color w:val="auto"/>
                      <w:kern w:val="2"/>
                      <w:sz w:val="21"/>
                      <w:szCs w:val="21"/>
                      <w:highlight w:val="none"/>
                      <w:lang w:val="en-US" w:eastAsia="zh-CN" w:bidi="ar-SA"/>
                    </w:rPr>
                    <w:t>1</w:t>
                  </w:r>
                  <w:r>
                    <w:rPr>
                      <w:rFonts w:hint="default" w:ascii="Times New Roman" w:hAnsi="Times New Roman" w:eastAsia="宋体" w:cs="Times New Roman"/>
                      <w:color w:val="auto"/>
                      <w:kern w:val="2"/>
                      <w:sz w:val="21"/>
                      <w:szCs w:val="21"/>
                      <w:highlight w:val="none"/>
                      <w:lang w:val="en-US" w:eastAsia="zh-CN" w:bidi="ar-SA"/>
                    </w:rPr>
                    <w:t>）排放</w:t>
                  </w:r>
                </w:p>
              </w:tc>
              <w:tc>
                <w:tcPr>
                  <w:tcW w:w="1536" w:type="pct"/>
                  <w:vAlign w:val="center"/>
                </w:tcPr>
                <w:p w14:paraId="05660124">
                  <w:pPr>
                    <w:keepNext w:val="0"/>
                    <w:keepLines w:val="0"/>
                    <w:pageBreakBefore w:val="0"/>
                    <w:widowControl/>
                    <w:suppressLineNumbers w:val="0"/>
                    <w:tabs>
                      <w:tab w:val="left" w:pos="-2848"/>
                    </w:tabs>
                    <w:kinsoku/>
                    <w:overflowPunct/>
                    <w:topLinePunct w:val="0"/>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广东省《大气污染物排放限值》（DB44/27-2001）第二时段排放限值及其无组织排放监控浓度限值</w:t>
                  </w:r>
                </w:p>
              </w:tc>
            </w:tr>
            <w:tr w14:paraId="32F0B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9" w:type="pct"/>
                  <w:vMerge w:val="continue"/>
                  <w:vAlign w:val="center"/>
                </w:tcPr>
                <w:p w14:paraId="2908E8C5">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14" w:type="pct"/>
                  <w:vAlign w:val="center"/>
                </w:tcPr>
                <w:p w14:paraId="043F77BF">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rPr>
                    <w:t>燃烧废气（DA00</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w:t>
                  </w:r>
                </w:p>
              </w:tc>
              <w:tc>
                <w:tcPr>
                  <w:tcW w:w="878" w:type="pct"/>
                  <w:vAlign w:val="center"/>
                </w:tcPr>
                <w:p w14:paraId="45239EFC">
                  <w:pPr>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颗粒物、氮氧化物、二氧化硫</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烟气黑度</w:t>
                  </w:r>
                </w:p>
              </w:tc>
              <w:tc>
                <w:tcPr>
                  <w:tcW w:w="1361" w:type="pct"/>
                  <w:vAlign w:val="center"/>
                </w:tcPr>
                <w:p w14:paraId="13B6266F">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经</w:t>
                  </w:r>
                  <w:r>
                    <w:rPr>
                      <w:rFonts w:hint="eastAsia" w:ascii="Times New Roman" w:hAnsi="Times New Roman" w:eastAsia="宋体" w:cs="Times New Roman"/>
                      <w:color w:val="auto"/>
                      <w:sz w:val="21"/>
                      <w:szCs w:val="21"/>
                      <w:highlight w:val="none"/>
                      <w:lang w:val="en-US" w:eastAsia="zh-CN"/>
                    </w:rPr>
                    <w:t>风机引至</w:t>
                  </w: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m高</w:t>
                  </w:r>
                  <w:r>
                    <w:rPr>
                      <w:rFonts w:hint="eastAsia"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排气筒（DA00</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）排放</w:t>
                  </w:r>
                </w:p>
              </w:tc>
              <w:tc>
                <w:tcPr>
                  <w:tcW w:w="1536" w:type="pct"/>
                  <w:vAlign w:val="center"/>
                </w:tcPr>
                <w:p w14:paraId="411F6306">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根据《关于印发</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工业炉窑大气污染综合治理方案</w:t>
                  </w:r>
                  <w:r>
                    <w:rPr>
                      <w:rFonts w:hint="eastAsia" w:ascii="Times New Roman" w:hAnsi="Times New Roman" w:eastAsia="宋体" w:cs="Times New Roman"/>
                      <w:color w:val="auto"/>
                      <w:sz w:val="21"/>
                      <w:szCs w:val="21"/>
                      <w:highlight w:val="none"/>
                      <w:lang w:eastAsia="zh-CN"/>
                    </w:rPr>
                    <w:t>〉的通知》</w:t>
                  </w:r>
                  <w:r>
                    <w:rPr>
                      <w:rFonts w:hint="default" w:ascii="Times New Roman" w:hAnsi="Times New Roman" w:eastAsia="宋体" w:cs="Times New Roman"/>
                      <w:color w:val="auto"/>
                      <w:sz w:val="21"/>
                      <w:szCs w:val="21"/>
                      <w:highlight w:val="none"/>
                    </w:rPr>
                    <w:t>（环大气〔2019〕56号）和《关于贯彻落实</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工业炉窑大气污染物综合治理方案</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的实施意见》（粤环函〔2019〕1112号），废气按照颗粒物、二氧化硫、氮氧化物排放限值分别不高于30、200、300毫克/立方米控制</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烟气黑度执行《工业炉窑大气污染物排放标准》（GB 9078-1996）</w:t>
                  </w:r>
                </w:p>
              </w:tc>
            </w:tr>
            <w:tr w14:paraId="58D38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9" w:type="pct"/>
                  <w:vMerge w:val="continue"/>
                  <w:vAlign w:val="center"/>
                </w:tcPr>
                <w:p w14:paraId="7897353A">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14" w:type="pct"/>
                  <w:vMerge w:val="restart"/>
                  <w:vAlign w:val="center"/>
                </w:tcPr>
                <w:p w14:paraId="6FE6E1E8">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喷</w:t>
                  </w:r>
                  <w:r>
                    <w:rPr>
                      <w:rFonts w:hint="eastAsia" w:ascii="Times New Roman" w:hAnsi="Times New Roman" w:eastAsia="宋体" w:cs="Times New Roman"/>
                      <w:color w:val="auto"/>
                      <w:sz w:val="21"/>
                      <w:szCs w:val="21"/>
                      <w:highlight w:val="none"/>
                      <w:lang w:val="en-US" w:eastAsia="zh-CN"/>
                    </w:rPr>
                    <w:t>漆</w:t>
                  </w:r>
                  <w:r>
                    <w:rPr>
                      <w:rFonts w:hint="eastAsia" w:cs="Times New Roman"/>
                      <w:color w:val="auto"/>
                      <w:sz w:val="21"/>
                      <w:szCs w:val="21"/>
                      <w:highlight w:val="none"/>
                      <w:lang w:val="en-US" w:eastAsia="zh-CN"/>
                    </w:rPr>
                    <w:t>、丝印</w:t>
                  </w:r>
                  <w:r>
                    <w:rPr>
                      <w:rFonts w:hint="eastAsia" w:cs="Times New Roman"/>
                      <w:b w:val="0"/>
                      <w:bCs w:val="0"/>
                      <w:color w:val="auto"/>
                      <w:kern w:val="2"/>
                      <w:sz w:val="21"/>
                      <w:szCs w:val="21"/>
                      <w:highlight w:val="none"/>
                      <w:lang w:val="en-US" w:eastAsia="zh-CN" w:bidi="ar-SA"/>
                    </w:rPr>
                    <w:t>（含表面清洁）</w:t>
                  </w:r>
                  <w:r>
                    <w:rPr>
                      <w:rFonts w:hint="eastAsia" w:cs="Times New Roman"/>
                      <w:color w:val="auto"/>
                      <w:sz w:val="21"/>
                      <w:szCs w:val="21"/>
                      <w:highlight w:val="none"/>
                      <w:lang w:val="en-US" w:eastAsia="zh-CN"/>
                    </w:rPr>
                    <w:t>、固化</w:t>
                  </w:r>
                  <w:r>
                    <w:rPr>
                      <w:rFonts w:hint="eastAsia" w:ascii="Times New Roman" w:hAnsi="Times New Roman" w:eastAsia="宋体" w:cs="Times New Roman"/>
                      <w:color w:val="auto"/>
                      <w:sz w:val="21"/>
                      <w:szCs w:val="21"/>
                      <w:highlight w:val="none"/>
                      <w:lang w:val="en-US" w:eastAsia="zh-CN"/>
                    </w:rPr>
                    <w:t>废气（DA003）</w:t>
                  </w:r>
                </w:p>
              </w:tc>
              <w:tc>
                <w:tcPr>
                  <w:tcW w:w="878" w:type="pct"/>
                  <w:vAlign w:val="center"/>
                </w:tcPr>
                <w:p w14:paraId="6AA0507E">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颗粒物</w:t>
                  </w:r>
                </w:p>
              </w:tc>
              <w:tc>
                <w:tcPr>
                  <w:tcW w:w="1361" w:type="pct"/>
                  <w:vMerge w:val="restart"/>
                  <w:vAlign w:val="center"/>
                </w:tcPr>
                <w:p w14:paraId="5E5497DD">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经</w:t>
                  </w:r>
                  <w:r>
                    <w:rPr>
                      <w:rFonts w:hint="eastAsia" w:cs="Times New Roman"/>
                      <w:color w:val="auto"/>
                      <w:sz w:val="21"/>
                      <w:szCs w:val="21"/>
                      <w:highlight w:val="none"/>
                      <w:lang w:eastAsia="zh-CN"/>
                    </w:rPr>
                    <w:t>喷淋+干式过滤器+二级活性炭吸附装置</w:t>
                  </w:r>
                  <w:r>
                    <w:rPr>
                      <w:rFonts w:hint="eastAsia" w:ascii="Times New Roman" w:hAnsi="Times New Roman" w:eastAsia="宋体" w:cs="Times New Roman"/>
                      <w:color w:val="auto"/>
                      <w:sz w:val="21"/>
                      <w:szCs w:val="21"/>
                      <w:highlight w:val="none"/>
                      <w:lang w:val="en-US" w:eastAsia="zh-CN"/>
                    </w:rPr>
                    <w:t>处理后，</w:t>
                  </w:r>
                  <w:r>
                    <w:rPr>
                      <w:rFonts w:hint="default" w:ascii="Times New Roman" w:hAnsi="Times New Roman" w:eastAsia="宋体" w:cs="Times New Roman"/>
                      <w:color w:val="auto"/>
                      <w:sz w:val="21"/>
                      <w:szCs w:val="21"/>
                      <w:highlight w:val="none"/>
                      <w:lang w:val="en-US" w:eastAsia="zh-CN"/>
                    </w:rPr>
                    <w:t>引至15</w:t>
                  </w:r>
                  <w:r>
                    <w:rPr>
                      <w:rFonts w:hint="default" w:ascii="Times New Roman" w:hAnsi="Times New Roman" w:eastAsia="宋体" w:cs="Times New Roman"/>
                      <w:color w:val="auto"/>
                      <w:sz w:val="21"/>
                      <w:szCs w:val="21"/>
                      <w:highlight w:val="none"/>
                    </w:rPr>
                    <w:t>m高</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排气筒（DA00</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）排放</w:t>
                  </w:r>
                </w:p>
              </w:tc>
              <w:tc>
                <w:tcPr>
                  <w:tcW w:w="1536" w:type="pct"/>
                  <w:vAlign w:val="center"/>
                </w:tcPr>
                <w:p w14:paraId="25CDD751">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《工业炉窑大气污染综合治理方案》中颗粒物≤30mg/m³的要求及广东省《大气污染物排放限值》（DB44/27-2001）第二时段排放限值（120mg/m³）</w:t>
                  </w:r>
                  <w:r>
                    <w:rPr>
                      <w:rFonts w:hint="default" w:ascii="Times New Roman" w:hAnsi="Times New Roman" w:eastAsia="宋体" w:cs="Times New Roman"/>
                      <w:color w:val="auto"/>
                      <w:sz w:val="21"/>
                      <w:szCs w:val="21"/>
                      <w:highlight w:val="none"/>
                      <w:lang w:val="en-US" w:eastAsia="zh-CN"/>
                    </w:rPr>
                    <w:t>较严值</w:t>
                  </w:r>
                </w:p>
              </w:tc>
            </w:tr>
            <w:tr w14:paraId="0923B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9" w:type="pct"/>
                  <w:vMerge w:val="continue"/>
                  <w:vAlign w:val="center"/>
                </w:tcPr>
                <w:p w14:paraId="0DBDCA82">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14" w:type="pct"/>
                  <w:vMerge w:val="continue"/>
                  <w:vAlign w:val="center"/>
                </w:tcPr>
                <w:p w14:paraId="7B003A9D">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878" w:type="pct"/>
                  <w:vAlign w:val="center"/>
                </w:tcPr>
                <w:p w14:paraId="649F448E">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非甲烷总烃</w:t>
                  </w:r>
                </w:p>
              </w:tc>
              <w:tc>
                <w:tcPr>
                  <w:tcW w:w="1361" w:type="pct"/>
                  <w:vMerge w:val="continue"/>
                  <w:vAlign w:val="center"/>
                </w:tcPr>
                <w:p w14:paraId="58DBE636">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536" w:type="pct"/>
                  <w:vMerge w:val="restart"/>
                  <w:vAlign w:val="center"/>
                </w:tcPr>
                <w:p w14:paraId="5B008B69">
                  <w:pPr>
                    <w:adjustRightInd w:val="0"/>
                    <w:snapToGrid w:val="0"/>
                    <w:spacing w:line="240" w:lineRule="auto"/>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《印刷行业挥发性有机化合物排放标准》（DB44/815-2010）表2最高允许排放速率第Ⅱ时段标准和《印刷工业大气污染物排放标准》（GB41616-2022）表1大气污染物排放限值</w:t>
                  </w:r>
                </w:p>
              </w:tc>
            </w:tr>
            <w:tr w14:paraId="7F28D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9" w:type="pct"/>
                  <w:vMerge w:val="continue"/>
                  <w:vAlign w:val="center"/>
                </w:tcPr>
                <w:p w14:paraId="70734745">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14" w:type="pct"/>
                  <w:vMerge w:val="continue"/>
                  <w:vAlign w:val="center"/>
                </w:tcPr>
                <w:p w14:paraId="7C91BBB6">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878" w:type="pct"/>
                  <w:vAlign w:val="center"/>
                </w:tcPr>
                <w:p w14:paraId="5438DEC3">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苯系物</w:t>
                  </w:r>
                </w:p>
              </w:tc>
              <w:tc>
                <w:tcPr>
                  <w:tcW w:w="1361" w:type="pct"/>
                  <w:vMerge w:val="continue"/>
                  <w:vAlign w:val="center"/>
                </w:tcPr>
                <w:p w14:paraId="6E729FC3">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536" w:type="pct"/>
                  <w:vMerge w:val="continue"/>
                  <w:vAlign w:val="center"/>
                </w:tcPr>
                <w:p w14:paraId="5D819CFD">
                  <w:pPr>
                    <w:adjustRightInd w:val="0"/>
                    <w:snapToGrid w:val="0"/>
                    <w:spacing w:line="240" w:lineRule="auto"/>
                    <w:jc w:val="center"/>
                    <w:rPr>
                      <w:rFonts w:hint="default" w:ascii="Times New Roman" w:hAnsi="Times New Roman" w:eastAsia="宋体" w:cs="Times New Roman"/>
                      <w:color w:val="auto"/>
                      <w:sz w:val="21"/>
                      <w:szCs w:val="21"/>
                      <w:highlight w:val="none"/>
                    </w:rPr>
                  </w:pPr>
                </w:p>
              </w:tc>
            </w:tr>
            <w:tr w14:paraId="568B3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9" w:type="pct"/>
                  <w:vMerge w:val="continue"/>
                  <w:vAlign w:val="center"/>
                </w:tcPr>
                <w:p w14:paraId="09C087D8">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14" w:type="pct"/>
                  <w:vMerge w:val="continue"/>
                  <w:vAlign w:val="center"/>
                </w:tcPr>
                <w:p w14:paraId="7F3BCC22">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878" w:type="pct"/>
                  <w:vAlign w:val="center"/>
                </w:tcPr>
                <w:p w14:paraId="22AB2E21">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臭气浓度</w:t>
                  </w:r>
                </w:p>
              </w:tc>
              <w:tc>
                <w:tcPr>
                  <w:tcW w:w="1361" w:type="pct"/>
                  <w:vMerge w:val="continue"/>
                  <w:vAlign w:val="center"/>
                </w:tcPr>
                <w:p w14:paraId="74E8B76C">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536" w:type="pct"/>
                  <w:vAlign w:val="center"/>
                </w:tcPr>
                <w:p w14:paraId="02DDB4C5">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《恶臭污染物排放标准》（</w:t>
                  </w:r>
                  <w:r>
                    <w:rPr>
                      <w:rFonts w:hint="default" w:ascii="Times New Roman" w:hAnsi="Times New Roman" w:eastAsia="宋体" w:cs="Times New Roman"/>
                      <w:color w:val="auto"/>
                      <w:sz w:val="21"/>
                      <w:szCs w:val="21"/>
                      <w:highlight w:val="none"/>
                      <w:lang w:eastAsia="zh-CN"/>
                    </w:rPr>
                    <w:t>GB 14554-1993</w:t>
                  </w:r>
                  <w:r>
                    <w:rPr>
                      <w:rFonts w:hint="default" w:ascii="Times New Roman" w:hAnsi="Times New Roman" w:eastAsia="宋体" w:cs="Times New Roman"/>
                      <w:color w:val="auto"/>
                      <w:sz w:val="21"/>
                      <w:szCs w:val="21"/>
                      <w:highlight w:val="none"/>
                    </w:rPr>
                    <w:t>）表2恶臭污染物排放标准及表1新扩改建二级厂界标准值</w:t>
                  </w:r>
                </w:p>
              </w:tc>
            </w:tr>
            <w:tr w14:paraId="006E6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9" w:type="pct"/>
                  <w:vMerge w:val="continue"/>
                  <w:vAlign w:val="center"/>
                </w:tcPr>
                <w:p w14:paraId="5E13AF19">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14" w:type="pct"/>
                  <w:vMerge w:val="continue"/>
                  <w:vAlign w:val="center"/>
                </w:tcPr>
                <w:p w14:paraId="04DEFD47">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878" w:type="pct"/>
                  <w:vAlign w:val="center"/>
                </w:tcPr>
                <w:p w14:paraId="2EA8D972">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氮氧化物、二氧化硫</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烟气黑度</w:t>
                  </w:r>
                </w:p>
              </w:tc>
              <w:tc>
                <w:tcPr>
                  <w:tcW w:w="1361" w:type="pct"/>
                  <w:vMerge w:val="continue"/>
                  <w:vAlign w:val="center"/>
                </w:tcPr>
                <w:p w14:paraId="347C7D6B">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536" w:type="pct"/>
                  <w:vAlign w:val="center"/>
                </w:tcPr>
                <w:p w14:paraId="417AC024">
                  <w:pPr>
                    <w:adjustRightInd w:val="0"/>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根据《关于印发</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工业炉窑大气污染综合治理方案</w:t>
                  </w:r>
                  <w:r>
                    <w:rPr>
                      <w:rFonts w:hint="default" w:ascii="Times New Roman" w:hAnsi="Times New Roman" w:eastAsia="宋体" w:cs="Times New Roman"/>
                      <w:color w:val="auto"/>
                      <w:sz w:val="21"/>
                      <w:szCs w:val="21"/>
                      <w:highlight w:val="none"/>
                      <w:lang w:eastAsia="zh-CN"/>
                    </w:rPr>
                    <w:t>〉的通知》</w:t>
                  </w:r>
                  <w:r>
                    <w:rPr>
                      <w:rFonts w:hint="default" w:ascii="Times New Roman" w:hAnsi="Times New Roman" w:eastAsia="宋体" w:cs="Times New Roman"/>
                      <w:color w:val="auto"/>
                      <w:sz w:val="21"/>
                      <w:szCs w:val="21"/>
                      <w:highlight w:val="none"/>
                    </w:rPr>
                    <w:t>（环大气〔2019〕56号）和《关于贯彻落实</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工业炉窑大气污染物综合治理方案</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的实施意见》（粤环函〔2019〕1112号），废气按照颗粒物、二氧化硫、氮氧化物排放限值分别不高于30、200、300毫克/立方米控制</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烟气黑度执行《工业炉窑大气污染物排放标准》（GB 9078-1996）</w:t>
                  </w:r>
                </w:p>
              </w:tc>
            </w:tr>
            <w:tr w14:paraId="08D19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9" w:type="pct"/>
                  <w:vMerge w:val="continue"/>
                  <w:vAlign w:val="center"/>
                </w:tcPr>
                <w:p w14:paraId="139B23FF">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14" w:type="pct"/>
                  <w:vAlign w:val="center"/>
                </w:tcPr>
                <w:p w14:paraId="61A62A9C">
                  <w:pPr>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厂区内</w:t>
                  </w:r>
                </w:p>
              </w:tc>
              <w:tc>
                <w:tcPr>
                  <w:tcW w:w="878" w:type="pct"/>
                  <w:vAlign w:val="center"/>
                </w:tcPr>
                <w:p w14:paraId="58EFC98B">
                  <w:pPr>
                    <w:keepNext w:val="0"/>
                    <w:keepLines w:val="0"/>
                    <w:pageBreakBefore w:val="0"/>
                    <w:widowControl/>
                    <w:suppressLineNumbers w:val="0"/>
                    <w:tabs>
                      <w:tab w:val="left" w:pos="-2848"/>
                    </w:tabs>
                    <w:kinsoku/>
                    <w:overflowPunct/>
                    <w:topLinePunct w:val="0"/>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2"/>
                      <w:sz w:val="21"/>
                      <w:szCs w:val="21"/>
                      <w:highlight w:val="none"/>
                      <w:lang w:val="en-US" w:eastAsia="zh-CN" w:bidi="ar-SA"/>
                    </w:rPr>
                    <w:t>非甲烷总烃</w:t>
                  </w:r>
                </w:p>
              </w:tc>
              <w:tc>
                <w:tcPr>
                  <w:tcW w:w="1361" w:type="pct"/>
                  <w:vAlign w:val="center"/>
                </w:tcPr>
                <w:p w14:paraId="2202496D">
                  <w:pPr>
                    <w:keepNext w:val="0"/>
                    <w:keepLines w:val="0"/>
                    <w:pageBreakBefore w:val="0"/>
                    <w:widowControl/>
                    <w:suppressLineNumbers w:val="0"/>
                    <w:tabs>
                      <w:tab w:val="left" w:pos="-2848"/>
                    </w:tabs>
                    <w:kinsoku/>
                    <w:overflowPunct/>
                    <w:topLinePunct w:val="0"/>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2"/>
                      <w:sz w:val="21"/>
                      <w:szCs w:val="21"/>
                      <w:highlight w:val="none"/>
                      <w:lang w:val="en-US" w:eastAsia="zh-CN" w:bidi="ar-SA"/>
                    </w:rPr>
                    <w:t>加强收集</w:t>
                  </w:r>
                </w:p>
              </w:tc>
              <w:tc>
                <w:tcPr>
                  <w:tcW w:w="1536" w:type="pct"/>
                  <w:vAlign w:val="center"/>
                </w:tcPr>
                <w:p w14:paraId="7321CAA3">
                  <w:pPr>
                    <w:keepNext w:val="0"/>
                    <w:keepLines w:val="0"/>
                    <w:pageBreakBefore w:val="0"/>
                    <w:widowControl/>
                    <w:suppressLineNumbers w:val="0"/>
                    <w:tabs>
                      <w:tab w:val="left" w:pos="-2848"/>
                    </w:tabs>
                    <w:kinsoku/>
                    <w:overflowPunct/>
                    <w:topLinePunct w:val="0"/>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rPr>
                  </w:pPr>
                  <w:r>
                    <w:rPr>
                      <w:color w:val="auto"/>
                      <w:sz w:val="21"/>
                      <w:szCs w:val="21"/>
                      <w:highlight w:val="none"/>
                    </w:rPr>
                    <w:t>广东省《固定污染源挥发性有机物综合排放标准》（DB44/2367-2022）中表3VOCs无组织排放限值</w:t>
                  </w:r>
                </w:p>
              </w:tc>
            </w:tr>
            <w:tr w14:paraId="7E99A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9" w:type="pct"/>
                  <w:vMerge w:val="continue"/>
                  <w:vAlign w:val="center"/>
                </w:tcPr>
                <w:p w14:paraId="6F53BE5D">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14" w:type="pct"/>
                  <w:vMerge w:val="restart"/>
                  <w:vAlign w:val="center"/>
                </w:tcPr>
                <w:p w14:paraId="6494AC1A">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rPr>
                    <w:t>厂界</w:t>
                  </w:r>
                </w:p>
              </w:tc>
              <w:tc>
                <w:tcPr>
                  <w:tcW w:w="878" w:type="pct"/>
                  <w:vAlign w:val="center"/>
                </w:tcPr>
                <w:p w14:paraId="4F73D20B">
                  <w:pPr>
                    <w:keepNext w:val="0"/>
                    <w:keepLines w:val="0"/>
                    <w:pageBreakBefore w:val="0"/>
                    <w:widowControl/>
                    <w:suppressLineNumbers w:val="0"/>
                    <w:tabs>
                      <w:tab w:val="left" w:pos="-2848"/>
                    </w:tabs>
                    <w:kinsoku/>
                    <w:overflowPunct/>
                    <w:topLinePunct w:val="0"/>
                    <w:bidi w:val="0"/>
                    <w:adjustRightInd w:val="0"/>
                    <w:snapToGrid/>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颗粒物</w:t>
                  </w:r>
                </w:p>
              </w:tc>
              <w:tc>
                <w:tcPr>
                  <w:tcW w:w="1361" w:type="pct"/>
                  <w:vAlign w:val="center"/>
                </w:tcPr>
                <w:p w14:paraId="1959E00E">
                  <w:pPr>
                    <w:keepNext w:val="0"/>
                    <w:keepLines w:val="0"/>
                    <w:pageBreakBefore w:val="0"/>
                    <w:widowControl/>
                    <w:suppressLineNumbers w:val="0"/>
                    <w:tabs>
                      <w:tab w:val="left" w:pos="-2848"/>
                    </w:tabs>
                    <w:kinsoku/>
                    <w:overflowPunct/>
                    <w:topLinePunct w:val="0"/>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喷粉线粉尘经“密闭车间负压收集+大旋风+滤芯式二级回收系统”处理后无组织排放，</w:t>
                  </w:r>
                  <w:r>
                    <w:rPr>
                      <w:rFonts w:hint="default" w:ascii="Times New Roman" w:hAnsi="Times New Roman" w:eastAsia="宋体" w:cs="Times New Roman"/>
                      <w:color w:val="auto"/>
                      <w:kern w:val="2"/>
                      <w:sz w:val="21"/>
                      <w:szCs w:val="21"/>
                      <w:highlight w:val="none"/>
                      <w:lang w:val="en-US" w:eastAsia="zh-CN" w:bidi="ar-SA"/>
                    </w:rPr>
                    <w:t>未被收集的切割粉尘、焊接烟尘、抛光打磨粉尘于车间内无组织排放，并加强厂内通风</w:t>
                  </w:r>
                </w:p>
              </w:tc>
              <w:tc>
                <w:tcPr>
                  <w:tcW w:w="1536" w:type="pct"/>
                  <w:vAlign w:val="center"/>
                </w:tcPr>
                <w:p w14:paraId="3300F580">
                  <w:pPr>
                    <w:keepNext w:val="0"/>
                    <w:keepLines w:val="0"/>
                    <w:pageBreakBefore w:val="0"/>
                    <w:widowControl/>
                    <w:suppressLineNumbers w:val="0"/>
                    <w:tabs>
                      <w:tab w:val="left" w:pos="-2848"/>
                    </w:tabs>
                    <w:kinsoku/>
                    <w:overflowPunct/>
                    <w:topLinePunct w:val="0"/>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广东省《大气污染物排放限值》（DB44/27-2001）第二时段无组织排放监控浓度限值</w:t>
                  </w:r>
                </w:p>
              </w:tc>
            </w:tr>
            <w:tr w14:paraId="64095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9" w:type="pct"/>
                  <w:vMerge w:val="continue"/>
                  <w:vAlign w:val="center"/>
                </w:tcPr>
                <w:p w14:paraId="5D817773">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14" w:type="pct"/>
                  <w:vMerge w:val="continue"/>
                  <w:vAlign w:val="center"/>
                </w:tcPr>
                <w:p w14:paraId="28A892B7">
                  <w:pPr>
                    <w:adjustRightInd w:val="0"/>
                    <w:snapToGrid w:val="0"/>
                    <w:jc w:val="center"/>
                    <w:rPr>
                      <w:rFonts w:hint="default" w:ascii="Times New Roman" w:hAnsi="Times New Roman" w:eastAsia="宋体" w:cs="Times New Roman"/>
                      <w:color w:val="auto"/>
                      <w:sz w:val="21"/>
                      <w:szCs w:val="21"/>
                      <w:highlight w:val="none"/>
                    </w:rPr>
                  </w:pPr>
                </w:p>
              </w:tc>
              <w:tc>
                <w:tcPr>
                  <w:tcW w:w="878" w:type="pct"/>
                  <w:vAlign w:val="center"/>
                </w:tcPr>
                <w:p w14:paraId="061F6C62">
                  <w:pPr>
                    <w:keepNext w:val="0"/>
                    <w:keepLines w:val="0"/>
                    <w:pageBreakBefore w:val="0"/>
                    <w:widowControl/>
                    <w:suppressLineNumbers w:val="0"/>
                    <w:tabs>
                      <w:tab w:val="left" w:pos="-2848"/>
                    </w:tabs>
                    <w:kinsoku/>
                    <w:overflowPunct/>
                    <w:topLinePunct w:val="0"/>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非甲烷总烃、</w:t>
                  </w:r>
                  <w:r>
                    <w:rPr>
                      <w:rFonts w:hint="eastAsia" w:ascii="Times New Roman" w:hAnsi="Times New Roman" w:eastAsia="宋体" w:cs="Times New Roman"/>
                      <w:color w:val="auto"/>
                      <w:kern w:val="2"/>
                      <w:sz w:val="21"/>
                      <w:szCs w:val="21"/>
                      <w:highlight w:val="none"/>
                      <w:lang w:val="en-US" w:eastAsia="zh-CN" w:bidi="ar-SA"/>
                    </w:rPr>
                    <w:t>苯系物</w:t>
                  </w:r>
                </w:p>
              </w:tc>
              <w:tc>
                <w:tcPr>
                  <w:tcW w:w="1361" w:type="pct"/>
                  <w:vAlign w:val="center"/>
                </w:tcPr>
                <w:p w14:paraId="7B6BAE67">
                  <w:pPr>
                    <w:keepNext w:val="0"/>
                    <w:keepLines w:val="0"/>
                    <w:pageBreakBefore w:val="0"/>
                    <w:widowControl/>
                    <w:suppressLineNumbers w:val="0"/>
                    <w:tabs>
                      <w:tab w:val="left" w:pos="-2848"/>
                    </w:tabs>
                    <w:kinsoku/>
                    <w:overflowPunct/>
                    <w:topLinePunct w:val="0"/>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加强收集</w:t>
                  </w:r>
                </w:p>
              </w:tc>
              <w:tc>
                <w:tcPr>
                  <w:tcW w:w="1536" w:type="pct"/>
                  <w:vAlign w:val="center"/>
                </w:tcPr>
                <w:p w14:paraId="408D9242">
                  <w:pPr>
                    <w:keepNext w:val="0"/>
                    <w:keepLines w:val="0"/>
                    <w:pageBreakBefore w:val="0"/>
                    <w:widowControl/>
                    <w:suppressLineNumbers w:val="0"/>
                    <w:tabs>
                      <w:tab w:val="left" w:pos="-2848"/>
                    </w:tabs>
                    <w:kinsoku/>
                    <w:overflowPunct/>
                    <w:topLinePunct w:val="0"/>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《印刷工业大气污染物排放标准》（GB41616-2022）</w:t>
                  </w:r>
                  <w:r>
                    <w:rPr>
                      <w:rFonts w:hint="eastAsia" w:cs="Times New Roman"/>
                      <w:color w:val="auto"/>
                      <w:sz w:val="21"/>
                      <w:szCs w:val="21"/>
                      <w:highlight w:val="none"/>
                      <w:lang w:val="en-US" w:eastAsia="zh-CN"/>
                    </w:rPr>
                    <w:t>表3无组织排放监控点浓度限值</w:t>
                  </w:r>
                </w:p>
              </w:tc>
            </w:tr>
            <w:tr w14:paraId="67CF3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9" w:type="pct"/>
                  <w:vMerge w:val="continue"/>
                  <w:vAlign w:val="center"/>
                </w:tcPr>
                <w:p w14:paraId="79C16873">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14" w:type="pct"/>
                  <w:vMerge w:val="continue"/>
                  <w:vAlign w:val="center"/>
                </w:tcPr>
                <w:p w14:paraId="5FD4E6B7">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878" w:type="pct"/>
                  <w:vAlign w:val="center"/>
                </w:tcPr>
                <w:p w14:paraId="2CA8729C">
                  <w:pPr>
                    <w:keepNext w:val="0"/>
                    <w:keepLines w:val="0"/>
                    <w:pageBreakBefore w:val="0"/>
                    <w:widowControl/>
                    <w:suppressLineNumbers w:val="0"/>
                    <w:tabs>
                      <w:tab w:val="left" w:pos="-2848"/>
                    </w:tabs>
                    <w:kinsoku/>
                    <w:overflowPunct/>
                    <w:topLinePunct w:val="0"/>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21"/>
                      <w:szCs w:val="21"/>
                      <w:highlight w:val="none"/>
                      <w:lang w:val="en-US" w:eastAsia="zh-CN" w:bidi="en-US"/>
                    </w:rPr>
                  </w:pPr>
                  <w:r>
                    <w:rPr>
                      <w:rFonts w:hint="default" w:ascii="Times New Roman" w:hAnsi="Times New Roman" w:eastAsia="宋体" w:cs="Times New Roman"/>
                      <w:color w:val="auto"/>
                      <w:kern w:val="2"/>
                      <w:sz w:val="21"/>
                      <w:szCs w:val="21"/>
                      <w:highlight w:val="none"/>
                      <w:lang w:val="en-US" w:eastAsia="zh-CN" w:bidi="ar-SA"/>
                    </w:rPr>
                    <w:t>臭气浓度、硫化氢、氨气</w:t>
                  </w:r>
                </w:p>
              </w:tc>
              <w:tc>
                <w:tcPr>
                  <w:tcW w:w="1361" w:type="pct"/>
                  <w:vAlign w:val="center"/>
                </w:tcPr>
                <w:p w14:paraId="783E5031">
                  <w:pPr>
                    <w:keepNext w:val="0"/>
                    <w:keepLines w:val="0"/>
                    <w:pageBreakBefore w:val="0"/>
                    <w:widowControl/>
                    <w:suppressLineNumbers w:val="0"/>
                    <w:tabs>
                      <w:tab w:val="left" w:pos="-2848"/>
                    </w:tabs>
                    <w:kinsoku/>
                    <w:overflowPunct/>
                    <w:topLinePunct w:val="0"/>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采取加盖密闭、加强通风</w:t>
                  </w:r>
                </w:p>
              </w:tc>
              <w:tc>
                <w:tcPr>
                  <w:tcW w:w="1536" w:type="pct"/>
                  <w:vAlign w:val="center"/>
                </w:tcPr>
                <w:p w14:paraId="0E0BFC53">
                  <w:pPr>
                    <w:keepNext w:val="0"/>
                    <w:keepLines w:val="0"/>
                    <w:pageBreakBefore w:val="0"/>
                    <w:widowControl/>
                    <w:suppressLineNumbers w:val="0"/>
                    <w:tabs>
                      <w:tab w:val="left" w:pos="-2848"/>
                    </w:tabs>
                    <w:kinsoku/>
                    <w:overflowPunct/>
                    <w:topLinePunct w:val="0"/>
                    <w:bidi w:val="0"/>
                    <w:adjustRightInd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《恶臭污染物排放标准》(GB14554-93)表1二级标准中“新改扩建”限值要求</w:t>
                  </w:r>
                </w:p>
              </w:tc>
            </w:tr>
            <w:tr w14:paraId="1509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9" w:type="pct"/>
                  <w:vMerge w:val="restart"/>
                  <w:vAlign w:val="center"/>
                </w:tcPr>
                <w:p w14:paraId="557B1019">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固废</w:t>
                  </w:r>
                </w:p>
              </w:tc>
              <w:tc>
                <w:tcPr>
                  <w:tcW w:w="914" w:type="pct"/>
                  <w:vAlign w:val="center"/>
                </w:tcPr>
                <w:p w14:paraId="7603C4AB">
                  <w:pPr>
                    <w:widowControl/>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员工生活办公</w:t>
                  </w:r>
                </w:p>
              </w:tc>
              <w:tc>
                <w:tcPr>
                  <w:tcW w:w="878" w:type="pct"/>
                  <w:tcBorders>
                    <w:bottom w:val="single" w:color="000000" w:sz="4" w:space="0"/>
                  </w:tcBorders>
                  <w:vAlign w:val="center"/>
                </w:tcPr>
                <w:p w14:paraId="0953914E">
                  <w:pPr>
                    <w:widowControl/>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1361" w:type="pct"/>
                  <w:tcBorders>
                    <w:bottom w:val="single" w:color="000000" w:sz="4" w:space="0"/>
                  </w:tcBorders>
                  <w:vAlign w:val="center"/>
                </w:tcPr>
                <w:p w14:paraId="606AE9BC">
                  <w:pPr>
                    <w:widowControl/>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环卫部门清运</w:t>
                  </w:r>
                </w:p>
              </w:tc>
              <w:tc>
                <w:tcPr>
                  <w:tcW w:w="1536" w:type="pct"/>
                  <w:vMerge w:val="restart"/>
                  <w:vAlign w:val="center"/>
                </w:tcPr>
                <w:p w14:paraId="23BB2BF8">
                  <w:pPr>
                    <w:widowControl/>
                    <w:kinsoku/>
                    <w:autoSpaceDE/>
                    <w:autoSpaceDN/>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一般工业固体废物在厂内采用库房或包装工具贮存，贮存过程应满足相应防渗漏、防雨淋、防扬尘等环境保护要求；危险废物污染控制标准执行《危险废物贮存污染控制标准》（GB18597-2023）</w:t>
                  </w:r>
                </w:p>
              </w:tc>
            </w:tr>
            <w:tr w14:paraId="058CB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9" w:type="pct"/>
                  <w:vMerge w:val="continue"/>
                  <w:vAlign w:val="center"/>
                </w:tcPr>
                <w:p w14:paraId="60287C4E">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14" w:type="pct"/>
                  <w:vAlign w:val="center"/>
                </w:tcPr>
                <w:p w14:paraId="7DE4FFF0">
                  <w:pPr>
                    <w:widowControl/>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钣金加工</w:t>
                  </w:r>
                </w:p>
              </w:tc>
              <w:tc>
                <w:tcPr>
                  <w:tcW w:w="878" w:type="pct"/>
                  <w:vAlign w:val="center"/>
                </w:tcPr>
                <w:p w14:paraId="0A48CF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边角料</w:t>
                  </w:r>
                </w:p>
              </w:tc>
              <w:tc>
                <w:tcPr>
                  <w:tcW w:w="1361" w:type="pct"/>
                  <w:vMerge w:val="restart"/>
                  <w:vAlign w:val="center"/>
                </w:tcPr>
                <w:p w14:paraId="5C91CE78">
                  <w:pPr>
                    <w:widowControl/>
                    <w:kinsoku/>
                    <w:autoSpaceDE/>
                    <w:autoSpaceDN/>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交由资源回收利用单位</w:t>
                  </w:r>
                </w:p>
              </w:tc>
              <w:tc>
                <w:tcPr>
                  <w:tcW w:w="1536" w:type="pct"/>
                  <w:vMerge w:val="continue"/>
                  <w:vAlign w:val="center"/>
                </w:tcPr>
                <w:p w14:paraId="1E6116DA">
                  <w:pPr>
                    <w:widowControl/>
                    <w:kinsoku/>
                    <w:autoSpaceDE/>
                    <w:autoSpaceDN/>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r>
            <w:tr w14:paraId="13DCC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9" w:type="pct"/>
                  <w:vMerge w:val="continue"/>
                  <w:vAlign w:val="center"/>
                </w:tcPr>
                <w:p w14:paraId="178CD056">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14" w:type="pct"/>
                  <w:vAlign w:val="center"/>
                </w:tcPr>
                <w:p w14:paraId="53A918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辅料拆包/成品包装</w:t>
                  </w:r>
                </w:p>
              </w:tc>
              <w:tc>
                <w:tcPr>
                  <w:tcW w:w="878" w:type="pct"/>
                  <w:vAlign w:val="center"/>
                </w:tcPr>
                <w:p w14:paraId="7961FE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包装废料</w:t>
                  </w:r>
                </w:p>
              </w:tc>
              <w:tc>
                <w:tcPr>
                  <w:tcW w:w="1361" w:type="pct"/>
                  <w:vMerge w:val="continue"/>
                  <w:vAlign w:val="center"/>
                </w:tcPr>
                <w:p w14:paraId="5C514003">
                  <w:pPr>
                    <w:widowControl/>
                    <w:kinsoku/>
                    <w:autoSpaceDE/>
                    <w:autoSpaceDN/>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1536" w:type="pct"/>
                  <w:vMerge w:val="continue"/>
                  <w:vAlign w:val="center"/>
                </w:tcPr>
                <w:p w14:paraId="164A5E13">
                  <w:pPr>
                    <w:widowControl/>
                    <w:kinsoku/>
                    <w:autoSpaceDE/>
                    <w:autoSpaceDN/>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r>
            <w:tr w14:paraId="2A68E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9" w:type="pct"/>
                  <w:vMerge w:val="continue"/>
                  <w:vAlign w:val="center"/>
                </w:tcPr>
                <w:p w14:paraId="111C40AC">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14" w:type="pct"/>
                  <w:vMerge w:val="restart"/>
                  <w:vAlign w:val="center"/>
                </w:tcPr>
                <w:p w14:paraId="410A6D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废气处理</w:t>
                  </w:r>
                </w:p>
              </w:tc>
              <w:tc>
                <w:tcPr>
                  <w:tcW w:w="878" w:type="pct"/>
                  <w:vAlign w:val="center"/>
                </w:tcPr>
                <w:p w14:paraId="4966F9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废布袋</w:t>
                  </w:r>
                </w:p>
              </w:tc>
              <w:tc>
                <w:tcPr>
                  <w:tcW w:w="1361" w:type="pct"/>
                  <w:vMerge w:val="continue"/>
                  <w:vAlign w:val="center"/>
                </w:tcPr>
                <w:p w14:paraId="3A5243C5">
                  <w:pPr>
                    <w:widowControl/>
                    <w:kinsoku/>
                    <w:autoSpaceDE/>
                    <w:autoSpaceDN/>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1536" w:type="pct"/>
                  <w:vMerge w:val="continue"/>
                  <w:vAlign w:val="center"/>
                </w:tcPr>
                <w:p w14:paraId="4C7492B6">
                  <w:pPr>
                    <w:widowControl/>
                    <w:kinsoku/>
                    <w:autoSpaceDE/>
                    <w:autoSpaceDN/>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r>
            <w:tr w14:paraId="031E8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9" w:type="pct"/>
                  <w:vMerge w:val="continue"/>
                  <w:vAlign w:val="center"/>
                </w:tcPr>
                <w:p w14:paraId="57217387">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14" w:type="pct"/>
                  <w:vMerge w:val="continue"/>
                  <w:vAlign w:val="center"/>
                </w:tcPr>
                <w:p w14:paraId="0BD50B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p>
              </w:tc>
              <w:tc>
                <w:tcPr>
                  <w:tcW w:w="878" w:type="pct"/>
                  <w:vAlign w:val="center"/>
                </w:tcPr>
                <w:p w14:paraId="402C35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沉降金属粉尘</w:t>
                  </w:r>
                  <w:r>
                    <w:rPr>
                      <w:rFonts w:hint="eastAsia" w:ascii="Times New Roman" w:hAnsi="Times New Roman" w:eastAsia="宋体" w:cs="Times New Roman"/>
                      <w:i w:val="0"/>
                      <w:iCs w:val="0"/>
                      <w:color w:val="auto"/>
                      <w:sz w:val="21"/>
                      <w:szCs w:val="21"/>
                      <w:highlight w:val="none"/>
                      <w:u w:val="none"/>
                      <w:lang w:val="en-US" w:eastAsia="zh-CN"/>
                    </w:rPr>
                    <w:t>、</w:t>
                  </w:r>
                  <w:r>
                    <w:rPr>
                      <w:rFonts w:hint="default" w:ascii="Times New Roman" w:hAnsi="Times New Roman" w:eastAsia="宋体" w:cs="Times New Roman"/>
                      <w:i w:val="0"/>
                      <w:iCs w:val="0"/>
                      <w:color w:val="auto"/>
                      <w:sz w:val="21"/>
                      <w:szCs w:val="21"/>
                      <w:highlight w:val="none"/>
                      <w:u w:val="none"/>
                      <w:lang w:val="en-US" w:eastAsia="zh-CN"/>
                    </w:rPr>
                    <w:t>除尘器收集粉尘</w:t>
                  </w:r>
                  <w:r>
                    <w:rPr>
                      <w:rFonts w:hint="eastAsia" w:ascii="Times New Roman" w:hAnsi="Times New Roman" w:eastAsia="宋体" w:cs="Times New Roman"/>
                      <w:i w:val="0"/>
                      <w:iCs w:val="0"/>
                      <w:color w:val="auto"/>
                      <w:sz w:val="21"/>
                      <w:szCs w:val="21"/>
                      <w:highlight w:val="none"/>
                      <w:u w:val="none"/>
                      <w:lang w:val="en-US" w:eastAsia="zh-CN"/>
                    </w:rPr>
                    <w:t>、废粉末涂料</w:t>
                  </w:r>
                </w:p>
              </w:tc>
              <w:tc>
                <w:tcPr>
                  <w:tcW w:w="1361" w:type="pct"/>
                  <w:vMerge w:val="continue"/>
                  <w:vAlign w:val="center"/>
                </w:tcPr>
                <w:p w14:paraId="78CD491F">
                  <w:pPr>
                    <w:widowControl/>
                    <w:kinsoku/>
                    <w:autoSpaceDE/>
                    <w:autoSpaceDN/>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1536" w:type="pct"/>
                  <w:vMerge w:val="continue"/>
                  <w:vAlign w:val="center"/>
                </w:tcPr>
                <w:p w14:paraId="116F7601">
                  <w:pPr>
                    <w:widowControl/>
                    <w:kinsoku/>
                    <w:autoSpaceDE/>
                    <w:autoSpaceDN/>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r>
            <w:tr w14:paraId="2D942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9" w:type="pct"/>
                  <w:vMerge w:val="continue"/>
                  <w:vAlign w:val="center"/>
                </w:tcPr>
                <w:p w14:paraId="2F0B7150">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14" w:type="pct"/>
                  <w:vMerge w:val="restart"/>
                  <w:vAlign w:val="center"/>
                </w:tcPr>
                <w:p w14:paraId="594264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脱脂、</w:t>
                  </w:r>
                  <w:r>
                    <w:rPr>
                      <w:rFonts w:hint="eastAsia" w:cs="Times New Roman"/>
                      <w:i w:val="0"/>
                      <w:iCs w:val="0"/>
                      <w:color w:val="auto"/>
                      <w:kern w:val="0"/>
                      <w:sz w:val="21"/>
                      <w:szCs w:val="21"/>
                      <w:highlight w:val="none"/>
                      <w:u w:val="none"/>
                      <w:lang w:val="en-US" w:eastAsia="zh-CN"/>
                    </w:rPr>
                    <w:t>表调、酸洗、</w:t>
                  </w:r>
                  <w:r>
                    <w:rPr>
                      <w:rFonts w:hint="default" w:ascii="Times New Roman" w:hAnsi="Times New Roman" w:eastAsia="宋体" w:cs="Times New Roman"/>
                      <w:i w:val="0"/>
                      <w:iCs w:val="0"/>
                      <w:color w:val="auto"/>
                      <w:kern w:val="0"/>
                      <w:sz w:val="21"/>
                      <w:szCs w:val="21"/>
                      <w:highlight w:val="none"/>
                      <w:u w:val="none"/>
                      <w:lang w:val="en-US" w:eastAsia="zh-CN"/>
                    </w:rPr>
                    <w:t>水洗、</w:t>
                  </w:r>
                  <w:r>
                    <w:rPr>
                      <w:rFonts w:hint="eastAsia" w:ascii="Times New Roman" w:hAnsi="Times New Roman" w:eastAsia="宋体" w:cs="Times New Roman"/>
                      <w:i w:val="0"/>
                      <w:iCs w:val="0"/>
                      <w:color w:val="auto"/>
                      <w:kern w:val="0"/>
                      <w:sz w:val="21"/>
                      <w:szCs w:val="21"/>
                      <w:highlight w:val="none"/>
                      <w:u w:val="none"/>
                      <w:lang w:val="en-US" w:eastAsia="zh-CN"/>
                    </w:rPr>
                    <w:t>网版清洗</w:t>
                  </w:r>
                </w:p>
              </w:tc>
              <w:tc>
                <w:tcPr>
                  <w:tcW w:w="878" w:type="pct"/>
                  <w:vAlign w:val="center"/>
                </w:tcPr>
                <w:p w14:paraId="442E7B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废包装桶</w:t>
                  </w:r>
                </w:p>
              </w:tc>
              <w:tc>
                <w:tcPr>
                  <w:tcW w:w="1361" w:type="pct"/>
                  <w:vMerge w:val="restart"/>
                  <w:vAlign w:val="center"/>
                </w:tcPr>
                <w:p w14:paraId="4A3B11DB">
                  <w:pPr>
                    <w:widowControl/>
                    <w:kinsoku/>
                    <w:autoSpaceDE/>
                    <w:autoSpaceDN/>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委托有资质的单位进行回收处理</w:t>
                  </w:r>
                </w:p>
              </w:tc>
              <w:tc>
                <w:tcPr>
                  <w:tcW w:w="1536" w:type="pct"/>
                  <w:vMerge w:val="continue"/>
                  <w:vAlign w:val="center"/>
                </w:tcPr>
                <w:p w14:paraId="5AD022F6">
                  <w:pPr>
                    <w:widowControl/>
                    <w:kinsoku/>
                    <w:autoSpaceDE/>
                    <w:autoSpaceDN/>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r>
            <w:tr w14:paraId="1A64A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9" w:type="pct"/>
                  <w:vMerge w:val="continue"/>
                  <w:vAlign w:val="center"/>
                </w:tcPr>
                <w:p w14:paraId="7D6BF052">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14" w:type="pct"/>
                  <w:vMerge w:val="continue"/>
                  <w:vAlign w:val="center"/>
                </w:tcPr>
                <w:p w14:paraId="52544A18">
                  <w:pPr>
                    <w:widowControl/>
                    <w:spacing w:line="240" w:lineRule="auto"/>
                    <w:jc w:val="center"/>
                    <w:rPr>
                      <w:rFonts w:hint="default" w:ascii="Times New Roman" w:hAnsi="Times New Roman" w:eastAsia="宋体" w:cs="Times New Roman"/>
                      <w:color w:val="auto"/>
                      <w:sz w:val="21"/>
                      <w:szCs w:val="21"/>
                      <w:highlight w:val="none"/>
                      <w:lang w:val="en-US" w:eastAsia="zh-CN"/>
                    </w:rPr>
                  </w:pPr>
                </w:p>
              </w:tc>
              <w:tc>
                <w:tcPr>
                  <w:tcW w:w="878" w:type="pct"/>
                  <w:vAlign w:val="center"/>
                </w:tcPr>
                <w:p w14:paraId="01BBD2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eastAsia" w:cs="Times New Roman"/>
                      <w:i w:val="0"/>
                      <w:iCs w:val="0"/>
                      <w:color w:val="auto"/>
                      <w:kern w:val="0"/>
                      <w:sz w:val="21"/>
                      <w:szCs w:val="21"/>
                      <w:highlight w:val="none"/>
                      <w:u w:val="none"/>
                      <w:lang w:val="en-US" w:eastAsia="zh-CN"/>
                    </w:rPr>
                    <w:t>水性漆喷枪清洗废水、网版清洗废液</w:t>
                  </w:r>
                </w:p>
              </w:tc>
              <w:tc>
                <w:tcPr>
                  <w:tcW w:w="1361" w:type="pct"/>
                  <w:vMerge w:val="continue"/>
                  <w:vAlign w:val="center"/>
                </w:tcPr>
                <w:p w14:paraId="7E4A2E23">
                  <w:pPr>
                    <w:widowControl/>
                    <w:kinsoku/>
                    <w:autoSpaceDE/>
                    <w:autoSpaceDN/>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1536" w:type="pct"/>
                  <w:vMerge w:val="continue"/>
                  <w:vAlign w:val="center"/>
                </w:tcPr>
                <w:p w14:paraId="08BC4D45">
                  <w:pPr>
                    <w:widowControl/>
                    <w:kinsoku/>
                    <w:autoSpaceDE/>
                    <w:autoSpaceDN/>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r>
            <w:tr w14:paraId="3D99D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9" w:type="pct"/>
                  <w:vMerge w:val="continue"/>
                  <w:vAlign w:val="center"/>
                </w:tcPr>
                <w:p w14:paraId="40DA70EA">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14" w:type="pct"/>
                  <w:vMerge w:val="restart"/>
                  <w:vAlign w:val="center"/>
                </w:tcPr>
                <w:p w14:paraId="113804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废水处理设施</w:t>
                  </w:r>
                </w:p>
              </w:tc>
              <w:tc>
                <w:tcPr>
                  <w:tcW w:w="878" w:type="pct"/>
                  <w:vAlign w:val="center"/>
                </w:tcPr>
                <w:p w14:paraId="3D7369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废水处理站污泥</w:t>
                  </w:r>
                </w:p>
              </w:tc>
              <w:tc>
                <w:tcPr>
                  <w:tcW w:w="1361" w:type="pct"/>
                  <w:vMerge w:val="continue"/>
                  <w:vAlign w:val="center"/>
                </w:tcPr>
                <w:p w14:paraId="2F7B7641">
                  <w:pPr>
                    <w:widowControl/>
                    <w:kinsoku/>
                    <w:autoSpaceDE/>
                    <w:autoSpaceDN/>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1536" w:type="pct"/>
                  <w:vMerge w:val="continue"/>
                  <w:vAlign w:val="center"/>
                </w:tcPr>
                <w:p w14:paraId="3E43C2C3">
                  <w:pPr>
                    <w:widowControl/>
                    <w:kinsoku/>
                    <w:autoSpaceDE/>
                    <w:autoSpaceDN/>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r>
            <w:tr w14:paraId="4CEC7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9" w:type="pct"/>
                  <w:vMerge w:val="continue"/>
                  <w:vAlign w:val="center"/>
                </w:tcPr>
                <w:p w14:paraId="114DA664">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14" w:type="pct"/>
                  <w:vMerge w:val="continue"/>
                  <w:vAlign w:val="center"/>
                </w:tcPr>
                <w:p w14:paraId="2CD830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p>
              </w:tc>
              <w:tc>
                <w:tcPr>
                  <w:tcW w:w="878" w:type="pct"/>
                  <w:vAlign w:val="center"/>
                </w:tcPr>
                <w:p w14:paraId="24CB2B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废包装桶</w:t>
                  </w:r>
                  <w:r>
                    <w:rPr>
                      <w:rFonts w:hint="eastAsia" w:cs="Times New Roman"/>
                      <w:i w:val="0"/>
                      <w:iCs w:val="0"/>
                      <w:color w:val="auto"/>
                      <w:kern w:val="0"/>
                      <w:sz w:val="21"/>
                      <w:szCs w:val="21"/>
                      <w:highlight w:val="none"/>
                      <w:u w:val="none"/>
                      <w:lang w:val="en-US" w:eastAsia="zh-CN"/>
                    </w:rPr>
                    <w:t>、废MBR膜</w:t>
                  </w:r>
                </w:p>
              </w:tc>
              <w:tc>
                <w:tcPr>
                  <w:tcW w:w="1361" w:type="pct"/>
                  <w:vMerge w:val="continue"/>
                  <w:vAlign w:val="center"/>
                </w:tcPr>
                <w:p w14:paraId="69867AF3">
                  <w:pPr>
                    <w:widowControl/>
                    <w:kinsoku/>
                    <w:autoSpaceDE/>
                    <w:autoSpaceDN/>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1536" w:type="pct"/>
                  <w:vMerge w:val="continue"/>
                  <w:vAlign w:val="center"/>
                </w:tcPr>
                <w:p w14:paraId="7B508187">
                  <w:pPr>
                    <w:widowControl/>
                    <w:kinsoku/>
                    <w:autoSpaceDE/>
                    <w:autoSpaceDN/>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r>
            <w:tr w14:paraId="2DB28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9" w:type="pct"/>
                  <w:vMerge w:val="continue"/>
                  <w:vAlign w:val="center"/>
                </w:tcPr>
                <w:p w14:paraId="3A31B459">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14" w:type="pct"/>
                  <w:vMerge w:val="restart"/>
                  <w:shd w:val="clear" w:color="auto" w:fill="auto"/>
                  <w:vAlign w:val="center"/>
                </w:tcPr>
                <w:p w14:paraId="7D33F13A">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rPr>
                    <w:t>废</w:t>
                  </w:r>
                  <w:r>
                    <w:rPr>
                      <w:rFonts w:hint="eastAsia" w:ascii="Times New Roman" w:hAnsi="Times New Roman" w:eastAsia="宋体" w:cs="Times New Roman"/>
                      <w:i w:val="0"/>
                      <w:iCs w:val="0"/>
                      <w:color w:val="auto"/>
                      <w:kern w:val="0"/>
                      <w:sz w:val="21"/>
                      <w:szCs w:val="21"/>
                      <w:highlight w:val="none"/>
                      <w:u w:val="none"/>
                      <w:lang w:val="en-US" w:eastAsia="zh-CN"/>
                    </w:rPr>
                    <w:t>气</w:t>
                  </w:r>
                  <w:r>
                    <w:rPr>
                      <w:rFonts w:hint="default" w:ascii="Times New Roman" w:hAnsi="Times New Roman" w:eastAsia="宋体" w:cs="Times New Roman"/>
                      <w:i w:val="0"/>
                      <w:iCs w:val="0"/>
                      <w:color w:val="auto"/>
                      <w:kern w:val="0"/>
                      <w:sz w:val="21"/>
                      <w:szCs w:val="21"/>
                      <w:highlight w:val="none"/>
                      <w:u w:val="none"/>
                      <w:lang w:val="en-US" w:eastAsia="zh-CN"/>
                    </w:rPr>
                    <w:t>处理设施</w:t>
                  </w:r>
                </w:p>
              </w:tc>
              <w:tc>
                <w:tcPr>
                  <w:tcW w:w="878" w:type="pct"/>
                  <w:vAlign w:val="center"/>
                </w:tcPr>
                <w:p w14:paraId="43C53F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废空心球</w:t>
                  </w:r>
                  <w:r>
                    <w:rPr>
                      <w:rFonts w:hint="eastAsia" w:ascii="Times New Roman" w:hAnsi="Times New Roman" w:eastAsia="宋体"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废过滤棉</w:t>
                  </w:r>
                  <w:r>
                    <w:rPr>
                      <w:rFonts w:hint="eastAsia" w:ascii="Times New Roman" w:hAnsi="Times New Roman" w:eastAsia="宋体"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废活性炭</w:t>
                  </w:r>
                  <w:r>
                    <w:rPr>
                      <w:rFonts w:hint="eastAsia" w:ascii="Times New Roman" w:hAnsi="Times New Roman" w:eastAsia="宋体" w:cs="Times New Roman"/>
                      <w:i w:val="0"/>
                      <w:iCs w:val="0"/>
                      <w:color w:val="auto"/>
                      <w:kern w:val="0"/>
                      <w:sz w:val="21"/>
                      <w:szCs w:val="21"/>
                      <w:highlight w:val="none"/>
                      <w:u w:val="none"/>
                      <w:lang w:val="en-US" w:eastAsia="zh-CN"/>
                    </w:rPr>
                    <w:t>、</w:t>
                  </w:r>
                  <w:r>
                    <w:rPr>
                      <w:rFonts w:hint="eastAsia" w:cs="Times New Roman"/>
                      <w:i w:val="0"/>
                      <w:iCs w:val="0"/>
                      <w:color w:val="auto"/>
                      <w:kern w:val="0"/>
                      <w:sz w:val="21"/>
                      <w:szCs w:val="21"/>
                      <w:highlight w:val="none"/>
                      <w:u w:val="none"/>
                      <w:lang w:val="en-US" w:eastAsia="zh-CN"/>
                    </w:rPr>
                    <w:t>废静电喷粉滤芯</w:t>
                  </w:r>
                </w:p>
              </w:tc>
              <w:tc>
                <w:tcPr>
                  <w:tcW w:w="1361" w:type="pct"/>
                  <w:vMerge w:val="continue"/>
                  <w:vAlign w:val="center"/>
                </w:tcPr>
                <w:p w14:paraId="3BC6F86F">
                  <w:pPr>
                    <w:widowControl/>
                    <w:kinsoku/>
                    <w:autoSpaceDE/>
                    <w:autoSpaceDN/>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1536" w:type="pct"/>
                  <w:vMerge w:val="continue"/>
                  <w:vAlign w:val="center"/>
                </w:tcPr>
                <w:p w14:paraId="2EBE2A95">
                  <w:pPr>
                    <w:widowControl/>
                    <w:kinsoku/>
                    <w:autoSpaceDE/>
                    <w:autoSpaceDN/>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r>
            <w:tr w14:paraId="093CC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9" w:type="pct"/>
                  <w:vMerge w:val="continue"/>
                  <w:vAlign w:val="center"/>
                </w:tcPr>
                <w:p w14:paraId="0C754A24">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14" w:type="pct"/>
                  <w:vMerge w:val="continue"/>
                  <w:shd w:val="clear" w:color="auto" w:fill="auto"/>
                  <w:vAlign w:val="center"/>
                </w:tcPr>
                <w:p w14:paraId="0FFC4138">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10"/>
                      <w:sz w:val="21"/>
                      <w:szCs w:val="21"/>
                      <w:highlight w:val="none"/>
                      <w:lang w:val="en-US" w:eastAsia="zh-CN" w:bidi="ar-SA"/>
                    </w:rPr>
                  </w:pPr>
                </w:p>
              </w:tc>
              <w:tc>
                <w:tcPr>
                  <w:tcW w:w="878" w:type="pct"/>
                  <w:vAlign w:val="center"/>
                </w:tcPr>
                <w:p w14:paraId="3E52CB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喷枪清洗废液</w:t>
                  </w:r>
                </w:p>
              </w:tc>
              <w:tc>
                <w:tcPr>
                  <w:tcW w:w="1361" w:type="pct"/>
                  <w:vMerge w:val="continue"/>
                  <w:vAlign w:val="center"/>
                </w:tcPr>
                <w:p w14:paraId="334AE882">
                  <w:pPr>
                    <w:widowControl/>
                    <w:kinsoku/>
                    <w:autoSpaceDE/>
                    <w:autoSpaceDN/>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1536" w:type="pct"/>
                  <w:vMerge w:val="continue"/>
                  <w:vAlign w:val="center"/>
                </w:tcPr>
                <w:p w14:paraId="02CCFCA4">
                  <w:pPr>
                    <w:widowControl/>
                    <w:kinsoku/>
                    <w:autoSpaceDE/>
                    <w:autoSpaceDN/>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r>
            <w:tr w14:paraId="366EA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9" w:type="pct"/>
                  <w:vMerge w:val="continue"/>
                  <w:vAlign w:val="center"/>
                </w:tcPr>
                <w:p w14:paraId="08F5647D">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14" w:type="pct"/>
                  <w:vMerge w:val="restart"/>
                  <w:vAlign w:val="center"/>
                </w:tcPr>
                <w:p w14:paraId="4159D7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设备维护保养</w:t>
                  </w:r>
                  <w:r>
                    <w:rPr>
                      <w:rFonts w:hint="default" w:ascii="Times New Roman" w:hAnsi="Times New Roman" w:eastAsia="宋体" w:cs="Times New Roman"/>
                      <w:i w:val="0"/>
                      <w:iCs w:val="0"/>
                      <w:color w:val="auto"/>
                      <w:kern w:val="0"/>
                      <w:sz w:val="21"/>
                      <w:szCs w:val="21"/>
                      <w:highlight w:val="none"/>
                      <w:u w:val="none"/>
                      <w:lang w:val="en-US" w:eastAsia="zh-CN"/>
                    </w:rPr>
                    <w:t>设备保养</w:t>
                  </w:r>
                </w:p>
              </w:tc>
              <w:tc>
                <w:tcPr>
                  <w:tcW w:w="878" w:type="pct"/>
                  <w:vAlign w:val="center"/>
                </w:tcPr>
                <w:p w14:paraId="44C84A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废机油桶</w:t>
                  </w:r>
                </w:p>
              </w:tc>
              <w:tc>
                <w:tcPr>
                  <w:tcW w:w="1361" w:type="pct"/>
                  <w:vMerge w:val="continue"/>
                  <w:vAlign w:val="center"/>
                </w:tcPr>
                <w:p w14:paraId="5A182CB2">
                  <w:pPr>
                    <w:widowControl/>
                    <w:kinsoku/>
                    <w:autoSpaceDE/>
                    <w:autoSpaceDN/>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1536" w:type="pct"/>
                  <w:vMerge w:val="continue"/>
                  <w:vAlign w:val="center"/>
                </w:tcPr>
                <w:p w14:paraId="3D339DEA">
                  <w:pPr>
                    <w:widowControl/>
                    <w:kinsoku/>
                    <w:autoSpaceDE/>
                    <w:autoSpaceDN/>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r>
            <w:tr w14:paraId="3A0BA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9" w:type="pct"/>
                  <w:vMerge w:val="continue"/>
                  <w:vAlign w:val="center"/>
                </w:tcPr>
                <w:p w14:paraId="05316D58">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14" w:type="pct"/>
                  <w:vMerge w:val="continue"/>
                  <w:vAlign w:val="center"/>
                </w:tcPr>
                <w:p w14:paraId="59476DF8">
                  <w:pPr>
                    <w:widowControl/>
                    <w:spacing w:line="240" w:lineRule="auto"/>
                    <w:jc w:val="center"/>
                    <w:rPr>
                      <w:rFonts w:hint="default" w:ascii="Times New Roman" w:hAnsi="Times New Roman" w:eastAsia="宋体" w:cs="Times New Roman"/>
                      <w:color w:val="auto"/>
                      <w:sz w:val="21"/>
                      <w:szCs w:val="21"/>
                      <w:highlight w:val="none"/>
                      <w:lang w:val="en-US" w:eastAsia="zh-CN"/>
                    </w:rPr>
                  </w:pPr>
                </w:p>
              </w:tc>
              <w:tc>
                <w:tcPr>
                  <w:tcW w:w="878" w:type="pct"/>
                  <w:vAlign w:val="center"/>
                </w:tcPr>
                <w:p w14:paraId="5E16D5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废机油</w:t>
                  </w:r>
                </w:p>
              </w:tc>
              <w:tc>
                <w:tcPr>
                  <w:tcW w:w="1361" w:type="pct"/>
                  <w:vMerge w:val="continue"/>
                  <w:vAlign w:val="center"/>
                </w:tcPr>
                <w:p w14:paraId="0A223845">
                  <w:pPr>
                    <w:widowControl/>
                    <w:kinsoku/>
                    <w:autoSpaceDE/>
                    <w:autoSpaceDN/>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1536" w:type="pct"/>
                  <w:vMerge w:val="continue"/>
                  <w:vAlign w:val="center"/>
                </w:tcPr>
                <w:p w14:paraId="49DA73C9">
                  <w:pPr>
                    <w:widowControl/>
                    <w:kinsoku/>
                    <w:autoSpaceDE/>
                    <w:autoSpaceDN/>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r>
            <w:tr w14:paraId="42E57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9" w:type="pct"/>
                  <w:vMerge w:val="continue"/>
                  <w:vAlign w:val="center"/>
                </w:tcPr>
                <w:p w14:paraId="70954C9B">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14" w:type="pct"/>
                  <w:vMerge w:val="continue"/>
                  <w:vAlign w:val="center"/>
                </w:tcPr>
                <w:p w14:paraId="600827CB">
                  <w:pPr>
                    <w:widowControl/>
                    <w:spacing w:line="240" w:lineRule="auto"/>
                    <w:jc w:val="center"/>
                    <w:rPr>
                      <w:rFonts w:hint="default" w:ascii="Times New Roman" w:hAnsi="Times New Roman" w:eastAsia="宋体" w:cs="Times New Roman"/>
                      <w:color w:val="auto"/>
                      <w:sz w:val="21"/>
                      <w:szCs w:val="21"/>
                      <w:highlight w:val="none"/>
                      <w:lang w:val="en-US" w:eastAsia="zh-CN"/>
                    </w:rPr>
                  </w:pPr>
                </w:p>
              </w:tc>
              <w:tc>
                <w:tcPr>
                  <w:tcW w:w="878" w:type="pct"/>
                  <w:vAlign w:val="center"/>
                </w:tcPr>
                <w:p w14:paraId="29AD3D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废含油抹布手套</w:t>
                  </w:r>
                </w:p>
              </w:tc>
              <w:tc>
                <w:tcPr>
                  <w:tcW w:w="1361" w:type="pct"/>
                  <w:vMerge w:val="continue"/>
                  <w:vAlign w:val="center"/>
                </w:tcPr>
                <w:p w14:paraId="3927D464">
                  <w:pPr>
                    <w:widowControl/>
                    <w:kinsoku/>
                    <w:autoSpaceDE/>
                    <w:autoSpaceDN/>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1536" w:type="pct"/>
                  <w:vMerge w:val="continue"/>
                  <w:vAlign w:val="center"/>
                </w:tcPr>
                <w:p w14:paraId="11DD2EB1">
                  <w:pPr>
                    <w:widowControl/>
                    <w:kinsoku/>
                    <w:autoSpaceDE/>
                    <w:autoSpaceDN/>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r>
            <w:tr w14:paraId="3029B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9" w:type="pct"/>
                  <w:vMerge w:val="continue"/>
                  <w:vAlign w:val="center"/>
                </w:tcPr>
                <w:p w14:paraId="1A7823E1">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14" w:type="pct"/>
                  <w:vMerge w:val="restart"/>
                  <w:vAlign w:val="center"/>
                </w:tcPr>
                <w:p w14:paraId="35BD64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rPr>
                    <w:t>钣金成型</w:t>
                  </w:r>
                </w:p>
              </w:tc>
              <w:tc>
                <w:tcPr>
                  <w:tcW w:w="878" w:type="pct"/>
                  <w:vAlign w:val="center"/>
                </w:tcPr>
                <w:p w14:paraId="615FBC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废液压油桶</w:t>
                  </w:r>
                </w:p>
              </w:tc>
              <w:tc>
                <w:tcPr>
                  <w:tcW w:w="1361" w:type="pct"/>
                  <w:vMerge w:val="continue"/>
                  <w:vAlign w:val="center"/>
                </w:tcPr>
                <w:p w14:paraId="00124581">
                  <w:pPr>
                    <w:widowControl/>
                    <w:kinsoku/>
                    <w:autoSpaceDE/>
                    <w:autoSpaceDN/>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1536" w:type="pct"/>
                  <w:vMerge w:val="continue"/>
                  <w:vAlign w:val="center"/>
                </w:tcPr>
                <w:p w14:paraId="153B209E">
                  <w:pPr>
                    <w:widowControl/>
                    <w:kinsoku/>
                    <w:autoSpaceDE/>
                    <w:autoSpaceDN/>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r>
            <w:tr w14:paraId="5E252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9" w:type="pct"/>
                  <w:vMerge w:val="continue"/>
                  <w:vAlign w:val="center"/>
                </w:tcPr>
                <w:p w14:paraId="74EE82EB">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14" w:type="pct"/>
                  <w:vMerge w:val="continue"/>
                  <w:vAlign w:val="center"/>
                </w:tcPr>
                <w:p w14:paraId="027411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p>
              </w:tc>
              <w:tc>
                <w:tcPr>
                  <w:tcW w:w="878" w:type="pct"/>
                  <w:vAlign w:val="center"/>
                </w:tcPr>
                <w:p w14:paraId="709A75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废液压油</w:t>
                  </w:r>
                </w:p>
              </w:tc>
              <w:tc>
                <w:tcPr>
                  <w:tcW w:w="1361" w:type="pct"/>
                  <w:vMerge w:val="continue"/>
                  <w:vAlign w:val="center"/>
                </w:tcPr>
                <w:p w14:paraId="36B256EF">
                  <w:pPr>
                    <w:widowControl/>
                    <w:kinsoku/>
                    <w:autoSpaceDE/>
                    <w:autoSpaceDN/>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c>
                <w:tcPr>
                  <w:tcW w:w="1536" w:type="pct"/>
                  <w:vMerge w:val="continue"/>
                  <w:vAlign w:val="center"/>
                </w:tcPr>
                <w:p w14:paraId="1D526530">
                  <w:pPr>
                    <w:widowControl/>
                    <w:kinsoku/>
                    <w:autoSpaceDE/>
                    <w:autoSpaceDN/>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p>
              </w:tc>
            </w:tr>
            <w:tr w14:paraId="1EDB2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09" w:type="pct"/>
                  <w:vAlign w:val="center"/>
                </w:tcPr>
                <w:p w14:paraId="15A4AB85">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噪声</w:t>
                  </w:r>
                </w:p>
              </w:tc>
              <w:tc>
                <w:tcPr>
                  <w:tcW w:w="1792" w:type="pct"/>
                  <w:gridSpan w:val="2"/>
                  <w:vAlign w:val="center"/>
                </w:tcPr>
                <w:p w14:paraId="68D0BA58">
                  <w:pPr>
                    <w:widowControl/>
                    <w:kinsoku/>
                    <w:autoSpaceDE/>
                    <w:autoSpaceDN/>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设备运行噪声</w:t>
                  </w:r>
                </w:p>
              </w:tc>
              <w:tc>
                <w:tcPr>
                  <w:tcW w:w="1361" w:type="pct"/>
                  <w:vAlign w:val="center"/>
                </w:tcPr>
                <w:p w14:paraId="10F90326">
                  <w:pPr>
                    <w:widowControl/>
                    <w:kinsoku/>
                    <w:autoSpaceDE/>
                    <w:autoSpaceDN/>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对必要设备采取减振、隔声等</w:t>
                  </w:r>
                </w:p>
              </w:tc>
              <w:tc>
                <w:tcPr>
                  <w:tcW w:w="1536" w:type="pct"/>
                  <w:vAlign w:val="center"/>
                </w:tcPr>
                <w:p w14:paraId="79276547">
                  <w:pPr>
                    <w:widowControl/>
                    <w:kinsoku/>
                    <w:autoSpaceDE/>
                    <w:autoSpaceDN/>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厂界</w:t>
                  </w:r>
                  <w:r>
                    <w:rPr>
                      <w:rFonts w:hint="default" w:ascii="Times New Roman" w:hAnsi="Times New Roman" w:eastAsia="宋体" w:cs="Times New Roman"/>
                      <w:color w:val="auto"/>
                      <w:sz w:val="21"/>
                      <w:szCs w:val="21"/>
                      <w:highlight w:val="none"/>
                      <w:lang w:val="en-US" w:eastAsia="zh-CN"/>
                    </w:rPr>
                    <w:t>噪声执行《工业企业厂界环境噪声排放标准》（GB12348-2008）3类</w:t>
                  </w:r>
                </w:p>
              </w:tc>
            </w:tr>
          </w:tbl>
          <w:p w14:paraId="52DEB4AC">
            <w:pPr>
              <w:keepNext/>
              <w:keepLines/>
              <w:pageBreakBefore w:val="0"/>
              <w:tabs>
                <w:tab w:val="left" w:pos="0"/>
              </w:tabs>
              <w:wordWrap w:val="0"/>
              <w:overflowPunct/>
              <w:bidi w:val="0"/>
              <w:ind w:firstLine="480" w:firstLineChars="200"/>
              <w:outlineLvl w:val="2"/>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八、电磁辐射环境</w:t>
            </w:r>
          </w:p>
          <w:p w14:paraId="21A8F443">
            <w:pPr>
              <w:pageBreakBefore w:val="0"/>
              <w:wordWrap w:val="0"/>
              <w:overflowPunct/>
              <w:bidi w:val="0"/>
              <w:ind w:firstLine="480" w:firstLineChars="200"/>
              <w:rPr>
                <w:rFonts w:hint="default" w:ascii="Times New Roman" w:hAnsi="Times New Roman" w:cs="Times New Roman"/>
                <w:color w:val="auto"/>
                <w:highlight w:val="none"/>
              </w:rPr>
            </w:pPr>
            <w:r>
              <w:rPr>
                <w:rFonts w:hint="default" w:ascii="Times New Roman" w:hAnsi="Times New Roman" w:eastAsia="宋体" w:cs="Times New Roman"/>
                <w:color w:val="auto"/>
                <w:kern w:val="2"/>
                <w:sz w:val="24"/>
                <w:szCs w:val="24"/>
                <w:highlight w:val="none"/>
                <w:lang w:val="en-US" w:eastAsia="zh-CN" w:bidi="ar-SA"/>
              </w:rPr>
              <w:t>本项目不存在电磁辐射影响。</w:t>
            </w:r>
          </w:p>
        </w:tc>
      </w:tr>
    </w:tbl>
    <w:p w14:paraId="2999FE70">
      <w:pPr>
        <w:pageBreakBefore w:val="0"/>
        <w:wordWrap w:val="0"/>
        <w:overflowPunct/>
        <w:bidi w:val="0"/>
        <w:rPr>
          <w:rFonts w:hint="default" w:ascii="Times New Roman" w:hAnsi="Times New Roman" w:cs="Times New Roman"/>
          <w:color w:val="auto"/>
          <w:highlight w:val="none"/>
        </w:rPr>
        <w:sectPr>
          <w:pgSz w:w="11906" w:h="16838"/>
          <w:pgMar w:top="1440" w:right="1417" w:bottom="1440" w:left="1417" w:header="851" w:footer="680" w:gutter="0"/>
          <w:pgBorders>
            <w:top w:val="none" w:sz="0" w:space="0"/>
            <w:left w:val="none" w:sz="0" w:space="0"/>
            <w:bottom w:val="none" w:sz="0" w:space="0"/>
            <w:right w:val="none" w:sz="0" w:space="0"/>
          </w:pgBorders>
          <w:pgNumType w:fmt="decimal"/>
          <w:cols w:space="720" w:num="1"/>
          <w:docGrid w:type="linesAndChars" w:linePitch="312" w:charSpace="0"/>
        </w:sectPr>
      </w:pPr>
    </w:p>
    <w:p w14:paraId="19F1E3D3">
      <w:pPr>
        <w:pStyle w:val="7"/>
        <w:pageBreakBefore w:val="0"/>
        <w:numPr>
          <w:ilvl w:val="0"/>
          <w:numId w:val="0"/>
        </w:numPr>
        <w:wordWrap w:val="0"/>
        <w:overflowPunct/>
        <w:bidi w:val="0"/>
        <w:rPr>
          <w:rFonts w:hint="default" w:ascii="Times New Roman" w:hAnsi="Times New Roman" w:cs="Times New Roman"/>
          <w:color w:val="auto"/>
          <w:highlight w:val="none"/>
        </w:rPr>
      </w:pPr>
      <w:bookmarkStart w:id="135" w:name="_Toc27433"/>
      <w:bookmarkStart w:id="136" w:name="_Toc6745"/>
      <w:r>
        <w:rPr>
          <w:rFonts w:hint="default" w:ascii="Times New Roman" w:hAnsi="Times New Roman" w:cs="Times New Roman"/>
          <w:color w:val="auto"/>
          <w:highlight w:val="none"/>
        </w:rPr>
        <w:t>五、环境保护措施监督检查清单</w:t>
      </w:r>
      <w:bookmarkEnd w:id="132"/>
      <w:bookmarkEnd w:id="135"/>
      <w:bookmarkEnd w:id="136"/>
    </w:p>
    <w:tbl>
      <w:tblPr>
        <w:tblStyle w:val="43"/>
        <w:tblW w:w="935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1800"/>
        <w:gridCol w:w="1550"/>
        <w:gridCol w:w="1800"/>
        <w:gridCol w:w="3098"/>
      </w:tblGrid>
      <w:tr w14:paraId="4E1F6A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tcBorders>
              <w:tl2br w:val="single" w:color="auto" w:sz="4" w:space="0"/>
            </w:tcBorders>
          </w:tcPr>
          <w:p w14:paraId="4747EFC8">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textAlignment w:val="auto"/>
              <w:rPr>
                <w:rFonts w:hint="default" w:ascii="Times New Roman" w:hAnsi="Times New Roman" w:cs="Times New Roman"/>
                <w:b/>
                <w:color w:val="auto"/>
                <w:sz w:val="21"/>
                <w:szCs w:val="21"/>
                <w:highlight w:val="none"/>
              </w:rPr>
            </w:pPr>
            <w:bookmarkStart w:id="137" w:name="_Toc15960"/>
            <w:r>
              <w:rPr>
                <w:rFonts w:hint="default" w:ascii="Times New Roman" w:hAnsi="Times New Roman" w:cs="Times New Roman"/>
                <w:b/>
                <w:color w:val="auto"/>
                <w:sz w:val="21"/>
                <w:szCs w:val="21"/>
                <w:highlight w:val="none"/>
              </w:rPr>
              <w:t>内容</w:t>
            </w:r>
          </w:p>
          <w:p w14:paraId="4ACF35E8">
            <w:pPr>
              <w:keepNext w:val="0"/>
              <w:keepLines w:val="0"/>
              <w:pageBreakBefore w:val="0"/>
              <w:widowControl w:val="0"/>
              <w:kinsoku/>
              <w:wordWrap w:val="0"/>
              <w:overflowPunct/>
              <w:topLinePunct w:val="0"/>
              <w:autoSpaceDE/>
              <w:autoSpaceDN/>
              <w:bidi w:val="0"/>
              <w:adjustRightInd w:val="0"/>
              <w:snapToGrid w:val="0"/>
              <w:spacing w:line="240" w:lineRule="auto"/>
              <w:textAlignment w:val="auto"/>
              <w:rPr>
                <w:rFonts w:hint="default" w:ascii="Times New Roman" w:hAnsi="Times New Roman" w:cs="Times New Roman"/>
                <w:b/>
                <w:color w:val="auto"/>
                <w:sz w:val="21"/>
                <w:szCs w:val="21"/>
                <w:highlight w:val="none"/>
              </w:rPr>
            </w:pPr>
          </w:p>
          <w:p w14:paraId="2C5BAA52">
            <w:pPr>
              <w:keepNext w:val="0"/>
              <w:keepLines w:val="0"/>
              <w:pageBreakBefore w:val="0"/>
              <w:widowControl w:val="0"/>
              <w:kinsoku/>
              <w:wordWrap w:val="0"/>
              <w:overflowPunct/>
              <w:topLinePunct w:val="0"/>
              <w:autoSpaceDE/>
              <w:autoSpaceDN/>
              <w:bidi w:val="0"/>
              <w:adjustRightInd w:val="0"/>
              <w:snapToGrid w:val="0"/>
              <w:spacing w:line="240" w:lineRule="auto"/>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要素</w:t>
            </w:r>
          </w:p>
        </w:tc>
        <w:tc>
          <w:tcPr>
            <w:tcW w:w="1800" w:type="dxa"/>
            <w:tcBorders>
              <w:bottom w:val="single" w:color="auto" w:sz="4" w:space="0"/>
            </w:tcBorders>
            <w:vAlign w:val="center"/>
          </w:tcPr>
          <w:p w14:paraId="7A8C5C95">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排放口（编号、名称）/污染源</w:t>
            </w:r>
          </w:p>
        </w:tc>
        <w:tc>
          <w:tcPr>
            <w:tcW w:w="1550" w:type="dxa"/>
            <w:vAlign w:val="center"/>
          </w:tcPr>
          <w:p w14:paraId="58386DD4">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污染物项目</w:t>
            </w:r>
          </w:p>
        </w:tc>
        <w:tc>
          <w:tcPr>
            <w:tcW w:w="1800" w:type="dxa"/>
            <w:vAlign w:val="center"/>
          </w:tcPr>
          <w:p w14:paraId="6859EA07">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环境保护措施</w:t>
            </w:r>
          </w:p>
        </w:tc>
        <w:tc>
          <w:tcPr>
            <w:tcW w:w="3098" w:type="dxa"/>
            <w:vAlign w:val="center"/>
          </w:tcPr>
          <w:p w14:paraId="5CBF0FD9">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执行标准</w:t>
            </w:r>
          </w:p>
        </w:tc>
      </w:tr>
      <w:tr w14:paraId="0E09E2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1108" w:type="dxa"/>
            <w:vMerge w:val="restart"/>
            <w:vAlign w:val="center"/>
          </w:tcPr>
          <w:p w14:paraId="16A0B382">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大气环境</w:t>
            </w:r>
          </w:p>
        </w:tc>
        <w:tc>
          <w:tcPr>
            <w:tcW w:w="1800" w:type="dxa"/>
            <w:tcBorders>
              <w:top w:val="single" w:color="auto" w:sz="4" w:space="0"/>
            </w:tcBorders>
            <w:vAlign w:val="center"/>
          </w:tcPr>
          <w:p w14:paraId="61E68804">
            <w:pPr>
              <w:pStyle w:val="61"/>
              <w:keepNext w:val="0"/>
              <w:keepLines w:val="0"/>
              <w:pageBreakBefore w:val="0"/>
              <w:widowControl/>
              <w:suppressLineNumbers w:val="0"/>
              <w:kinsoku/>
              <w:overflowPunct/>
              <w:topLinePunct w:val="0"/>
              <w:bidi w:val="0"/>
              <w:snapToGrid/>
              <w:spacing w:before="0" w:beforeAutospacing="0" w:after="0" w:afterAutospacing="0" w:line="240" w:lineRule="auto"/>
              <w:ind w:left="0" w:leftChars="0" w:right="0" w:rightChars="0"/>
              <w:jc w:val="center"/>
              <w:rPr>
                <w:rFonts w:hint="eastAsia"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抛光打磨粉尘（</w:t>
            </w:r>
            <w:r>
              <w:rPr>
                <w:rFonts w:hint="default" w:ascii="Times New Roman" w:hAnsi="Times New Roman" w:eastAsia="宋体" w:cs="Times New Roman"/>
                <w:color w:val="auto"/>
                <w:kern w:val="2"/>
                <w:sz w:val="21"/>
                <w:szCs w:val="21"/>
                <w:highlight w:val="none"/>
              </w:rPr>
              <w:t>DA00</w:t>
            </w:r>
            <w:r>
              <w:rPr>
                <w:rFonts w:hint="default" w:ascii="Times New Roman" w:hAnsi="Times New Roman" w:eastAsia="宋体" w:cs="Times New Roman"/>
                <w:color w:val="auto"/>
                <w:kern w:val="2"/>
                <w:sz w:val="21"/>
                <w:szCs w:val="21"/>
                <w:highlight w:val="none"/>
                <w:lang w:val="en-US" w:eastAsia="zh-CN"/>
              </w:rPr>
              <w:t>1）</w:t>
            </w:r>
          </w:p>
        </w:tc>
        <w:tc>
          <w:tcPr>
            <w:tcW w:w="1550" w:type="dxa"/>
            <w:vAlign w:val="center"/>
          </w:tcPr>
          <w:p w14:paraId="16F939E0">
            <w:pPr>
              <w:pStyle w:val="61"/>
              <w:keepNext w:val="0"/>
              <w:keepLines w:val="0"/>
              <w:pageBreakBefore w:val="0"/>
              <w:widowControl/>
              <w:suppressLineNumbers w:val="0"/>
              <w:kinsoku/>
              <w:overflowPunct/>
              <w:topLinePunct w:val="0"/>
              <w:bidi w:val="0"/>
              <w:snapToGrid/>
              <w:spacing w:before="0" w:beforeAutospacing="0" w:after="0" w:afterAutospacing="0" w:line="240" w:lineRule="auto"/>
              <w:ind w:left="0" w:leftChars="0" w:right="0" w:rightChars="0"/>
              <w:jc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rPr>
              <w:t>颗粒物</w:t>
            </w:r>
          </w:p>
        </w:tc>
        <w:tc>
          <w:tcPr>
            <w:tcW w:w="1800" w:type="dxa"/>
            <w:vAlign w:val="center"/>
          </w:tcPr>
          <w:p w14:paraId="4C4D400D">
            <w:pPr>
              <w:pStyle w:val="61"/>
              <w:keepNext w:val="0"/>
              <w:keepLines w:val="0"/>
              <w:pageBreakBefore w:val="0"/>
              <w:widowControl/>
              <w:suppressLineNumbers w:val="0"/>
              <w:kinsoku/>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经布袋除尘器处理后</w:t>
            </w:r>
            <w:r>
              <w:rPr>
                <w:rFonts w:hint="default" w:ascii="Times New Roman" w:hAnsi="Times New Roman" w:eastAsia="宋体" w:cs="Times New Roman"/>
                <w:color w:val="auto"/>
                <w:kern w:val="2"/>
                <w:sz w:val="21"/>
                <w:szCs w:val="21"/>
                <w:highlight w:val="none"/>
              </w:rPr>
              <w:t>经</w:t>
            </w:r>
            <w:r>
              <w:rPr>
                <w:rFonts w:hint="default" w:ascii="Times New Roman" w:hAnsi="Times New Roman" w:eastAsia="宋体" w:cs="Times New Roman"/>
                <w:color w:val="auto"/>
                <w:kern w:val="0"/>
                <w:sz w:val="21"/>
                <w:szCs w:val="21"/>
                <w:highlight w:val="none"/>
                <w:lang w:val="en-US" w:eastAsia="zh-CN"/>
              </w:rPr>
              <w:t>15</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2"/>
                <w:sz w:val="21"/>
                <w:szCs w:val="21"/>
                <w:highlight w:val="none"/>
              </w:rPr>
              <w:t>高排气筒（DA00</w:t>
            </w:r>
            <w:r>
              <w:rPr>
                <w:rFonts w:hint="default" w:ascii="Times New Roman" w:hAnsi="Times New Roman" w:eastAsia="宋体" w:cs="Times New Roman"/>
                <w:color w:val="auto"/>
                <w:kern w:val="2"/>
                <w:sz w:val="21"/>
                <w:szCs w:val="21"/>
                <w:highlight w:val="none"/>
                <w:lang w:val="en-US" w:eastAsia="zh-CN"/>
              </w:rPr>
              <w:t>1</w:t>
            </w:r>
            <w:r>
              <w:rPr>
                <w:rFonts w:hint="default" w:ascii="Times New Roman" w:hAnsi="Times New Roman" w:eastAsia="宋体" w:cs="Times New Roman"/>
                <w:color w:val="auto"/>
                <w:kern w:val="2"/>
                <w:sz w:val="21"/>
                <w:szCs w:val="21"/>
                <w:highlight w:val="none"/>
              </w:rPr>
              <w:t>）排放</w:t>
            </w:r>
          </w:p>
        </w:tc>
        <w:tc>
          <w:tcPr>
            <w:tcW w:w="3098" w:type="dxa"/>
            <w:vAlign w:val="center"/>
          </w:tcPr>
          <w:p w14:paraId="6B7CC052">
            <w:pPr>
              <w:pStyle w:val="61"/>
              <w:keepNext w:val="0"/>
              <w:keepLines w:val="0"/>
              <w:pageBreakBefore w:val="0"/>
              <w:widowControl/>
              <w:suppressLineNumbers w:val="0"/>
              <w:kinsoku/>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rPr>
              <w:t>广东省《大气污染物排放限值》（DB44/27-2001）第二时段</w:t>
            </w:r>
            <w:r>
              <w:rPr>
                <w:rFonts w:hint="default" w:ascii="Times New Roman" w:hAnsi="Times New Roman" w:eastAsia="宋体" w:cs="Times New Roman"/>
                <w:color w:val="auto"/>
                <w:kern w:val="2"/>
                <w:sz w:val="21"/>
                <w:szCs w:val="21"/>
                <w:highlight w:val="none"/>
                <w:lang w:val="en-US" w:eastAsia="zh-CN"/>
              </w:rPr>
              <w:t>排放限值及其</w:t>
            </w:r>
            <w:r>
              <w:rPr>
                <w:rFonts w:hint="default" w:ascii="Times New Roman" w:hAnsi="Times New Roman" w:eastAsia="宋体" w:cs="Times New Roman"/>
                <w:color w:val="auto"/>
                <w:kern w:val="2"/>
                <w:sz w:val="21"/>
                <w:szCs w:val="21"/>
                <w:highlight w:val="none"/>
              </w:rPr>
              <w:t>无组织排放监控浓度限值</w:t>
            </w:r>
          </w:p>
        </w:tc>
      </w:tr>
      <w:tr w14:paraId="32A739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1108" w:type="dxa"/>
            <w:vMerge w:val="continue"/>
            <w:vAlign w:val="center"/>
          </w:tcPr>
          <w:p w14:paraId="5B3AD4FB">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1800" w:type="dxa"/>
            <w:tcBorders>
              <w:top w:val="single" w:color="auto" w:sz="4" w:space="0"/>
            </w:tcBorders>
            <w:vAlign w:val="center"/>
          </w:tcPr>
          <w:p w14:paraId="4D557BDC">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s="Times New Roman"/>
                <w:b w:val="0"/>
                <w:bCs w:val="0"/>
                <w:color w:val="auto"/>
                <w:kern w:val="2"/>
                <w:sz w:val="21"/>
                <w:szCs w:val="21"/>
                <w:highlight w:val="none"/>
                <w:lang w:val="en-US" w:eastAsia="zh-CN" w:bidi="ar-SA"/>
              </w:rPr>
            </w:pPr>
            <w:r>
              <w:rPr>
                <w:rFonts w:hint="eastAsia" w:cs="Times New Roman"/>
                <w:color w:val="auto"/>
                <w:sz w:val="21"/>
                <w:szCs w:val="21"/>
                <w:highlight w:val="none"/>
                <w:lang w:val="en-US" w:eastAsia="zh-CN"/>
              </w:rPr>
              <w:t>天然气燃烧废气（DA002）</w:t>
            </w:r>
          </w:p>
        </w:tc>
        <w:tc>
          <w:tcPr>
            <w:tcW w:w="1550" w:type="dxa"/>
            <w:vAlign w:val="center"/>
          </w:tcPr>
          <w:p w14:paraId="5AF32A75">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颗粒物、SO</w:t>
            </w:r>
            <w:r>
              <w:rPr>
                <w:rFonts w:hint="eastAsia" w:cs="Times New Roman"/>
                <w:color w:val="auto"/>
                <w:sz w:val="21"/>
                <w:szCs w:val="21"/>
                <w:highlight w:val="none"/>
                <w:vertAlign w:val="subscript"/>
                <w:lang w:val="en-US" w:eastAsia="zh-CN"/>
              </w:rPr>
              <w:t>2</w:t>
            </w:r>
            <w:r>
              <w:rPr>
                <w:rFonts w:hint="eastAsia" w:cs="Times New Roman"/>
                <w:color w:val="auto"/>
                <w:sz w:val="21"/>
                <w:szCs w:val="21"/>
                <w:highlight w:val="none"/>
                <w:lang w:val="en-US" w:eastAsia="zh-CN"/>
              </w:rPr>
              <w:t>、NO</w:t>
            </w:r>
            <w:r>
              <w:rPr>
                <w:rFonts w:hint="eastAsia" w:cs="Times New Roman"/>
                <w:color w:val="auto"/>
                <w:sz w:val="21"/>
                <w:szCs w:val="21"/>
                <w:highlight w:val="none"/>
                <w:vertAlign w:val="subscript"/>
                <w:lang w:val="en-US" w:eastAsia="zh-CN"/>
              </w:rPr>
              <w:t>x</w:t>
            </w:r>
          </w:p>
        </w:tc>
        <w:tc>
          <w:tcPr>
            <w:tcW w:w="1800" w:type="dxa"/>
            <w:vAlign w:val="center"/>
          </w:tcPr>
          <w:p w14:paraId="7FE56D73">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低氮燃烧+15m排气筒（DA002）</w:t>
            </w:r>
          </w:p>
        </w:tc>
        <w:tc>
          <w:tcPr>
            <w:tcW w:w="3098" w:type="dxa"/>
            <w:vAlign w:val="center"/>
          </w:tcPr>
          <w:p w14:paraId="68045323">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根据《关于印发</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工业炉窑大气污染综合治理方案</w:t>
            </w:r>
            <w:r>
              <w:rPr>
                <w:rFonts w:hint="default" w:ascii="Times New Roman" w:hAnsi="Times New Roman" w:eastAsia="宋体" w:cs="Times New Roman"/>
                <w:color w:val="auto"/>
                <w:sz w:val="21"/>
                <w:szCs w:val="21"/>
                <w:highlight w:val="none"/>
                <w:lang w:eastAsia="zh-CN"/>
              </w:rPr>
              <w:t>〉的通知》</w:t>
            </w:r>
            <w:r>
              <w:rPr>
                <w:rFonts w:hint="default" w:ascii="Times New Roman" w:hAnsi="Times New Roman" w:eastAsia="宋体" w:cs="Times New Roman"/>
                <w:color w:val="auto"/>
                <w:sz w:val="21"/>
                <w:szCs w:val="21"/>
                <w:highlight w:val="none"/>
              </w:rPr>
              <w:t>（环大气〔2019〕56号）和《关于贯彻落实</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工业炉窑大气污染物综合治理方案</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的实施意见》（粤环函〔2019〕1112号），废气按照颗粒物、二氧化硫、氮氧化物排放限值分别不高于30、200、300毫克/立方米控制</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烟气黑度执行《工业炉窑大气污染物排放标准》（GB 9078-1996）</w:t>
            </w:r>
          </w:p>
        </w:tc>
      </w:tr>
      <w:tr w14:paraId="7B2281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1108" w:type="dxa"/>
            <w:vMerge w:val="continue"/>
            <w:vAlign w:val="center"/>
          </w:tcPr>
          <w:p w14:paraId="525F6382">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1800" w:type="dxa"/>
            <w:vMerge w:val="restart"/>
            <w:tcBorders>
              <w:top w:val="single" w:color="auto" w:sz="4" w:space="0"/>
            </w:tcBorders>
            <w:vAlign w:val="center"/>
          </w:tcPr>
          <w:p w14:paraId="22DBBE25">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喷</w:t>
            </w:r>
            <w:r>
              <w:rPr>
                <w:rFonts w:hint="eastAsia" w:cs="Times New Roman"/>
                <w:b w:val="0"/>
                <w:bCs w:val="0"/>
                <w:color w:val="auto"/>
                <w:kern w:val="2"/>
                <w:sz w:val="21"/>
                <w:szCs w:val="21"/>
                <w:highlight w:val="none"/>
                <w:lang w:val="en-US" w:eastAsia="zh-CN" w:bidi="ar-SA"/>
              </w:rPr>
              <w:t>漆、丝印（含表面清洁）、固化废气（DA003）</w:t>
            </w:r>
          </w:p>
        </w:tc>
        <w:tc>
          <w:tcPr>
            <w:tcW w:w="1550" w:type="dxa"/>
            <w:vAlign w:val="center"/>
          </w:tcPr>
          <w:p w14:paraId="4CE0904D">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NMHC、苯系物</w:t>
            </w:r>
          </w:p>
        </w:tc>
        <w:tc>
          <w:tcPr>
            <w:tcW w:w="1800" w:type="dxa"/>
            <w:vMerge w:val="restart"/>
            <w:vAlign w:val="center"/>
          </w:tcPr>
          <w:p w14:paraId="75E940EB">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喷淋+干式过滤器+二级活性炭吸附装置</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处理后</w:t>
            </w:r>
            <w:r>
              <w:rPr>
                <w:rFonts w:hint="default" w:ascii="Times New Roman" w:hAnsi="Times New Roman" w:eastAsia="宋体" w:cs="Times New Roman"/>
                <w:color w:val="auto"/>
                <w:kern w:val="2"/>
                <w:sz w:val="21"/>
                <w:szCs w:val="21"/>
                <w:highlight w:val="none"/>
              </w:rPr>
              <w:t>经</w:t>
            </w:r>
            <w:r>
              <w:rPr>
                <w:rFonts w:hint="default" w:ascii="Times New Roman" w:hAnsi="Times New Roman" w:eastAsia="宋体" w:cs="Times New Roman"/>
                <w:color w:val="auto"/>
                <w:kern w:val="0"/>
                <w:sz w:val="21"/>
                <w:szCs w:val="21"/>
                <w:highlight w:val="none"/>
                <w:lang w:val="en-US" w:eastAsia="zh-CN"/>
              </w:rPr>
              <w:t>15</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2"/>
                <w:sz w:val="21"/>
                <w:szCs w:val="21"/>
                <w:highlight w:val="none"/>
              </w:rPr>
              <w:t>高排气筒（DA00</w:t>
            </w:r>
            <w:r>
              <w:rPr>
                <w:rFonts w:hint="eastAsia" w:ascii="Times New Roman" w:hAnsi="Times New Roman" w:eastAsia="宋体" w:cs="Times New Roman"/>
                <w:color w:val="auto"/>
                <w:kern w:val="2"/>
                <w:sz w:val="21"/>
                <w:szCs w:val="21"/>
                <w:highlight w:val="none"/>
                <w:lang w:val="en-US" w:eastAsia="zh-CN"/>
              </w:rPr>
              <w:t>3</w:t>
            </w:r>
            <w:r>
              <w:rPr>
                <w:rFonts w:hint="default" w:ascii="Times New Roman" w:hAnsi="Times New Roman" w:eastAsia="宋体" w:cs="Times New Roman"/>
                <w:color w:val="auto"/>
                <w:kern w:val="2"/>
                <w:sz w:val="21"/>
                <w:szCs w:val="21"/>
                <w:highlight w:val="none"/>
              </w:rPr>
              <w:t>）排放</w:t>
            </w:r>
          </w:p>
        </w:tc>
        <w:tc>
          <w:tcPr>
            <w:tcW w:w="3098" w:type="dxa"/>
            <w:vAlign w:val="center"/>
          </w:tcPr>
          <w:p w14:paraId="78FB7F7B">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《印刷行业挥发性有机化合物排放标准》（DB44/815-2010）表2最高允许排放速率第Ⅱ时段标准和《印刷工业大气污染物排放标准》（GB41616-2022）表1大气污染物排放限值</w:t>
            </w:r>
          </w:p>
        </w:tc>
      </w:tr>
      <w:tr w14:paraId="2E3EC9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1108" w:type="dxa"/>
            <w:vMerge w:val="continue"/>
            <w:vAlign w:val="center"/>
          </w:tcPr>
          <w:p w14:paraId="7A3A164E">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1800" w:type="dxa"/>
            <w:vMerge w:val="continue"/>
            <w:vAlign w:val="center"/>
          </w:tcPr>
          <w:p w14:paraId="05B5A089">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s="Times New Roman"/>
                <w:b w:val="0"/>
                <w:bCs w:val="0"/>
                <w:color w:val="auto"/>
                <w:kern w:val="2"/>
                <w:sz w:val="21"/>
                <w:szCs w:val="21"/>
                <w:highlight w:val="none"/>
                <w:lang w:val="en-US" w:eastAsia="zh-CN" w:bidi="ar-SA"/>
              </w:rPr>
            </w:pPr>
          </w:p>
        </w:tc>
        <w:tc>
          <w:tcPr>
            <w:tcW w:w="1550" w:type="dxa"/>
            <w:vAlign w:val="center"/>
          </w:tcPr>
          <w:p w14:paraId="5484CCE9">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1800" w:type="dxa"/>
            <w:vMerge w:val="continue"/>
            <w:vAlign w:val="center"/>
          </w:tcPr>
          <w:p w14:paraId="1C1EA75B">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3098" w:type="dxa"/>
            <w:vAlign w:val="center"/>
          </w:tcPr>
          <w:p w14:paraId="5AB1FE0D">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《工业炉窑大气污染综合治理方案》中颗粒物≤30mg/m³的要求及广东省《大气污染物排放限值》（DB44/27-2001）第二时段排放限值（120mg/m³）</w:t>
            </w:r>
            <w:r>
              <w:rPr>
                <w:rFonts w:hint="eastAsia" w:cs="Times New Roman"/>
                <w:color w:val="auto"/>
                <w:sz w:val="21"/>
                <w:szCs w:val="21"/>
                <w:highlight w:val="none"/>
                <w:lang w:val="en-US" w:eastAsia="zh-CN"/>
              </w:rPr>
              <w:t>较严值</w:t>
            </w:r>
          </w:p>
        </w:tc>
      </w:tr>
      <w:tr w14:paraId="50042D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vMerge w:val="continue"/>
            <w:vAlign w:val="center"/>
          </w:tcPr>
          <w:p w14:paraId="14288EE6">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1800" w:type="dxa"/>
            <w:vMerge w:val="continue"/>
            <w:vAlign w:val="center"/>
          </w:tcPr>
          <w:p w14:paraId="0135C188">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1550" w:type="dxa"/>
            <w:vAlign w:val="center"/>
          </w:tcPr>
          <w:p w14:paraId="1E33BF87">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臭气浓度</w:t>
            </w:r>
          </w:p>
        </w:tc>
        <w:tc>
          <w:tcPr>
            <w:tcW w:w="1800" w:type="dxa"/>
            <w:vMerge w:val="continue"/>
            <w:vAlign w:val="center"/>
          </w:tcPr>
          <w:p w14:paraId="3E26D9B0">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3098" w:type="dxa"/>
            <w:vAlign w:val="center"/>
          </w:tcPr>
          <w:p w14:paraId="3028754F">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pacing w:val="-2"/>
                <w:sz w:val="21"/>
                <w:szCs w:val="21"/>
                <w:highlight w:val="none"/>
              </w:rPr>
              <w:t>《恶臭污染物排放标准》（GB14554-93）污染物排放标准值</w:t>
            </w:r>
          </w:p>
        </w:tc>
      </w:tr>
      <w:tr w14:paraId="412F30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vMerge w:val="continue"/>
            <w:vAlign w:val="center"/>
          </w:tcPr>
          <w:p w14:paraId="7C8AC933">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1800" w:type="dxa"/>
            <w:vMerge w:val="continue"/>
            <w:tcBorders>
              <w:bottom w:val="single" w:color="auto" w:sz="4" w:space="0"/>
            </w:tcBorders>
            <w:vAlign w:val="center"/>
          </w:tcPr>
          <w:p w14:paraId="67C9F465">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550" w:type="dxa"/>
            <w:vAlign w:val="center"/>
          </w:tcPr>
          <w:p w14:paraId="01EE7271">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SO</w:t>
            </w:r>
            <w:r>
              <w:rPr>
                <w:rFonts w:hint="eastAsia" w:cs="Times New Roman"/>
                <w:color w:val="auto"/>
                <w:sz w:val="21"/>
                <w:szCs w:val="21"/>
                <w:highlight w:val="none"/>
                <w:vertAlign w:val="subscript"/>
                <w:lang w:val="en-US" w:eastAsia="zh-CN"/>
              </w:rPr>
              <w:t>2</w:t>
            </w:r>
            <w:r>
              <w:rPr>
                <w:rFonts w:hint="eastAsia" w:cs="Times New Roman"/>
                <w:color w:val="auto"/>
                <w:sz w:val="21"/>
                <w:szCs w:val="21"/>
                <w:highlight w:val="none"/>
                <w:lang w:val="en-US" w:eastAsia="zh-CN"/>
              </w:rPr>
              <w:t>、NO</w:t>
            </w:r>
            <w:r>
              <w:rPr>
                <w:rFonts w:hint="eastAsia" w:cs="Times New Roman"/>
                <w:color w:val="auto"/>
                <w:sz w:val="21"/>
                <w:szCs w:val="21"/>
                <w:highlight w:val="none"/>
                <w:vertAlign w:val="subscript"/>
                <w:lang w:val="en-US" w:eastAsia="zh-CN"/>
              </w:rPr>
              <w:t>x</w:t>
            </w:r>
            <w:r>
              <w:rPr>
                <w:rFonts w:hint="eastAsia" w:cs="Times New Roman"/>
                <w:color w:val="auto"/>
                <w:sz w:val="21"/>
                <w:szCs w:val="21"/>
                <w:highlight w:val="none"/>
                <w:lang w:val="en-US" w:eastAsia="zh-CN"/>
              </w:rPr>
              <w:t>、烟气黑度</w:t>
            </w:r>
          </w:p>
        </w:tc>
        <w:tc>
          <w:tcPr>
            <w:tcW w:w="1800" w:type="dxa"/>
            <w:vMerge w:val="continue"/>
            <w:vAlign w:val="center"/>
          </w:tcPr>
          <w:p w14:paraId="28E0F097">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3098" w:type="dxa"/>
            <w:vAlign w:val="center"/>
          </w:tcPr>
          <w:p w14:paraId="340D06AC">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根据《关于印发</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工业炉窑大气污染综合治理方案</w:t>
            </w:r>
            <w:r>
              <w:rPr>
                <w:rFonts w:hint="default" w:ascii="Times New Roman" w:hAnsi="Times New Roman" w:eastAsia="宋体" w:cs="Times New Roman"/>
                <w:color w:val="auto"/>
                <w:sz w:val="21"/>
                <w:szCs w:val="21"/>
                <w:highlight w:val="none"/>
                <w:lang w:eastAsia="zh-CN"/>
              </w:rPr>
              <w:t>〉的通知》</w:t>
            </w:r>
            <w:r>
              <w:rPr>
                <w:rFonts w:hint="default" w:ascii="Times New Roman" w:hAnsi="Times New Roman" w:eastAsia="宋体" w:cs="Times New Roman"/>
                <w:color w:val="auto"/>
                <w:sz w:val="21"/>
                <w:szCs w:val="21"/>
                <w:highlight w:val="none"/>
              </w:rPr>
              <w:t>（环大气〔2019〕56号）和《关于贯彻落实</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工业炉窑大气污染物综合治理方案</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的实施意见》（粤环函〔2019〕1112号），废气按照颗粒物、二氧化硫、氮氧化物排放限值分别不高于30、200、300毫克/立方米控制</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烟气黑度执行《工业炉窑大气污染物排放标准》（GB 9078-1996）</w:t>
            </w:r>
          </w:p>
        </w:tc>
      </w:tr>
      <w:tr w14:paraId="252300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vMerge w:val="continue"/>
            <w:vAlign w:val="center"/>
          </w:tcPr>
          <w:p w14:paraId="5ECA4485">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1800" w:type="dxa"/>
            <w:tcBorders>
              <w:bottom w:val="single" w:color="auto" w:sz="4" w:space="0"/>
            </w:tcBorders>
            <w:vAlign w:val="center"/>
          </w:tcPr>
          <w:p w14:paraId="180FB9C5">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厂区内</w:t>
            </w:r>
          </w:p>
        </w:tc>
        <w:tc>
          <w:tcPr>
            <w:tcW w:w="1550" w:type="dxa"/>
            <w:vAlign w:val="center"/>
          </w:tcPr>
          <w:p w14:paraId="1385F0C3">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NMHC</w:t>
            </w:r>
          </w:p>
        </w:tc>
        <w:tc>
          <w:tcPr>
            <w:tcW w:w="1800" w:type="dxa"/>
            <w:vAlign w:val="center"/>
          </w:tcPr>
          <w:p w14:paraId="7E3016D4">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加强车间管理</w:t>
            </w:r>
          </w:p>
        </w:tc>
        <w:tc>
          <w:tcPr>
            <w:tcW w:w="3098" w:type="dxa"/>
            <w:vAlign w:val="center"/>
          </w:tcPr>
          <w:p w14:paraId="4EA6C177">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广东省《固定污染源挥发性有机物综合排放标准》（DB44/2367-2022）中表3厂区内VOCs无组织排放限值</w:t>
            </w:r>
          </w:p>
        </w:tc>
      </w:tr>
      <w:tr w14:paraId="3337ED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vMerge w:val="continue"/>
            <w:vAlign w:val="center"/>
          </w:tcPr>
          <w:p w14:paraId="126A06F7">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1800" w:type="dxa"/>
            <w:vMerge w:val="restart"/>
            <w:vAlign w:val="center"/>
          </w:tcPr>
          <w:p w14:paraId="4655CEB9">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厂界</w:t>
            </w:r>
          </w:p>
        </w:tc>
        <w:tc>
          <w:tcPr>
            <w:tcW w:w="1550" w:type="dxa"/>
            <w:vAlign w:val="center"/>
          </w:tcPr>
          <w:p w14:paraId="10F2FD4D">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1800" w:type="dxa"/>
            <w:vAlign w:val="center"/>
          </w:tcPr>
          <w:p w14:paraId="382E340B">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喷粉线粉尘经“密闭车间负压收集+大旋风+滤芯式二级回收系统”处理后无组织排放，未被收集的切割粉尘、焊接烟尘、抛光打磨粉尘于车间内无组织排放</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加强</w:t>
            </w:r>
            <w:r>
              <w:rPr>
                <w:rFonts w:hint="eastAsia" w:cs="Times New Roman"/>
                <w:color w:val="auto"/>
                <w:sz w:val="21"/>
                <w:szCs w:val="21"/>
                <w:highlight w:val="none"/>
                <w:lang w:val="en-US" w:eastAsia="zh-CN"/>
              </w:rPr>
              <w:t>收集</w:t>
            </w:r>
          </w:p>
        </w:tc>
        <w:tc>
          <w:tcPr>
            <w:tcW w:w="3098" w:type="dxa"/>
            <w:vAlign w:val="center"/>
          </w:tcPr>
          <w:p w14:paraId="454290A9">
            <w:pPr>
              <w:keepNext w:val="0"/>
              <w:keepLines w:val="0"/>
              <w:pageBreakBefore w:val="0"/>
              <w:kinsoku/>
              <w:wordWrap w:val="0"/>
              <w:overflowPunct/>
              <w:topLinePunct w:val="0"/>
              <w:bidi w:val="0"/>
              <w:spacing w:before="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color w:val="auto"/>
                <w:sz w:val="21"/>
                <w:szCs w:val="21"/>
                <w:highlight w:val="none"/>
              </w:rPr>
              <w:t>广东省《大气污染物排放限值》（DB44/27-2001）第二时段无组织排放监控浓度限值</w:t>
            </w:r>
          </w:p>
        </w:tc>
      </w:tr>
      <w:tr w14:paraId="62FE9D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vMerge w:val="continue"/>
            <w:vAlign w:val="center"/>
          </w:tcPr>
          <w:p w14:paraId="4795AC7B">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1800" w:type="dxa"/>
            <w:vMerge w:val="continue"/>
            <w:vAlign w:val="center"/>
          </w:tcPr>
          <w:p w14:paraId="4D02DB2C">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cs="Times New Roman"/>
                <w:color w:val="auto"/>
                <w:sz w:val="21"/>
                <w:szCs w:val="21"/>
                <w:highlight w:val="none"/>
                <w:lang w:val="en-US" w:eastAsia="zh-CN"/>
              </w:rPr>
            </w:pPr>
          </w:p>
        </w:tc>
        <w:tc>
          <w:tcPr>
            <w:tcW w:w="1550" w:type="dxa"/>
            <w:vAlign w:val="center"/>
          </w:tcPr>
          <w:p w14:paraId="59AC4660">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非甲烷总烃、苯系物</w:t>
            </w:r>
          </w:p>
        </w:tc>
        <w:tc>
          <w:tcPr>
            <w:tcW w:w="1800" w:type="dxa"/>
            <w:vAlign w:val="center"/>
          </w:tcPr>
          <w:p w14:paraId="1559969C">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加强车间管理</w:t>
            </w:r>
          </w:p>
        </w:tc>
        <w:tc>
          <w:tcPr>
            <w:tcW w:w="3098" w:type="dxa"/>
            <w:vAlign w:val="center"/>
          </w:tcPr>
          <w:p w14:paraId="65745B64">
            <w:pPr>
              <w:keepNext w:val="0"/>
              <w:keepLines w:val="0"/>
              <w:pageBreakBefore w:val="0"/>
              <w:kinsoku/>
              <w:wordWrap w:val="0"/>
              <w:overflowPunct/>
              <w:topLinePunct w:val="0"/>
              <w:bidi w:val="0"/>
              <w:spacing w:before="0" w:line="240" w:lineRule="auto"/>
              <w:ind w:firstLine="0" w:firstLineChars="0"/>
              <w:jc w:val="center"/>
              <w:rPr>
                <w:color w:val="auto"/>
                <w:sz w:val="21"/>
                <w:szCs w:val="21"/>
                <w:highlight w:val="none"/>
              </w:rPr>
            </w:pPr>
            <w:r>
              <w:rPr>
                <w:rFonts w:hint="eastAsia" w:ascii="Times New Roman" w:hAnsi="Times New Roman" w:eastAsia="宋体" w:cs="Times New Roman"/>
                <w:color w:val="auto"/>
                <w:sz w:val="21"/>
                <w:szCs w:val="21"/>
                <w:highlight w:val="none"/>
                <w:lang w:val="en-US" w:eastAsia="zh-CN"/>
              </w:rPr>
              <w:t>《印刷工业大气污染物排放标准》（GB41616-2022）</w:t>
            </w:r>
            <w:r>
              <w:rPr>
                <w:rFonts w:hint="eastAsia" w:cs="Times New Roman"/>
                <w:color w:val="auto"/>
                <w:sz w:val="21"/>
                <w:szCs w:val="21"/>
                <w:highlight w:val="none"/>
                <w:lang w:val="en-US" w:eastAsia="zh-CN"/>
              </w:rPr>
              <w:t>表3无组织排放监控点浓度限值</w:t>
            </w:r>
          </w:p>
        </w:tc>
      </w:tr>
      <w:tr w14:paraId="0D397D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vMerge w:val="continue"/>
            <w:vAlign w:val="center"/>
          </w:tcPr>
          <w:p w14:paraId="72B2F5D5">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1800" w:type="dxa"/>
            <w:vMerge w:val="continue"/>
            <w:tcBorders>
              <w:bottom w:val="single" w:color="auto" w:sz="4" w:space="0"/>
            </w:tcBorders>
            <w:vAlign w:val="center"/>
          </w:tcPr>
          <w:p w14:paraId="41085FC9">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p>
        </w:tc>
        <w:tc>
          <w:tcPr>
            <w:tcW w:w="1550" w:type="dxa"/>
            <w:vAlign w:val="center"/>
          </w:tcPr>
          <w:p w14:paraId="7E95C3BB">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臭气浓度</w:t>
            </w:r>
          </w:p>
        </w:tc>
        <w:tc>
          <w:tcPr>
            <w:tcW w:w="1800" w:type="dxa"/>
            <w:vAlign w:val="center"/>
          </w:tcPr>
          <w:p w14:paraId="0348E96D">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加强车间管理</w:t>
            </w:r>
          </w:p>
        </w:tc>
        <w:tc>
          <w:tcPr>
            <w:tcW w:w="3098" w:type="dxa"/>
            <w:vAlign w:val="center"/>
          </w:tcPr>
          <w:p w14:paraId="42D2E7AC">
            <w:pPr>
              <w:keepNext w:val="0"/>
              <w:keepLines w:val="0"/>
              <w:pageBreakBefore w:val="0"/>
              <w:kinsoku/>
              <w:wordWrap w:val="0"/>
              <w:overflowPunct/>
              <w:topLinePunct w:val="0"/>
              <w:bidi w:val="0"/>
              <w:spacing w:before="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pacing w:val="-2"/>
                <w:sz w:val="21"/>
                <w:szCs w:val="21"/>
                <w:highlight w:val="none"/>
              </w:rPr>
              <w:t>《恶臭污染物排放标准》（GB14554-93）</w:t>
            </w:r>
            <w:r>
              <w:rPr>
                <w:rFonts w:hint="eastAsia" w:ascii="Times New Roman" w:hAnsi="Times New Roman" w:cs="Times New Roman"/>
                <w:color w:val="auto"/>
                <w:spacing w:val="-2"/>
                <w:sz w:val="21"/>
                <w:szCs w:val="21"/>
                <w:highlight w:val="none"/>
                <w:lang w:eastAsia="zh-CN"/>
              </w:rPr>
              <w:t>中</w:t>
            </w:r>
            <w:r>
              <w:rPr>
                <w:rFonts w:hint="eastAsia"/>
                <w:color w:val="auto"/>
                <w:sz w:val="21"/>
                <w:szCs w:val="21"/>
                <w:highlight w:val="none"/>
              </w:rPr>
              <w:t>表1恶臭污染物厂界标准值二级新扩改建标准</w:t>
            </w:r>
          </w:p>
        </w:tc>
      </w:tr>
      <w:tr w14:paraId="593EBF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vMerge w:val="restart"/>
            <w:vAlign w:val="center"/>
          </w:tcPr>
          <w:p w14:paraId="492B9366">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地表水环境</w:t>
            </w:r>
          </w:p>
        </w:tc>
        <w:tc>
          <w:tcPr>
            <w:tcW w:w="1800" w:type="dxa"/>
            <w:tcBorders>
              <w:top w:val="single" w:color="auto" w:sz="4" w:space="0"/>
            </w:tcBorders>
            <w:vAlign w:val="center"/>
          </w:tcPr>
          <w:p w14:paraId="4A1048F4">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生活污水</w:t>
            </w:r>
          </w:p>
        </w:tc>
        <w:tc>
          <w:tcPr>
            <w:tcW w:w="1550" w:type="dxa"/>
            <w:vAlign w:val="center"/>
          </w:tcPr>
          <w:p w14:paraId="1DC37EE3">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COD</w:t>
            </w:r>
            <w:r>
              <w:rPr>
                <w:rFonts w:hint="eastAsia" w:cs="Times New Roman"/>
                <w:color w:val="auto"/>
                <w:sz w:val="21"/>
                <w:szCs w:val="21"/>
                <w:highlight w:val="none"/>
                <w:lang w:val="en-US" w:eastAsia="zh-CN"/>
              </w:rPr>
              <w:t>cr</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BOD</w:t>
            </w:r>
            <w:r>
              <w:rPr>
                <w:rFonts w:hint="eastAsia" w:cs="Times New Roman"/>
                <w:color w:val="auto"/>
                <w:sz w:val="21"/>
                <w:szCs w:val="21"/>
                <w:highlight w:val="none"/>
                <w:vertAlign w:val="subscript"/>
                <w:lang w:val="en-US" w:eastAsia="zh-CN"/>
              </w:rPr>
              <w:t>5</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SS、NH</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lang w:val="en-US" w:eastAsia="zh-CN"/>
              </w:rPr>
              <w:t>-N、</w:t>
            </w:r>
            <w:r>
              <w:rPr>
                <w:rFonts w:hint="eastAsia" w:cs="Times New Roman"/>
                <w:color w:val="auto"/>
                <w:sz w:val="21"/>
                <w:szCs w:val="21"/>
                <w:highlight w:val="none"/>
                <w:lang w:val="en-US" w:eastAsia="zh-CN"/>
              </w:rPr>
              <w:t>pH、动植物油</w:t>
            </w:r>
          </w:p>
        </w:tc>
        <w:tc>
          <w:tcPr>
            <w:tcW w:w="1800" w:type="dxa"/>
            <w:vAlign w:val="center"/>
          </w:tcPr>
          <w:p w14:paraId="13BAA1F7">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厂区化粪池预处理后，接管排入</w:t>
            </w:r>
            <w:r>
              <w:rPr>
                <w:rFonts w:hint="eastAsia" w:cs="Times New Roman"/>
                <w:color w:val="auto"/>
                <w:sz w:val="21"/>
                <w:szCs w:val="21"/>
                <w:highlight w:val="none"/>
                <w:lang w:val="en-US" w:eastAsia="zh-CN"/>
              </w:rPr>
              <w:t>园区污水处理厂</w:t>
            </w:r>
          </w:p>
        </w:tc>
        <w:tc>
          <w:tcPr>
            <w:tcW w:w="3098" w:type="dxa"/>
            <w:vAlign w:val="center"/>
          </w:tcPr>
          <w:p w14:paraId="05BF927D">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园区污水处理厂接管水质要求及广东省《</w:t>
            </w:r>
            <w:r>
              <w:rPr>
                <w:rFonts w:hint="eastAsia" w:cs="Times New Roman"/>
                <w:color w:val="auto"/>
                <w:sz w:val="21"/>
                <w:szCs w:val="21"/>
                <w:highlight w:val="none"/>
                <w:lang w:val="en-US" w:eastAsia="zh-CN"/>
              </w:rPr>
              <w:t>水污染物排放</w:t>
            </w:r>
            <w:r>
              <w:rPr>
                <w:rFonts w:hint="default" w:ascii="Times New Roman" w:hAnsi="Times New Roman" w:eastAsia="宋体" w:cs="Times New Roman"/>
                <w:color w:val="auto"/>
                <w:sz w:val="21"/>
                <w:szCs w:val="21"/>
                <w:highlight w:val="none"/>
                <w:lang w:val="en-US" w:eastAsia="zh-CN"/>
              </w:rPr>
              <w:t>限值》（DB44/26-2001）第二时段三级标准两者较严值</w:t>
            </w:r>
          </w:p>
        </w:tc>
      </w:tr>
      <w:tr w14:paraId="16EF1F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vMerge w:val="continue"/>
            <w:vAlign w:val="center"/>
          </w:tcPr>
          <w:p w14:paraId="3990DFBA">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1800" w:type="dxa"/>
            <w:tcBorders>
              <w:top w:val="single" w:color="auto" w:sz="4" w:space="0"/>
            </w:tcBorders>
            <w:vAlign w:val="center"/>
          </w:tcPr>
          <w:p w14:paraId="2B2D9D92">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生产废水</w:t>
            </w:r>
          </w:p>
        </w:tc>
        <w:tc>
          <w:tcPr>
            <w:tcW w:w="1550" w:type="dxa"/>
            <w:vAlign w:val="center"/>
          </w:tcPr>
          <w:p w14:paraId="76B65EF5">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COD</w:t>
            </w:r>
            <w:r>
              <w:rPr>
                <w:rFonts w:hint="eastAsia" w:cs="Times New Roman"/>
                <w:color w:val="auto"/>
                <w:sz w:val="21"/>
                <w:szCs w:val="21"/>
                <w:highlight w:val="none"/>
                <w:lang w:val="en-US" w:eastAsia="zh-CN"/>
              </w:rPr>
              <w:t>cr</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BOD</w:t>
            </w:r>
            <w:r>
              <w:rPr>
                <w:rFonts w:hint="eastAsia" w:cs="Times New Roman"/>
                <w:color w:val="auto"/>
                <w:sz w:val="21"/>
                <w:szCs w:val="21"/>
                <w:highlight w:val="none"/>
                <w:vertAlign w:val="subscript"/>
                <w:lang w:val="en-US" w:eastAsia="zh-CN"/>
              </w:rPr>
              <w:t>5</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SS、NH</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lang w:val="en-US" w:eastAsia="zh-CN"/>
              </w:rPr>
              <w:t>-N、</w:t>
            </w:r>
            <w:r>
              <w:rPr>
                <w:rFonts w:hint="eastAsia" w:cs="Times New Roman"/>
                <w:color w:val="auto"/>
                <w:sz w:val="21"/>
                <w:szCs w:val="21"/>
                <w:highlight w:val="none"/>
                <w:lang w:val="en-US" w:eastAsia="zh-CN"/>
              </w:rPr>
              <w:t>pH、LAS、石油类、TP、TN、总锌、氟化物</w:t>
            </w:r>
          </w:p>
        </w:tc>
        <w:tc>
          <w:tcPr>
            <w:tcW w:w="1800" w:type="dxa"/>
            <w:vAlign w:val="center"/>
          </w:tcPr>
          <w:p w14:paraId="2938B91C">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自建污水处理站（中和调节+混凝沉淀+二级除磷+水解酸化+接触氧化+MBR膜池）</w:t>
            </w:r>
            <w:r>
              <w:rPr>
                <w:rFonts w:hint="default" w:ascii="Times New Roman" w:hAnsi="Times New Roman" w:eastAsia="宋体" w:cs="Times New Roman"/>
                <w:color w:val="auto"/>
                <w:sz w:val="21"/>
                <w:szCs w:val="21"/>
                <w:highlight w:val="none"/>
                <w:lang w:val="en-US" w:eastAsia="zh-CN"/>
              </w:rPr>
              <w:t>处理后，接管排入</w:t>
            </w:r>
            <w:r>
              <w:rPr>
                <w:rFonts w:hint="eastAsia" w:cs="Times New Roman"/>
                <w:color w:val="auto"/>
                <w:sz w:val="21"/>
                <w:szCs w:val="21"/>
                <w:highlight w:val="none"/>
                <w:lang w:val="en-US" w:eastAsia="zh-CN"/>
              </w:rPr>
              <w:t>园区污水处理厂</w:t>
            </w:r>
          </w:p>
        </w:tc>
        <w:tc>
          <w:tcPr>
            <w:tcW w:w="3098" w:type="dxa"/>
            <w:vAlign w:val="center"/>
          </w:tcPr>
          <w:p w14:paraId="2AF81721">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《电镀水污染物排放标准》（DB44/1597-2015）表2新建项目水污染物排放限值</w:t>
            </w:r>
            <w:r>
              <w:rPr>
                <w:rFonts w:hint="eastAsia" w:cs="Times New Roman"/>
                <w:color w:val="auto"/>
                <w:sz w:val="21"/>
                <w:szCs w:val="21"/>
                <w:highlight w:val="none"/>
                <w:lang w:val="en-US" w:eastAsia="zh-CN"/>
              </w:rPr>
              <w:t>、广东省《水污染物排放限值》（DB44/26-2001）第二时段三级标准及</w:t>
            </w:r>
            <w:r>
              <w:rPr>
                <w:rFonts w:hint="default" w:ascii="Times New Roman" w:hAnsi="Times New Roman" w:eastAsia="宋体" w:cs="Times New Roman"/>
                <w:color w:val="auto"/>
                <w:sz w:val="21"/>
                <w:szCs w:val="21"/>
                <w:highlight w:val="none"/>
                <w:lang w:val="en-US" w:eastAsia="zh-CN"/>
              </w:rPr>
              <w:t>园区污水处理厂接管水质要求</w:t>
            </w:r>
            <w:r>
              <w:rPr>
                <w:rFonts w:hint="eastAsia" w:cs="Times New Roman"/>
                <w:color w:val="auto"/>
                <w:sz w:val="21"/>
                <w:szCs w:val="21"/>
                <w:highlight w:val="none"/>
                <w:lang w:val="en-US" w:eastAsia="zh-CN"/>
              </w:rPr>
              <w:t>三者</w:t>
            </w:r>
            <w:r>
              <w:rPr>
                <w:rFonts w:hint="default" w:ascii="Times New Roman" w:hAnsi="Times New Roman" w:eastAsia="宋体" w:cs="Times New Roman"/>
                <w:color w:val="auto"/>
                <w:sz w:val="21"/>
                <w:szCs w:val="21"/>
                <w:highlight w:val="none"/>
                <w:lang w:val="en-US" w:eastAsia="zh-CN"/>
              </w:rPr>
              <w:t>较严值</w:t>
            </w:r>
          </w:p>
        </w:tc>
      </w:tr>
      <w:tr w14:paraId="4ABAC0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vAlign w:val="center"/>
          </w:tcPr>
          <w:p w14:paraId="3737CEA3">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声环境</w:t>
            </w:r>
          </w:p>
        </w:tc>
        <w:tc>
          <w:tcPr>
            <w:tcW w:w="1800" w:type="dxa"/>
            <w:vAlign w:val="center"/>
          </w:tcPr>
          <w:p w14:paraId="5ADC1BC5">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车间设备噪声</w:t>
            </w:r>
          </w:p>
        </w:tc>
        <w:tc>
          <w:tcPr>
            <w:tcW w:w="1550" w:type="dxa"/>
            <w:vAlign w:val="center"/>
          </w:tcPr>
          <w:p w14:paraId="206FC83A">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等效连续A声级</w:t>
            </w:r>
          </w:p>
        </w:tc>
        <w:tc>
          <w:tcPr>
            <w:tcW w:w="1800" w:type="dxa"/>
            <w:vAlign w:val="center"/>
          </w:tcPr>
          <w:p w14:paraId="7AFA8BC1">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设备减振、厂房隔声、定期保养机械设备</w:t>
            </w:r>
          </w:p>
        </w:tc>
        <w:tc>
          <w:tcPr>
            <w:tcW w:w="3098" w:type="dxa"/>
            <w:vAlign w:val="center"/>
          </w:tcPr>
          <w:p w14:paraId="791648FD">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厂界噪声满足《工业企业厂界环境噪声排放标准》（GB12348-2008）3类限值</w:t>
            </w:r>
          </w:p>
        </w:tc>
      </w:tr>
      <w:tr w14:paraId="67F815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vAlign w:val="center"/>
          </w:tcPr>
          <w:p w14:paraId="25A2AD51">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电磁辐射</w:t>
            </w:r>
          </w:p>
        </w:tc>
        <w:tc>
          <w:tcPr>
            <w:tcW w:w="1800" w:type="dxa"/>
            <w:vAlign w:val="center"/>
          </w:tcPr>
          <w:p w14:paraId="3F695AD9">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50" w:type="dxa"/>
            <w:vAlign w:val="center"/>
          </w:tcPr>
          <w:p w14:paraId="56D390B0">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800" w:type="dxa"/>
            <w:vAlign w:val="center"/>
          </w:tcPr>
          <w:p w14:paraId="2E4F34BB">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098" w:type="dxa"/>
            <w:vAlign w:val="center"/>
          </w:tcPr>
          <w:p w14:paraId="7306268E">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4AC4FA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vAlign w:val="center"/>
          </w:tcPr>
          <w:p w14:paraId="7775AB26">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固体废物</w:t>
            </w:r>
          </w:p>
        </w:tc>
        <w:tc>
          <w:tcPr>
            <w:tcW w:w="5150" w:type="dxa"/>
            <w:gridSpan w:val="3"/>
            <w:vAlign w:val="center"/>
          </w:tcPr>
          <w:p w14:paraId="717F8F4E">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生活垃圾委托环卫部门定期清运；</w:t>
            </w:r>
          </w:p>
          <w:p w14:paraId="47800FFA">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一般固废交由专业单位</w:t>
            </w:r>
            <w:r>
              <w:rPr>
                <w:rFonts w:hint="default" w:ascii="Times New Roman" w:hAnsi="Times New Roman" w:eastAsia="宋体" w:cs="Times New Roman"/>
                <w:color w:val="auto"/>
                <w:sz w:val="21"/>
                <w:szCs w:val="21"/>
                <w:highlight w:val="none"/>
                <w:lang w:val="en-US" w:eastAsia="zh-CN"/>
              </w:rPr>
              <w:t>回收利用</w:t>
            </w:r>
            <w:r>
              <w:rPr>
                <w:rFonts w:hint="eastAsia" w:cs="Times New Roman"/>
                <w:color w:val="auto"/>
                <w:sz w:val="21"/>
                <w:szCs w:val="21"/>
                <w:highlight w:val="none"/>
                <w:lang w:val="en-US" w:eastAsia="zh-CN"/>
              </w:rPr>
              <w:t>；</w:t>
            </w:r>
          </w:p>
          <w:p w14:paraId="0EEDC368">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危险固废委托有资质的单位处置。</w:t>
            </w:r>
          </w:p>
        </w:tc>
        <w:tc>
          <w:tcPr>
            <w:tcW w:w="3098" w:type="dxa"/>
            <w:vAlign w:val="center"/>
          </w:tcPr>
          <w:p w14:paraId="3BF60275">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一般固体废物</w:t>
            </w:r>
            <w:r>
              <w:rPr>
                <w:rFonts w:hint="eastAsia" w:ascii="Times New Roman" w:hAnsi="Times New Roman" w:eastAsia="宋体" w:cs="Times New Roman"/>
                <w:color w:val="auto"/>
                <w:kern w:val="2"/>
                <w:sz w:val="21"/>
                <w:szCs w:val="21"/>
                <w:highlight w:val="none"/>
                <w:lang w:val="en-US" w:eastAsia="zh-CN" w:bidi="ar-SA"/>
              </w:rPr>
              <w:t>贮存过程应满足相应防渗漏、防雨淋、防扬尘等环境保护要求</w:t>
            </w:r>
            <w:r>
              <w:rPr>
                <w:rFonts w:hint="eastAsia" w:cs="Times New Roman"/>
                <w:color w:val="auto"/>
                <w:kern w:val="2"/>
                <w:sz w:val="21"/>
                <w:szCs w:val="21"/>
                <w:highlight w:val="none"/>
                <w:lang w:val="en-US" w:eastAsia="zh-CN" w:bidi="ar-SA"/>
              </w:rPr>
              <w:t>；</w:t>
            </w:r>
          </w:p>
          <w:p w14:paraId="157DB633">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危险废物应满足</w:t>
            </w:r>
            <w:r>
              <w:rPr>
                <w:rFonts w:hint="default" w:ascii="Times New Roman" w:hAnsi="Times New Roman" w:eastAsia="宋体" w:cs="Times New Roman"/>
                <w:color w:val="auto"/>
                <w:sz w:val="21"/>
                <w:szCs w:val="21"/>
                <w:highlight w:val="none"/>
                <w:lang w:val="en-US" w:eastAsia="zh-CN"/>
              </w:rPr>
              <w:t>《危险废物贮存污染控制标准》（GB18597-20</w:t>
            </w:r>
            <w:r>
              <w:rPr>
                <w:rFonts w:hint="default" w:ascii="Times New Roman" w:hAnsi="Times New Roman"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相关要求</w:t>
            </w:r>
          </w:p>
        </w:tc>
      </w:tr>
      <w:tr w14:paraId="30FDB8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vAlign w:val="center"/>
          </w:tcPr>
          <w:p w14:paraId="715572B3">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土壤及地下水污染防治措施</w:t>
            </w:r>
          </w:p>
        </w:tc>
        <w:tc>
          <w:tcPr>
            <w:tcW w:w="8248" w:type="dxa"/>
            <w:gridSpan w:val="4"/>
            <w:vAlign w:val="center"/>
          </w:tcPr>
          <w:p w14:paraId="6FC54120">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源头控制：防止污水“跑、冒、滴、漏”，防止对土壤造成污染。</w:t>
            </w:r>
          </w:p>
          <w:p w14:paraId="3A1F5477">
            <w:pPr>
              <w:keepNext w:val="0"/>
              <w:keepLines w:val="0"/>
              <w:pageBreakBefore w:val="0"/>
              <w:widowControl w:val="0"/>
              <w:suppressLineNumbers w:val="0"/>
              <w:kinsoku/>
              <w:wordWrap w:val="0"/>
              <w:overflowPunct/>
              <w:topLinePunct w:val="0"/>
              <w:autoSpaceDE/>
              <w:autoSpaceDN/>
              <w:bidi w:val="0"/>
              <w:adjustRightInd w:val="0"/>
              <w:snapToGrid w:val="0"/>
              <w:spacing w:beforeAutospacing="0" w:afterAutospacing="0" w:line="240" w:lineRule="auto"/>
              <w:ind w:left="0" w:leftChars="0" w:right="0" w:right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末端控制：分区防控。主要包括厂内污染区地面的防渗措施和泄漏、渗漏污染物收集措施，即在污染区地面进行防渗处理，防止洒落地面的污染物渗入地下，并把滞留在地面的污染物收集起来，集中处理，从而避免对地下水的污染。结合建设项目各生产设备、管线、贮存、运输装置等因素，根据可能进入地下水环境的各种有毒有害污染物的性质、产生量和排放量，将污染区划分为重点防渗区、一般防渗区和简单防渗区。</w:t>
            </w:r>
          </w:p>
        </w:tc>
      </w:tr>
      <w:tr w14:paraId="2D19BB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vAlign w:val="center"/>
          </w:tcPr>
          <w:p w14:paraId="0A9FCDFD">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生态保护措施</w:t>
            </w:r>
          </w:p>
        </w:tc>
        <w:tc>
          <w:tcPr>
            <w:tcW w:w="8248" w:type="dxa"/>
            <w:gridSpan w:val="4"/>
            <w:vAlign w:val="center"/>
          </w:tcPr>
          <w:p w14:paraId="15CBBD6C">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36FF60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vAlign w:val="center"/>
          </w:tcPr>
          <w:p w14:paraId="0703D32A">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环境风险防范措施</w:t>
            </w:r>
          </w:p>
        </w:tc>
        <w:tc>
          <w:tcPr>
            <w:tcW w:w="8248" w:type="dxa"/>
            <w:gridSpan w:val="4"/>
            <w:vAlign w:val="center"/>
          </w:tcPr>
          <w:p w14:paraId="34900382">
            <w:pPr>
              <w:pStyle w:val="104"/>
              <w:keepNext w:val="0"/>
              <w:keepLines w:val="0"/>
              <w:pageBreakBefore w:val="0"/>
              <w:widowControl w:val="0"/>
              <w:numPr>
                <w:ilvl w:val="0"/>
                <w:numId w:val="0"/>
              </w:numPr>
              <w:suppressLineNumbers w:val="0"/>
              <w:tabs>
                <w:tab w:val="left" w:pos="0"/>
              </w:tabs>
              <w:kinsoku/>
              <w:wordWrap w:val="0"/>
              <w:overflowPunct/>
              <w:topLinePunct w:val="0"/>
              <w:autoSpaceDE/>
              <w:autoSpaceDN/>
              <w:bidi w:val="0"/>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1</w:t>
            </w:r>
            <w:r>
              <w:rPr>
                <w:rFonts w:hint="eastAsia" w:cs="Times New Roman"/>
                <w:color w:val="auto"/>
                <w:kern w:val="0"/>
                <w:sz w:val="21"/>
                <w:szCs w:val="21"/>
                <w:highlight w:val="none"/>
                <w:lang w:val="en-US" w:eastAsia="zh-CN" w:bidi="ar-SA"/>
              </w:rPr>
              <w:t>）</w:t>
            </w:r>
            <w:r>
              <w:rPr>
                <w:rFonts w:hint="default" w:ascii="Times New Roman" w:hAnsi="Times New Roman" w:cs="Times New Roman"/>
                <w:color w:val="auto"/>
                <w:sz w:val="21"/>
                <w:szCs w:val="21"/>
                <w:highlight w:val="none"/>
                <w:lang w:val="en-US" w:eastAsia="zh-CN"/>
              </w:rPr>
              <w:t>编制突发环境事件应急预案，并报生态环境部门备案；开展环境应急预案培训和演练，按规定对预案进行评估修订。</w:t>
            </w:r>
          </w:p>
          <w:p w14:paraId="6DE93C61">
            <w:pPr>
              <w:pStyle w:val="104"/>
              <w:keepNext w:val="0"/>
              <w:keepLines w:val="0"/>
              <w:pageBreakBefore w:val="0"/>
              <w:widowControl w:val="0"/>
              <w:numPr>
                <w:ilvl w:val="0"/>
                <w:numId w:val="0"/>
              </w:numPr>
              <w:suppressLineNumbers w:val="0"/>
              <w:tabs>
                <w:tab w:val="left" w:pos="0"/>
              </w:tabs>
              <w:kinsoku/>
              <w:wordWrap w:val="0"/>
              <w:overflowPunct/>
              <w:topLinePunct w:val="0"/>
              <w:autoSpaceDE/>
              <w:autoSpaceDN/>
              <w:bidi w:val="0"/>
              <w:spacing w:before="0" w:beforeAutospacing="0" w:after="0" w:afterAutospacing="0" w:line="240" w:lineRule="auto"/>
              <w:ind w:left="0" w:leftChars="0" w:right="0" w:rightChars="0"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2</w:t>
            </w:r>
            <w:r>
              <w:rPr>
                <w:rFonts w:hint="eastAsia" w:cs="Times New Roman"/>
                <w:color w:val="auto"/>
                <w:kern w:val="0"/>
                <w:sz w:val="21"/>
                <w:szCs w:val="21"/>
                <w:highlight w:val="none"/>
                <w:lang w:val="en-US" w:eastAsia="zh-CN" w:bidi="ar-SA"/>
              </w:rPr>
              <w:t>）</w:t>
            </w:r>
            <w:r>
              <w:rPr>
                <w:rFonts w:hint="default" w:ascii="Times New Roman" w:hAnsi="Times New Roman" w:cs="Times New Roman"/>
                <w:color w:val="auto"/>
                <w:sz w:val="21"/>
                <w:szCs w:val="21"/>
                <w:highlight w:val="none"/>
              </w:rPr>
              <w:t>建立健全各种有关消防与安全生产的规章制度，建立岗位责任制。配置相应的消防设施，并在火灾危险场所设置报警装置，一旦发生火灾，立即作出应急反应，严禁生产区域有明火出现。</w:t>
            </w:r>
          </w:p>
          <w:p w14:paraId="3FF760FD">
            <w:pPr>
              <w:pStyle w:val="104"/>
              <w:keepNext w:val="0"/>
              <w:keepLines w:val="0"/>
              <w:pageBreakBefore w:val="0"/>
              <w:widowControl w:val="0"/>
              <w:numPr>
                <w:ilvl w:val="0"/>
                <w:numId w:val="0"/>
              </w:numPr>
              <w:suppressLineNumbers w:val="0"/>
              <w:tabs>
                <w:tab w:val="left" w:pos="0"/>
              </w:tabs>
              <w:kinsoku/>
              <w:wordWrap w:val="0"/>
              <w:overflowPunct/>
              <w:topLinePunct w:val="0"/>
              <w:autoSpaceDE/>
              <w:autoSpaceDN/>
              <w:bidi w:val="0"/>
              <w:spacing w:before="0" w:beforeAutospacing="0" w:after="0" w:afterAutospacing="0" w:line="240" w:lineRule="auto"/>
              <w:ind w:left="0" w:leftChars="0" w:right="0" w:rightChars="0"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3</w:t>
            </w:r>
            <w:r>
              <w:rPr>
                <w:rFonts w:hint="eastAsia" w:cs="Times New Roman"/>
                <w:color w:val="auto"/>
                <w:kern w:val="0"/>
                <w:sz w:val="21"/>
                <w:szCs w:val="21"/>
                <w:highlight w:val="none"/>
                <w:lang w:val="en-US" w:eastAsia="zh-CN" w:bidi="ar-SA"/>
              </w:rPr>
              <w:t>）</w:t>
            </w:r>
            <w:r>
              <w:rPr>
                <w:rFonts w:hint="default" w:ascii="Times New Roman" w:hAnsi="Times New Roman" w:cs="Times New Roman"/>
                <w:color w:val="auto"/>
                <w:sz w:val="21"/>
                <w:szCs w:val="21"/>
                <w:highlight w:val="none"/>
              </w:rPr>
              <w:t>全面加强安全管理和安全教育工作，制定和强化各种安全管理、安全生产规程，防止火灾事故的发生。</w:t>
            </w:r>
          </w:p>
          <w:p w14:paraId="7D05B455">
            <w:pPr>
              <w:pStyle w:val="104"/>
              <w:keepNext w:val="0"/>
              <w:keepLines w:val="0"/>
              <w:pageBreakBefore w:val="0"/>
              <w:widowControl w:val="0"/>
              <w:numPr>
                <w:ilvl w:val="0"/>
                <w:numId w:val="0"/>
              </w:numPr>
              <w:suppressLineNumbers w:val="0"/>
              <w:tabs>
                <w:tab w:val="left" w:pos="0"/>
              </w:tabs>
              <w:kinsoku/>
              <w:wordWrap w:val="0"/>
              <w:overflowPunct/>
              <w:topLinePunct w:val="0"/>
              <w:autoSpaceDE/>
              <w:autoSpaceDN/>
              <w:bidi w:val="0"/>
              <w:spacing w:before="0" w:beforeAutospacing="0" w:after="0" w:afterAutospacing="0" w:line="240" w:lineRule="auto"/>
              <w:ind w:left="0" w:leftChars="0" w:right="0" w:rightChars="0"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4</w:t>
            </w:r>
            <w:r>
              <w:rPr>
                <w:rFonts w:hint="eastAsia" w:cs="Times New Roman"/>
                <w:color w:val="auto"/>
                <w:kern w:val="0"/>
                <w:sz w:val="21"/>
                <w:szCs w:val="21"/>
                <w:highlight w:val="none"/>
                <w:lang w:val="en-US" w:eastAsia="zh-CN" w:bidi="ar-SA"/>
              </w:rPr>
              <w:t>）</w:t>
            </w:r>
            <w:r>
              <w:rPr>
                <w:rFonts w:hint="default" w:ascii="Times New Roman" w:hAnsi="Times New Roman" w:cs="Times New Roman"/>
                <w:color w:val="auto"/>
                <w:sz w:val="21"/>
                <w:szCs w:val="21"/>
                <w:highlight w:val="none"/>
              </w:rPr>
              <w:t>对于</w:t>
            </w:r>
            <w:r>
              <w:rPr>
                <w:rFonts w:hint="default" w:ascii="Times New Roman" w:hAnsi="Times New Roman" w:cs="Times New Roman"/>
                <w:color w:val="auto"/>
                <w:sz w:val="21"/>
                <w:szCs w:val="21"/>
                <w:highlight w:val="none"/>
                <w:lang w:eastAsia="zh-CN"/>
              </w:rPr>
              <w:t>危废暂存间</w:t>
            </w:r>
            <w:r>
              <w:rPr>
                <w:rFonts w:hint="default" w:ascii="Times New Roman" w:hAnsi="Times New Roman" w:cs="Times New Roman"/>
                <w:color w:val="auto"/>
                <w:sz w:val="21"/>
                <w:szCs w:val="21"/>
                <w:highlight w:val="none"/>
              </w:rPr>
              <w:t>，需设置有监控系统，主要在仓库出入口、仓库内、厂门口等关键位置安装视频监控设施，进行实时监控。</w:t>
            </w:r>
          </w:p>
          <w:p w14:paraId="4659F352">
            <w:pPr>
              <w:keepNext w:val="0"/>
              <w:keepLines w:val="0"/>
              <w:pageBreakBefore w:val="0"/>
              <w:widowControl w:val="0"/>
              <w:numPr>
                <w:ilvl w:val="0"/>
                <w:numId w:val="0"/>
              </w:numPr>
              <w:tabs>
                <w:tab w:val="left" w:pos="0"/>
              </w:tabs>
              <w:kinsoku/>
              <w:wordWrap w:val="0"/>
              <w:overflowPunct/>
              <w:topLinePunct w:val="0"/>
              <w:autoSpaceDE/>
              <w:autoSpaceDN/>
              <w:bidi w:val="0"/>
              <w:adjustRightInd w:val="0"/>
              <w:snapToGrid w:val="0"/>
              <w:spacing w:line="240" w:lineRule="auto"/>
              <w:ind w:left="0" w:leftChars="0"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5</w:t>
            </w:r>
            <w:r>
              <w:rPr>
                <w:rFonts w:hint="eastAsia" w:cs="Times New Roman"/>
                <w:color w:val="auto"/>
                <w:kern w:val="2"/>
                <w:sz w:val="21"/>
                <w:szCs w:val="21"/>
                <w:highlight w:val="none"/>
                <w:lang w:val="en-US" w:eastAsia="zh-CN" w:bidi="ar-SA"/>
              </w:rPr>
              <w:t>）</w:t>
            </w:r>
            <w:r>
              <w:rPr>
                <w:rFonts w:hint="default" w:ascii="Times New Roman" w:hAnsi="Times New Roman" w:cs="Times New Roman"/>
                <w:color w:val="auto"/>
                <w:sz w:val="21"/>
                <w:szCs w:val="21"/>
                <w:highlight w:val="none"/>
              </w:rPr>
              <w:t>严格执行国家、行业有关安全生产的法规和标准规范进行设计和建设，经营过</w:t>
            </w:r>
            <w:r>
              <w:rPr>
                <w:rFonts w:hint="default" w:ascii="Times New Roman" w:hAnsi="Times New Roman" w:cs="Times New Roman"/>
                <w:color w:val="auto"/>
                <w:sz w:val="21"/>
                <w:szCs w:val="21"/>
                <w:highlight w:val="none"/>
                <w:lang w:val="en-US" w:eastAsia="zh-CN"/>
              </w:rPr>
              <w:t>程中</w:t>
            </w:r>
            <w:r>
              <w:rPr>
                <w:rFonts w:hint="default" w:ascii="Times New Roman" w:hAnsi="Times New Roman" w:cs="Times New Roman"/>
                <w:color w:val="auto"/>
                <w:sz w:val="21"/>
                <w:szCs w:val="21"/>
                <w:highlight w:val="none"/>
              </w:rPr>
              <w:t>应注意防火、防静电。</w:t>
            </w:r>
          </w:p>
        </w:tc>
      </w:tr>
      <w:tr w14:paraId="3EE645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dxa"/>
            <w:vAlign w:val="center"/>
          </w:tcPr>
          <w:p w14:paraId="335BB113">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其他环境管理要求</w:t>
            </w:r>
          </w:p>
        </w:tc>
        <w:tc>
          <w:tcPr>
            <w:tcW w:w="8248" w:type="dxa"/>
            <w:gridSpan w:val="4"/>
            <w:vAlign w:val="center"/>
          </w:tcPr>
          <w:p w14:paraId="4403C4E3">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（一）环境管理要求</w:t>
            </w:r>
          </w:p>
          <w:p w14:paraId="6F6341F7">
            <w:pPr>
              <w:keepNext w:val="0"/>
              <w:keepLines w:val="0"/>
              <w:pageBreakBefore w:val="0"/>
              <w:widowControl w:val="0"/>
              <w:numPr>
                <w:ilvl w:val="0"/>
                <w:numId w:val="0"/>
              </w:numPr>
              <w:tabs>
                <w:tab w:val="left" w:pos="0"/>
              </w:tabs>
              <w:kinsoku/>
              <w:wordWrap w:val="0"/>
              <w:overflowPunct/>
              <w:topLinePunct w:val="0"/>
              <w:autoSpaceDE/>
              <w:autoSpaceDN/>
              <w:bidi w:val="0"/>
              <w:adjustRightInd w:val="0"/>
              <w:snapToGrid w:val="0"/>
              <w:spacing w:line="240" w:lineRule="auto"/>
              <w:ind w:left="0" w:leftChars="0"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1.</w:t>
            </w:r>
            <w:r>
              <w:rPr>
                <w:rFonts w:hint="default" w:ascii="Times New Roman" w:hAnsi="Times New Roman" w:cs="Times New Roman"/>
                <w:color w:val="auto"/>
                <w:sz w:val="21"/>
                <w:szCs w:val="21"/>
                <w:highlight w:val="none"/>
              </w:rPr>
              <w:t>企业要完善环境管理制度，首先必须建立相应的环境管理机构，明确环境管理机构的职责。</w:t>
            </w:r>
          </w:p>
          <w:p w14:paraId="3ECAE628">
            <w:pPr>
              <w:keepNext w:val="0"/>
              <w:keepLines w:val="0"/>
              <w:pageBreakBefore w:val="0"/>
              <w:widowControl w:val="0"/>
              <w:numPr>
                <w:ilvl w:val="0"/>
                <w:numId w:val="0"/>
              </w:numPr>
              <w:tabs>
                <w:tab w:val="left" w:pos="0"/>
              </w:tabs>
              <w:kinsoku/>
              <w:wordWrap w:val="0"/>
              <w:overflowPunct/>
              <w:topLinePunct w:val="0"/>
              <w:autoSpaceDE/>
              <w:autoSpaceDN/>
              <w:bidi w:val="0"/>
              <w:adjustRightInd w:val="0"/>
              <w:snapToGrid w:val="0"/>
              <w:spacing w:line="240" w:lineRule="auto"/>
              <w:ind w:left="0" w:leftChars="0"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2.</w:t>
            </w:r>
            <w:r>
              <w:rPr>
                <w:rFonts w:hint="default" w:ascii="Times New Roman" w:hAnsi="Times New Roman" w:cs="Times New Roman"/>
                <w:color w:val="auto"/>
                <w:sz w:val="21"/>
                <w:szCs w:val="21"/>
                <w:highlight w:val="none"/>
              </w:rPr>
              <w:t>落实各项环境保护措施，环保设施运行的管理和维护，日常的监测及污染事故的防范和应急处理。</w:t>
            </w:r>
          </w:p>
          <w:p w14:paraId="06A33D00">
            <w:pPr>
              <w:keepNext w:val="0"/>
              <w:keepLines w:val="0"/>
              <w:pageBreakBefore w:val="0"/>
              <w:widowControl w:val="0"/>
              <w:numPr>
                <w:ilvl w:val="0"/>
                <w:numId w:val="0"/>
              </w:numPr>
              <w:tabs>
                <w:tab w:val="left" w:pos="0"/>
              </w:tabs>
              <w:kinsoku/>
              <w:wordWrap w:val="0"/>
              <w:overflowPunct/>
              <w:topLinePunct w:val="0"/>
              <w:autoSpaceDE/>
              <w:autoSpaceDN/>
              <w:bidi w:val="0"/>
              <w:adjustRightInd w:val="0"/>
              <w:snapToGrid w:val="0"/>
              <w:spacing w:line="240" w:lineRule="auto"/>
              <w:ind w:left="0" w:leftChars="0"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3.</w:t>
            </w:r>
            <w:r>
              <w:rPr>
                <w:rFonts w:hint="default" w:ascii="Times New Roman" w:hAnsi="Times New Roman" w:cs="Times New Roman"/>
                <w:color w:val="auto"/>
                <w:sz w:val="21"/>
                <w:szCs w:val="21"/>
                <w:highlight w:val="none"/>
              </w:rPr>
              <w:t>环境管理机构的职责</w:t>
            </w:r>
          </w:p>
          <w:p w14:paraId="0D5E347F">
            <w:pPr>
              <w:pStyle w:val="104"/>
              <w:keepNext w:val="0"/>
              <w:keepLines w:val="0"/>
              <w:pageBreakBefore w:val="0"/>
              <w:widowControl w:val="0"/>
              <w:numPr>
                <w:ilvl w:val="0"/>
                <w:numId w:val="0"/>
              </w:numPr>
              <w:tabs>
                <w:tab w:val="left" w:pos="0"/>
              </w:tabs>
              <w:kinsoku/>
              <w:wordWrap w:val="0"/>
              <w:overflowPunct/>
              <w:topLinePunct w:val="0"/>
              <w:autoSpaceDE/>
              <w:autoSpaceDN/>
              <w:bidi w:val="0"/>
              <w:spacing w:before="0" w:after="0" w:line="240" w:lineRule="auto"/>
              <w:ind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（1）</w:t>
            </w:r>
            <w:r>
              <w:rPr>
                <w:rFonts w:hint="default" w:ascii="Times New Roman" w:hAnsi="Times New Roman" w:cs="Times New Roman"/>
                <w:color w:val="auto"/>
                <w:sz w:val="21"/>
                <w:szCs w:val="21"/>
                <w:highlight w:val="none"/>
              </w:rPr>
              <w:t>建设单位应向国家排污许可系统提交《固定污染源排污登记表》，取得《固定污染源排污登记回执》；超标排放或未符合总量指标，应限期治理。</w:t>
            </w:r>
          </w:p>
          <w:p w14:paraId="1FBE14BC">
            <w:pPr>
              <w:pStyle w:val="104"/>
              <w:keepNext w:val="0"/>
              <w:keepLines w:val="0"/>
              <w:pageBreakBefore w:val="0"/>
              <w:widowControl w:val="0"/>
              <w:numPr>
                <w:ilvl w:val="0"/>
                <w:numId w:val="0"/>
              </w:numPr>
              <w:tabs>
                <w:tab w:val="left" w:pos="0"/>
              </w:tabs>
              <w:kinsoku/>
              <w:wordWrap w:val="0"/>
              <w:overflowPunct/>
              <w:topLinePunct w:val="0"/>
              <w:autoSpaceDE/>
              <w:autoSpaceDN/>
              <w:bidi w:val="0"/>
              <w:spacing w:before="0" w:after="0" w:line="240" w:lineRule="auto"/>
              <w:ind w:left="0" w:leftChars="0"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（2）</w:t>
            </w:r>
            <w:r>
              <w:rPr>
                <w:rFonts w:hint="default" w:ascii="Times New Roman" w:hAnsi="Times New Roman" w:cs="Times New Roman"/>
                <w:color w:val="auto"/>
                <w:sz w:val="21"/>
                <w:szCs w:val="21"/>
                <w:highlight w:val="none"/>
              </w:rPr>
              <w:t>根据环保部门、安全部门对环保设施验收报告的批复意见进行补充完善。</w:t>
            </w:r>
          </w:p>
          <w:p w14:paraId="4623B4F4">
            <w:pPr>
              <w:pStyle w:val="104"/>
              <w:keepNext w:val="0"/>
              <w:keepLines w:val="0"/>
              <w:pageBreakBefore w:val="0"/>
              <w:widowControl w:val="0"/>
              <w:numPr>
                <w:ilvl w:val="0"/>
                <w:numId w:val="0"/>
              </w:numPr>
              <w:tabs>
                <w:tab w:val="left" w:pos="0"/>
              </w:tabs>
              <w:kinsoku/>
              <w:wordWrap w:val="0"/>
              <w:overflowPunct/>
              <w:topLinePunct w:val="0"/>
              <w:autoSpaceDE/>
              <w:autoSpaceDN/>
              <w:bidi w:val="0"/>
              <w:spacing w:before="0" w:after="0" w:line="240" w:lineRule="auto"/>
              <w:ind w:left="0" w:leftChars="0"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（3）</w:t>
            </w:r>
            <w:r>
              <w:rPr>
                <w:rFonts w:hint="default" w:ascii="Times New Roman" w:hAnsi="Times New Roman" w:cs="Times New Roman"/>
                <w:color w:val="auto"/>
                <w:sz w:val="21"/>
                <w:szCs w:val="21"/>
                <w:highlight w:val="none"/>
              </w:rPr>
              <w:t>根据企业的环境保护目标考核计划，结合生产过程各环节的不同环境要求，把资源和能源消耗、资源回收利用、污染物排放量的反映环保工作水平的生产环境质量等环保指标，纳入各级生产作业计划，同其他生产指标一同组织实施和考核。</w:t>
            </w:r>
          </w:p>
          <w:p w14:paraId="03391877">
            <w:pPr>
              <w:pStyle w:val="104"/>
              <w:keepNext w:val="0"/>
              <w:keepLines w:val="0"/>
              <w:pageBreakBefore w:val="0"/>
              <w:widowControl w:val="0"/>
              <w:numPr>
                <w:ilvl w:val="0"/>
                <w:numId w:val="0"/>
              </w:numPr>
              <w:tabs>
                <w:tab w:val="left" w:pos="0"/>
              </w:tabs>
              <w:kinsoku/>
              <w:wordWrap w:val="0"/>
              <w:overflowPunct/>
              <w:topLinePunct w:val="0"/>
              <w:autoSpaceDE/>
              <w:autoSpaceDN/>
              <w:bidi w:val="0"/>
              <w:spacing w:before="0" w:after="0" w:line="240" w:lineRule="auto"/>
              <w:ind w:left="0" w:leftChars="0"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（4）</w:t>
            </w:r>
            <w:r>
              <w:rPr>
                <w:rFonts w:hint="default" w:ascii="Times New Roman" w:hAnsi="Times New Roman" w:cs="Times New Roman"/>
                <w:color w:val="auto"/>
                <w:sz w:val="21"/>
                <w:szCs w:val="21"/>
                <w:highlight w:val="none"/>
              </w:rPr>
              <w:t>按环保设施的操作规程，定期对环保设施进行保养和检修，保证环保设施的正常运行和污染物的达标排放。一旦环保设施出现故障，应立即停产检修，并上报环保法定责任人，严禁环保设施带病运行和事故性排放。建立运行记录并制定考核指标。</w:t>
            </w:r>
          </w:p>
          <w:p w14:paraId="04D6E10E">
            <w:pPr>
              <w:pStyle w:val="104"/>
              <w:keepNext w:val="0"/>
              <w:keepLines w:val="0"/>
              <w:pageBreakBefore w:val="0"/>
              <w:widowControl w:val="0"/>
              <w:numPr>
                <w:ilvl w:val="0"/>
                <w:numId w:val="0"/>
              </w:numPr>
              <w:tabs>
                <w:tab w:val="left" w:pos="0"/>
              </w:tabs>
              <w:kinsoku/>
              <w:wordWrap w:val="0"/>
              <w:overflowPunct/>
              <w:topLinePunct w:val="0"/>
              <w:autoSpaceDE/>
              <w:autoSpaceDN/>
              <w:bidi w:val="0"/>
              <w:spacing w:before="0" w:after="0" w:line="240" w:lineRule="auto"/>
              <w:ind w:left="0" w:leftChars="0"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（5）</w:t>
            </w:r>
            <w:r>
              <w:rPr>
                <w:rFonts w:hint="default" w:ascii="Times New Roman" w:hAnsi="Times New Roman" w:cs="Times New Roman"/>
                <w:color w:val="auto"/>
                <w:sz w:val="21"/>
                <w:szCs w:val="21"/>
                <w:highlight w:val="none"/>
              </w:rPr>
              <w:t>要加强设备、仪器、仪表的检查、维护、检修，保证设备完好运行，防止跑、冒、滴、漏对环境的污染。</w:t>
            </w:r>
          </w:p>
          <w:p w14:paraId="3DCC7372">
            <w:pPr>
              <w:pStyle w:val="104"/>
              <w:keepNext w:val="0"/>
              <w:keepLines w:val="0"/>
              <w:pageBreakBefore w:val="0"/>
              <w:widowControl w:val="0"/>
              <w:numPr>
                <w:ilvl w:val="0"/>
                <w:numId w:val="0"/>
              </w:numPr>
              <w:tabs>
                <w:tab w:val="left" w:pos="0"/>
              </w:tabs>
              <w:kinsoku/>
              <w:wordWrap w:val="0"/>
              <w:overflowPunct/>
              <w:topLinePunct w:val="0"/>
              <w:autoSpaceDE/>
              <w:autoSpaceDN/>
              <w:bidi w:val="0"/>
              <w:spacing w:before="0" w:after="0" w:line="240" w:lineRule="auto"/>
              <w:ind w:left="0" w:leftChars="0"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（6）</w:t>
            </w:r>
            <w:r>
              <w:rPr>
                <w:rFonts w:hint="default" w:ascii="Times New Roman" w:hAnsi="Times New Roman" w:cs="Times New Roman"/>
                <w:color w:val="auto"/>
                <w:sz w:val="21"/>
                <w:szCs w:val="21"/>
                <w:highlight w:val="none"/>
              </w:rPr>
              <w:t>加强各生产车间、工段的环境卫生管理：①督促有关工段及时清理废弃的渣料等，以免大风天气时形成扬尘，造成二次污染，影响周围环境。②保持工场的通风、整洁和宽敞。开工时废气净化、除尘装置必须正常运转，确保操作工人有安全生产的环境。操作工人还应做好个人防护工作，避免粉尘、废气经呼吸道和皮肤吸收，引起急性中毒事件或职业病的发生。</w:t>
            </w:r>
          </w:p>
          <w:p w14:paraId="3E0BF3C0">
            <w:pPr>
              <w:pStyle w:val="104"/>
              <w:keepNext w:val="0"/>
              <w:keepLines w:val="0"/>
              <w:pageBreakBefore w:val="0"/>
              <w:widowControl w:val="0"/>
              <w:numPr>
                <w:ilvl w:val="0"/>
                <w:numId w:val="0"/>
              </w:numPr>
              <w:tabs>
                <w:tab w:val="left" w:pos="0"/>
              </w:tabs>
              <w:kinsoku/>
              <w:wordWrap w:val="0"/>
              <w:overflowPunct/>
              <w:topLinePunct w:val="0"/>
              <w:autoSpaceDE/>
              <w:autoSpaceDN/>
              <w:bidi w:val="0"/>
              <w:spacing w:before="0" w:after="0" w:line="240" w:lineRule="auto"/>
              <w:ind w:left="0" w:leftChars="0"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（7）</w:t>
            </w:r>
            <w:r>
              <w:rPr>
                <w:rFonts w:hint="default" w:ascii="Times New Roman" w:hAnsi="Times New Roman" w:cs="Times New Roman"/>
                <w:color w:val="auto"/>
                <w:sz w:val="21"/>
                <w:szCs w:val="21"/>
                <w:highlight w:val="none"/>
              </w:rPr>
              <w:t>做好绿化的建设和维护工作。绿色植物不仅能涵养水分，保持水土，而且能挡尘降噪，调节小气候，有利于改善生态环境。</w:t>
            </w:r>
          </w:p>
          <w:p w14:paraId="3C6ABF60">
            <w:pPr>
              <w:pStyle w:val="104"/>
              <w:keepNext w:val="0"/>
              <w:keepLines w:val="0"/>
              <w:pageBreakBefore w:val="0"/>
              <w:widowControl w:val="0"/>
              <w:numPr>
                <w:ilvl w:val="0"/>
                <w:numId w:val="0"/>
              </w:numPr>
              <w:tabs>
                <w:tab w:val="left" w:pos="0"/>
              </w:tabs>
              <w:kinsoku/>
              <w:wordWrap w:val="0"/>
              <w:overflowPunct/>
              <w:topLinePunct w:val="0"/>
              <w:autoSpaceDE/>
              <w:autoSpaceDN/>
              <w:bidi w:val="0"/>
              <w:spacing w:before="0" w:after="0" w:line="240" w:lineRule="auto"/>
              <w:ind w:left="0" w:leftChars="0"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（8）</w:t>
            </w:r>
            <w:r>
              <w:rPr>
                <w:rFonts w:hint="default" w:ascii="Times New Roman" w:hAnsi="Times New Roman" w:cs="Times New Roman"/>
                <w:color w:val="auto"/>
                <w:sz w:val="21"/>
                <w:szCs w:val="21"/>
                <w:highlight w:val="none"/>
              </w:rPr>
              <w:t>建立环境管理体系，提高环境管理水平。定期进行清洁生产审计，不断采用无污染和少污染的新工艺和新技术。</w:t>
            </w:r>
          </w:p>
          <w:p w14:paraId="59AF4DA7">
            <w:pPr>
              <w:pStyle w:val="104"/>
              <w:keepNext w:val="0"/>
              <w:keepLines w:val="0"/>
              <w:pageBreakBefore w:val="0"/>
              <w:widowControl w:val="0"/>
              <w:numPr>
                <w:ilvl w:val="0"/>
                <w:numId w:val="0"/>
              </w:numPr>
              <w:tabs>
                <w:tab w:val="left" w:pos="0"/>
              </w:tabs>
              <w:kinsoku/>
              <w:wordWrap w:val="0"/>
              <w:overflowPunct/>
              <w:topLinePunct w:val="0"/>
              <w:autoSpaceDE/>
              <w:autoSpaceDN/>
              <w:bidi w:val="0"/>
              <w:spacing w:before="0" w:after="0" w:line="240" w:lineRule="auto"/>
              <w:ind w:left="0" w:leftChars="0"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（9）</w:t>
            </w:r>
            <w:r>
              <w:rPr>
                <w:rFonts w:hint="default" w:ascii="Times New Roman" w:hAnsi="Times New Roman" w:cs="Times New Roman"/>
                <w:color w:val="auto"/>
                <w:sz w:val="21"/>
                <w:szCs w:val="21"/>
                <w:highlight w:val="none"/>
              </w:rPr>
              <w:t>接受环保主管部门的监督检查。主要内容有：污染物排放情况、环保设施运行管理情况、环境监测及污染物监测情况、环境事故的调查和有关记录、污染源建档记录等。</w:t>
            </w:r>
          </w:p>
          <w:p w14:paraId="2BD84CD2">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 xml:space="preserve">（二）排污口规范化 </w:t>
            </w:r>
          </w:p>
          <w:p w14:paraId="5D7068D2">
            <w:pPr>
              <w:keepNext w:val="0"/>
              <w:keepLines w:val="0"/>
              <w:pageBreakBefore w:val="0"/>
              <w:widowControl w:val="0"/>
              <w:numPr>
                <w:ilvl w:val="0"/>
                <w:numId w:val="0"/>
              </w:numPr>
              <w:tabs>
                <w:tab w:val="left" w:pos="0"/>
              </w:tabs>
              <w:kinsoku/>
              <w:wordWrap w:val="0"/>
              <w:overflowPunct/>
              <w:topLinePunct w:val="0"/>
              <w:autoSpaceDE/>
              <w:autoSpaceDN/>
              <w:bidi w:val="0"/>
              <w:adjustRightInd w:val="0"/>
              <w:snapToGrid w:val="0"/>
              <w:spacing w:line="240" w:lineRule="auto"/>
              <w:ind w:left="0" w:leftChars="0"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1.</w:t>
            </w:r>
            <w:r>
              <w:rPr>
                <w:rFonts w:hint="default" w:ascii="Times New Roman" w:hAnsi="Times New Roman" w:cs="Times New Roman"/>
                <w:color w:val="auto"/>
                <w:sz w:val="21"/>
                <w:szCs w:val="21"/>
                <w:highlight w:val="none"/>
              </w:rPr>
              <w:t>排污口规范化必要性：排污口规范化管理是实施污染物总量控制的基础性工作之一，也是总量控制不可缺少的一部分内容，此项工作可强化污染物的现场监督检查，促进企业加强管理和污染治理，实施污染物排放科学化、定量化管理。</w:t>
            </w:r>
          </w:p>
          <w:p w14:paraId="3BE09D8A">
            <w:pPr>
              <w:keepNext w:val="0"/>
              <w:keepLines w:val="0"/>
              <w:pageBreakBefore w:val="0"/>
              <w:widowControl w:val="0"/>
              <w:numPr>
                <w:ilvl w:val="0"/>
                <w:numId w:val="0"/>
              </w:numPr>
              <w:tabs>
                <w:tab w:val="left" w:pos="0"/>
              </w:tabs>
              <w:kinsoku/>
              <w:wordWrap w:val="0"/>
              <w:overflowPunct/>
              <w:topLinePunct w:val="0"/>
              <w:autoSpaceDE/>
              <w:autoSpaceDN/>
              <w:bidi w:val="0"/>
              <w:adjustRightInd w:val="0"/>
              <w:snapToGrid w:val="0"/>
              <w:spacing w:line="240" w:lineRule="auto"/>
              <w:ind w:left="0" w:leftChars="0"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2.</w:t>
            </w:r>
            <w:r>
              <w:rPr>
                <w:rFonts w:hint="default" w:ascii="Times New Roman" w:hAnsi="Times New Roman" w:cs="Times New Roman"/>
                <w:color w:val="auto"/>
                <w:sz w:val="21"/>
                <w:szCs w:val="21"/>
                <w:highlight w:val="none"/>
              </w:rPr>
              <w:t>排污口规范化的范围和时间：一切新建、扩建、技改、改建的排污单位以及限期治理的排污单位，必须在建设污染治理设施的同时，建设规范化排污口。因此，排污口必须规范化设置和管理。规范化工作应</w:t>
            </w:r>
            <w:r>
              <w:rPr>
                <w:rFonts w:hint="eastAsia" w:cs="Times New Roman"/>
                <w:color w:val="auto"/>
                <w:sz w:val="21"/>
                <w:szCs w:val="21"/>
                <w:highlight w:val="none"/>
                <w:lang w:val="en-US" w:eastAsia="zh-CN"/>
              </w:rPr>
              <w:t>与</w:t>
            </w:r>
            <w:r>
              <w:rPr>
                <w:rFonts w:hint="default" w:ascii="Times New Roman" w:hAnsi="Times New Roman" w:cs="Times New Roman"/>
                <w:color w:val="auto"/>
                <w:sz w:val="21"/>
                <w:szCs w:val="21"/>
                <w:highlight w:val="none"/>
              </w:rPr>
              <w:t>污染治理同步实施，即治理设施完工时，规范化工作必须同时完成，并列入污染治理设施的验收内容。</w:t>
            </w:r>
          </w:p>
          <w:p w14:paraId="1AD48135">
            <w:pPr>
              <w:keepNext w:val="0"/>
              <w:keepLines w:val="0"/>
              <w:pageBreakBefore w:val="0"/>
              <w:widowControl w:val="0"/>
              <w:numPr>
                <w:ilvl w:val="0"/>
                <w:numId w:val="0"/>
              </w:numPr>
              <w:tabs>
                <w:tab w:val="left" w:pos="0"/>
              </w:tabs>
              <w:kinsoku/>
              <w:wordWrap w:val="0"/>
              <w:overflowPunct/>
              <w:topLinePunct w:val="0"/>
              <w:autoSpaceDE/>
              <w:autoSpaceDN/>
              <w:bidi w:val="0"/>
              <w:adjustRightInd w:val="0"/>
              <w:snapToGrid w:val="0"/>
              <w:spacing w:line="240" w:lineRule="auto"/>
              <w:ind w:left="0" w:leftChars="0"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3.</w:t>
            </w:r>
            <w:r>
              <w:rPr>
                <w:rFonts w:hint="default" w:ascii="Times New Roman" w:hAnsi="Times New Roman" w:cs="Times New Roman"/>
                <w:color w:val="auto"/>
                <w:sz w:val="21"/>
                <w:szCs w:val="21"/>
                <w:highlight w:val="none"/>
              </w:rPr>
              <w:t xml:space="preserve">排污口规范化内容 </w:t>
            </w:r>
          </w:p>
          <w:p w14:paraId="2F30E52A">
            <w:pPr>
              <w:pStyle w:val="104"/>
              <w:keepNext w:val="0"/>
              <w:keepLines w:val="0"/>
              <w:pageBreakBefore w:val="0"/>
              <w:widowControl w:val="0"/>
              <w:numPr>
                <w:ilvl w:val="0"/>
                <w:numId w:val="0"/>
              </w:numPr>
              <w:tabs>
                <w:tab w:val="left" w:pos="0"/>
              </w:tabs>
              <w:kinsoku/>
              <w:wordWrap w:val="0"/>
              <w:overflowPunct/>
              <w:topLinePunct w:val="0"/>
              <w:autoSpaceDE/>
              <w:autoSpaceDN/>
              <w:bidi w:val="0"/>
              <w:spacing w:before="0" w:after="0" w:line="240" w:lineRule="auto"/>
              <w:ind w:left="0" w:leftChars="0"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（1）</w:t>
            </w:r>
            <w:r>
              <w:rPr>
                <w:rFonts w:hint="default" w:ascii="Times New Roman" w:hAnsi="Times New Roman" w:cs="Times New Roman"/>
                <w:color w:val="auto"/>
                <w:sz w:val="21"/>
                <w:szCs w:val="21"/>
                <w:highlight w:val="none"/>
              </w:rPr>
              <w:t>需规范化排放口：排放口应预留监测口，做到便于采样和测定流量，并设立标志。</w:t>
            </w:r>
          </w:p>
          <w:p w14:paraId="69623910">
            <w:pPr>
              <w:pStyle w:val="104"/>
              <w:keepNext w:val="0"/>
              <w:keepLines w:val="0"/>
              <w:pageBreakBefore w:val="0"/>
              <w:widowControl w:val="0"/>
              <w:numPr>
                <w:ilvl w:val="0"/>
                <w:numId w:val="0"/>
              </w:numPr>
              <w:tabs>
                <w:tab w:val="left" w:pos="0"/>
              </w:tabs>
              <w:kinsoku/>
              <w:wordWrap w:val="0"/>
              <w:overflowPunct/>
              <w:topLinePunct w:val="0"/>
              <w:autoSpaceDE/>
              <w:autoSpaceDN/>
              <w:bidi w:val="0"/>
              <w:spacing w:before="0" w:after="0" w:line="240" w:lineRule="auto"/>
              <w:ind w:left="0" w:leftChars="0"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（2）</w:t>
            </w:r>
            <w:r>
              <w:rPr>
                <w:rFonts w:hint="default" w:ascii="Times New Roman" w:hAnsi="Times New Roman" w:cs="Times New Roman"/>
                <w:color w:val="auto"/>
                <w:sz w:val="21"/>
                <w:szCs w:val="21"/>
                <w:highlight w:val="none"/>
              </w:rPr>
              <w:t>排污口的管理：建设单位应在各排污口处设置较明显的排污口标志牌，其上应注明主要排污污染物的名称。建设单位应如实填写《中华人民共和国规范化排污口标志登记证》的有关内容，由环保主管部门签发登记证。建设单位应将有关排污口的情况如：排污口的性质、编号、排污口的位置；主要排放的污染物种类、数量、浓度、排放规律、排放去向；污染治理措施的运行情况等进行建档管理，并报送环保主管部门备案。排污口规范化标识详见下表。</w:t>
            </w:r>
          </w:p>
          <w:p w14:paraId="001DF51C">
            <w:pPr>
              <w:pStyle w:val="101"/>
              <w:keepNext w:val="0"/>
              <w:keepLines w:val="0"/>
              <w:pageBreakBefore w:val="0"/>
              <w:widowControl w:val="0"/>
              <w:kinsoku/>
              <w:wordWrap w:val="0"/>
              <w:overflowPunct/>
              <w:topLinePunct w:val="0"/>
              <w:autoSpaceDE/>
              <w:autoSpaceDN/>
              <w:bidi w:val="0"/>
              <w:spacing w:line="240" w:lineRule="auto"/>
              <w:ind w:right="0" w:firstLine="482"/>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表5-1排污口规范化标识示意图表</w:t>
            </w:r>
          </w:p>
          <w:tbl>
            <w:tblPr>
              <w:tblStyle w:val="4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2"/>
              <w:gridCol w:w="1542"/>
              <w:gridCol w:w="1542"/>
              <w:gridCol w:w="1863"/>
              <w:gridCol w:w="1543"/>
            </w:tblGrid>
            <w:tr w14:paraId="1F8E3A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91" w:type="dxa"/>
                </w:tcPr>
                <w:p w14:paraId="462476F9">
                  <w:pPr>
                    <w:pStyle w:val="104"/>
                    <w:keepNext w:val="0"/>
                    <w:keepLines w:val="0"/>
                    <w:pageBreakBefore w:val="0"/>
                    <w:widowControl w:val="0"/>
                    <w:kinsoku/>
                    <w:wordWrap w:val="0"/>
                    <w:overflowPunct/>
                    <w:topLinePunct w:val="0"/>
                    <w:autoSpaceDE/>
                    <w:autoSpaceDN/>
                    <w:bidi w:val="0"/>
                    <w:spacing w:before="0" w:after="0" w:line="240" w:lineRule="auto"/>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废水排放口</w:t>
                  </w:r>
                </w:p>
              </w:tc>
              <w:tc>
                <w:tcPr>
                  <w:tcW w:w="1491" w:type="dxa"/>
                </w:tcPr>
                <w:p w14:paraId="149F83B5">
                  <w:pPr>
                    <w:pStyle w:val="104"/>
                    <w:keepNext w:val="0"/>
                    <w:keepLines w:val="0"/>
                    <w:pageBreakBefore w:val="0"/>
                    <w:widowControl w:val="0"/>
                    <w:kinsoku/>
                    <w:wordWrap w:val="0"/>
                    <w:overflowPunct/>
                    <w:topLinePunct w:val="0"/>
                    <w:autoSpaceDE/>
                    <w:autoSpaceDN/>
                    <w:bidi w:val="0"/>
                    <w:spacing w:before="0" w:after="0" w:line="240" w:lineRule="auto"/>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废气排放口</w:t>
                  </w:r>
                </w:p>
              </w:tc>
              <w:tc>
                <w:tcPr>
                  <w:tcW w:w="1491" w:type="dxa"/>
                </w:tcPr>
                <w:p w14:paraId="5688C46F">
                  <w:pPr>
                    <w:pStyle w:val="104"/>
                    <w:keepNext w:val="0"/>
                    <w:keepLines w:val="0"/>
                    <w:pageBreakBefore w:val="0"/>
                    <w:widowControl w:val="0"/>
                    <w:kinsoku/>
                    <w:wordWrap w:val="0"/>
                    <w:overflowPunct/>
                    <w:topLinePunct w:val="0"/>
                    <w:autoSpaceDE/>
                    <w:autoSpaceDN/>
                    <w:bidi w:val="0"/>
                    <w:spacing w:before="0" w:after="0" w:line="240" w:lineRule="auto"/>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噪声源</w:t>
                  </w:r>
                </w:p>
              </w:tc>
              <w:tc>
                <w:tcPr>
                  <w:tcW w:w="1801" w:type="dxa"/>
                </w:tcPr>
                <w:p w14:paraId="312B5F25">
                  <w:pPr>
                    <w:pStyle w:val="104"/>
                    <w:keepNext w:val="0"/>
                    <w:keepLines w:val="0"/>
                    <w:pageBreakBefore w:val="0"/>
                    <w:widowControl w:val="0"/>
                    <w:kinsoku/>
                    <w:wordWrap w:val="0"/>
                    <w:overflowPunct/>
                    <w:topLinePunct w:val="0"/>
                    <w:autoSpaceDE/>
                    <w:autoSpaceDN/>
                    <w:bidi w:val="0"/>
                    <w:spacing w:before="0" w:after="0" w:line="240" w:lineRule="auto"/>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固体废弃物堆场</w:t>
                  </w:r>
                </w:p>
              </w:tc>
              <w:tc>
                <w:tcPr>
                  <w:tcW w:w="1492" w:type="dxa"/>
                </w:tcPr>
                <w:p w14:paraId="6487649C">
                  <w:pPr>
                    <w:pStyle w:val="104"/>
                    <w:keepNext w:val="0"/>
                    <w:keepLines w:val="0"/>
                    <w:pageBreakBefore w:val="0"/>
                    <w:widowControl w:val="0"/>
                    <w:kinsoku/>
                    <w:wordWrap w:val="0"/>
                    <w:overflowPunct/>
                    <w:topLinePunct w:val="0"/>
                    <w:autoSpaceDE/>
                    <w:autoSpaceDN/>
                    <w:bidi w:val="0"/>
                    <w:spacing w:before="0" w:after="0" w:line="240" w:lineRule="auto"/>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危险废物暂存</w:t>
                  </w:r>
                </w:p>
              </w:tc>
            </w:tr>
            <w:tr w14:paraId="368086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1491" w:type="dxa"/>
                  <w:vAlign w:val="center"/>
                </w:tcPr>
                <w:p w14:paraId="4A3CF483">
                  <w:pPr>
                    <w:pStyle w:val="104"/>
                    <w:keepNext w:val="0"/>
                    <w:keepLines w:val="0"/>
                    <w:pageBreakBefore w:val="0"/>
                    <w:widowControl w:val="0"/>
                    <w:kinsoku/>
                    <w:wordWrap w:val="0"/>
                    <w:overflowPunct/>
                    <w:topLinePunct w:val="0"/>
                    <w:autoSpaceDE/>
                    <w:autoSpaceDN/>
                    <w:bidi w:val="0"/>
                    <w:spacing w:before="0" w:after="0" w:line="240" w:lineRule="auto"/>
                    <w:ind w:firstLine="420" w:firstLineChars="200"/>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1"/>
                      <w:szCs w:val="21"/>
                      <w:highlight w:val="none"/>
                    </w:rPr>
                    <w:drawing>
                      <wp:anchor distT="0" distB="0" distL="0" distR="0" simplePos="0" relativeHeight="251660288" behindDoc="0" locked="0" layoutInCell="1" allowOverlap="1">
                        <wp:simplePos x="0" y="0"/>
                        <wp:positionH relativeFrom="column">
                          <wp:posOffset>118745</wp:posOffset>
                        </wp:positionH>
                        <wp:positionV relativeFrom="paragraph">
                          <wp:posOffset>52705</wp:posOffset>
                        </wp:positionV>
                        <wp:extent cx="640715" cy="647700"/>
                        <wp:effectExtent l="0" t="0" r="6985" b="0"/>
                        <wp:wrapNone/>
                        <wp:docPr id="1061" name="图片 42" descr="排放口"/>
                        <wp:cNvGraphicFramePr/>
                        <a:graphic xmlns:a="http://schemas.openxmlformats.org/drawingml/2006/main">
                          <a:graphicData uri="http://schemas.openxmlformats.org/drawingml/2006/picture">
                            <pic:pic xmlns:pic="http://schemas.openxmlformats.org/drawingml/2006/picture">
                              <pic:nvPicPr>
                                <pic:cNvPr id="1061" name="图片 42" descr="排放口"/>
                                <pic:cNvPicPr/>
                              </pic:nvPicPr>
                              <pic:blipFill>
                                <a:blip r:embed="rId27" cstate="print"/>
                                <a:srcRect l="66771" t="5846" r="3780" b="55385"/>
                                <a:stretch>
                                  <a:fillRect/>
                                </a:stretch>
                              </pic:blipFill>
                              <pic:spPr>
                                <a:xfrm>
                                  <a:off x="0" y="0"/>
                                  <a:ext cx="640715" cy="647700"/>
                                </a:xfrm>
                                <a:prstGeom prst="rect">
                                  <a:avLst/>
                                </a:prstGeom>
                                <a:ln>
                                  <a:noFill/>
                                </a:ln>
                              </pic:spPr>
                            </pic:pic>
                          </a:graphicData>
                        </a:graphic>
                      </wp:anchor>
                    </w:drawing>
                  </w:r>
                </w:p>
              </w:tc>
              <w:tc>
                <w:tcPr>
                  <w:tcW w:w="1491" w:type="dxa"/>
                </w:tcPr>
                <w:p w14:paraId="68EDD6F5">
                  <w:pPr>
                    <w:pStyle w:val="104"/>
                    <w:keepNext w:val="0"/>
                    <w:keepLines w:val="0"/>
                    <w:pageBreakBefore w:val="0"/>
                    <w:widowControl w:val="0"/>
                    <w:kinsoku/>
                    <w:wordWrap w:val="0"/>
                    <w:overflowPunct/>
                    <w:topLinePunct w:val="0"/>
                    <w:autoSpaceDE/>
                    <w:autoSpaceDN/>
                    <w:bidi w:val="0"/>
                    <w:spacing w:before="0" w:after="0" w:line="240" w:lineRule="auto"/>
                    <w:ind w:firstLine="420" w:firstLineChars="200"/>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1"/>
                      <w:szCs w:val="21"/>
                      <w:highlight w:val="none"/>
                    </w:rPr>
                    <w:drawing>
                      <wp:anchor distT="0" distB="0" distL="0" distR="0" simplePos="0" relativeHeight="251660288" behindDoc="0" locked="0" layoutInCell="1" allowOverlap="1">
                        <wp:simplePos x="0" y="0"/>
                        <wp:positionH relativeFrom="column">
                          <wp:posOffset>105410</wp:posOffset>
                        </wp:positionH>
                        <wp:positionV relativeFrom="paragraph">
                          <wp:posOffset>54610</wp:posOffset>
                        </wp:positionV>
                        <wp:extent cx="637540" cy="647700"/>
                        <wp:effectExtent l="0" t="0" r="10160" b="0"/>
                        <wp:wrapNone/>
                        <wp:docPr id="1062" name="图片 43" descr="排放口"/>
                        <wp:cNvGraphicFramePr/>
                        <a:graphic xmlns:a="http://schemas.openxmlformats.org/drawingml/2006/main">
                          <a:graphicData uri="http://schemas.openxmlformats.org/drawingml/2006/picture">
                            <pic:pic xmlns:pic="http://schemas.openxmlformats.org/drawingml/2006/picture">
                              <pic:nvPicPr>
                                <pic:cNvPr id="1062" name="图片 43" descr="排放口"/>
                                <pic:cNvPicPr/>
                              </pic:nvPicPr>
                              <pic:blipFill>
                                <a:blip r:embed="rId27" cstate="print"/>
                                <a:srcRect l="19153" t="6250" r="51726" b="55122"/>
                                <a:stretch>
                                  <a:fillRect/>
                                </a:stretch>
                              </pic:blipFill>
                              <pic:spPr>
                                <a:xfrm>
                                  <a:off x="0" y="0"/>
                                  <a:ext cx="637540" cy="647700"/>
                                </a:xfrm>
                                <a:prstGeom prst="rect">
                                  <a:avLst/>
                                </a:prstGeom>
                                <a:ln>
                                  <a:noFill/>
                                </a:ln>
                              </pic:spPr>
                            </pic:pic>
                          </a:graphicData>
                        </a:graphic>
                      </wp:anchor>
                    </w:drawing>
                  </w:r>
                </w:p>
              </w:tc>
              <w:tc>
                <w:tcPr>
                  <w:tcW w:w="1491" w:type="dxa"/>
                </w:tcPr>
                <w:p w14:paraId="4774DB0F">
                  <w:pPr>
                    <w:pStyle w:val="104"/>
                    <w:keepNext w:val="0"/>
                    <w:keepLines w:val="0"/>
                    <w:pageBreakBefore w:val="0"/>
                    <w:widowControl w:val="0"/>
                    <w:kinsoku/>
                    <w:wordWrap w:val="0"/>
                    <w:overflowPunct/>
                    <w:topLinePunct w:val="0"/>
                    <w:autoSpaceDE/>
                    <w:autoSpaceDN/>
                    <w:bidi w:val="0"/>
                    <w:spacing w:before="0" w:after="0" w:line="240" w:lineRule="auto"/>
                    <w:ind w:firstLine="420" w:firstLineChars="200"/>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1"/>
                      <w:szCs w:val="21"/>
                      <w:highlight w:val="none"/>
                    </w:rPr>
                    <w:drawing>
                      <wp:anchor distT="0" distB="0" distL="0" distR="0" simplePos="0" relativeHeight="251660288" behindDoc="0" locked="0" layoutInCell="1" allowOverlap="1">
                        <wp:simplePos x="0" y="0"/>
                        <wp:positionH relativeFrom="column">
                          <wp:posOffset>85725</wp:posOffset>
                        </wp:positionH>
                        <wp:positionV relativeFrom="paragraph">
                          <wp:posOffset>48895</wp:posOffset>
                        </wp:positionV>
                        <wp:extent cx="638810" cy="647700"/>
                        <wp:effectExtent l="0" t="0" r="8890" b="0"/>
                        <wp:wrapNone/>
                        <wp:docPr id="1063" name="图片 44" descr="排放口"/>
                        <wp:cNvGraphicFramePr/>
                        <a:graphic xmlns:a="http://schemas.openxmlformats.org/drawingml/2006/main">
                          <a:graphicData uri="http://schemas.openxmlformats.org/drawingml/2006/picture">
                            <pic:pic xmlns:pic="http://schemas.openxmlformats.org/drawingml/2006/picture">
                              <pic:nvPicPr>
                                <pic:cNvPr id="1063" name="图片 44" descr="排放口"/>
                                <pic:cNvPicPr/>
                              </pic:nvPicPr>
                              <pic:blipFill>
                                <a:blip r:embed="rId27" cstate="print"/>
                                <a:srcRect l="51723" t="47942" r="27067" b="13129"/>
                                <a:stretch>
                                  <a:fillRect/>
                                </a:stretch>
                              </pic:blipFill>
                              <pic:spPr>
                                <a:xfrm>
                                  <a:off x="0" y="0"/>
                                  <a:ext cx="638810" cy="647700"/>
                                </a:xfrm>
                                <a:prstGeom prst="rect">
                                  <a:avLst/>
                                </a:prstGeom>
                                <a:ln>
                                  <a:noFill/>
                                </a:ln>
                              </pic:spPr>
                            </pic:pic>
                          </a:graphicData>
                        </a:graphic>
                      </wp:anchor>
                    </w:drawing>
                  </w:r>
                </w:p>
              </w:tc>
              <w:tc>
                <w:tcPr>
                  <w:tcW w:w="1801" w:type="dxa"/>
                </w:tcPr>
                <w:p w14:paraId="5C230574">
                  <w:pPr>
                    <w:pStyle w:val="104"/>
                    <w:keepNext w:val="0"/>
                    <w:keepLines w:val="0"/>
                    <w:pageBreakBefore w:val="0"/>
                    <w:widowControl w:val="0"/>
                    <w:kinsoku/>
                    <w:wordWrap w:val="0"/>
                    <w:overflowPunct/>
                    <w:topLinePunct w:val="0"/>
                    <w:autoSpaceDE/>
                    <w:autoSpaceDN/>
                    <w:bidi w:val="0"/>
                    <w:spacing w:before="0" w:after="0" w:line="240" w:lineRule="auto"/>
                    <w:ind w:firstLine="420" w:firstLineChars="200"/>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1"/>
                      <w:szCs w:val="21"/>
                      <w:highlight w:val="none"/>
                    </w:rPr>
                    <w:drawing>
                      <wp:anchor distT="0" distB="0" distL="0" distR="0" simplePos="0" relativeHeight="251660288" behindDoc="0" locked="0" layoutInCell="1" allowOverlap="1">
                        <wp:simplePos x="0" y="0"/>
                        <wp:positionH relativeFrom="column">
                          <wp:posOffset>152400</wp:posOffset>
                        </wp:positionH>
                        <wp:positionV relativeFrom="paragraph">
                          <wp:posOffset>50800</wp:posOffset>
                        </wp:positionV>
                        <wp:extent cx="652145" cy="647700"/>
                        <wp:effectExtent l="0" t="0" r="6350" b="0"/>
                        <wp:wrapNone/>
                        <wp:docPr id="1064" name="图片 46" descr="排放口"/>
                        <wp:cNvGraphicFramePr/>
                        <a:graphic xmlns:a="http://schemas.openxmlformats.org/drawingml/2006/main">
                          <a:graphicData uri="http://schemas.openxmlformats.org/drawingml/2006/picture">
                            <pic:pic xmlns:pic="http://schemas.openxmlformats.org/drawingml/2006/picture">
                              <pic:nvPicPr>
                                <pic:cNvPr id="1064" name="图片 46" descr="排放口"/>
                                <pic:cNvPicPr/>
                              </pic:nvPicPr>
                              <pic:blipFill>
                                <a:blip r:embed="rId27" cstate="print"/>
                                <a:srcRect l="18872" t="47525" r="51678" b="14358"/>
                                <a:stretch>
                                  <a:fillRect/>
                                </a:stretch>
                              </pic:blipFill>
                              <pic:spPr>
                                <a:xfrm>
                                  <a:off x="0" y="0"/>
                                  <a:ext cx="652145" cy="647700"/>
                                </a:xfrm>
                                <a:prstGeom prst="rect">
                                  <a:avLst/>
                                </a:prstGeom>
                                <a:ln>
                                  <a:noFill/>
                                </a:ln>
                              </pic:spPr>
                            </pic:pic>
                          </a:graphicData>
                        </a:graphic>
                      </wp:anchor>
                    </w:drawing>
                  </w:r>
                </w:p>
              </w:tc>
              <w:tc>
                <w:tcPr>
                  <w:tcW w:w="1492" w:type="dxa"/>
                </w:tcPr>
                <w:p w14:paraId="686889C3">
                  <w:pPr>
                    <w:pStyle w:val="104"/>
                    <w:keepNext w:val="0"/>
                    <w:keepLines w:val="0"/>
                    <w:pageBreakBefore w:val="0"/>
                    <w:widowControl w:val="0"/>
                    <w:kinsoku/>
                    <w:wordWrap w:val="0"/>
                    <w:overflowPunct/>
                    <w:topLinePunct w:val="0"/>
                    <w:autoSpaceDE/>
                    <w:autoSpaceDN/>
                    <w:bidi w:val="0"/>
                    <w:spacing w:before="0" w:after="0" w:line="240" w:lineRule="auto"/>
                    <w:ind w:firstLine="420" w:firstLineChars="200"/>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1"/>
                      <w:szCs w:val="21"/>
                      <w:highlight w:val="none"/>
                    </w:rPr>
                    <w:drawing>
                      <wp:anchor distT="0" distB="0" distL="0" distR="0" simplePos="0" relativeHeight="251660288" behindDoc="0" locked="0" layoutInCell="1" allowOverlap="1">
                        <wp:simplePos x="0" y="0"/>
                        <wp:positionH relativeFrom="column">
                          <wp:posOffset>-22225</wp:posOffset>
                        </wp:positionH>
                        <wp:positionV relativeFrom="paragraph">
                          <wp:posOffset>44450</wp:posOffset>
                        </wp:positionV>
                        <wp:extent cx="720090" cy="597535"/>
                        <wp:effectExtent l="0" t="0" r="3175" b="6985"/>
                        <wp:wrapNone/>
                        <wp:docPr id="1066" name="图片 45" descr="危废"/>
                        <wp:cNvGraphicFramePr/>
                        <a:graphic xmlns:a="http://schemas.openxmlformats.org/drawingml/2006/main">
                          <a:graphicData uri="http://schemas.openxmlformats.org/drawingml/2006/picture">
                            <pic:pic xmlns:pic="http://schemas.openxmlformats.org/drawingml/2006/picture">
                              <pic:nvPicPr>
                                <pic:cNvPr id="1066" name="图片 45" descr="危废"/>
                                <pic:cNvPicPr/>
                              </pic:nvPicPr>
                              <pic:blipFill>
                                <a:blip r:embed="rId28" cstate="print"/>
                                <a:srcRect t="15695" r="57016" b="30949"/>
                                <a:stretch>
                                  <a:fillRect/>
                                </a:stretch>
                              </pic:blipFill>
                              <pic:spPr>
                                <a:xfrm>
                                  <a:off x="0" y="0"/>
                                  <a:ext cx="720090" cy="597535"/>
                                </a:xfrm>
                                <a:prstGeom prst="rect">
                                  <a:avLst/>
                                </a:prstGeom>
                                <a:ln>
                                  <a:noFill/>
                                </a:ln>
                              </pic:spPr>
                            </pic:pic>
                          </a:graphicData>
                        </a:graphic>
                      </wp:anchor>
                    </w:drawing>
                  </w:r>
                  <w:r>
                    <w:rPr>
                      <w:rFonts w:hint="default" w:ascii="Times New Roman" w:hAnsi="Times New Roman" w:cs="Times New Roman"/>
                      <w:color w:val="auto"/>
                      <w:sz w:val="21"/>
                      <w:szCs w:val="21"/>
                      <w:highlight w:val="none"/>
                    </w:rPr>
                    <w:drawing>
                      <wp:anchor distT="0" distB="0" distL="0" distR="0" simplePos="0" relativeHeight="251660288" behindDoc="0" locked="0" layoutInCell="1" allowOverlap="1">
                        <wp:simplePos x="0" y="0"/>
                        <wp:positionH relativeFrom="column">
                          <wp:posOffset>15875</wp:posOffset>
                        </wp:positionH>
                        <wp:positionV relativeFrom="paragraph">
                          <wp:posOffset>50800</wp:posOffset>
                        </wp:positionV>
                        <wp:extent cx="673735" cy="687070"/>
                        <wp:effectExtent l="0" t="0" r="6350" b="3810"/>
                        <wp:wrapNone/>
                        <wp:docPr id="1065" name="图片 6"/>
                        <wp:cNvGraphicFramePr/>
                        <a:graphic xmlns:a="http://schemas.openxmlformats.org/drawingml/2006/main">
                          <a:graphicData uri="http://schemas.openxmlformats.org/drawingml/2006/picture">
                            <pic:pic xmlns:pic="http://schemas.openxmlformats.org/drawingml/2006/picture">
                              <pic:nvPicPr>
                                <pic:cNvPr id="1065" name="图片 6"/>
                                <pic:cNvPicPr/>
                              </pic:nvPicPr>
                              <pic:blipFill>
                                <a:blip r:embed="rId29" cstate="print"/>
                                <a:srcRect l="15968" t="5974" r="13557" b="48367"/>
                                <a:stretch>
                                  <a:fillRect/>
                                </a:stretch>
                              </pic:blipFill>
                              <pic:spPr>
                                <a:xfrm>
                                  <a:off x="0" y="0"/>
                                  <a:ext cx="673735" cy="687070"/>
                                </a:xfrm>
                                <a:prstGeom prst="rect">
                                  <a:avLst/>
                                </a:prstGeom>
                                <a:ln>
                                  <a:noFill/>
                                </a:ln>
                              </pic:spPr>
                            </pic:pic>
                          </a:graphicData>
                        </a:graphic>
                      </wp:anchor>
                    </w:drawing>
                  </w:r>
                </w:p>
              </w:tc>
            </w:tr>
            <w:tr w14:paraId="5BA5BC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4" w:type="dxa"/>
                  <w:gridSpan w:val="4"/>
                </w:tcPr>
                <w:p w14:paraId="4F4DE2BD">
                  <w:pPr>
                    <w:pStyle w:val="104"/>
                    <w:keepNext w:val="0"/>
                    <w:keepLines w:val="0"/>
                    <w:pageBreakBefore w:val="0"/>
                    <w:widowControl w:val="0"/>
                    <w:kinsoku/>
                    <w:wordWrap w:val="0"/>
                    <w:overflowPunct/>
                    <w:topLinePunct w:val="0"/>
                    <w:autoSpaceDE/>
                    <w:autoSpaceDN/>
                    <w:bidi w:val="0"/>
                    <w:spacing w:before="0" w:after="0" w:line="240" w:lineRule="auto"/>
                    <w:ind w:firstLine="420" w:firstLineChars="200"/>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背景颜色：绿色            图形颜色：白色</w:t>
                  </w:r>
                </w:p>
              </w:tc>
              <w:tc>
                <w:tcPr>
                  <w:tcW w:w="1492" w:type="dxa"/>
                </w:tcPr>
                <w:p w14:paraId="4CDAE2EB">
                  <w:pPr>
                    <w:pStyle w:val="104"/>
                    <w:keepNext w:val="0"/>
                    <w:keepLines w:val="0"/>
                    <w:pageBreakBefore w:val="0"/>
                    <w:widowControl w:val="0"/>
                    <w:kinsoku/>
                    <w:wordWrap w:val="0"/>
                    <w:overflowPunct/>
                    <w:topLinePunct w:val="0"/>
                    <w:autoSpaceDE/>
                    <w:autoSpaceDN/>
                    <w:bidi w:val="0"/>
                    <w:spacing w:before="0" w:after="0" w:line="240" w:lineRule="auto"/>
                    <w:ind w:firstLine="420" w:firstLineChars="200"/>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w:t>
                  </w:r>
                </w:p>
              </w:tc>
            </w:tr>
          </w:tbl>
          <w:p w14:paraId="5E3EBF6F">
            <w:pPr>
              <w:pStyle w:val="105"/>
              <w:keepNext w:val="0"/>
              <w:keepLines w:val="0"/>
              <w:pageBreakBefore w:val="0"/>
              <w:widowControl w:val="0"/>
              <w:numPr>
                <w:ilvl w:val="0"/>
                <w:numId w:val="0"/>
              </w:numPr>
              <w:kinsoku/>
              <w:wordWrap w:val="0"/>
              <w:overflowPunct/>
              <w:topLinePunct w:val="0"/>
              <w:autoSpaceDE/>
              <w:autoSpaceDN/>
              <w:bidi w:val="0"/>
              <w:spacing w:line="240" w:lineRule="auto"/>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（三）</w:t>
            </w:r>
            <w:r>
              <w:rPr>
                <w:rFonts w:hint="default" w:ascii="Times New Roman" w:hAnsi="Times New Roman" w:cs="Times New Roman"/>
                <w:color w:val="auto"/>
                <w:sz w:val="21"/>
                <w:szCs w:val="21"/>
                <w:highlight w:val="none"/>
              </w:rPr>
              <w:t>排污许可</w:t>
            </w:r>
          </w:p>
          <w:p w14:paraId="3B91EB59">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根据《固定污染源排污许可分类管理名录（2019版）》，对本项目排污许可分类进行判定，具体如下：</w:t>
            </w:r>
          </w:p>
          <w:p w14:paraId="20275046">
            <w:pPr>
              <w:pStyle w:val="101"/>
              <w:keepNext w:val="0"/>
              <w:keepLines w:val="0"/>
              <w:pageBreakBefore w:val="0"/>
              <w:widowControl w:val="0"/>
              <w:kinsoku/>
              <w:wordWrap w:val="0"/>
              <w:overflowPunct/>
              <w:topLinePunct w:val="0"/>
              <w:autoSpaceDE/>
              <w:autoSpaceDN/>
              <w:bidi w:val="0"/>
              <w:spacing w:line="240" w:lineRule="auto"/>
              <w:ind w:right="0" w:firstLine="482"/>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表5-2 项目排污许可类别判定表</w:t>
            </w:r>
          </w:p>
          <w:tbl>
            <w:tblPr>
              <w:tblStyle w:val="4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1"/>
              <w:gridCol w:w="1264"/>
              <w:gridCol w:w="1709"/>
              <w:gridCol w:w="2078"/>
              <w:gridCol w:w="1083"/>
              <w:gridCol w:w="814"/>
            </w:tblGrid>
            <w:tr w14:paraId="188F6E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Merge w:val="restart"/>
                  <w:tcBorders>
                    <w:tl2br w:val="nil"/>
                    <w:tr2bl w:val="nil"/>
                  </w:tcBorders>
                  <w:vAlign w:val="center"/>
                </w:tcPr>
                <w:p w14:paraId="60ACB9BE">
                  <w:pPr>
                    <w:pStyle w:val="28"/>
                    <w:keepNext w:val="0"/>
                    <w:keepLines w:val="0"/>
                    <w:pageBreakBefore w:val="0"/>
                    <w:widowControl w:val="0"/>
                    <w:numPr>
                      <w:ilvl w:val="0"/>
                      <w:numId w:val="0"/>
                    </w:numPr>
                    <w:kinsoku/>
                    <w:wordWrap w:val="0"/>
                    <w:overflowPunct/>
                    <w:topLinePunct w:val="0"/>
                    <w:autoSpaceDE/>
                    <w:autoSpaceDN/>
                    <w:bidi w:val="0"/>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国民经济行业类别</w:t>
                  </w:r>
                </w:p>
              </w:tc>
              <w:tc>
                <w:tcPr>
                  <w:tcW w:w="787" w:type="pct"/>
                  <w:vMerge w:val="restart"/>
                  <w:tcBorders>
                    <w:tl2br w:val="nil"/>
                    <w:tr2bl w:val="nil"/>
                  </w:tcBorders>
                  <w:vAlign w:val="center"/>
                </w:tcPr>
                <w:p w14:paraId="2B3BA1F9">
                  <w:pPr>
                    <w:pStyle w:val="28"/>
                    <w:keepNext w:val="0"/>
                    <w:keepLines w:val="0"/>
                    <w:pageBreakBefore w:val="0"/>
                    <w:widowControl w:val="0"/>
                    <w:numPr>
                      <w:ilvl w:val="0"/>
                      <w:numId w:val="0"/>
                    </w:numPr>
                    <w:kinsoku/>
                    <w:wordWrap w:val="0"/>
                    <w:overflowPunct/>
                    <w:topLinePunct w:val="0"/>
                    <w:autoSpaceDE/>
                    <w:autoSpaceDN/>
                    <w:bidi w:val="0"/>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建设项目行业类别</w:t>
                  </w:r>
                </w:p>
              </w:tc>
              <w:tc>
                <w:tcPr>
                  <w:tcW w:w="3539" w:type="pct"/>
                  <w:gridSpan w:val="4"/>
                  <w:tcBorders>
                    <w:tl2br w:val="nil"/>
                    <w:tr2bl w:val="nil"/>
                  </w:tcBorders>
                  <w:vAlign w:val="center"/>
                </w:tcPr>
                <w:p w14:paraId="2A8648BA">
                  <w:pPr>
                    <w:pStyle w:val="28"/>
                    <w:keepNext w:val="0"/>
                    <w:keepLines w:val="0"/>
                    <w:pageBreakBefore w:val="0"/>
                    <w:widowControl w:val="0"/>
                    <w:numPr>
                      <w:ilvl w:val="0"/>
                      <w:numId w:val="0"/>
                    </w:numPr>
                    <w:kinsoku/>
                    <w:wordWrap w:val="0"/>
                    <w:overflowPunct/>
                    <w:topLinePunct w:val="0"/>
                    <w:autoSpaceDE/>
                    <w:autoSpaceDN/>
                    <w:bidi w:val="0"/>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排污许可类别判定</w:t>
                  </w:r>
                </w:p>
              </w:tc>
            </w:tr>
            <w:tr w14:paraId="641B47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Merge w:val="continue"/>
                  <w:tcBorders>
                    <w:tl2br w:val="nil"/>
                    <w:tr2bl w:val="nil"/>
                  </w:tcBorders>
                  <w:vAlign w:val="center"/>
                </w:tcPr>
                <w:p w14:paraId="70506DF6">
                  <w:pPr>
                    <w:pStyle w:val="28"/>
                    <w:keepNext w:val="0"/>
                    <w:keepLines w:val="0"/>
                    <w:pageBreakBefore w:val="0"/>
                    <w:widowControl w:val="0"/>
                    <w:numPr>
                      <w:ilvl w:val="0"/>
                      <w:numId w:val="0"/>
                    </w:numPr>
                    <w:kinsoku/>
                    <w:wordWrap w:val="0"/>
                    <w:overflowPunct/>
                    <w:topLinePunct w:val="0"/>
                    <w:autoSpaceDE/>
                    <w:autoSpaceDN/>
                    <w:bidi w:val="0"/>
                    <w:spacing w:line="240" w:lineRule="auto"/>
                    <w:jc w:val="center"/>
                    <w:textAlignment w:val="auto"/>
                    <w:rPr>
                      <w:rFonts w:hint="default" w:ascii="Times New Roman" w:hAnsi="Times New Roman" w:cs="Times New Roman"/>
                      <w:b/>
                      <w:bCs/>
                      <w:color w:val="auto"/>
                      <w:sz w:val="21"/>
                      <w:szCs w:val="21"/>
                      <w:highlight w:val="none"/>
                    </w:rPr>
                  </w:pPr>
                </w:p>
              </w:tc>
              <w:tc>
                <w:tcPr>
                  <w:tcW w:w="787" w:type="pct"/>
                  <w:vMerge w:val="continue"/>
                  <w:tcBorders>
                    <w:tl2br w:val="nil"/>
                    <w:tr2bl w:val="nil"/>
                  </w:tcBorders>
                  <w:vAlign w:val="center"/>
                </w:tcPr>
                <w:p w14:paraId="640FEC1C">
                  <w:pPr>
                    <w:pStyle w:val="28"/>
                    <w:keepNext w:val="0"/>
                    <w:keepLines w:val="0"/>
                    <w:pageBreakBefore w:val="0"/>
                    <w:widowControl w:val="0"/>
                    <w:numPr>
                      <w:ilvl w:val="0"/>
                      <w:numId w:val="0"/>
                    </w:numPr>
                    <w:kinsoku/>
                    <w:wordWrap w:val="0"/>
                    <w:overflowPunct/>
                    <w:topLinePunct w:val="0"/>
                    <w:autoSpaceDE/>
                    <w:autoSpaceDN/>
                    <w:bidi w:val="0"/>
                    <w:spacing w:line="240" w:lineRule="auto"/>
                    <w:jc w:val="center"/>
                    <w:textAlignment w:val="auto"/>
                    <w:rPr>
                      <w:rFonts w:hint="default" w:ascii="Times New Roman" w:hAnsi="Times New Roman" w:cs="Times New Roman"/>
                      <w:b/>
                      <w:bCs/>
                      <w:color w:val="auto"/>
                      <w:sz w:val="21"/>
                      <w:szCs w:val="21"/>
                      <w:highlight w:val="none"/>
                    </w:rPr>
                  </w:pPr>
                </w:p>
              </w:tc>
              <w:tc>
                <w:tcPr>
                  <w:tcW w:w="1064" w:type="pct"/>
                  <w:tcBorders>
                    <w:tl2br w:val="nil"/>
                    <w:tr2bl w:val="nil"/>
                  </w:tcBorders>
                  <w:vAlign w:val="center"/>
                </w:tcPr>
                <w:p w14:paraId="232DC67B">
                  <w:pPr>
                    <w:pStyle w:val="28"/>
                    <w:keepNext w:val="0"/>
                    <w:keepLines w:val="0"/>
                    <w:pageBreakBefore w:val="0"/>
                    <w:widowControl w:val="0"/>
                    <w:numPr>
                      <w:ilvl w:val="0"/>
                      <w:numId w:val="0"/>
                    </w:numPr>
                    <w:kinsoku/>
                    <w:wordWrap w:val="0"/>
                    <w:overflowPunct/>
                    <w:topLinePunct w:val="0"/>
                    <w:autoSpaceDE/>
                    <w:autoSpaceDN/>
                    <w:bidi w:val="0"/>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重点管理</w:t>
                  </w:r>
                </w:p>
              </w:tc>
              <w:tc>
                <w:tcPr>
                  <w:tcW w:w="1294" w:type="pct"/>
                  <w:tcBorders>
                    <w:tl2br w:val="nil"/>
                    <w:tr2bl w:val="nil"/>
                  </w:tcBorders>
                  <w:vAlign w:val="center"/>
                </w:tcPr>
                <w:p w14:paraId="12C8B089">
                  <w:pPr>
                    <w:pStyle w:val="28"/>
                    <w:keepNext w:val="0"/>
                    <w:keepLines w:val="0"/>
                    <w:pageBreakBefore w:val="0"/>
                    <w:widowControl w:val="0"/>
                    <w:numPr>
                      <w:ilvl w:val="0"/>
                      <w:numId w:val="0"/>
                    </w:numPr>
                    <w:kinsoku/>
                    <w:wordWrap w:val="0"/>
                    <w:overflowPunct/>
                    <w:topLinePunct w:val="0"/>
                    <w:autoSpaceDE/>
                    <w:autoSpaceDN/>
                    <w:bidi w:val="0"/>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简化管理</w:t>
                  </w:r>
                </w:p>
              </w:tc>
              <w:tc>
                <w:tcPr>
                  <w:tcW w:w="674" w:type="pct"/>
                  <w:tcBorders>
                    <w:tl2br w:val="nil"/>
                    <w:tr2bl w:val="nil"/>
                  </w:tcBorders>
                  <w:vAlign w:val="center"/>
                </w:tcPr>
                <w:p w14:paraId="211A7C28">
                  <w:pPr>
                    <w:pStyle w:val="28"/>
                    <w:keepNext w:val="0"/>
                    <w:keepLines w:val="0"/>
                    <w:pageBreakBefore w:val="0"/>
                    <w:widowControl w:val="0"/>
                    <w:numPr>
                      <w:ilvl w:val="0"/>
                      <w:numId w:val="0"/>
                    </w:numPr>
                    <w:kinsoku/>
                    <w:wordWrap w:val="0"/>
                    <w:overflowPunct/>
                    <w:topLinePunct w:val="0"/>
                    <w:autoSpaceDE/>
                    <w:autoSpaceDN/>
                    <w:bidi w:val="0"/>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登记管理</w:t>
                  </w:r>
                </w:p>
              </w:tc>
              <w:tc>
                <w:tcPr>
                  <w:tcW w:w="506" w:type="pct"/>
                  <w:tcBorders>
                    <w:tl2br w:val="nil"/>
                    <w:tr2bl w:val="nil"/>
                  </w:tcBorders>
                  <w:vAlign w:val="center"/>
                </w:tcPr>
                <w:p w14:paraId="5B50E641">
                  <w:pPr>
                    <w:pStyle w:val="28"/>
                    <w:keepNext w:val="0"/>
                    <w:keepLines w:val="0"/>
                    <w:pageBreakBefore w:val="0"/>
                    <w:widowControl w:val="0"/>
                    <w:numPr>
                      <w:ilvl w:val="0"/>
                      <w:numId w:val="0"/>
                    </w:numPr>
                    <w:kinsoku/>
                    <w:wordWrap w:val="0"/>
                    <w:overflowPunct/>
                    <w:topLinePunct w:val="0"/>
                    <w:autoSpaceDE/>
                    <w:autoSpaceDN/>
                    <w:bidi w:val="0"/>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本项目</w:t>
                  </w:r>
                </w:p>
              </w:tc>
            </w:tr>
            <w:tr w14:paraId="0989FC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tcBorders>
                    <w:tl2br w:val="nil"/>
                    <w:tr2bl w:val="nil"/>
                  </w:tcBorders>
                  <w:shd w:val="clear" w:color="auto" w:fill="auto"/>
                  <w:vAlign w:val="center"/>
                </w:tcPr>
                <w:p w14:paraId="6990B91A">
                  <w:pPr>
                    <w:pStyle w:val="28"/>
                    <w:keepNext w:val="0"/>
                    <w:keepLines w:val="0"/>
                    <w:pageBreakBefore w:val="0"/>
                    <w:widowControl w:val="0"/>
                    <w:numPr>
                      <w:ilvl w:val="0"/>
                      <w:numId w:val="0"/>
                    </w:numPr>
                    <w:kinsoku/>
                    <w:wordWrap w:val="0"/>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rPr>
                    <w:t>C3311 金属结构制造</w:t>
                  </w:r>
                </w:p>
              </w:tc>
              <w:tc>
                <w:tcPr>
                  <w:tcW w:w="787" w:type="pct"/>
                  <w:tcBorders>
                    <w:tl2br w:val="nil"/>
                    <w:tr2bl w:val="nil"/>
                  </w:tcBorders>
                  <w:shd w:val="clear" w:color="auto" w:fill="auto"/>
                  <w:vAlign w:val="center"/>
                </w:tcPr>
                <w:p w14:paraId="2E732C4C">
                  <w:pPr>
                    <w:pStyle w:val="28"/>
                    <w:keepNext w:val="0"/>
                    <w:keepLines w:val="0"/>
                    <w:pageBreakBefore w:val="0"/>
                    <w:widowControl w:val="0"/>
                    <w:numPr>
                      <w:ilvl w:val="0"/>
                      <w:numId w:val="0"/>
                    </w:numPr>
                    <w:kinsoku/>
                    <w:wordWrap w:val="0"/>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二十八、金属制品业</w:t>
                  </w:r>
                </w:p>
              </w:tc>
              <w:tc>
                <w:tcPr>
                  <w:tcW w:w="1064" w:type="pct"/>
                  <w:tcBorders>
                    <w:tl2br w:val="nil"/>
                    <w:tr2bl w:val="nil"/>
                  </w:tcBorders>
                  <w:vAlign w:val="center"/>
                </w:tcPr>
                <w:p w14:paraId="1E487481">
                  <w:pPr>
                    <w:pStyle w:val="28"/>
                    <w:keepNext w:val="0"/>
                    <w:keepLines w:val="0"/>
                    <w:pageBreakBefore w:val="0"/>
                    <w:widowControl w:val="0"/>
                    <w:numPr>
                      <w:ilvl w:val="0"/>
                      <w:numId w:val="0"/>
                    </w:numPr>
                    <w:kinsoku/>
                    <w:wordWrap w:val="0"/>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涉及通用工序重点管理的</w:t>
                  </w:r>
                </w:p>
              </w:tc>
              <w:tc>
                <w:tcPr>
                  <w:tcW w:w="1294" w:type="pct"/>
                  <w:tcBorders>
                    <w:tl2br w:val="nil"/>
                    <w:tr2bl w:val="nil"/>
                  </w:tcBorders>
                  <w:vAlign w:val="center"/>
                </w:tcPr>
                <w:p w14:paraId="3142BE5E">
                  <w:pPr>
                    <w:pStyle w:val="28"/>
                    <w:keepNext w:val="0"/>
                    <w:keepLines w:val="0"/>
                    <w:pageBreakBefore w:val="0"/>
                    <w:widowControl w:val="0"/>
                    <w:numPr>
                      <w:ilvl w:val="0"/>
                      <w:numId w:val="0"/>
                    </w:numPr>
                    <w:kinsoku/>
                    <w:wordWrap w:val="0"/>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shd w:val="clear" w:color="auto" w:fill="FFFFFF"/>
                    </w:rPr>
                    <w:t>涉及通用工序简化管理的</w:t>
                  </w:r>
                </w:p>
              </w:tc>
              <w:tc>
                <w:tcPr>
                  <w:tcW w:w="674" w:type="pct"/>
                  <w:tcBorders>
                    <w:tl2br w:val="nil"/>
                    <w:tr2bl w:val="nil"/>
                  </w:tcBorders>
                  <w:vAlign w:val="center"/>
                </w:tcPr>
                <w:p w14:paraId="1AC744C2">
                  <w:pPr>
                    <w:pStyle w:val="28"/>
                    <w:keepNext w:val="0"/>
                    <w:keepLines w:val="0"/>
                    <w:pageBreakBefore w:val="0"/>
                    <w:widowControl w:val="0"/>
                    <w:numPr>
                      <w:ilvl w:val="0"/>
                      <w:numId w:val="0"/>
                    </w:numPr>
                    <w:kinsoku/>
                    <w:wordWrap w:val="0"/>
                    <w:overflowPunct/>
                    <w:topLinePunct w:val="0"/>
                    <w:autoSpaceDE/>
                    <w:autoSpaceDN/>
                    <w:bidi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其他</w:t>
                  </w:r>
                </w:p>
              </w:tc>
              <w:tc>
                <w:tcPr>
                  <w:tcW w:w="506" w:type="pct"/>
                  <w:vMerge w:val="restart"/>
                  <w:tcBorders>
                    <w:tl2br w:val="nil"/>
                    <w:tr2bl w:val="nil"/>
                  </w:tcBorders>
                  <w:vAlign w:val="center"/>
                </w:tcPr>
                <w:p w14:paraId="6AF7085A">
                  <w:pPr>
                    <w:pStyle w:val="28"/>
                    <w:keepNext w:val="0"/>
                    <w:keepLines w:val="0"/>
                    <w:pageBreakBefore w:val="0"/>
                    <w:widowControl w:val="0"/>
                    <w:numPr>
                      <w:ilvl w:val="0"/>
                      <w:numId w:val="0"/>
                    </w:numPr>
                    <w:kinsoku/>
                    <w:wordWrap w:val="0"/>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本项目生产过程</w:t>
                  </w:r>
                  <w:r>
                    <w:rPr>
                      <w:rFonts w:hint="eastAsia" w:cs="Times New Roman"/>
                      <w:color w:val="auto"/>
                      <w:sz w:val="21"/>
                      <w:szCs w:val="21"/>
                      <w:highlight w:val="none"/>
                      <w:lang w:val="en-US" w:eastAsia="zh-CN"/>
                    </w:rPr>
                    <w:t>含磷化工序</w:t>
                  </w:r>
                  <w:r>
                    <w:rPr>
                      <w:rFonts w:hint="default" w:ascii="Times New Roman" w:hAnsi="Times New Roman" w:cs="Times New Roman"/>
                      <w:color w:val="auto"/>
                      <w:sz w:val="21"/>
                      <w:szCs w:val="21"/>
                      <w:highlight w:val="none"/>
                    </w:rPr>
                    <w:t>，实行</w:t>
                  </w:r>
                  <w:r>
                    <w:rPr>
                      <w:rFonts w:hint="eastAsia" w:cs="Times New Roman"/>
                      <w:color w:val="auto"/>
                      <w:sz w:val="21"/>
                      <w:szCs w:val="21"/>
                      <w:highlight w:val="none"/>
                      <w:lang w:val="en-US" w:eastAsia="zh-CN"/>
                    </w:rPr>
                    <w:t>简化</w:t>
                  </w:r>
                  <w:r>
                    <w:rPr>
                      <w:rFonts w:hint="default" w:ascii="Times New Roman" w:hAnsi="Times New Roman" w:cs="Times New Roman"/>
                      <w:color w:val="auto"/>
                      <w:sz w:val="21"/>
                      <w:szCs w:val="21"/>
                      <w:highlight w:val="none"/>
                    </w:rPr>
                    <w:t>管理</w:t>
                  </w:r>
                </w:p>
              </w:tc>
            </w:tr>
            <w:tr w14:paraId="7F29EF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73" w:type="pct"/>
                  <w:tcBorders>
                    <w:tl2br w:val="nil"/>
                    <w:tr2bl w:val="nil"/>
                  </w:tcBorders>
                  <w:vAlign w:val="center"/>
                </w:tcPr>
                <w:p w14:paraId="67C22DBB">
                  <w:pPr>
                    <w:pStyle w:val="28"/>
                    <w:keepNext w:val="0"/>
                    <w:keepLines w:val="0"/>
                    <w:pageBreakBefore w:val="0"/>
                    <w:widowControl w:val="0"/>
                    <w:numPr>
                      <w:ilvl w:val="0"/>
                      <w:numId w:val="0"/>
                    </w:numPr>
                    <w:kinsoku/>
                    <w:wordWrap w:val="0"/>
                    <w:overflowPunct/>
                    <w:topLinePunct w:val="0"/>
                    <w:autoSpaceDE/>
                    <w:autoSpaceDN/>
                    <w:bidi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表面处理</w:t>
                  </w:r>
                </w:p>
              </w:tc>
              <w:tc>
                <w:tcPr>
                  <w:tcW w:w="787" w:type="pct"/>
                  <w:tcBorders>
                    <w:tl2br w:val="nil"/>
                    <w:tr2bl w:val="nil"/>
                  </w:tcBorders>
                  <w:vAlign w:val="center"/>
                </w:tcPr>
                <w:p w14:paraId="2C74B377">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五十一、通用工序-111.表面处理”</w:t>
                  </w:r>
                </w:p>
              </w:tc>
              <w:tc>
                <w:tcPr>
                  <w:tcW w:w="1064" w:type="pct"/>
                  <w:tcBorders>
                    <w:tl2br w:val="nil"/>
                    <w:tr2bl w:val="nil"/>
                  </w:tcBorders>
                  <w:vAlign w:val="center"/>
                </w:tcPr>
                <w:p w14:paraId="3FBBB157">
                  <w:pPr>
                    <w:pStyle w:val="28"/>
                    <w:keepNext w:val="0"/>
                    <w:keepLines w:val="0"/>
                    <w:pageBreakBefore w:val="0"/>
                    <w:widowControl w:val="0"/>
                    <w:numPr>
                      <w:ilvl w:val="0"/>
                      <w:numId w:val="0"/>
                    </w:numPr>
                    <w:kinsoku/>
                    <w:wordWrap w:val="0"/>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纳入重点排污单位名录的</w:t>
                  </w:r>
                </w:p>
              </w:tc>
              <w:tc>
                <w:tcPr>
                  <w:tcW w:w="1294" w:type="pct"/>
                  <w:tcBorders>
                    <w:tl2br w:val="nil"/>
                    <w:tr2bl w:val="nil"/>
                  </w:tcBorders>
                  <w:vAlign w:val="center"/>
                </w:tcPr>
                <w:p w14:paraId="451C201E">
                  <w:pPr>
                    <w:pStyle w:val="28"/>
                    <w:keepNext w:val="0"/>
                    <w:keepLines w:val="0"/>
                    <w:pageBreakBefore w:val="0"/>
                    <w:widowControl w:val="0"/>
                    <w:numPr>
                      <w:ilvl w:val="0"/>
                      <w:numId w:val="0"/>
                    </w:numPr>
                    <w:kinsoku/>
                    <w:wordWrap w:val="0"/>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除纳入重点排污单位名录的，有电镀工序、酸洗、抛光(电解抛光和化学抛光)、热浸镀(溶剂法)、淬火或者</w:t>
                  </w:r>
                  <w:r>
                    <w:rPr>
                      <w:rFonts w:hint="eastAsia" w:cs="Times New Roman"/>
                      <w:color w:val="auto"/>
                      <w:sz w:val="21"/>
                      <w:szCs w:val="21"/>
                      <w:highlight w:val="none"/>
                      <w:shd w:val="clear" w:color="auto" w:fill="FFFFFF"/>
                      <w:lang w:eastAsia="zh-CN"/>
                    </w:rPr>
                    <w:t>磷化</w:t>
                  </w:r>
                  <w:r>
                    <w:rPr>
                      <w:rFonts w:hint="default" w:ascii="Times New Roman" w:hAnsi="Times New Roman" w:cs="Times New Roman"/>
                      <w:color w:val="auto"/>
                      <w:sz w:val="21"/>
                      <w:szCs w:val="21"/>
                      <w:highlight w:val="none"/>
                      <w:shd w:val="clear" w:color="auto" w:fill="FFFFFF"/>
                    </w:rPr>
                    <w:t>等工序的、年使用10吨及以上有机溶剂的</w:t>
                  </w:r>
                </w:p>
              </w:tc>
              <w:tc>
                <w:tcPr>
                  <w:tcW w:w="674" w:type="pct"/>
                  <w:tcBorders>
                    <w:tl2br w:val="nil"/>
                    <w:tr2bl w:val="nil"/>
                  </w:tcBorders>
                  <w:vAlign w:val="center"/>
                </w:tcPr>
                <w:p w14:paraId="18A9C829">
                  <w:pPr>
                    <w:pStyle w:val="28"/>
                    <w:keepNext w:val="0"/>
                    <w:keepLines w:val="0"/>
                    <w:pageBreakBefore w:val="0"/>
                    <w:widowControl w:val="0"/>
                    <w:numPr>
                      <w:ilvl w:val="0"/>
                      <w:numId w:val="0"/>
                    </w:numPr>
                    <w:kinsoku/>
                    <w:wordWrap w:val="0"/>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除纳入重点排污单位名录的，以天然气或者电为能源的加热炉、热处理炉、干燥炉(窑)</w:t>
                  </w:r>
                </w:p>
              </w:tc>
              <w:tc>
                <w:tcPr>
                  <w:tcW w:w="506" w:type="pct"/>
                  <w:vMerge w:val="continue"/>
                  <w:tcBorders>
                    <w:tl2br w:val="nil"/>
                    <w:tr2bl w:val="nil"/>
                  </w:tcBorders>
                  <w:vAlign w:val="center"/>
                </w:tcPr>
                <w:p w14:paraId="60592570">
                  <w:pPr>
                    <w:pStyle w:val="28"/>
                    <w:keepNext w:val="0"/>
                    <w:keepLines w:val="0"/>
                    <w:pageBreakBefore w:val="0"/>
                    <w:widowControl w:val="0"/>
                    <w:numPr>
                      <w:ilvl w:val="0"/>
                      <w:numId w:val="0"/>
                    </w:numPr>
                    <w:kinsoku/>
                    <w:wordWrap w:val="0"/>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rPr>
                  </w:pPr>
                </w:p>
              </w:tc>
            </w:tr>
          </w:tbl>
          <w:p w14:paraId="734F8AC0">
            <w:pPr>
              <w:pStyle w:val="28"/>
              <w:keepNext w:val="0"/>
              <w:keepLines w:val="0"/>
              <w:pageBreakBefore w:val="0"/>
              <w:widowControl w:val="0"/>
              <w:numPr>
                <w:ilvl w:val="0"/>
                <w:numId w:val="0"/>
              </w:numPr>
              <w:kinsoku/>
              <w:wordWrap w:val="0"/>
              <w:overflowPunct/>
              <w:topLinePunct w:val="0"/>
              <w:autoSpaceDE/>
              <w:autoSpaceDN/>
              <w:bidi w:val="0"/>
              <w:spacing w:line="240" w:lineRule="auto"/>
              <w:ind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对照名录分析，本项目属于</w:t>
            </w:r>
            <w:r>
              <w:rPr>
                <w:rFonts w:hint="eastAsia" w:cs="Times New Roman"/>
                <w:color w:val="auto"/>
                <w:sz w:val="21"/>
                <w:szCs w:val="21"/>
                <w:highlight w:val="none"/>
                <w:lang w:val="en-US" w:eastAsia="zh-CN"/>
              </w:rPr>
              <w:t>简化</w:t>
            </w:r>
            <w:r>
              <w:rPr>
                <w:rFonts w:hint="default" w:ascii="Times New Roman" w:hAnsi="Times New Roman" w:cs="Times New Roman"/>
                <w:color w:val="auto"/>
                <w:sz w:val="21"/>
                <w:szCs w:val="21"/>
                <w:highlight w:val="none"/>
              </w:rPr>
              <w:t>管理。本项目启动生产设施或者实际排污之前应</w:t>
            </w:r>
            <w:r>
              <w:rPr>
                <w:rFonts w:hint="eastAsia" w:cs="Times New Roman"/>
                <w:color w:val="auto"/>
                <w:sz w:val="21"/>
                <w:szCs w:val="21"/>
                <w:highlight w:val="none"/>
                <w:lang w:val="en-US" w:eastAsia="zh-CN"/>
              </w:rPr>
              <w:t>进行</w:t>
            </w:r>
            <w:r>
              <w:rPr>
                <w:rFonts w:hint="default" w:ascii="Times New Roman" w:hAnsi="Times New Roman" w:cs="Times New Roman"/>
                <w:color w:val="auto"/>
                <w:sz w:val="21"/>
                <w:szCs w:val="21"/>
                <w:highlight w:val="none"/>
                <w:lang w:val="en-US" w:eastAsia="zh-CN"/>
              </w:rPr>
              <w:t>排污许可登记</w:t>
            </w:r>
            <w:r>
              <w:rPr>
                <w:rFonts w:hint="default" w:ascii="Times New Roman" w:hAnsi="Times New Roman" w:cs="Times New Roman"/>
                <w:color w:val="auto"/>
                <w:sz w:val="21"/>
                <w:szCs w:val="21"/>
                <w:highlight w:val="none"/>
              </w:rPr>
              <w:t>。</w:t>
            </w:r>
          </w:p>
          <w:p w14:paraId="2FB59453">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（四）竣工验收要求</w:t>
            </w:r>
          </w:p>
          <w:p w14:paraId="7C4E7C43">
            <w:pPr>
              <w:pStyle w:val="104"/>
              <w:keepNext w:val="0"/>
              <w:keepLines w:val="0"/>
              <w:pageBreakBefore w:val="0"/>
              <w:widowControl w:val="0"/>
              <w:kinsoku/>
              <w:wordWrap w:val="0"/>
              <w:overflowPunct/>
              <w:topLinePunct w:val="0"/>
              <w:autoSpaceDE/>
              <w:autoSpaceDN/>
              <w:bidi w:val="0"/>
              <w:spacing w:before="0" w:after="0" w:line="240" w:lineRule="auto"/>
              <w:ind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根据《建设项目竣工环境保护验收暂行办法》（国环规环评〔2017〕4号），建设单位自行验收。本项目自行验收要求如下： </w:t>
            </w:r>
          </w:p>
          <w:p w14:paraId="507FB73F">
            <w:pPr>
              <w:keepNext w:val="0"/>
              <w:keepLines w:val="0"/>
              <w:pageBreakBefore w:val="0"/>
              <w:widowControl w:val="0"/>
              <w:numPr>
                <w:ilvl w:val="0"/>
                <w:numId w:val="0"/>
              </w:numPr>
              <w:tabs>
                <w:tab w:val="left" w:pos="0"/>
              </w:tabs>
              <w:kinsoku/>
              <w:wordWrap w:val="0"/>
              <w:overflowPunct/>
              <w:topLinePunct w:val="0"/>
              <w:autoSpaceDE/>
              <w:autoSpaceDN/>
              <w:bidi w:val="0"/>
              <w:adjustRightInd w:val="0"/>
              <w:snapToGrid w:val="0"/>
              <w:spacing w:line="240" w:lineRule="auto"/>
              <w:ind w:left="0" w:leftChars="0"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1.</w:t>
            </w:r>
            <w:r>
              <w:rPr>
                <w:rFonts w:hint="default" w:ascii="Times New Roman" w:hAnsi="Times New Roman" w:cs="Times New Roman"/>
                <w:color w:val="auto"/>
                <w:sz w:val="21"/>
                <w:szCs w:val="21"/>
                <w:highlight w:val="none"/>
              </w:rPr>
              <w:t>建设单位是建设项目竣工环境保护验收的责任主体，应当按照暂行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针对本项目，应参照《建设项目竣工环境保护验收技术指南污染影响类》编制验收监测报告。</w:t>
            </w:r>
          </w:p>
          <w:p w14:paraId="4AA1DD7C">
            <w:pPr>
              <w:keepNext w:val="0"/>
              <w:keepLines w:val="0"/>
              <w:pageBreakBefore w:val="0"/>
              <w:widowControl w:val="0"/>
              <w:numPr>
                <w:ilvl w:val="0"/>
                <w:numId w:val="0"/>
              </w:numPr>
              <w:tabs>
                <w:tab w:val="left" w:pos="0"/>
              </w:tabs>
              <w:kinsoku/>
              <w:wordWrap w:val="0"/>
              <w:overflowPunct/>
              <w:topLinePunct w:val="0"/>
              <w:autoSpaceDE/>
              <w:autoSpaceDN/>
              <w:bidi w:val="0"/>
              <w:adjustRightInd w:val="0"/>
              <w:snapToGrid w:val="0"/>
              <w:spacing w:line="240" w:lineRule="auto"/>
              <w:ind w:left="0" w:leftChars="0"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2.</w:t>
            </w:r>
            <w:r>
              <w:rPr>
                <w:rFonts w:hint="default" w:ascii="Times New Roman" w:hAnsi="Times New Roman" w:cs="Times New Roman"/>
                <w:color w:val="auto"/>
                <w:sz w:val="21"/>
                <w:szCs w:val="21"/>
                <w:highlight w:val="none"/>
              </w:rPr>
              <w:t>验收监测报告编制完成后，建设单位应当根据验收监测报告结论，逐一检查是否存在暂行办法第八条所列验收不合格的情形，提出验收意见。存在问题的，建设单位应当进行整改，整改完成后方可提出验收意见。验收意见包括工程建设基本情况、工程变动情况、环境保护设施落实情况、环境保护设施调试效果、工程建设对环境的影响、验收结论和后续要求等内容，验收结论应当明确该建设项目环境保护设施是否验收合格。建设项目配套建设的环境保护设施经验收合格后，其主体工程方可投入生产或者使用；未经验收或者验收不合格的，不得投入生产或者使用。</w:t>
            </w:r>
          </w:p>
          <w:p w14:paraId="4BBDF61F">
            <w:pPr>
              <w:keepNext w:val="0"/>
              <w:keepLines w:val="0"/>
              <w:pageBreakBefore w:val="0"/>
              <w:widowControl w:val="0"/>
              <w:numPr>
                <w:ilvl w:val="0"/>
                <w:numId w:val="0"/>
              </w:numPr>
              <w:tabs>
                <w:tab w:val="left" w:pos="0"/>
              </w:tabs>
              <w:kinsoku/>
              <w:wordWrap w:val="0"/>
              <w:overflowPunct/>
              <w:topLinePunct w:val="0"/>
              <w:autoSpaceDE/>
              <w:autoSpaceDN/>
              <w:bidi w:val="0"/>
              <w:adjustRightInd w:val="0"/>
              <w:snapToGrid w:val="0"/>
              <w:spacing w:line="240" w:lineRule="auto"/>
              <w:ind w:left="0" w:leftChars="0"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3.</w:t>
            </w:r>
            <w:r>
              <w:rPr>
                <w:rFonts w:hint="default" w:ascii="Times New Roman" w:hAnsi="Times New Roman" w:cs="Times New Roman"/>
                <w:color w:val="auto"/>
                <w:sz w:val="21"/>
                <w:szCs w:val="21"/>
                <w:highlight w:val="none"/>
              </w:rPr>
              <w:t xml:space="preserve">存在下列情形之一的建设项目，不得通过竣工环境保护验收： </w:t>
            </w:r>
          </w:p>
          <w:p w14:paraId="72EEDAC7">
            <w:pPr>
              <w:pStyle w:val="104"/>
              <w:keepNext w:val="0"/>
              <w:keepLines w:val="0"/>
              <w:pageBreakBefore w:val="0"/>
              <w:widowControl w:val="0"/>
              <w:numPr>
                <w:ilvl w:val="0"/>
                <w:numId w:val="12"/>
              </w:numPr>
              <w:kinsoku/>
              <w:wordWrap w:val="0"/>
              <w:overflowPunct/>
              <w:topLinePunct w:val="0"/>
              <w:autoSpaceDE/>
              <w:autoSpaceDN/>
              <w:bidi w:val="0"/>
              <w:spacing w:before="0" w:after="0" w:line="240" w:lineRule="auto"/>
              <w:ind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未按环境影响报告表及其审批部门审批决定要求建成环境保护设施，或者环境保护设施不能与主体工程同时投产或者使用的；</w:t>
            </w:r>
          </w:p>
          <w:p w14:paraId="41BDC68A">
            <w:pPr>
              <w:pStyle w:val="104"/>
              <w:keepNext w:val="0"/>
              <w:keepLines w:val="0"/>
              <w:pageBreakBefore w:val="0"/>
              <w:widowControl w:val="0"/>
              <w:numPr>
                <w:ilvl w:val="0"/>
                <w:numId w:val="12"/>
              </w:numPr>
              <w:kinsoku/>
              <w:wordWrap w:val="0"/>
              <w:overflowPunct/>
              <w:topLinePunct w:val="0"/>
              <w:autoSpaceDE/>
              <w:autoSpaceDN/>
              <w:bidi w:val="0"/>
              <w:spacing w:before="0" w:after="0" w:line="240" w:lineRule="auto"/>
              <w:ind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污染物排放不符合国家和地方相关标准、环境影响报告</w:t>
            </w:r>
            <w:r>
              <w:rPr>
                <w:rFonts w:hint="eastAsia" w:cs="Times New Roman"/>
                <w:color w:val="auto"/>
                <w:sz w:val="21"/>
                <w:szCs w:val="21"/>
                <w:highlight w:val="none"/>
                <w:lang w:val="en-US" w:eastAsia="zh-CN"/>
              </w:rPr>
              <w:t>表</w:t>
            </w:r>
            <w:r>
              <w:rPr>
                <w:rFonts w:hint="default" w:ascii="Times New Roman" w:hAnsi="Times New Roman" w:cs="Times New Roman"/>
                <w:color w:val="auto"/>
                <w:sz w:val="21"/>
                <w:szCs w:val="21"/>
                <w:highlight w:val="none"/>
              </w:rPr>
              <w:t>及其审批部门审批决定或者重点污染物排放总量控制指标要求的；</w:t>
            </w:r>
          </w:p>
          <w:p w14:paraId="41D41304">
            <w:pPr>
              <w:pStyle w:val="104"/>
              <w:keepNext w:val="0"/>
              <w:keepLines w:val="0"/>
              <w:pageBreakBefore w:val="0"/>
              <w:widowControl w:val="0"/>
              <w:numPr>
                <w:ilvl w:val="0"/>
                <w:numId w:val="12"/>
              </w:numPr>
              <w:kinsoku/>
              <w:wordWrap w:val="0"/>
              <w:overflowPunct/>
              <w:topLinePunct w:val="0"/>
              <w:autoSpaceDE/>
              <w:autoSpaceDN/>
              <w:bidi w:val="0"/>
              <w:spacing w:before="0" w:after="0" w:line="240" w:lineRule="auto"/>
              <w:ind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环境影响报告表经批准后，该建设项目的性质、规模、地点、采用的生产工艺或者防治污染、防止生态破坏的措施发生重大变动，建设单位未重新报批环境影响报告书或者环境影响报告书未经批准的； </w:t>
            </w:r>
          </w:p>
          <w:p w14:paraId="5083F848">
            <w:pPr>
              <w:pStyle w:val="104"/>
              <w:keepNext w:val="0"/>
              <w:keepLines w:val="0"/>
              <w:pageBreakBefore w:val="0"/>
              <w:widowControl w:val="0"/>
              <w:numPr>
                <w:ilvl w:val="0"/>
                <w:numId w:val="12"/>
              </w:numPr>
              <w:kinsoku/>
              <w:wordWrap w:val="0"/>
              <w:overflowPunct/>
              <w:topLinePunct w:val="0"/>
              <w:autoSpaceDE/>
              <w:autoSpaceDN/>
              <w:bidi w:val="0"/>
              <w:spacing w:before="0" w:after="0" w:line="240" w:lineRule="auto"/>
              <w:ind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建设过程中造成重大环境污染未治理完成，或者造成重大生态破坏未恢复的； </w:t>
            </w:r>
          </w:p>
          <w:p w14:paraId="5814F4EA">
            <w:pPr>
              <w:pStyle w:val="104"/>
              <w:keepNext w:val="0"/>
              <w:keepLines w:val="0"/>
              <w:pageBreakBefore w:val="0"/>
              <w:widowControl w:val="0"/>
              <w:numPr>
                <w:ilvl w:val="0"/>
                <w:numId w:val="12"/>
              </w:numPr>
              <w:kinsoku/>
              <w:wordWrap w:val="0"/>
              <w:overflowPunct/>
              <w:topLinePunct w:val="0"/>
              <w:autoSpaceDE/>
              <w:autoSpaceDN/>
              <w:bidi w:val="0"/>
              <w:spacing w:before="0" w:after="0" w:line="240" w:lineRule="auto"/>
              <w:ind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纳入排污许可管理的建设项目，无证排污或者不按证排污的；</w:t>
            </w:r>
          </w:p>
          <w:p w14:paraId="6B041CEF">
            <w:pPr>
              <w:pStyle w:val="104"/>
              <w:keepNext w:val="0"/>
              <w:keepLines w:val="0"/>
              <w:pageBreakBefore w:val="0"/>
              <w:widowControl w:val="0"/>
              <w:numPr>
                <w:ilvl w:val="0"/>
                <w:numId w:val="12"/>
              </w:numPr>
              <w:kinsoku/>
              <w:wordWrap w:val="0"/>
              <w:overflowPunct/>
              <w:topLinePunct w:val="0"/>
              <w:autoSpaceDE/>
              <w:autoSpaceDN/>
              <w:bidi w:val="0"/>
              <w:spacing w:before="0" w:after="0" w:line="240" w:lineRule="auto"/>
              <w:ind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建设单位因该建设项目违反国家和地方环境保护法律法规受到处罚，被责令改正，尚未改正完成的；</w:t>
            </w:r>
          </w:p>
          <w:p w14:paraId="3825F536">
            <w:pPr>
              <w:pStyle w:val="104"/>
              <w:keepNext w:val="0"/>
              <w:keepLines w:val="0"/>
              <w:pageBreakBefore w:val="0"/>
              <w:widowControl w:val="0"/>
              <w:numPr>
                <w:ilvl w:val="0"/>
                <w:numId w:val="12"/>
              </w:numPr>
              <w:kinsoku/>
              <w:wordWrap w:val="0"/>
              <w:overflowPunct/>
              <w:topLinePunct w:val="0"/>
              <w:autoSpaceDE/>
              <w:autoSpaceDN/>
              <w:bidi w:val="0"/>
              <w:spacing w:before="0" w:after="0" w:line="240" w:lineRule="auto"/>
              <w:ind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验收报告的基础资料数据明显不实，内容存在重大缺项、遗漏，或者验收结论不明确、不合理的。</w:t>
            </w:r>
          </w:p>
          <w:p w14:paraId="22EF8295">
            <w:pPr>
              <w:keepNext w:val="0"/>
              <w:keepLines w:val="0"/>
              <w:pageBreakBefore w:val="0"/>
              <w:widowControl w:val="0"/>
              <w:numPr>
                <w:ilvl w:val="0"/>
                <w:numId w:val="0"/>
              </w:numPr>
              <w:tabs>
                <w:tab w:val="left" w:pos="0"/>
              </w:tabs>
              <w:kinsoku/>
              <w:wordWrap w:val="0"/>
              <w:overflowPunct/>
              <w:topLinePunct w:val="0"/>
              <w:autoSpaceDE/>
              <w:autoSpaceDN/>
              <w:bidi w:val="0"/>
              <w:adjustRightInd w:val="0"/>
              <w:snapToGrid w:val="0"/>
              <w:spacing w:line="240" w:lineRule="auto"/>
              <w:ind w:left="0" w:leftChars="0"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4.</w:t>
            </w:r>
            <w:r>
              <w:rPr>
                <w:rFonts w:hint="default" w:ascii="Times New Roman" w:hAnsi="Times New Roman" w:cs="Times New Roman"/>
                <w:color w:val="auto"/>
                <w:sz w:val="21"/>
                <w:szCs w:val="21"/>
                <w:highlight w:val="none"/>
              </w:rPr>
              <w:t>为提高验收的有效性，在提出验收意见的过程中，建设单位可以组织成立验收工作组，采取现场检查、资料查阅、召开验收会议等方式，协助开展验收工作。验收工作组可以由设计单位、施工单位、环境影响报告书编制机构、验收监测（调查）报告编制机构等单位代表以及专业技术专家等组成，代表范围和人数自定。除按照国家需要保密的情形外，建设单位应当通过其网站或其他便于公众知晓的方式，向社会公开下列信息：</w:t>
            </w:r>
          </w:p>
          <w:p w14:paraId="52EABD04">
            <w:pPr>
              <w:pStyle w:val="104"/>
              <w:keepNext w:val="0"/>
              <w:keepLines w:val="0"/>
              <w:pageBreakBefore w:val="0"/>
              <w:widowControl w:val="0"/>
              <w:numPr>
                <w:ilvl w:val="0"/>
                <w:numId w:val="13"/>
              </w:numPr>
              <w:kinsoku/>
              <w:wordWrap w:val="0"/>
              <w:overflowPunct/>
              <w:topLinePunct w:val="0"/>
              <w:autoSpaceDE/>
              <w:autoSpaceDN/>
              <w:bidi w:val="0"/>
              <w:spacing w:before="0" w:after="0" w:line="240" w:lineRule="auto"/>
              <w:ind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建设项目配套建设的环境保护设施竣工后，公开竣工日期；</w:t>
            </w:r>
          </w:p>
          <w:p w14:paraId="1C03E0D7">
            <w:pPr>
              <w:pStyle w:val="104"/>
              <w:keepNext w:val="0"/>
              <w:keepLines w:val="0"/>
              <w:pageBreakBefore w:val="0"/>
              <w:widowControl w:val="0"/>
              <w:numPr>
                <w:ilvl w:val="0"/>
                <w:numId w:val="13"/>
              </w:numPr>
              <w:kinsoku/>
              <w:wordWrap w:val="0"/>
              <w:overflowPunct/>
              <w:topLinePunct w:val="0"/>
              <w:autoSpaceDE/>
              <w:autoSpaceDN/>
              <w:bidi w:val="0"/>
              <w:spacing w:before="0" w:after="0" w:line="240" w:lineRule="auto"/>
              <w:ind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对建设项目配套建设的环境保护设施进行调试前，公开调试的起止日期；</w:t>
            </w:r>
          </w:p>
          <w:p w14:paraId="22F6F226">
            <w:pPr>
              <w:pStyle w:val="104"/>
              <w:keepNext w:val="0"/>
              <w:keepLines w:val="0"/>
              <w:pageBreakBefore w:val="0"/>
              <w:widowControl w:val="0"/>
              <w:numPr>
                <w:ilvl w:val="0"/>
                <w:numId w:val="13"/>
              </w:numPr>
              <w:kinsoku/>
              <w:wordWrap w:val="0"/>
              <w:overflowPunct/>
              <w:topLinePunct w:val="0"/>
              <w:autoSpaceDE/>
              <w:autoSpaceDN/>
              <w:bidi w:val="0"/>
              <w:spacing w:before="0" w:after="0" w:line="240" w:lineRule="auto"/>
              <w:ind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验收报告编制完成后5个工作日内，公开验收报告，公示的期限不得少于20个工作日。</w:t>
            </w:r>
          </w:p>
          <w:p w14:paraId="28FEEB52">
            <w:pPr>
              <w:keepNext w:val="0"/>
              <w:keepLines w:val="0"/>
              <w:pageBreakBefore w:val="0"/>
              <w:widowControl w:val="0"/>
              <w:numPr>
                <w:ilvl w:val="0"/>
                <w:numId w:val="0"/>
              </w:numPr>
              <w:tabs>
                <w:tab w:val="left" w:pos="0"/>
              </w:tabs>
              <w:kinsoku/>
              <w:wordWrap w:val="0"/>
              <w:overflowPunct/>
              <w:topLinePunct w:val="0"/>
              <w:autoSpaceDE/>
              <w:autoSpaceDN/>
              <w:bidi w:val="0"/>
              <w:adjustRightInd w:val="0"/>
              <w:snapToGrid w:val="0"/>
              <w:spacing w:line="240" w:lineRule="auto"/>
              <w:ind w:left="0" w:leftChars="0"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5.</w:t>
            </w:r>
            <w:r>
              <w:rPr>
                <w:rFonts w:hint="default" w:ascii="Times New Roman" w:hAnsi="Times New Roman" w:cs="Times New Roman"/>
                <w:color w:val="auto"/>
                <w:sz w:val="21"/>
                <w:szCs w:val="21"/>
                <w:highlight w:val="none"/>
              </w:rPr>
              <w:t>验收期限是指自建设项目环境保护设施竣工之日起至建设单位向社会公开验收报告之日止的时间。验收报告公示期满后5个工作日内，建设单位应当登录全国建设项目竣工环境保护验收信息平台，填报建设项目基本信息、环境保护设施验收情况等相关信息，环境保护主管部门对上述信息予以公开。建设单位应当将验收报告以及其他档案资料存档备查。</w:t>
            </w:r>
          </w:p>
          <w:p w14:paraId="2FB2AA25">
            <w:pPr>
              <w:pStyle w:val="104"/>
              <w:keepNext w:val="0"/>
              <w:keepLines w:val="0"/>
              <w:pageBreakBefore w:val="0"/>
              <w:widowControl w:val="0"/>
              <w:kinsoku/>
              <w:wordWrap w:val="0"/>
              <w:overflowPunct/>
              <w:topLinePunct w:val="0"/>
              <w:autoSpaceDE/>
              <w:autoSpaceDN/>
              <w:bidi w:val="0"/>
              <w:spacing w:before="0" w:after="0" w:line="240" w:lineRule="auto"/>
              <w:ind w:firstLine="420" w:firstLineChars="200"/>
              <w:jc w:val="left"/>
              <w:textAlignment w:val="auto"/>
              <w:rPr>
                <w:rFonts w:hint="default" w:ascii="Times New Roman" w:hAnsi="Times New Roman" w:cs="Times New Roman"/>
                <w:color w:val="auto"/>
                <w:sz w:val="21"/>
                <w:szCs w:val="21"/>
                <w:highlight w:val="none"/>
              </w:rPr>
            </w:pPr>
          </w:p>
          <w:p w14:paraId="3F7786FF">
            <w:pPr>
              <w:pStyle w:val="104"/>
              <w:keepNext w:val="0"/>
              <w:keepLines w:val="0"/>
              <w:pageBreakBefore w:val="0"/>
              <w:widowControl w:val="0"/>
              <w:kinsoku/>
              <w:wordWrap w:val="0"/>
              <w:overflowPunct/>
              <w:topLinePunct w:val="0"/>
              <w:autoSpaceDE/>
              <w:autoSpaceDN/>
              <w:bidi w:val="0"/>
              <w:spacing w:before="0" w:after="0" w:line="240" w:lineRule="auto"/>
              <w:ind w:firstLine="420" w:firstLineChars="200"/>
              <w:jc w:val="left"/>
              <w:textAlignment w:val="auto"/>
              <w:rPr>
                <w:rFonts w:hint="default" w:ascii="Times New Roman" w:hAnsi="Times New Roman" w:cs="Times New Roman"/>
                <w:color w:val="auto"/>
                <w:sz w:val="21"/>
                <w:szCs w:val="21"/>
                <w:highlight w:val="none"/>
              </w:rPr>
            </w:pPr>
          </w:p>
          <w:p w14:paraId="52F1081D">
            <w:pPr>
              <w:pStyle w:val="104"/>
              <w:keepNext w:val="0"/>
              <w:keepLines w:val="0"/>
              <w:pageBreakBefore w:val="0"/>
              <w:widowControl w:val="0"/>
              <w:kinsoku/>
              <w:wordWrap w:val="0"/>
              <w:overflowPunct/>
              <w:topLinePunct w:val="0"/>
              <w:autoSpaceDE/>
              <w:autoSpaceDN/>
              <w:bidi w:val="0"/>
              <w:spacing w:before="0" w:after="0" w:line="240" w:lineRule="auto"/>
              <w:ind w:firstLine="420" w:firstLineChars="200"/>
              <w:jc w:val="both"/>
              <w:textAlignment w:val="auto"/>
              <w:rPr>
                <w:rFonts w:hint="default" w:ascii="Times New Roman" w:hAnsi="Times New Roman" w:cs="Times New Roman"/>
                <w:color w:val="auto"/>
                <w:sz w:val="21"/>
                <w:szCs w:val="21"/>
                <w:highlight w:val="none"/>
              </w:rPr>
            </w:pPr>
          </w:p>
          <w:p w14:paraId="54750D48">
            <w:pPr>
              <w:pStyle w:val="104"/>
              <w:keepNext w:val="0"/>
              <w:keepLines w:val="0"/>
              <w:pageBreakBefore w:val="0"/>
              <w:widowControl w:val="0"/>
              <w:kinsoku/>
              <w:wordWrap w:val="0"/>
              <w:overflowPunct/>
              <w:topLinePunct w:val="0"/>
              <w:autoSpaceDE/>
              <w:autoSpaceDN/>
              <w:bidi w:val="0"/>
              <w:spacing w:before="0" w:after="0" w:line="240" w:lineRule="auto"/>
              <w:ind w:firstLine="420" w:firstLineChars="200"/>
              <w:jc w:val="both"/>
              <w:textAlignment w:val="auto"/>
              <w:rPr>
                <w:rFonts w:hint="default" w:ascii="Times New Roman" w:hAnsi="Times New Roman" w:cs="Times New Roman"/>
                <w:color w:val="auto"/>
                <w:sz w:val="21"/>
                <w:szCs w:val="21"/>
                <w:highlight w:val="none"/>
              </w:rPr>
            </w:pPr>
          </w:p>
          <w:p w14:paraId="2E8E2316">
            <w:pPr>
              <w:pStyle w:val="104"/>
              <w:keepNext w:val="0"/>
              <w:keepLines w:val="0"/>
              <w:pageBreakBefore w:val="0"/>
              <w:widowControl w:val="0"/>
              <w:kinsoku/>
              <w:wordWrap w:val="0"/>
              <w:overflowPunct/>
              <w:topLinePunct w:val="0"/>
              <w:autoSpaceDE/>
              <w:autoSpaceDN/>
              <w:bidi w:val="0"/>
              <w:spacing w:before="0" w:after="0" w:line="240" w:lineRule="auto"/>
              <w:ind w:firstLine="420" w:firstLineChars="200"/>
              <w:jc w:val="both"/>
              <w:textAlignment w:val="auto"/>
              <w:rPr>
                <w:rFonts w:hint="default" w:ascii="Times New Roman" w:hAnsi="Times New Roman" w:cs="Times New Roman"/>
                <w:color w:val="auto"/>
                <w:sz w:val="21"/>
                <w:szCs w:val="21"/>
                <w:highlight w:val="none"/>
              </w:rPr>
            </w:pPr>
          </w:p>
          <w:p w14:paraId="239A670A">
            <w:pPr>
              <w:pStyle w:val="104"/>
              <w:keepNext w:val="0"/>
              <w:keepLines w:val="0"/>
              <w:pageBreakBefore w:val="0"/>
              <w:widowControl w:val="0"/>
              <w:kinsoku/>
              <w:wordWrap w:val="0"/>
              <w:overflowPunct/>
              <w:topLinePunct w:val="0"/>
              <w:autoSpaceDE/>
              <w:autoSpaceDN/>
              <w:bidi w:val="0"/>
              <w:spacing w:before="0" w:after="0" w:line="240" w:lineRule="auto"/>
              <w:jc w:val="both"/>
              <w:textAlignment w:val="auto"/>
              <w:rPr>
                <w:rFonts w:hint="default" w:ascii="Times New Roman" w:hAnsi="Times New Roman" w:cs="Times New Roman"/>
                <w:color w:val="auto"/>
                <w:sz w:val="21"/>
                <w:szCs w:val="21"/>
                <w:highlight w:val="none"/>
              </w:rPr>
            </w:pPr>
          </w:p>
          <w:p w14:paraId="7E319095">
            <w:pPr>
              <w:pStyle w:val="104"/>
              <w:keepNext w:val="0"/>
              <w:keepLines w:val="0"/>
              <w:pageBreakBefore w:val="0"/>
              <w:widowControl w:val="0"/>
              <w:kinsoku/>
              <w:wordWrap w:val="0"/>
              <w:overflowPunct/>
              <w:topLinePunct w:val="0"/>
              <w:autoSpaceDE/>
              <w:autoSpaceDN/>
              <w:bidi w:val="0"/>
              <w:spacing w:before="0" w:after="0" w:line="240" w:lineRule="auto"/>
              <w:jc w:val="both"/>
              <w:textAlignment w:val="auto"/>
              <w:rPr>
                <w:rFonts w:hint="default" w:ascii="Times New Roman" w:hAnsi="Times New Roman" w:cs="Times New Roman"/>
                <w:color w:val="auto"/>
                <w:sz w:val="21"/>
                <w:szCs w:val="21"/>
                <w:highlight w:val="none"/>
              </w:rPr>
            </w:pPr>
          </w:p>
        </w:tc>
      </w:tr>
    </w:tbl>
    <w:p w14:paraId="6F192163">
      <w:pPr>
        <w:pStyle w:val="7"/>
        <w:pageBreakBefore w:val="0"/>
        <w:numPr>
          <w:ilvl w:val="0"/>
          <w:numId w:val="0"/>
        </w:numPr>
        <w:wordWrap w:val="0"/>
        <w:overflowPunct/>
        <w:bidi w:val="0"/>
        <w:rPr>
          <w:rFonts w:hint="default" w:ascii="Times New Roman" w:hAnsi="Times New Roman" w:cs="Times New Roman"/>
          <w:color w:val="auto"/>
          <w:highlight w:val="none"/>
        </w:rPr>
      </w:pPr>
      <w:bookmarkStart w:id="138" w:name="_Toc27211"/>
      <w:bookmarkStart w:id="139" w:name="_Toc11576"/>
      <w:r>
        <w:rPr>
          <w:rFonts w:hint="default" w:ascii="Times New Roman" w:hAnsi="Times New Roman" w:cs="Times New Roman"/>
          <w:color w:val="auto"/>
          <w:highlight w:val="none"/>
        </w:rPr>
        <w:t>六、结论</w:t>
      </w:r>
      <w:bookmarkEnd w:id="137"/>
      <w:bookmarkEnd w:id="138"/>
      <w:bookmarkEnd w:id="139"/>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10B6C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764" w:hRule="atLeast"/>
        </w:trPr>
        <w:tc>
          <w:tcPr>
            <w:tcW w:w="5000" w:type="pct"/>
          </w:tcPr>
          <w:p w14:paraId="1CDDBAD1">
            <w:pPr>
              <w:pageBreakBefore w:val="0"/>
              <w:wordWrap w:val="0"/>
              <w:overflowPunct/>
              <w:bidi w:val="0"/>
              <w:adjustRightInd w:val="0"/>
              <w:ind w:firstLine="480" w:firstLineChars="200"/>
              <w:rPr>
                <w:rFonts w:hint="default" w:ascii="Times New Roman" w:hAnsi="Times New Roman" w:cs="Times New Roman"/>
                <w:bCs/>
                <w:color w:val="auto"/>
                <w:kern w:val="0"/>
                <w:highlight w:val="none"/>
              </w:rPr>
            </w:pPr>
          </w:p>
          <w:p w14:paraId="5ECB7E5D">
            <w:pPr>
              <w:pageBreakBefore w:val="0"/>
              <w:wordWrap w:val="0"/>
              <w:overflowPunct/>
              <w:bidi w:val="0"/>
              <w:adjustRightInd w:val="0"/>
              <w:ind w:firstLine="480" w:firstLineChars="200"/>
              <w:rPr>
                <w:rFonts w:hint="default" w:ascii="Times New Roman" w:hAnsi="Times New Roman" w:cs="Times New Roman"/>
                <w:bCs/>
                <w:color w:val="auto"/>
                <w:kern w:val="0"/>
                <w:highlight w:val="none"/>
              </w:rPr>
            </w:pPr>
          </w:p>
          <w:p w14:paraId="3D6D236F">
            <w:pPr>
              <w:pageBreakBefore w:val="0"/>
              <w:wordWrap w:val="0"/>
              <w:overflowPunct/>
              <w:bidi w:val="0"/>
              <w:adjustRightInd w:val="0"/>
              <w:ind w:firstLine="480" w:firstLineChars="200"/>
              <w:rPr>
                <w:rFonts w:hint="default" w:ascii="Times New Roman" w:hAnsi="Times New Roman" w:cs="Times New Roman"/>
                <w:bCs/>
                <w:color w:val="auto"/>
                <w:kern w:val="0"/>
                <w:highlight w:val="none"/>
              </w:rPr>
            </w:pPr>
          </w:p>
          <w:p w14:paraId="1CF5F5A3">
            <w:pPr>
              <w:pageBreakBefore w:val="0"/>
              <w:wordWrap w:val="0"/>
              <w:overflowPunct/>
              <w:bidi w:val="0"/>
              <w:adjustRightInd w:val="0"/>
              <w:ind w:firstLine="480" w:firstLineChars="200"/>
              <w:rPr>
                <w:rFonts w:hint="default" w:ascii="Times New Roman" w:hAnsi="Times New Roman" w:cs="Times New Roman"/>
                <w:bCs/>
                <w:color w:val="auto"/>
                <w:kern w:val="0"/>
                <w:highlight w:val="none"/>
              </w:rPr>
            </w:pPr>
          </w:p>
          <w:p w14:paraId="2D3C8397">
            <w:pPr>
              <w:pageBreakBefore w:val="0"/>
              <w:wordWrap w:val="0"/>
              <w:overflowPunct/>
              <w:bidi w:val="0"/>
              <w:adjustRightInd w:val="0"/>
              <w:ind w:firstLine="480" w:firstLineChars="200"/>
              <w:rPr>
                <w:rFonts w:hint="default" w:ascii="Times New Roman" w:hAnsi="Times New Roman" w:cs="Times New Roman"/>
                <w:bCs/>
                <w:color w:val="auto"/>
                <w:kern w:val="0"/>
                <w:highlight w:val="none"/>
              </w:rPr>
            </w:pPr>
          </w:p>
          <w:p w14:paraId="156458DB">
            <w:pPr>
              <w:pageBreakBefore w:val="0"/>
              <w:wordWrap w:val="0"/>
              <w:overflowPunct/>
              <w:bidi w:val="0"/>
              <w:adjustRightInd w:val="0"/>
              <w:ind w:firstLine="480" w:firstLineChars="200"/>
              <w:rPr>
                <w:rFonts w:hint="default" w:ascii="Times New Roman" w:hAnsi="Times New Roman" w:cs="Times New Roman"/>
                <w:bCs/>
                <w:color w:val="auto"/>
                <w:kern w:val="0"/>
                <w:highlight w:val="none"/>
              </w:rPr>
            </w:pPr>
          </w:p>
          <w:p w14:paraId="5A97EAC4">
            <w:pPr>
              <w:pageBreakBefore w:val="0"/>
              <w:wordWrap w:val="0"/>
              <w:overflowPunct/>
              <w:bidi w:val="0"/>
              <w:rPr>
                <w:rFonts w:hint="default" w:ascii="Times New Roman" w:hAnsi="Times New Roman" w:cs="Times New Roman"/>
                <w:color w:val="auto"/>
                <w:highlight w:val="none"/>
              </w:rPr>
            </w:pPr>
          </w:p>
          <w:p w14:paraId="2890C442">
            <w:pPr>
              <w:pageBreakBefore w:val="0"/>
              <w:wordWrap w:val="0"/>
              <w:overflowPunct/>
              <w:bidi w:val="0"/>
              <w:adjustRightInd w:val="0"/>
              <w:ind w:firstLine="480" w:firstLineChars="200"/>
              <w:rPr>
                <w:rFonts w:hint="default" w:ascii="Times New Roman" w:hAnsi="Times New Roman" w:cs="Times New Roman"/>
                <w:bCs/>
                <w:color w:val="auto"/>
                <w:kern w:val="0"/>
                <w:highlight w:val="none"/>
              </w:rPr>
            </w:pPr>
          </w:p>
          <w:p w14:paraId="1677E936">
            <w:pPr>
              <w:pageBreakBefore w:val="0"/>
              <w:wordWrap w:val="0"/>
              <w:overflowPunct/>
              <w:bidi w:val="0"/>
              <w:adjustRightInd w:val="0"/>
              <w:ind w:firstLine="480" w:firstLineChars="200"/>
              <w:rPr>
                <w:rFonts w:hint="default" w:ascii="Times New Roman" w:hAnsi="Times New Roman" w:cs="Times New Roman"/>
                <w:bCs/>
                <w:color w:val="auto"/>
                <w:kern w:val="0"/>
                <w:highlight w:val="none"/>
              </w:rPr>
            </w:pPr>
            <w:r>
              <w:rPr>
                <w:rFonts w:hint="default" w:ascii="Times New Roman" w:hAnsi="Times New Roman" w:cs="Times New Roman"/>
                <w:bCs/>
                <w:color w:val="auto"/>
                <w:kern w:val="0"/>
                <w:highlight w:val="none"/>
              </w:rPr>
              <w:t>按照本次评价，在严格落实前文提出的各项环境保护措施，并加强污染防治设施维护管理的情况下，本项目产生的污染物及不良环境影响能够得到有效控制，</w:t>
            </w:r>
            <w:r>
              <w:rPr>
                <w:rFonts w:hint="default" w:ascii="Times New Roman" w:hAnsi="Times New Roman" w:cs="Times New Roman"/>
                <w:b/>
                <w:color w:val="auto"/>
                <w:kern w:val="0"/>
                <w:highlight w:val="none"/>
              </w:rPr>
              <w:t>从环境保护角度分析，项目的建设是可行的</w:t>
            </w:r>
            <w:r>
              <w:rPr>
                <w:rFonts w:hint="default" w:ascii="Times New Roman" w:hAnsi="Times New Roman" w:cs="Times New Roman"/>
                <w:bCs/>
                <w:color w:val="auto"/>
                <w:kern w:val="0"/>
                <w:highlight w:val="none"/>
              </w:rPr>
              <w:t>。</w:t>
            </w:r>
          </w:p>
          <w:p w14:paraId="632BEB64">
            <w:pPr>
              <w:pageBreakBefore w:val="0"/>
              <w:wordWrap w:val="0"/>
              <w:overflowPunct/>
              <w:bidi w:val="0"/>
              <w:ind w:firstLine="480"/>
              <w:rPr>
                <w:rFonts w:hint="default" w:ascii="Times New Roman" w:hAnsi="Times New Roman" w:cs="Times New Roman"/>
                <w:color w:val="auto"/>
                <w:highlight w:val="none"/>
              </w:rPr>
            </w:pPr>
            <w:r>
              <w:rPr>
                <w:rFonts w:hint="default" w:ascii="Times New Roman" w:hAnsi="Times New Roman" w:cs="Times New Roman"/>
                <w:bCs/>
                <w:color w:val="auto"/>
                <w:highlight w:val="none"/>
              </w:rPr>
              <w:t>本环境影响报告表通过审批后</w:t>
            </w:r>
            <w:r>
              <w:rPr>
                <w:rFonts w:hint="default" w:ascii="Times New Roman" w:hAnsi="Times New Roman" w:cs="Times New Roman"/>
                <w:color w:val="auto"/>
                <w:highlight w:val="none"/>
              </w:rPr>
              <w:t>，建设内容和需要配套的污染防治设施如发生重大变动，建设单位需要重新组织编制和报批环境影响评价文件。建设单位应当严格执行配套建设的环境保护设施与主体工程同时设计、同时施工、同时投产使用的环境保护“三同时”制度。本项目竣工后，建设单位应当按照国家和地方规定的标准和程序，对配套建设的环境保护设施进行验收，编制验收报告，提出验收意见，并依法向社会公开。本项目配套建设的环境保护设施经验收合格后，主体工程方可正式投入生产。</w:t>
            </w:r>
          </w:p>
          <w:p w14:paraId="46373403">
            <w:pPr>
              <w:pageBreakBefore w:val="0"/>
              <w:wordWrap w:val="0"/>
              <w:overflowPunct/>
              <w:bidi w:val="0"/>
              <w:rPr>
                <w:rFonts w:hint="default" w:ascii="Times New Roman" w:hAnsi="Times New Roman" w:cs="Times New Roman"/>
                <w:color w:val="auto"/>
                <w:highlight w:val="none"/>
              </w:rPr>
            </w:pPr>
          </w:p>
          <w:p w14:paraId="4E17D007">
            <w:pPr>
              <w:pageBreakBefore w:val="0"/>
              <w:wordWrap w:val="0"/>
              <w:overflowPunct/>
              <w:bidi w:val="0"/>
              <w:rPr>
                <w:rFonts w:hint="default" w:ascii="Times New Roman" w:hAnsi="Times New Roman" w:cs="Times New Roman"/>
                <w:color w:val="auto"/>
                <w:highlight w:val="none"/>
              </w:rPr>
            </w:pPr>
          </w:p>
          <w:p w14:paraId="7CDA5125">
            <w:pPr>
              <w:pageBreakBefore w:val="0"/>
              <w:wordWrap w:val="0"/>
              <w:overflowPunct/>
              <w:bidi w:val="0"/>
              <w:rPr>
                <w:rFonts w:hint="default" w:ascii="Times New Roman" w:hAnsi="Times New Roman" w:cs="Times New Roman"/>
                <w:color w:val="auto"/>
                <w:highlight w:val="none"/>
              </w:rPr>
            </w:pPr>
          </w:p>
          <w:p w14:paraId="7337423A">
            <w:pPr>
              <w:pageBreakBefore w:val="0"/>
              <w:wordWrap w:val="0"/>
              <w:overflowPunct/>
              <w:bidi w:val="0"/>
              <w:rPr>
                <w:rFonts w:hint="default" w:ascii="Times New Roman" w:hAnsi="Times New Roman" w:cs="Times New Roman"/>
                <w:color w:val="auto"/>
                <w:highlight w:val="none"/>
              </w:rPr>
            </w:pPr>
          </w:p>
          <w:p w14:paraId="4148DA47">
            <w:pPr>
              <w:pageBreakBefore w:val="0"/>
              <w:wordWrap w:val="0"/>
              <w:overflowPunct/>
              <w:bidi w:val="0"/>
              <w:rPr>
                <w:rFonts w:hint="default" w:ascii="Times New Roman" w:hAnsi="Times New Roman" w:cs="Times New Roman"/>
                <w:color w:val="auto"/>
                <w:highlight w:val="none"/>
              </w:rPr>
            </w:pPr>
          </w:p>
          <w:p w14:paraId="68CB956D">
            <w:pPr>
              <w:pageBreakBefore w:val="0"/>
              <w:wordWrap w:val="0"/>
              <w:overflowPunct/>
              <w:bidi w:val="0"/>
              <w:rPr>
                <w:rFonts w:hint="default" w:ascii="Times New Roman" w:hAnsi="Times New Roman" w:cs="Times New Roman"/>
                <w:color w:val="auto"/>
                <w:highlight w:val="none"/>
              </w:rPr>
            </w:pPr>
            <w:bookmarkStart w:id="146" w:name="_GoBack"/>
            <w:bookmarkEnd w:id="146"/>
          </w:p>
        </w:tc>
      </w:tr>
    </w:tbl>
    <w:p w14:paraId="595D473A">
      <w:pPr>
        <w:pageBreakBefore w:val="0"/>
        <w:wordWrap w:val="0"/>
        <w:overflowPunct/>
        <w:bidi w:val="0"/>
        <w:rPr>
          <w:rFonts w:hint="default" w:ascii="Times New Roman" w:hAnsi="Times New Roman" w:eastAsia="黑体" w:cs="Times New Roman"/>
          <w:snapToGrid w:val="0"/>
          <w:color w:val="auto"/>
          <w:sz w:val="32"/>
          <w:szCs w:val="32"/>
          <w:highlight w:val="none"/>
        </w:rPr>
        <w:sectPr>
          <w:pgSz w:w="11906" w:h="16838"/>
          <w:pgMar w:top="1440" w:right="1417" w:bottom="1440" w:left="1417" w:header="851" w:footer="680" w:gutter="0"/>
          <w:pgBorders>
            <w:top w:val="none" w:sz="0" w:space="0"/>
            <w:left w:val="none" w:sz="0" w:space="0"/>
            <w:bottom w:val="none" w:sz="0" w:space="0"/>
            <w:right w:val="none" w:sz="0" w:space="0"/>
          </w:pgBorders>
          <w:pgNumType w:fmt="decimal"/>
          <w:cols w:space="720" w:num="1"/>
          <w:docGrid w:type="linesAndChars" w:linePitch="312" w:charSpace="0"/>
        </w:sectPr>
      </w:pPr>
    </w:p>
    <w:p w14:paraId="167B1C2F">
      <w:pPr>
        <w:pageBreakBefore w:val="0"/>
        <w:wordWrap w:val="0"/>
        <w:overflowPunct/>
        <w:bidi w:val="0"/>
        <w:jc w:val="left"/>
        <w:outlineLvl w:val="0"/>
        <w:rPr>
          <w:rFonts w:hint="default" w:ascii="Times New Roman" w:hAnsi="Times New Roman" w:eastAsia="宋体" w:cs="Times New Roman"/>
          <w:color w:val="auto"/>
          <w:sz w:val="28"/>
          <w:szCs w:val="28"/>
          <w:highlight w:val="none"/>
          <w:lang w:val="en-US" w:eastAsia="zh-CN"/>
        </w:rPr>
      </w:pPr>
      <w:bookmarkStart w:id="140" w:name="_Toc11516"/>
      <w:bookmarkStart w:id="141" w:name="_Toc23762"/>
      <w:bookmarkStart w:id="142" w:name="_Toc19831"/>
      <w:r>
        <w:rPr>
          <w:rFonts w:hint="default" w:ascii="Times New Roman" w:hAnsi="Times New Roman" w:eastAsia="宋体" w:cs="Times New Roman"/>
          <w:color w:val="auto"/>
          <w:sz w:val="28"/>
          <w:szCs w:val="28"/>
          <w:highlight w:val="none"/>
          <w:lang w:val="en-US" w:eastAsia="zh-CN"/>
        </w:rPr>
        <w:t>附表</w:t>
      </w:r>
      <w:bookmarkEnd w:id="140"/>
      <w:bookmarkEnd w:id="141"/>
    </w:p>
    <w:bookmarkEnd w:id="142"/>
    <w:p w14:paraId="35C8FEC0">
      <w:pPr>
        <w:pageBreakBefore w:val="0"/>
        <w:wordWrap w:val="0"/>
        <w:overflowPunct/>
        <w:bidi w:val="0"/>
        <w:jc w:val="center"/>
        <w:outlineLvl w:val="9"/>
        <w:rPr>
          <w:rFonts w:eastAsia="黑体"/>
          <w:color w:val="auto"/>
          <w:sz w:val="40"/>
          <w:szCs w:val="40"/>
          <w:highlight w:val="none"/>
        </w:rPr>
      </w:pPr>
      <w:bookmarkStart w:id="143" w:name="_Toc735"/>
      <w:bookmarkStart w:id="144" w:name="_Toc26011"/>
      <w:bookmarkStart w:id="145" w:name="_Toc27190"/>
      <w:r>
        <w:rPr>
          <w:rFonts w:eastAsia="黑体"/>
          <w:color w:val="auto"/>
          <w:sz w:val="40"/>
          <w:szCs w:val="40"/>
          <w:highlight w:val="none"/>
        </w:rPr>
        <w:t>建设项目污染物排放量汇总表</w:t>
      </w:r>
      <w:bookmarkEnd w:id="143"/>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1"/>
        <w:gridCol w:w="2063"/>
        <w:gridCol w:w="1658"/>
        <w:gridCol w:w="1524"/>
        <w:gridCol w:w="1450"/>
        <w:gridCol w:w="1621"/>
        <w:gridCol w:w="1533"/>
        <w:gridCol w:w="1689"/>
        <w:gridCol w:w="1399"/>
      </w:tblGrid>
      <w:tr w14:paraId="5B84B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tcBorders>
              <w:tl2br w:val="single" w:color="auto" w:sz="4" w:space="0"/>
            </w:tcBorders>
            <w:vAlign w:val="center"/>
          </w:tcPr>
          <w:p w14:paraId="13FD6AAA">
            <w:pPr>
              <w:pageBreakBefore w:val="0"/>
              <w:wordWrap w:val="0"/>
              <w:overflowPunct/>
              <w:bidi w:val="0"/>
              <w:spacing w:line="240" w:lineRule="auto"/>
              <w:jc w:val="center"/>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 xml:space="preserve">    项目</w:t>
            </w:r>
          </w:p>
          <w:p w14:paraId="406B8FDA">
            <w:pPr>
              <w:pageBreakBefore w:val="0"/>
              <w:wordWrap w:val="0"/>
              <w:overflowPunct/>
              <w:bidi w:val="0"/>
              <w:spacing w:line="240" w:lineRule="auto"/>
              <w:rPr>
                <w:rFonts w:hint="default" w:ascii="Times New Roman" w:hAnsi="Times New Roman" w:cs="Times New Roman"/>
                <w:color w:val="auto"/>
                <w:sz w:val="21"/>
                <w:szCs w:val="21"/>
                <w:highlight w:val="none"/>
              </w:rPr>
            </w:pPr>
            <w:r>
              <w:rPr>
                <w:rFonts w:hint="default" w:ascii="Times New Roman" w:hAnsi="Times New Roman" w:eastAsia="黑体" w:cs="Times New Roman"/>
                <w:color w:val="auto"/>
                <w:sz w:val="21"/>
                <w:szCs w:val="21"/>
                <w:highlight w:val="none"/>
              </w:rPr>
              <w:t>分类</w:t>
            </w:r>
          </w:p>
        </w:tc>
        <w:tc>
          <w:tcPr>
            <w:tcW w:w="2085" w:type="dxa"/>
            <w:vAlign w:val="center"/>
          </w:tcPr>
          <w:p w14:paraId="4BE97B0E">
            <w:pPr>
              <w:pageBreakBefore w:val="0"/>
              <w:wordWrap w:val="0"/>
              <w:overflowPunct/>
              <w:bidi w:val="0"/>
              <w:spacing w:line="240" w:lineRule="auto"/>
              <w:jc w:val="center"/>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污染物名称</w:t>
            </w:r>
          </w:p>
        </w:tc>
        <w:tc>
          <w:tcPr>
            <w:tcW w:w="1676" w:type="dxa"/>
            <w:vAlign w:val="center"/>
          </w:tcPr>
          <w:p w14:paraId="0DD6DEE2">
            <w:pPr>
              <w:pageBreakBefore w:val="0"/>
              <w:wordWrap w:val="0"/>
              <w:overflowPunct/>
              <w:bidi w:val="0"/>
              <w:spacing w:line="240" w:lineRule="auto"/>
              <w:jc w:val="center"/>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现有工程排放量（固体废物产生量）①</w:t>
            </w:r>
          </w:p>
        </w:tc>
        <w:tc>
          <w:tcPr>
            <w:tcW w:w="1544" w:type="dxa"/>
            <w:vAlign w:val="center"/>
          </w:tcPr>
          <w:p w14:paraId="2F108225">
            <w:pPr>
              <w:pageBreakBefore w:val="0"/>
              <w:wordWrap w:val="0"/>
              <w:overflowPunct/>
              <w:bidi w:val="0"/>
              <w:spacing w:line="240" w:lineRule="auto"/>
              <w:jc w:val="center"/>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现有工程排污许可排放量②</w:t>
            </w:r>
          </w:p>
        </w:tc>
        <w:tc>
          <w:tcPr>
            <w:tcW w:w="1465" w:type="dxa"/>
            <w:vAlign w:val="center"/>
          </w:tcPr>
          <w:p w14:paraId="2C45C8F6">
            <w:pPr>
              <w:pageBreakBefore w:val="0"/>
              <w:wordWrap w:val="0"/>
              <w:overflowPunct/>
              <w:bidi w:val="0"/>
              <w:spacing w:line="240" w:lineRule="auto"/>
              <w:jc w:val="center"/>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在建工程排放量（固体废物产生量）③</w:t>
            </w:r>
          </w:p>
        </w:tc>
        <w:tc>
          <w:tcPr>
            <w:tcW w:w="1636" w:type="dxa"/>
            <w:vAlign w:val="center"/>
          </w:tcPr>
          <w:p w14:paraId="486EBC35">
            <w:pPr>
              <w:pageBreakBefore w:val="0"/>
              <w:wordWrap w:val="0"/>
              <w:overflowPunct/>
              <w:bidi w:val="0"/>
              <w:spacing w:line="240" w:lineRule="auto"/>
              <w:jc w:val="center"/>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本项目排放量（固体废物产生量）④</w:t>
            </w:r>
          </w:p>
        </w:tc>
        <w:tc>
          <w:tcPr>
            <w:tcW w:w="1549" w:type="dxa"/>
            <w:vAlign w:val="center"/>
          </w:tcPr>
          <w:p w14:paraId="370C6C8B">
            <w:pPr>
              <w:pageBreakBefore w:val="0"/>
              <w:wordWrap w:val="0"/>
              <w:overflowPunct/>
              <w:bidi w:val="0"/>
              <w:spacing w:line="240" w:lineRule="auto"/>
              <w:jc w:val="center"/>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以新带老削减量（新建项目不填）⑤</w:t>
            </w:r>
          </w:p>
        </w:tc>
        <w:tc>
          <w:tcPr>
            <w:tcW w:w="1704" w:type="dxa"/>
            <w:vAlign w:val="center"/>
          </w:tcPr>
          <w:p w14:paraId="103297F2">
            <w:pPr>
              <w:pageBreakBefore w:val="0"/>
              <w:wordWrap w:val="0"/>
              <w:overflowPunct/>
              <w:bidi w:val="0"/>
              <w:spacing w:line="240" w:lineRule="auto"/>
              <w:jc w:val="center"/>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本项目建成后全厂排放量（固体废物产生量）⑥</w:t>
            </w:r>
          </w:p>
        </w:tc>
        <w:tc>
          <w:tcPr>
            <w:tcW w:w="1407" w:type="dxa"/>
            <w:vAlign w:val="center"/>
          </w:tcPr>
          <w:p w14:paraId="1A6107F2">
            <w:pPr>
              <w:pageBreakBefore w:val="0"/>
              <w:wordWrap w:val="0"/>
              <w:overflowPunct/>
              <w:bidi w:val="0"/>
              <w:spacing w:line="240" w:lineRule="auto"/>
              <w:jc w:val="center"/>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变化量⑦</w:t>
            </w:r>
          </w:p>
        </w:tc>
      </w:tr>
      <w:tr w14:paraId="1CEC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restart"/>
            <w:vAlign w:val="center"/>
          </w:tcPr>
          <w:p w14:paraId="33D71F33">
            <w:pPr>
              <w:pageBreakBefore w:val="0"/>
              <w:wordWrap w:val="0"/>
              <w:overflowPunct/>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2085" w:type="dxa"/>
            <w:vAlign w:val="center"/>
          </w:tcPr>
          <w:p w14:paraId="04218165">
            <w:pPr>
              <w:pageBreakBefore w:val="0"/>
              <w:wordWrap w:val="0"/>
              <w:overflowPunct/>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废水量</w:t>
            </w:r>
            <w:r>
              <w:rPr>
                <w:rFonts w:hint="default" w:ascii="Times New Roman" w:hAnsi="Times New Roman" w:cs="Times New Roman"/>
                <w:color w:val="auto"/>
                <w:kern w:val="0"/>
                <w:sz w:val="21"/>
                <w:szCs w:val="21"/>
                <w:highlight w:val="none"/>
              </w:rPr>
              <w:t>（万t/a）</w:t>
            </w:r>
          </w:p>
        </w:tc>
        <w:tc>
          <w:tcPr>
            <w:tcW w:w="1676" w:type="dxa"/>
            <w:vAlign w:val="center"/>
          </w:tcPr>
          <w:p w14:paraId="56A5ADC1">
            <w:pPr>
              <w:pStyle w:val="61"/>
              <w:pageBreakBefore w:val="0"/>
              <w:wordWrap w:val="0"/>
              <w:overflowPunct/>
              <w:bidi w:val="0"/>
              <w:jc w:val="center"/>
              <w:rPr>
                <w:rFonts w:hint="default" w:ascii="Times New Roman" w:hAnsi="Times New Roman" w:cs="Times New Roman"/>
                <w:bCs/>
                <w:color w:val="auto"/>
                <w:sz w:val="21"/>
                <w:szCs w:val="21"/>
                <w:highlight w:val="none"/>
                <w:lang w:eastAsia="zh-CN"/>
              </w:rPr>
            </w:pPr>
            <w:r>
              <w:rPr>
                <w:rFonts w:hint="default" w:ascii="Times New Roman" w:hAnsi="Times New Roman" w:cs="Times New Roman"/>
                <w:color w:val="auto"/>
                <w:sz w:val="21"/>
                <w:szCs w:val="21"/>
                <w:highlight w:val="none"/>
              </w:rPr>
              <w:t>0</w:t>
            </w:r>
          </w:p>
        </w:tc>
        <w:tc>
          <w:tcPr>
            <w:tcW w:w="1544" w:type="dxa"/>
            <w:shd w:val="clear" w:color="auto" w:fill="auto"/>
            <w:vAlign w:val="center"/>
          </w:tcPr>
          <w:p w14:paraId="67D323D4">
            <w:pPr>
              <w:pStyle w:val="61"/>
              <w:pageBreakBefore w:val="0"/>
              <w:wordWrap w:val="0"/>
              <w:overflowPunct/>
              <w:bidi w:val="0"/>
              <w:jc w:val="center"/>
              <w:rPr>
                <w:rFonts w:hint="default" w:ascii="Times New Roman" w:hAnsi="Times New Roman" w:cs="Times New Roman"/>
                <w:bCs/>
                <w:color w:val="auto"/>
                <w:sz w:val="21"/>
                <w:szCs w:val="21"/>
                <w:highlight w:val="none"/>
                <w:lang w:eastAsia="zh-CN"/>
              </w:rPr>
            </w:pPr>
            <w:r>
              <w:rPr>
                <w:rFonts w:hint="default" w:ascii="Times New Roman" w:hAnsi="Times New Roman" w:cs="Times New Roman"/>
                <w:color w:val="auto"/>
                <w:sz w:val="21"/>
                <w:szCs w:val="21"/>
                <w:highlight w:val="none"/>
              </w:rPr>
              <w:t>0</w:t>
            </w:r>
          </w:p>
        </w:tc>
        <w:tc>
          <w:tcPr>
            <w:tcW w:w="1465" w:type="dxa"/>
            <w:vAlign w:val="center"/>
          </w:tcPr>
          <w:p w14:paraId="39E8BFF8">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636" w:type="dxa"/>
            <w:vAlign w:val="center"/>
          </w:tcPr>
          <w:p w14:paraId="0C4C7E8E">
            <w:pPr>
              <w:pageBreakBefore w:val="0"/>
              <w:widowControl/>
              <w:wordWrap w:val="0"/>
              <w:overflowPunct/>
              <w:bidi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3264</w:t>
            </w:r>
          </w:p>
        </w:tc>
        <w:tc>
          <w:tcPr>
            <w:tcW w:w="1549" w:type="dxa"/>
            <w:vAlign w:val="center"/>
          </w:tcPr>
          <w:p w14:paraId="2DA4551E">
            <w:pPr>
              <w:pageBreakBefore w:val="0"/>
              <w:widowControl/>
              <w:wordWrap w:val="0"/>
              <w:overflowPunct/>
              <w:bidi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w:t>
            </w:r>
          </w:p>
        </w:tc>
        <w:tc>
          <w:tcPr>
            <w:tcW w:w="1704" w:type="dxa"/>
            <w:vAlign w:val="center"/>
          </w:tcPr>
          <w:p w14:paraId="3FBE183C">
            <w:pPr>
              <w:pageBreakBefore w:val="0"/>
              <w:widowControl/>
              <w:wordWrap w:val="0"/>
              <w:overflowPunct/>
              <w:bidi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3264</w:t>
            </w:r>
          </w:p>
        </w:tc>
        <w:tc>
          <w:tcPr>
            <w:tcW w:w="1407" w:type="dxa"/>
            <w:vAlign w:val="center"/>
          </w:tcPr>
          <w:p w14:paraId="41A969EF">
            <w:pPr>
              <w:pageBreakBefore w:val="0"/>
              <w:widowControl/>
              <w:wordWrap w:val="0"/>
              <w:overflowPunct/>
              <w:bidi w:val="0"/>
              <w:jc w:val="center"/>
              <w:textAlignment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lang w:val="en-US" w:eastAsia="zh-CN"/>
              </w:rPr>
              <w:t>+</w:t>
            </w:r>
            <w:r>
              <w:rPr>
                <w:rFonts w:hint="default" w:ascii="Times New Roman" w:hAnsi="Times New Roman"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3264</w:t>
            </w:r>
          </w:p>
        </w:tc>
      </w:tr>
      <w:tr w14:paraId="48B82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5FEDEDFB">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vAlign w:val="center"/>
          </w:tcPr>
          <w:p w14:paraId="66F731BF">
            <w:pPr>
              <w:pageBreakBefore w:val="0"/>
              <w:widowControl/>
              <w:wordWrap w:val="0"/>
              <w:overflowPunct/>
              <w:bidi w:val="0"/>
              <w:spacing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COD</w:t>
            </w:r>
            <w:r>
              <w:rPr>
                <w:rFonts w:hint="default" w:ascii="Times New Roman" w:hAnsi="Times New Roman" w:cs="Times New Roman"/>
                <w:color w:val="auto"/>
                <w:kern w:val="0"/>
                <w:sz w:val="21"/>
                <w:szCs w:val="21"/>
                <w:highlight w:val="none"/>
                <w:vertAlign w:val="subscript"/>
              </w:rPr>
              <w:t>Cr</w:t>
            </w:r>
            <w:r>
              <w:rPr>
                <w:rFonts w:hint="default" w:ascii="Times New Roman" w:hAnsi="Times New Roman" w:cs="Times New Roman"/>
                <w:color w:val="auto"/>
                <w:kern w:val="0"/>
                <w:sz w:val="21"/>
                <w:szCs w:val="21"/>
                <w:highlight w:val="none"/>
              </w:rPr>
              <w:t>（t/a）</w:t>
            </w:r>
          </w:p>
        </w:tc>
        <w:tc>
          <w:tcPr>
            <w:tcW w:w="1676" w:type="dxa"/>
            <w:vAlign w:val="center"/>
          </w:tcPr>
          <w:p w14:paraId="48487224">
            <w:pPr>
              <w:pStyle w:val="61"/>
              <w:pageBreakBefore w:val="0"/>
              <w:wordWrap w:val="0"/>
              <w:overflowPunct/>
              <w:bidi w:val="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0</w:t>
            </w:r>
          </w:p>
        </w:tc>
        <w:tc>
          <w:tcPr>
            <w:tcW w:w="1544" w:type="dxa"/>
            <w:shd w:val="clear" w:color="auto" w:fill="auto"/>
            <w:vAlign w:val="center"/>
          </w:tcPr>
          <w:p w14:paraId="0A1C035F">
            <w:pPr>
              <w:pStyle w:val="61"/>
              <w:pageBreakBefore w:val="0"/>
              <w:wordWrap w:val="0"/>
              <w:overflowPunct/>
              <w:bidi w:val="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0</w:t>
            </w:r>
          </w:p>
        </w:tc>
        <w:tc>
          <w:tcPr>
            <w:tcW w:w="1465" w:type="dxa"/>
            <w:vAlign w:val="center"/>
          </w:tcPr>
          <w:p w14:paraId="0FA234D4">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636" w:type="dxa"/>
            <w:vAlign w:val="center"/>
          </w:tcPr>
          <w:p w14:paraId="020291E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 xml:space="preserve">0.292 </w:t>
            </w:r>
          </w:p>
        </w:tc>
        <w:tc>
          <w:tcPr>
            <w:tcW w:w="1549" w:type="dxa"/>
            <w:vAlign w:val="center"/>
          </w:tcPr>
          <w:p w14:paraId="022B892C">
            <w:pPr>
              <w:pageBreakBefore w:val="0"/>
              <w:widowControl/>
              <w:wordWrap w:val="0"/>
              <w:overflowPunct/>
              <w:bidi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w:t>
            </w:r>
          </w:p>
        </w:tc>
        <w:tc>
          <w:tcPr>
            <w:tcW w:w="1704" w:type="dxa"/>
            <w:shd w:val="clear" w:color="auto" w:fill="FFFFFF"/>
            <w:vAlign w:val="center"/>
          </w:tcPr>
          <w:p w14:paraId="166E8566">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rPr>
              <w:t xml:space="preserve">0.292 </w:t>
            </w:r>
          </w:p>
        </w:tc>
        <w:tc>
          <w:tcPr>
            <w:tcW w:w="1407" w:type="dxa"/>
            <w:vAlign w:val="center"/>
          </w:tcPr>
          <w:p w14:paraId="18EC8187">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 xml:space="preserve">0.292 </w:t>
            </w:r>
          </w:p>
        </w:tc>
      </w:tr>
      <w:tr w14:paraId="4EFAB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563748BA">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vAlign w:val="center"/>
          </w:tcPr>
          <w:p w14:paraId="70282C08">
            <w:pPr>
              <w:pageBreakBefore w:val="0"/>
              <w:widowControl/>
              <w:wordWrap w:val="0"/>
              <w:overflowPunct/>
              <w:bidi w:val="0"/>
              <w:spacing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BOD</w:t>
            </w:r>
            <w:r>
              <w:rPr>
                <w:rFonts w:hint="default" w:ascii="Times New Roman" w:hAnsi="Times New Roman" w:cs="Times New Roman"/>
                <w:color w:val="auto"/>
                <w:kern w:val="0"/>
                <w:sz w:val="21"/>
                <w:szCs w:val="21"/>
                <w:highlight w:val="none"/>
                <w:vertAlign w:val="subscript"/>
              </w:rPr>
              <w:t>5</w:t>
            </w:r>
            <w:r>
              <w:rPr>
                <w:rFonts w:hint="default" w:ascii="Times New Roman" w:hAnsi="Times New Roman" w:cs="Times New Roman"/>
                <w:color w:val="auto"/>
                <w:kern w:val="0"/>
                <w:sz w:val="21"/>
                <w:szCs w:val="21"/>
                <w:highlight w:val="none"/>
              </w:rPr>
              <w:t>（t/a）</w:t>
            </w:r>
          </w:p>
        </w:tc>
        <w:tc>
          <w:tcPr>
            <w:tcW w:w="1676" w:type="dxa"/>
            <w:vAlign w:val="center"/>
          </w:tcPr>
          <w:p w14:paraId="4FE284D3">
            <w:pPr>
              <w:pageBreakBefore w:val="0"/>
              <w:wordWrap w:val="0"/>
              <w:overflowPunct/>
              <w:bidi w:val="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0</w:t>
            </w:r>
          </w:p>
        </w:tc>
        <w:tc>
          <w:tcPr>
            <w:tcW w:w="1544" w:type="dxa"/>
            <w:shd w:val="clear" w:color="auto" w:fill="auto"/>
            <w:vAlign w:val="center"/>
          </w:tcPr>
          <w:p w14:paraId="0C2B5F12">
            <w:pPr>
              <w:pageBreakBefore w:val="0"/>
              <w:wordWrap w:val="0"/>
              <w:overflowPunct/>
              <w:bidi w:val="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0</w:t>
            </w:r>
          </w:p>
        </w:tc>
        <w:tc>
          <w:tcPr>
            <w:tcW w:w="1465" w:type="dxa"/>
            <w:vAlign w:val="center"/>
          </w:tcPr>
          <w:p w14:paraId="693B7F90">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636" w:type="dxa"/>
            <w:vAlign w:val="center"/>
          </w:tcPr>
          <w:p w14:paraId="714D95F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 xml:space="preserve">0.106 </w:t>
            </w:r>
          </w:p>
        </w:tc>
        <w:tc>
          <w:tcPr>
            <w:tcW w:w="1549" w:type="dxa"/>
            <w:vAlign w:val="center"/>
          </w:tcPr>
          <w:p w14:paraId="16346E25">
            <w:pPr>
              <w:pageBreakBefore w:val="0"/>
              <w:widowControl/>
              <w:wordWrap w:val="0"/>
              <w:overflowPunct/>
              <w:bidi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w:t>
            </w:r>
          </w:p>
        </w:tc>
        <w:tc>
          <w:tcPr>
            <w:tcW w:w="1704" w:type="dxa"/>
            <w:shd w:val="clear" w:color="auto" w:fill="FFFFFF"/>
            <w:vAlign w:val="center"/>
          </w:tcPr>
          <w:p w14:paraId="20367DF3">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rPr>
              <w:t xml:space="preserve">0.106 </w:t>
            </w:r>
          </w:p>
        </w:tc>
        <w:tc>
          <w:tcPr>
            <w:tcW w:w="1407" w:type="dxa"/>
            <w:vAlign w:val="center"/>
          </w:tcPr>
          <w:p w14:paraId="498E0CF5">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 xml:space="preserve">0.106 </w:t>
            </w:r>
          </w:p>
        </w:tc>
      </w:tr>
      <w:tr w14:paraId="385CE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4C09F337">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vAlign w:val="center"/>
          </w:tcPr>
          <w:p w14:paraId="1CF1C6DA">
            <w:pPr>
              <w:pageBreakBefore w:val="0"/>
              <w:widowControl/>
              <w:wordWrap w:val="0"/>
              <w:overflowPunct/>
              <w:bidi w:val="0"/>
              <w:spacing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SS（t/a）</w:t>
            </w:r>
          </w:p>
        </w:tc>
        <w:tc>
          <w:tcPr>
            <w:tcW w:w="1676" w:type="dxa"/>
            <w:vAlign w:val="center"/>
          </w:tcPr>
          <w:p w14:paraId="375FC036">
            <w:pPr>
              <w:pageBreakBefore w:val="0"/>
              <w:wordWrap w:val="0"/>
              <w:overflowPunct/>
              <w:bidi w:val="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0</w:t>
            </w:r>
          </w:p>
        </w:tc>
        <w:tc>
          <w:tcPr>
            <w:tcW w:w="1544" w:type="dxa"/>
            <w:shd w:val="clear" w:color="auto" w:fill="auto"/>
            <w:vAlign w:val="center"/>
          </w:tcPr>
          <w:p w14:paraId="2B7AFC17">
            <w:pPr>
              <w:pageBreakBefore w:val="0"/>
              <w:wordWrap w:val="0"/>
              <w:overflowPunct/>
              <w:bidi w:val="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0</w:t>
            </w:r>
          </w:p>
        </w:tc>
        <w:tc>
          <w:tcPr>
            <w:tcW w:w="1465" w:type="dxa"/>
            <w:vAlign w:val="center"/>
          </w:tcPr>
          <w:p w14:paraId="1A548FB0">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636" w:type="dxa"/>
            <w:vAlign w:val="center"/>
          </w:tcPr>
          <w:p w14:paraId="606A318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 xml:space="preserve">0.064 </w:t>
            </w:r>
          </w:p>
        </w:tc>
        <w:tc>
          <w:tcPr>
            <w:tcW w:w="1549" w:type="dxa"/>
            <w:vAlign w:val="center"/>
          </w:tcPr>
          <w:p w14:paraId="794207F5">
            <w:pPr>
              <w:pageBreakBefore w:val="0"/>
              <w:widowControl/>
              <w:wordWrap w:val="0"/>
              <w:overflowPunct/>
              <w:bidi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w:t>
            </w:r>
          </w:p>
        </w:tc>
        <w:tc>
          <w:tcPr>
            <w:tcW w:w="1704" w:type="dxa"/>
            <w:shd w:val="clear" w:color="auto" w:fill="FFFFFF"/>
            <w:vAlign w:val="center"/>
          </w:tcPr>
          <w:p w14:paraId="0AE788C7">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rPr>
              <w:t xml:space="preserve">0.064 </w:t>
            </w:r>
          </w:p>
        </w:tc>
        <w:tc>
          <w:tcPr>
            <w:tcW w:w="1407" w:type="dxa"/>
            <w:vAlign w:val="center"/>
          </w:tcPr>
          <w:p w14:paraId="30093AD7">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 xml:space="preserve">0.064 </w:t>
            </w:r>
          </w:p>
        </w:tc>
      </w:tr>
      <w:tr w14:paraId="21DC8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65F6664D">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vAlign w:val="center"/>
          </w:tcPr>
          <w:p w14:paraId="3BE31B35">
            <w:pPr>
              <w:pageBreakBefore w:val="0"/>
              <w:widowControl/>
              <w:wordWrap w:val="0"/>
              <w:overflowPunct/>
              <w:bidi w:val="0"/>
              <w:spacing w:line="240" w:lineRule="auto"/>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氨氮（t/a）</w:t>
            </w:r>
          </w:p>
        </w:tc>
        <w:tc>
          <w:tcPr>
            <w:tcW w:w="1676" w:type="dxa"/>
            <w:vAlign w:val="center"/>
          </w:tcPr>
          <w:p w14:paraId="685C4F9B">
            <w:pPr>
              <w:pageBreakBefore w:val="0"/>
              <w:wordWrap w:val="0"/>
              <w:overflowPunct/>
              <w:bidi w:val="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0</w:t>
            </w:r>
          </w:p>
        </w:tc>
        <w:tc>
          <w:tcPr>
            <w:tcW w:w="1544" w:type="dxa"/>
            <w:shd w:val="clear" w:color="auto" w:fill="auto"/>
            <w:vAlign w:val="center"/>
          </w:tcPr>
          <w:p w14:paraId="269FBD75">
            <w:pPr>
              <w:pageBreakBefore w:val="0"/>
              <w:wordWrap w:val="0"/>
              <w:overflowPunct/>
              <w:bidi w:val="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0</w:t>
            </w:r>
          </w:p>
        </w:tc>
        <w:tc>
          <w:tcPr>
            <w:tcW w:w="1465" w:type="dxa"/>
            <w:vAlign w:val="center"/>
          </w:tcPr>
          <w:p w14:paraId="46BDFB9B">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636" w:type="dxa"/>
            <w:vAlign w:val="center"/>
          </w:tcPr>
          <w:p w14:paraId="3B5988E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 xml:space="preserve">0.026 </w:t>
            </w:r>
          </w:p>
        </w:tc>
        <w:tc>
          <w:tcPr>
            <w:tcW w:w="1549" w:type="dxa"/>
            <w:vAlign w:val="center"/>
          </w:tcPr>
          <w:p w14:paraId="630CA4A8">
            <w:pPr>
              <w:pageBreakBefore w:val="0"/>
              <w:widowControl/>
              <w:wordWrap w:val="0"/>
              <w:overflowPunct/>
              <w:bidi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w:t>
            </w:r>
          </w:p>
        </w:tc>
        <w:tc>
          <w:tcPr>
            <w:tcW w:w="1704" w:type="dxa"/>
            <w:shd w:val="clear" w:color="auto" w:fill="FFFFFF"/>
            <w:vAlign w:val="center"/>
          </w:tcPr>
          <w:p w14:paraId="023EDAE8">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rPr>
              <w:t xml:space="preserve">0.026 </w:t>
            </w:r>
          </w:p>
        </w:tc>
        <w:tc>
          <w:tcPr>
            <w:tcW w:w="1407" w:type="dxa"/>
            <w:vAlign w:val="center"/>
          </w:tcPr>
          <w:p w14:paraId="101E1FE1">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 xml:space="preserve">0.026 </w:t>
            </w:r>
          </w:p>
        </w:tc>
      </w:tr>
      <w:tr w14:paraId="7FDE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664A00F9">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vAlign w:val="center"/>
          </w:tcPr>
          <w:p w14:paraId="52E470EA">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cs="宋体"/>
                <w:i w:val="0"/>
                <w:iCs w:val="0"/>
                <w:color w:val="auto"/>
                <w:kern w:val="0"/>
                <w:sz w:val="21"/>
                <w:szCs w:val="21"/>
                <w:highlight w:val="none"/>
                <w:u w:val="none"/>
                <w:lang w:val="en-US" w:eastAsia="zh-CN"/>
              </w:rPr>
              <w:t>LAS</w:t>
            </w:r>
            <w:r>
              <w:rPr>
                <w:rFonts w:hint="default" w:ascii="Times New Roman" w:hAnsi="Times New Roman" w:cs="Times New Roman"/>
                <w:color w:val="auto"/>
                <w:kern w:val="0"/>
                <w:sz w:val="21"/>
                <w:szCs w:val="21"/>
                <w:highlight w:val="none"/>
              </w:rPr>
              <w:t>（t/a）</w:t>
            </w:r>
          </w:p>
        </w:tc>
        <w:tc>
          <w:tcPr>
            <w:tcW w:w="1676" w:type="dxa"/>
            <w:vAlign w:val="center"/>
          </w:tcPr>
          <w:p w14:paraId="6F62B134">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544" w:type="dxa"/>
            <w:shd w:val="clear" w:color="auto" w:fill="auto"/>
            <w:vAlign w:val="center"/>
          </w:tcPr>
          <w:p w14:paraId="180124E0">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465" w:type="dxa"/>
            <w:vAlign w:val="center"/>
          </w:tcPr>
          <w:p w14:paraId="0E4404A2">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636" w:type="dxa"/>
            <w:vAlign w:val="center"/>
          </w:tcPr>
          <w:p w14:paraId="42A463D9">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0.000</w:t>
            </w:r>
            <w:r>
              <w:rPr>
                <w:rFonts w:hint="eastAsia" w:cs="Times New Roman"/>
                <w:i w:val="0"/>
                <w:iCs w:val="0"/>
                <w:color w:val="auto"/>
                <w:kern w:val="0"/>
                <w:sz w:val="21"/>
                <w:szCs w:val="21"/>
                <w:highlight w:val="none"/>
                <w:u w:val="none"/>
                <w:lang w:val="en-US" w:eastAsia="zh-CN"/>
              </w:rPr>
              <w:t>2</w:t>
            </w:r>
            <w:r>
              <w:rPr>
                <w:rFonts w:hint="default" w:ascii="Times New Roman" w:hAnsi="Times New Roman" w:eastAsia="宋体" w:cs="Times New Roman"/>
                <w:i w:val="0"/>
                <w:iCs w:val="0"/>
                <w:color w:val="auto"/>
                <w:kern w:val="0"/>
                <w:sz w:val="21"/>
                <w:szCs w:val="21"/>
                <w:highlight w:val="none"/>
                <w:u w:val="none"/>
                <w:lang w:val="en-US" w:eastAsia="zh-CN"/>
              </w:rPr>
              <w:t xml:space="preserve"> </w:t>
            </w:r>
          </w:p>
        </w:tc>
        <w:tc>
          <w:tcPr>
            <w:tcW w:w="1549" w:type="dxa"/>
            <w:vAlign w:val="center"/>
          </w:tcPr>
          <w:p w14:paraId="761C8A09">
            <w:pPr>
              <w:pageBreakBefore w:val="0"/>
              <w:widowControl/>
              <w:wordWrap w:val="0"/>
              <w:overflowPunct/>
              <w:bidi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w:t>
            </w:r>
          </w:p>
        </w:tc>
        <w:tc>
          <w:tcPr>
            <w:tcW w:w="1704" w:type="dxa"/>
            <w:shd w:val="clear" w:color="auto" w:fill="FFFFFF"/>
            <w:vAlign w:val="center"/>
          </w:tcPr>
          <w:p w14:paraId="5C1E5678">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0.000</w:t>
            </w:r>
            <w:r>
              <w:rPr>
                <w:rFonts w:hint="eastAsia" w:cs="Times New Roman"/>
                <w:i w:val="0"/>
                <w:iCs w:val="0"/>
                <w:color w:val="auto"/>
                <w:kern w:val="0"/>
                <w:sz w:val="21"/>
                <w:szCs w:val="21"/>
                <w:highlight w:val="none"/>
                <w:u w:val="none"/>
                <w:lang w:val="en-US" w:eastAsia="zh-CN"/>
              </w:rPr>
              <w:t>2</w:t>
            </w:r>
            <w:r>
              <w:rPr>
                <w:rFonts w:hint="default" w:ascii="Times New Roman" w:hAnsi="Times New Roman" w:eastAsia="宋体" w:cs="Times New Roman"/>
                <w:i w:val="0"/>
                <w:iCs w:val="0"/>
                <w:color w:val="auto"/>
                <w:kern w:val="0"/>
                <w:sz w:val="21"/>
                <w:szCs w:val="21"/>
                <w:highlight w:val="none"/>
                <w:u w:val="none"/>
                <w:lang w:val="en-US" w:eastAsia="zh-CN"/>
              </w:rPr>
              <w:t xml:space="preserve"> </w:t>
            </w:r>
          </w:p>
        </w:tc>
        <w:tc>
          <w:tcPr>
            <w:tcW w:w="1407" w:type="dxa"/>
            <w:vAlign w:val="center"/>
          </w:tcPr>
          <w:p w14:paraId="00978446">
            <w:pPr>
              <w:keepNext w:val="0"/>
              <w:keepLines w:val="0"/>
              <w:widowControl/>
              <w:suppressLineNumbers w:val="0"/>
              <w:jc w:val="center"/>
              <w:textAlignment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0.000</w:t>
            </w:r>
            <w:r>
              <w:rPr>
                <w:rFonts w:hint="eastAsia" w:cs="Times New Roman"/>
                <w:i w:val="0"/>
                <w:iCs w:val="0"/>
                <w:color w:val="auto"/>
                <w:kern w:val="0"/>
                <w:sz w:val="21"/>
                <w:szCs w:val="21"/>
                <w:highlight w:val="none"/>
                <w:u w:val="none"/>
                <w:lang w:val="en-US" w:eastAsia="zh-CN"/>
              </w:rPr>
              <w:t>2</w:t>
            </w:r>
            <w:r>
              <w:rPr>
                <w:rFonts w:hint="default" w:ascii="Times New Roman" w:hAnsi="Times New Roman" w:eastAsia="宋体" w:cs="Times New Roman"/>
                <w:i w:val="0"/>
                <w:iCs w:val="0"/>
                <w:color w:val="auto"/>
                <w:kern w:val="0"/>
                <w:sz w:val="21"/>
                <w:szCs w:val="21"/>
                <w:highlight w:val="none"/>
                <w:u w:val="none"/>
                <w:lang w:val="en-US" w:eastAsia="zh-CN"/>
              </w:rPr>
              <w:t xml:space="preserve"> </w:t>
            </w:r>
          </w:p>
        </w:tc>
      </w:tr>
      <w:tr w14:paraId="1B16D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65EAA34B">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vAlign w:val="center"/>
          </w:tcPr>
          <w:p w14:paraId="3B7FD9D4">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rPr>
              <w:t>总磷</w:t>
            </w:r>
            <w:r>
              <w:rPr>
                <w:rFonts w:hint="default" w:ascii="Times New Roman" w:hAnsi="Times New Roman" w:cs="Times New Roman"/>
                <w:color w:val="auto"/>
                <w:kern w:val="0"/>
                <w:sz w:val="21"/>
                <w:szCs w:val="21"/>
                <w:highlight w:val="none"/>
              </w:rPr>
              <w:t>（t/a）</w:t>
            </w:r>
          </w:p>
        </w:tc>
        <w:tc>
          <w:tcPr>
            <w:tcW w:w="1676" w:type="dxa"/>
            <w:vAlign w:val="center"/>
          </w:tcPr>
          <w:p w14:paraId="1BEBE23C">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544" w:type="dxa"/>
            <w:shd w:val="clear" w:color="auto" w:fill="auto"/>
            <w:vAlign w:val="center"/>
          </w:tcPr>
          <w:p w14:paraId="56B2D1CA">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465" w:type="dxa"/>
            <w:vAlign w:val="center"/>
          </w:tcPr>
          <w:p w14:paraId="08C23C47">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636" w:type="dxa"/>
            <w:vAlign w:val="center"/>
          </w:tcPr>
          <w:p w14:paraId="035A18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0.01</w:t>
            </w:r>
            <w:r>
              <w:rPr>
                <w:rFonts w:hint="eastAsia" w:cs="Times New Roman"/>
                <w:i w:val="0"/>
                <w:iCs w:val="0"/>
                <w:color w:val="auto"/>
                <w:kern w:val="0"/>
                <w:sz w:val="21"/>
                <w:szCs w:val="21"/>
                <w:highlight w:val="none"/>
                <w:u w:val="none"/>
                <w:lang w:val="en-US" w:eastAsia="zh-CN"/>
              </w:rPr>
              <w:t>7</w:t>
            </w:r>
            <w:r>
              <w:rPr>
                <w:rFonts w:hint="default" w:ascii="Times New Roman" w:hAnsi="Times New Roman" w:eastAsia="宋体" w:cs="Times New Roman"/>
                <w:i w:val="0"/>
                <w:iCs w:val="0"/>
                <w:color w:val="auto"/>
                <w:kern w:val="0"/>
                <w:sz w:val="21"/>
                <w:szCs w:val="21"/>
                <w:highlight w:val="none"/>
                <w:u w:val="none"/>
                <w:lang w:val="en-US" w:eastAsia="zh-CN"/>
              </w:rPr>
              <w:t xml:space="preserve">8 </w:t>
            </w:r>
          </w:p>
        </w:tc>
        <w:tc>
          <w:tcPr>
            <w:tcW w:w="1549" w:type="dxa"/>
            <w:vAlign w:val="center"/>
          </w:tcPr>
          <w:p w14:paraId="2DFA8BFE">
            <w:pPr>
              <w:pageBreakBefore w:val="0"/>
              <w:widowControl/>
              <w:wordWrap w:val="0"/>
              <w:overflowPunct/>
              <w:bidi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w:t>
            </w:r>
          </w:p>
        </w:tc>
        <w:tc>
          <w:tcPr>
            <w:tcW w:w="1704" w:type="dxa"/>
            <w:shd w:val="clear" w:color="auto" w:fill="FFFFFF"/>
            <w:vAlign w:val="center"/>
          </w:tcPr>
          <w:p w14:paraId="65815F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0.01</w:t>
            </w:r>
            <w:r>
              <w:rPr>
                <w:rFonts w:hint="eastAsia" w:cs="Times New Roman"/>
                <w:i w:val="0"/>
                <w:iCs w:val="0"/>
                <w:color w:val="auto"/>
                <w:kern w:val="0"/>
                <w:sz w:val="21"/>
                <w:szCs w:val="21"/>
                <w:highlight w:val="none"/>
                <w:u w:val="none"/>
                <w:lang w:val="en-US" w:eastAsia="zh-CN"/>
              </w:rPr>
              <w:t>7</w:t>
            </w:r>
            <w:r>
              <w:rPr>
                <w:rFonts w:hint="default" w:ascii="Times New Roman" w:hAnsi="Times New Roman" w:eastAsia="宋体" w:cs="Times New Roman"/>
                <w:i w:val="0"/>
                <w:iCs w:val="0"/>
                <w:color w:val="auto"/>
                <w:kern w:val="0"/>
                <w:sz w:val="21"/>
                <w:szCs w:val="21"/>
                <w:highlight w:val="none"/>
                <w:u w:val="none"/>
                <w:lang w:val="en-US" w:eastAsia="zh-CN"/>
              </w:rPr>
              <w:t xml:space="preserve">8 </w:t>
            </w:r>
          </w:p>
        </w:tc>
        <w:tc>
          <w:tcPr>
            <w:tcW w:w="1407" w:type="dxa"/>
            <w:vAlign w:val="center"/>
          </w:tcPr>
          <w:p w14:paraId="7A072EF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0.01</w:t>
            </w:r>
            <w:r>
              <w:rPr>
                <w:rFonts w:hint="eastAsia" w:cs="Times New Roman"/>
                <w:i w:val="0"/>
                <w:iCs w:val="0"/>
                <w:color w:val="auto"/>
                <w:kern w:val="0"/>
                <w:sz w:val="21"/>
                <w:szCs w:val="21"/>
                <w:highlight w:val="none"/>
                <w:u w:val="none"/>
                <w:lang w:val="en-US" w:eastAsia="zh-CN"/>
              </w:rPr>
              <w:t>78</w:t>
            </w:r>
            <w:r>
              <w:rPr>
                <w:rFonts w:hint="default" w:ascii="Times New Roman" w:hAnsi="Times New Roman" w:eastAsia="宋体" w:cs="Times New Roman"/>
                <w:i w:val="0"/>
                <w:iCs w:val="0"/>
                <w:color w:val="auto"/>
                <w:kern w:val="0"/>
                <w:sz w:val="21"/>
                <w:szCs w:val="21"/>
                <w:highlight w:val="none"/>
                <w:u w:val="none"/>
                <w:lang w:val="en-US" w:eastAsia="zh-CN"/>
              </w:rPr>
              <w:t xml:space="preserve"> </w:t>
            </w:r>
          </w:p>
        </w:tc>
      </w:tr>
      <w:tr w14:paraId="7A8BB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56739FE1">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vAlign w:val="center"/>
          </w:tcPr>
          <w:p w14:paraId="2B0E391E">
            <w:pPr>
              <w:keepNext w:val="0"/>
              <w:keepLines w:val="0"/>
              <w:widowControl/>
              <w:suppressLineNumbers w:val="0"/>
              <w:jc w:val="center"/>
              <w:textAlignment w:val="center"/>
              <w:rPr>
                <w:rFonts w:hint="eastAsia"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rPr>
              <w:t>石油类</w:t>
            </w:r>
            <w:r>
              <w:rPr>
                <w:rFonts w:hint="default" w:ascii="Times New Roman" w:hAnsi="Times New Roman" w:cs="Times New Roman"/>
                <w:color w:val="auto"/>
                <w:kern w:val="0"/>
                <w:sz w:val="21"/>
                <w:szCs w:val="21"/>
                <w:highlight w:val="none"/>
              </w:rPr>
              <w:t>（t/a）</w:t>
            </w:r>
          </w:p>
        </w:tc>
        <w:tc>
          <w:tcPr>
            <w:tcW w:w="1676" w:type="dxa"/>
            <w:vAlign w:val="center"/>
          </w:tcPr>
          <w:p w14:paraId="19C1EAE0">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544" w:type="dxa"/>
            <w:shd w:val="clear" w:color="auto" w:fill="auto"/>
            <w:vAlign w:val="center"/>
          </w:tcPr>
          <w:p w14:paraId="6905C626">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465" w:type="dxa"/>
            <w:vAlign w:val="center"/>
          </w:tcPr>
          <w:p w14:paraId="3EB6F519">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636" w:type="dxa"/>
            <w:vAlign w:val="center"/>
          </w:tcPr>
          <w:p w14:paraId="26BF4067">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0.002</w:t>
            </w:r>
            <w:r>
              <w:rPr>
                <w:rFonts w:hint="eastAsia" w:cs="Times New Roman"/>
                <w:i w:val="0"/>
                <w:iCs w:val="0"/>
                <w:color w:val="auto"/>
                <w:kern w:val="0"/>
                <w:sz w:val="21"/>
                <w:szCs w:val="21"/>
                <w:highlight w:val="none"/>
                <w:u w:val="none"/>
                <w:lang w:val="en-US" w:eastAsia="zh-CN"/>
              </w:rPr>
              <w:t>2</w:t>
            </w:r>
            <w:r>
              <w:rPr>
                <w:rFonts w:hint="default" w:ascii="Times New Roman" w:hAnsi="Times New Roman" w:eastAsia="宋体" w:cs="Times New Roman"/>
                <w:i w:val="0"/>
                <w:iCs w:val="0"/>
                <w:color w:val="auto"/>
                <w:kern w:val="0"/>
                <w:sz w:val="21"/>
                <w:szCs w:val="21"/>
                <w:highlight w:val="none"/>
                <w:u w:val="none"/>
                <w:lang w:val="en-US" w:eastAsia="zh-CN"/>
              </w:rPr>
              <w:t xml:space="preserve"> </w:t>
            </w:r>
          </w:p>
        </w:tc>
        <w:tc>
          <w:tcPr>
            <w:tcW w:w="1549" w:type="dxa"/>
            <w:vAlign w:val="center"/>
          </w:tcPr>
          <w:p w14:paraId="479E09B5">
            <w:pPr>
              <w:pageBreakBefore w:val="0"/>
              <w:widowControl/>
              <w:wordWrap w:val="0"/>
              <w:overflowPunct/>
              <w:bidi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w:t>
            </w:r>
          </w:p>
        </w:tc>
        <w:tc>
          <w:tcPr>
            <w:tcW w:w="1704" w:type="dxa"/>
            <w:shd w:val="clear" w:color="auto" w:fill="FFFFFF"/>
            <w:vAlign w:val="center"/>
          </w:tcPr>
          <w:p w14:paraId="288C1A2F">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0.002</w:t>
            </w:r>
            <w:r>
              <w:rPr>
                <w:rFonts w:hint="eastAsia" w:cs="Times New Roman"/>
                <w:i w:val="0"/>
                <w:iCs w:val="0"/>
                <w:color w:val="auto"/>
                <w:kern w:val="0"/>
                <w:sz w:val="21"/>
                <w:szCs w:val="21"/>
                <w:highlight w:val="none"/>
                <w:u w:val="none"/>
                <w:lang w:val="en-US" w:eastAsia="zh-CN"/>
              </w:rPr>
              <w:t>2</w:t>
            </w:r>
            <w:r>
              <w:rPr>
                <w:rFonts w:hint="default" w:ascii="Times New Roman" w:hAnsi="Times New Roman" w:eastAsia="宋体" w:cs="Times New Roman"/>
                <w:i w:val="0"/>
                <w:iCs w:val="0"/>
                <w:color w:val="auto"/>
                <w:kern w:val="0"/>
                <w:sz w:val="21"/>
                <w:szCs w:val="21"/>
                <w:highlight w:val="none"/>
                <w:u w:val="none"/>
                <w:lang w:val="en-US" w:eastAsia="zh-CN"/>
              </w:rPr>
              <w:t xml:space="preserve"> </w:t>
            </w:r>
          </w:p>
        </w:tc>
        <w:tc>
          <w:tcPr>
            <w:tcW w:w="1407" w:type="dxa"/>
            <w:vAlign w:val="center"/>
          </w:tcPr>
          <w:p w14:paraId="22B19824">
            <w:pPr>
              <w:keepNext w:val="0"/>
              <w:keepLines w:val="0"/>
              <w:widowControl/>
              <w:suppressLineNumbers w:val="0"/>
              <w:jc w:val="center"/>
              <w:textAlignment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0.002</w:t>
            </w:r>
            <w:r>
              <w:rPr>
                <w:rFonts w:hint="eastAsia" w:cs="Times New Roman"/>
                <w:i w:val="0"/>
                <w:iCs w:val="0"/>
                <w:color w:val="auto"/>
                <w:kern w:val="0"/>
                <w:sz w:val="21"/>
                <w:szCs w:val="21"/>
                <w:highlight w:val="none"/>
                <w:u w:val="none"/>
                <w:lang w:val="en-US" w:eastAsia="zh-CN"/>
              </w:rPr>
              <w:t>2</w:t>
            </w:r>
            <w:r>
              <w:rPr>
                <w:rFonts w:hint="default" w:ascii="Times New Roman" w:hAnsi="Times New Roman" w:eastAsia="宋体" w:cs="Times New Roman"/>
                <w:i w:val="0"/>
                <w:iCs w:val="0"/>
                <w:color w:val="auto"/>
                <w:kern w:val="0"/>
                <w:sz w:val="21"/>
                <w:szCs w:val="21"/>
                <w:highlight w:val="none"/>
                <w:u w:val="none"/>
                <w:lang w:val="en-US" w:eastAsia="zh-CN"/>
              </w:rPr>
              <w:t xml:space="preserve"> </w:t>
            </w:r>
          </w:p>
        </w:tc>
      </w:tr>
      <w:tr w14:paraId="09BB9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5C94A4EE">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vAlign w:val="center"/>
          </w:tcPr>
          <w:p w14:paraId="3DDF1EF8">
            <w:pPr>
              <w:keepNext w:val="0"/>
              <w:keepLines w:val="0"/>
              <w:widowControl/>
              <w:suppressLineNumbers w:val="0"/>
              <w:jc w:val="center"/>
              <w:textAlignment w:val="center"/>
              <w:rPr>
                <w:rFonts w:hint="eastAsia"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rPr>
              <w:t>TN</w:t>
            </w:r>
            <w:r>
              <w:rPr>
                <w:rFonts w:hint="default" w:ascii="Times New Roman" w:hAnsi="Times New Roman" w:cs="Times New Roman"/>
                <w:color w:val="auto"/>
                <w:kern w:val="0"/>
                <w:sz w:val="21"/>
                <w:szCs w:val="21"/>
                <w:highlight w:val="none"/>
              </w:rPr>
              <w:t>（t/a）</w:t>
            </w:r>
          </w:p>
        </w:tc>
        <w:tc>
          <w:tcPr>
            <w:tcW w:w="1676" w:type="dxa"/>
            <w:vAlign w:val="center"/>
          </w:tcPr>
          <w:p w14:paraId="1F0037F3">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544" w:type="dxa"/>
            <w:shd w:val="clear" w:color="auto" w:fill="auto"/>
            <w:vAlign w:val="center"/>
          </w:tcPr>
          <w:p w14:paraId="69A0F1F6">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465" w:type="dxa"/>
            <w:vAlign w:val="center"/>
          </w:tcPr>
          <w:p w14:paraId="62434CF4">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636" w:type="dxa"/>
            <w:vAlign w:val="center"/>
          </w:tcPr>
          <w:p w14:paraId="2B7013BF">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0.00</w:t>
            </w:r>
            <w:r>
              <w:rPr>
                <w:rFonts w:hint="eastAsia" w:cs="Times New Roman"/>
                <w:i w:val="0"/>
                <w:iCs w:val="0"/>
                <w:color w:val="auto"/>
                <w:kern w:val="0"/>
                <w:sz w:val="21"/>
                <w:szCs w:val="21"/>
                <w:highlight w:val="none"/>
                <w:u w:val="none"/>
                <w:lang w:val="en-US" w:eastAsia="zh-CN"/>
              </w:rPr>
              <w:t>72</w:t>
            </w:r>
          </w:p>
        </w:tc>
        <w:tc>
          <w:tcPr>
            <w:tcW w:w="1549" w:type="dxa"/>
            <w:vAlign w:val="center"/>
          </w:tcPr>
          <w:p w14:paraId="2089ABEC">
            <w:pPr>
              <w:pageBreakBefore w:val="0"/>
              <w:widowControl/>
              <w:wordWrap w:val="0"/>
              <w:overflowPunct/>
              <w:bidi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w:t>
            </w:r>
          </w:p>
        </w:tc>
        <w:tc>
          <w:tcPr>
            <w:tcW w:w="1704" w:type="dxa"/>
            <w:shd w:val="clear" w:color="auto" w:fill="FFFFFF"/>
            <w:vAlign w:val="center"/>
          </w:tcPr>
          <w:p w14:paraId="2C375C2A">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0.00</w:t>
            </w:r>
            <w:r>
              <w:rPr>
                <w:rFonts w:hint="eastAsia" w:cs="Times New Roman"/>
                <w:i w:val="0"/>
                <w:iCs w:val="0"/>
                <w:color w:val="auto"/>
                <w:kern w:val="0"/>
                <w:sz w:val="21"/>
                <w:szCs w:val="21"/>
                <w:highlight w:val="none"/>
                <w:u w:val="none"/>
                <w:lang w:val="en-US" w:eastAsia="zh-CN"/>
              </w:rPr>
              <w:t>72</w:t>
            </w:r>
            <w:r>
              <w:rPr>
                <w:rFonts w:hint="default" w:ascii="Times New Roman" w:hAnsi="Times New Roman" w:eastAsia="宋体" w:cs="Times New Roman"/>
                <w:i w:val="0"/>
                <w:iCs w:val="0"/>
                <w:color w:val="auto"/>
                <w:kern w:val="0"/>
                <w:sz w:val="21"/>
                <w:szCs w:val="21"/>
                <w:highlight w:val="none"/>
                <w:u w:val="none"/>
                <w:lang w:val="en-US" w:eastAsia="zh-CN"/>
              </w:rPr>
              <w:t xml:space="preserve"> </w:t>
            </w:r>
          </w:p>
        </w:tc>
        <w:tc>
          <w:tcPr>
            <w:tcW w:w="1407" w:type="dxa"/>
            <w:vAlign w:val="center"/>
          </w:tcPr>
          <w:p w14:paraId="77CEAD4F">
            <w:pPr>
              <w:keepNext w:val="0"/>
              <w:keepLines w:val="0"/>
              <w:widowControl/>
              <w:suppressLineNumbers w:val="0"/>
              <w:jc w:val="center"/>
              <w:textAlignment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0.00</w:t>
            </w:r>
            <w:r>
              <w:rPr>
                <w:rFonts w:hint="eastAsia" w:cs="Times New Roman"/>
                <w:i w:val="0"/>
                <w:iCs w:val="0"/>
                <w:color w:val="auto"/>
                <w:kern w:val="0"/>
                <w:sz w:val="21"/>
                <w:szCs w:val="21"/>
                <w:highlight w:val="none"/>
                <w:u w:val="none"/>
                <w:lang w:val="en-US" w:eastAsia="zh-CN"/>
              </w:rPr>
              <w:t>72</w:t>
            </w:r>
            <w:r>
              <w:rPr>
                <w:rFonts w:hint="default" w:ascii="Times New Roman" w:hAnsi="Times New Roman" w:eastAsia="宋体" w:cs="Times New Roman"/>
                <w:i w:val="0"/>
                <w:iCs w:val="0"/>
                <w:color w:val="auto"/>
                <w:kern w:val="0"/>
                <w:sz w:val="21"/>
                <w:szCs w:val="21"/>
                <w:highlight w:val="none"/>
                <w:u w:val="none"/>
                <w:lang w:val="en-US" w:eastAsia="zh-CN"/>
              </w:rPr>
              <w:t xml:space="preserve"> </w:t>
            </w:r>
          </w:p>
        </w:tc>
      </w:tr>
      <w:tr w14:paraId="07360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103584F8">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vAlign w:val="center"/>
          </w:tcPr>
          <w:p w14:paraId="0E57F812">
            <w:pPr>
              <w:keepNext w:val="0"/>
              <w:keepLines w:val="0"/>
              <w:widowControl/>
              <w:suppressLineNumbers w:val="0"/>
              <w:jc w:val="center"/>
              <w:textAlignment w:val="center"/>
              <w:rPr>
                <w:rFonts w:hint="eastAsia"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总锌</w:t>
            </w:r>
            <w:r>
              <w:rPr>
                <w:rFonts w:hint="default" w:ascii="Times New Roman" w:hAnsi="Times New Roman" w:cs="Times New Roman"/>
                <w:color w:val="auto"/>
                <w:kern w:val="0"/>
                <w:sz w:val="21"/>
                <w:szCs w:val="21"/>
                <w:highlight w:val="none"/>
              </w:rPr>
              <w:t>（t/a）</w:t>
            </w:r>
          </w:p>
        </w:tc>
        <w:tc>
          <w:tcPr>
            <w:tcW w:w="1676" w:type="dxa"/>
            <w:vAlign w:val="center"/>
          </w:tcPr>
          <w:p w14:paraId="0B392585">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544" w:type="dxa"/>
            <w:shd w:val="clear" w:color="auto" w:fill="auto"/>
            <w:vAlign w:val="center"/>
          </w:tcPr>
          <w:p w14:paraId="401D67DA">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465" w:type="dxa"/>
            <w:vAlign w:val="center"/>
          </w:tcPr>
          <w:p w14:paraId="2DE7662D">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636" w:type="dxa"/>
            <w:vAlign w:val="center"/>
          </w:tcPr>
          <w:p w14:paraId="67BE7D8E">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0.00</w:t>
            </w:r>
            <w:r>
              <w:rPr>
                <w:rFonts w:hint="eastAsia" w:cs="Times New Roman"/>
                <w:i w:val="0"/>
                <w:iCs w:val="0"/>
                <w:color w:val="auto"/>
                <w:kern w:val="0"/>
                <w:sz w:val="21"/>
                <w:szCs w:val="21"/>
                <w:highlight w:val="none"/>
                <w:u w:val="none"/>
                <w:lang w:val="en-US" w:eastAsia="zh-CN"/>
              </w:rPr>
              <w:t>1</w:t>
            </w:r>
            <w:r>
              <w:rPr>
                <w:rFonts w:hint="default" w:ascii="Times New Roman" w:hAnsi="Times New Roman" w:eastAsia="宋体" w:cs="Times New Roman"/>
                <w:i w:val="0"/>
                <w:iCs w:val="0"/>
                <w:color w:val="auto"/>
                <w:kern w:val="0"/>
                <w:sz w:val="21"/>
                <w:szCs w:val="21"/>
                <w:highlight w:val="none"/>
                <w:u w:val="none"/>
                <w:lang w:val="en-US" w:eastAsia="zh-CN"/>
              </w:rPr>
              <w:t xml:space="preserve"> </w:t>
            </w:r>
          </w:p>
        </w:tc>
        <w:tc>
          <w:tcPr>
            <w:tcW w:w="1549" w:type="dxa"/>
            <w:vAlign w:val="center"/>
          </w:tcPr>
          <w:p w14:paraId="2474376D">
            <w:pPr>
              <w:pageBreakBefore w:val="0"/>
              <w:widowControl/>
              <w:wordWrap w:val="0"/>
              <w:overflowPunct/>
              <w:bidi w:val="0"/>
              <w:jc w:val="center"/>
              <w:textAlignment w:val="center"/>
              <w:rPr>
                <w:rFonts w:hint="default" w:ascii="Times New Roman" w:hAnsi="Times New Roman" w:cs="Times New Roman"/>
                <w:color w:val="auto"/>
                <w:kern w:val="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rPr>
              <w:t>0</w:t>
            </w:r>
          </w:p>
        </w:tc>
        <w:tc>
          <w:tcPr>
            <w:tcW w:w="1704" w:type="dxa"/>
            <w:shd w:val="clear" w:color="auto" w:fill="FFFFFF"/>
            <w:vAlign w:val="center"/>
          </w:tcPr>
          <w:p w14:paraId="267CC1D0">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0.00</w:t>
            </w:r>
            <w:r>
              <w:rPr>
                <w:rFonts w:hint="eastAsia" w:cs="Times New Roman"/>
                <w:i w:val="0"/>
                <w:iCs w:val="0"/>
                <w:color w:val="auto"/>
                <w:kern w:val="0"/>
                <w:sz w:val="21"/>
                <w:szCs w:val="21"/>
                <w:highlight w:val="none"/>
                <w:u w:val="none"/>
                <w:lang w:val="en-US" w:eastAsia="zh-CN"/>
              </w:rPr>
              <w:t>1</w:t>
            </w:r>
            <w:r>
              <w:rPr>
                <w:rFonts w:hint="default" w:ascii="Times New Roman" w:hAnsi="Times New Roman" w:eastAsia="宋体" w:cs="Times New Roman"/>
                <w:i w:val="0"/>
                <w:iCs w:val="0"/>
                <w:color w:val="auto"/>
                <w:kern w:val="0"/>
                <w:sz w:val="21"/>
                <w:szCs w:val="21"/>
                <w:highlight w:val="none"/>
                <w:u w:val="none"/>
                <w:lang w:val="en-US" w:eastAsia="zh-CN"/>
              </w:rPr>
              <w:t xml:space="preserve"> </w:t>
            </w:r>
          </w:p>
        </w:tc>
        <w:tc>
          <w:tcPr>
            <w:tcW w:w="1407" w:type="dxa"/>
            <w:vAlign w:val="center"/>
          </w:tcPr>
          <w:p w14:paraId="0F9F0429">
            <w:pPr>
              <w:keepNext w:val="0"/>
              <w:keepLines w:val="0"/>
              <w:widowControl/>
              <w:suppressLineNumbers w:val="0"/>
              <w:jc w:val="center"/>
              <w:textAlignment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0.00</w:t>
            </w:r>
            <w:r>
              <w:rPr>
                <w:rFonts w:hint="eastAsia" w:cs="Times New Roman"/>
                <w:i w:val="0"/>
                <w:iCs w:val="0"/>
                <w:color w:val="auto"/>
                <w:kern w:val="0"/>
                <w:sz w:val="21"/>
                <w:szCs w:val="21"/>
                <w:highlight w:val="none"/>
                <w:u w:val="none"/>
                <w:lang w:val="en-US" w:eastAsia="zh-CN"/>
              </w:rPr>
              <w:t>1</w:t>
            </w:r>
            <w:r>
              <w:rPr>
                <w:rFonts w:hint="default" w:ascii="Times New Roman" w:hAnsi="Times New Roman" w:eastAsia="宋体" w:cs="Times New Roman"/>
                <w:i w:val="0"/>
                <w:iCs w:val="0"/>
                <w:color w:val="auto"/>
                <w:kern w:val="0"/>
                <w:sz w:val="21"/>
                <w:szCs w:val="21"/>
                <w:highlight w:val="none"/>
                <w:u w:val="none"/>
                <w:lang w:val="en-US" w:eastAsia="zh-CN"/>
              </w:rPr>
              <w:t xml:space="preserve"> </w:t>
            </w:r>
          </w:p>
        </w:tc>
      </w:tr>
      <w:tr w14:paraId="5523C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5FC153F2">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shd w:val="clear" w:color="auto" w:fill="auto"/>
            <w:vAlign w:val="center"/>
          </w:tcPr>
          <w:p w14:paraId="0C9BED8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rPr>
              <w:t>氟化物</w:t>
            </w:r>
            <w:r>
              <w:rPr>
                <w:rFonts w:hint="default" w:ascii="Times New Roman" w:hAnsi="Times New Roman" w:cs="Times New Roman"/>
                <w:color w:val="auto"/>
                <w:kern w:val="0"/>
                <w:sz w:val="21"/>
                <w:szCs w:val="21"/>
                <w:highlight w:val="none"/>
              </w:rPr>
              <w:t>（t/a）</w:t>
            </w:r>
          </w:p>
        </w:tc>
        <w:tc>
          <w:tcPr>
            <w:tcW w:w="1676" w:type="dxa"/>
            <w:shd w:val="clear" w:color="auto" w:fill="auto"/>
            <w:vAlign w:val="center"/>
          </w:tcPr>
          <w:p w14:paraId="79F1CD60">
            <w:pPr>
              <w:pageBreakBefore w:val="0"/>
              <w:wordWrap w:val="0"/>
              <w:overflowPunct/>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0</w:t>
            </w:r>
          </w:p>
        </w:tc>
        <w:tc>
          <w:tcPr>
            <w:tcW w:w="1544" w:type="dxa"/>
            <w:shd w:val="clear" w:color="auto" w:fill="auto"/>
            <w:vAlign w:val="center"/>
          </w:tcPr>
          <w:p w14:paraId="6B0707D1">
            <w:pPr>
              <w:pageBreakBefore w:val="0"/>
              <w:wordWrap w:val="0"/>
              <w:overflowPunct/>
              <w:bidi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0</w:t>
            </w:r>
          </w:p>
        </w:tc>
        <w:tc>
          <w:tcPr>
            <w:tcW w:w="1465" w:type="dxa"/>
            <w:shd w:val="clear" w:color="auto" w:fill="auto"/>
            <w:vAlign w:val="center"/>
          </w:tcPr>
          <w:p w14:paraId="119F5ED0">
            <w:pPr>
              <w:pageBreakBefore w:val="0"/>
              <w:wordWrap w:val="0"/>
              <w:overflowPunct/>
              <w:bidi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0</w:t>
            </w:r>
          </w:p>
        </w:tc>
        <w:tc>
          <w:tcPr>
            <w:tcW w:w="1636" w:type="dxa"/>
            <w:shd w:val="clear" w:color="auto" w:fill="auto"/>
            <w:vAlign w:val="center"/>
          </w:tcPr>
          <w:p w14:paraId="29D3C99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rPr>
              <w:t>0.0</w:t>
            </w:r>
            <w:r>
              <w:rPr>
                <w:rFonts w:hint="eastAsia" w:ascii="Times New Roman" w:hAnsi="Times New Roman" w:eastAsia="宋体" w:cs="Times New Roman"/>
                <w:i w:val="0"/>
                <w:iCs w:val="0"/>
                <w:color w:val="auto"/>
                <w:kern w:val="0"/>
                <w:sz w:val="21"/>
                <w:szCs w:val="21"/>
                <w:highlight w:val="none"/>
                <w:u w:val="none"/>
                <w:lang w:val="en-US" w:eastAsia="zh-CN"/>
              </w:rPr>
              <w:t>248</w:t>
            </w:r>
            <w:r>
              <w:rPr>
                <w:rFonts w:hint="default" w:ascii="Times New Roman" w:hAnsi="Times New Roman" w:eastAsia="宋体" w:cs="Times New Roman"/>
                <w:i w:val="0"/>
                <w:iCs w:val="0"/>
                <w:color w:val="auto"/>
                <w:kern w:val="0"/>
                <w:sz w:val="21"/>
                <w:szCs w:val="21"/>
                <w:highlight w:val="none"/>
                <w:u w:val="none"/>
                <w:lang w:val="en-US" w:eastAsia="zh-CN"/>
              </w:rPr>
              <w:t xml:space="preserve"> </w:t>
            </w:r>
          </w:p>
        </w:tc>
        <w:tc>
          <w:tcPr>
            <w:tcW w:w="1549" w:type="dxa"/>
            <w:shd w:val="clear" w:color="auto" w:fill="auto"/>
            <w:vAlign w:val="center"/>
          </w:tcPr>
          <w:p w14:paraId="56A062CD">
            <w:pPr>
              <w:pageBreakBefore w:val="0"/>
              <w:widowControl/>
              <w:wordWrap w:val="0"/>
              <w:overflowPunct/>
              <w:bidi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0</w:t>
            </w:r>
          </w:p>
        </w:tc>
        <w:tc>
          <w:tcPr>
            <w:tcW w:w="1704" w:type="dxa"/>
            <w:shd w:val="clear" w:color="auto" w:fill="FFFFFF"/>
            <w:vAlign w:val="center"/>
          </w:tcPr>
          <w:p w14:paraId="4D480F8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rPr>
              <w:t>0.0</w:t>
            </w:r>
            <w:r>
              <w:rPr>
                <w:rFonts w:hint="eastAsia" w:ascii="Times New Roman" w:hAnsi="Times New Roman" w:eastAsia="宋体" w:cs="Times New Roman"/>
                <w:i w:val="0"/>
                <w:iCs w:val="0"/>
                <w:color w:val="auto"/>
                <w:kern w:val="0"/>
                <w:sz w:val="21"/>
                <w:szCs w:val="21"/>
                <w:highlight w:val="none"/>
                <w:u w:val="none"/>
                <w:lang w:val="en-US" w:eastAsia="zh-CN"/>
              </w:rPr>
              <w:t>248</w:t>
            </w:r>
            <w:r>
              <w:rPr>
                <w:rFonts w:hint="default" w:ascii="Times New Roman" w:hAnsi="Times New Roman" w:eastAsia="宋体" w:cs="Times New Roman"/>
                <w:i w:val="0"/>
                <w:iCs w:val="0"/>
                <w:color w:val="auto"/>
                <w:kern w:val="0"/>
                <w:sz w:val="21"/>
                <w:szCs w:val="21"/>
                <w:highlight w:val="none"/>
                <w:u w:val="none"/>
                <w:lang w:val="en-US" w:eastAsia="zh-CN"/>
              </w:rPr>
              <w:t xml:space="preserve"> </w:t>
            </w:r>
          </w:p>
        </w:tc>
        <w:tc>
          <w:tcPr>
            <w:tcW w:w="1407" w:type="dxa"/>
            <w:shd w:val="clear" w:color="auto" w:fill="auto"/>
            <w:vAlign w:val="center"/>
          </w:tcPr>
          <w:p w14:paraId="64B03FEB">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0.0</w:t>
            </w:r>
            <w:r>
              <w:rPr>
                <w:rFonts w:hint="eastAsia" w:ascii="Times New Roman" w:hAnsi="Times New Roman" w:eastAsia="宋体" w:cs="Times New Roman"/>
                <w:i w:val="0"/>
                <w:iCs w:val="0"/>
                <w:color w:val="auto"/>
                <w:kern w:val="0"/>
                <w:sz w:val="21"/>
                <w:szCs w:val="21"/>
                <w:highlight w:val="none"/>
                <w:u w:val="none"/>
                <w:lang w:val="en-US" w:eastAsia="zh-CN"/>
              </w:rPr>
              <w:t>248</w:t>
            </w:r>
            <w:r>
              <w:rPr>
                <w:rFonts w:hint="default" w:ascii="Times New Roman" w:hAnsi="Times New Roman" w:eastAsia="宋体" w:cs="Times New Roman"/>
                <w:i w:val="0"/>
                <w:iCs w:val="0"/>
                <w:color w:val="auto"/>
                <w:kern w:val="0"/>
                <w:sz w:val="21"/>
                <w:szCs w:val="21"/>
                <w:highlight w:val="none"/>
                <w:u w:val="none"/>
                <w:lang w:val="en-US" w:eastAsia="zh-CN"/>
              </w:rPr>
              <w:t xml:space="preserve"> </w:t>
            </w:r>
          </w:p>
        </w:tc>
      </w:tr>
      <w:tr w14:paraId="41007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403E7B9A">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vAlign w:val="center"/>
          </w:tcPr>
          <w:p w14:paraId="65E62940">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eastAsia="zh-CN"/>
              </w:rPr>
            </w:pPr>
            <w:r>
              <w:rPr>
                <w:rFonts w:hint="eastAsia" w:cs="Times New Roman"/>
                <w:i w:val="0"/>
                <w:iCs w:val="0"/>
                <w:color w:val="auto"/>
                <w:kern w:val="0"/>
                <w:sz w:val="21"/>
                <w:szCs w:val="21"/>
                <w:highlight w:val="none"/>
                <w:u w:val="none"/>
                <w:lang w:val="en-US" w:eastAsia="zh-CN"/>
              </w:rPr>
              <w:t>总铁</w:t>
            </w:r>
            <w:r>
              <w:rPr>
                <w:rFonts w:hint="default" w:ascii="Times New Roman" w:hAnsi="Times New Roman" w:cs="Times New Roman"/>
                <w:color w:val="auto"/>
                <w:kern w:val="0"/>
                <w:sz w:val="21"/>
                <w:szCs w:val="21"/>
                <w:highlight w:val="none"/>
              </w:rPr>
              <w:t>（t/a）</w:t>
            </w:r>
          </w:p>
        </w:tc>
        <w:tc>
          <w:tcPr>
            <w:tcW w:w="1676" w:type="dxa"/>
            <w:vAlign w:val="center"/>
          </w:tcPr>
          <w:p w14:paraId="6B814A57">
            <w:pPr>
              <w:pageBreakBefore w:val="0"/>
              <w:wordWrap w:val="0"/>
              <w:overflowPunct/>
              <w:bidi w:val="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0</w:t>
            </w:r>
          </w:p>
        </w:tc>
        <w:tc>
          <w:tcPr>
            <w:tcW w:w="1544" w:type="dxa"/>
            <w:shd w:val="clear" w:color="auto" w:fill="auto"/>
            <w:vAlign w:val="center"/>
          </w:tcPr>
          <w:p w14:paraId="52EE70A5">
            <w:pPr>
              <w:pageBreakBefore w:val="0"/>
              <w:wordWrap w:val="0"/>
              <w:overflowPunct/>
              <w:bidi w:val="0"/>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0</w:t>
            </w:r>
          </w:p>
        </w:tc>
        <w:tc>
          <w:tcPr>
            <w:tcW w:w="1465" w:type="dxa"/>
            <w:vAlign w:val="center"/>
          </w:tcPr>
          <w:p w14:paraId="12E01D82">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636" w:type="dxa"/>
            <w:vAlign w:val="center"/>
          </w:tcPr>
          <w:p w14:paraId="4B19C9E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rPr>
              <w:t>0.00</w:t>
            </w:r>
            <w:r>
              <w:rPr>
                <w:rFonts w:hint="eastAsia" w:cs="Times New Roman"/>
                <w:i w:val="0"/>
                <w:iCs w:val="0"/>
                <w:color w:val="auto"/>
                <w:kern w:val="0"/>
                <w:sz w:val="21"/>
                <w:szCs w:val="21"/>
                <w:highlight w:val="none"/>
                <w:u w:val="none"/>
                <w:lang w:val="en-US" w:eastAsia="zh-CN"/>
              </w:rPr>
              <w:t>1</w:t>
            </w:r>
            <w:r>
              <w:rPr>
                <w:rFonts w:hint="default" w:ascii="Times New Roman" w:hAnsi="Times New Roman" w:eastAsia="宋体" w:cs="Times New Roman"/>
                <w:i w:val="0"/>
                <w:iCs w:val="0"/>
                <w:color w:val="auto"/>
                <w:kern w:val="0"/>
                <w:sz w:val="21"/>
                <w:szCs w:val="21"/>
                <w:highlight w:val="none"/>
                <w:u w:val="none"/>
                <w:lang w:val="en-US" w:eastAsia="zh-CN"/>
              </w:rPr>
              <w:t xml:space="preserve"> </w:t>
            </w:r>
          </w:p>
        </w:tc>
        <w:tc>
          <w:tcPr>
            <w:tcW w:w="1549" w:type="dxa"/>
            <w:vAlign w:val="center"/>
          </w:tcPr>
          <w:p w14:paraId="3DCACBF1">
            <w:pPr>
              <w:pageBreakBefore w:val="0"/>
              <w:widowControl/>
              <w:wordWrap w:val="0"/>
              <w:overflowPunct/>
              <w:bidi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0</w:t>
            </w:r>
          </w:p>
        </w:tc>
        <w:tc>
          <w:tcPr>
            <w:tcW w:w="1704" w:type="dxa"/>
            <w:shd w:val="clear" w:color="auto" w:fill="FFFFFF"/>
            <w:vAlign w:val="center"/>
          </w:tcPr>
          <w:p w14:paraId="6073ED80">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rPr>
              <w:t>0.00</w:t>
            </w:r>
            <w:r>
              <w:rPr>
                <w:rFonts w:hint="eastAsia" w:cs="Times New Roman"/>
                <w:i w:val="0"/>
                <w:iCs w:val="0"/>
                <w:color w:val="auto"/>
                <w:kern w:val="0"/>
                <w:sz w:val="21"/>
                <w:szCs w:val="21"/>
                <w:highlight w:val="none"/>
                <w:u w:val="none"/>
                <w:lang w:val="en-US" w:eastAsia="zh-CN"/>
              </w:rPr>
              <w:t>1</w:t>
            </w:r>
            <w:r>
              <w:rPr>
                <w:rFonts w:hint="default" w:ascii="Times New Roman" w:hAnsi="Times New Roman" w:eastAsia="宋体" w:cs="Times New Roman"/>
                <w:i w:val="0"/>
                <w:iCs w:val="0"/>
                <w:color w:val="auto"/>
                <w:kern w:val="0"/>
                <w:sz w:val="21"/>
                <w:szCs w:val="21"/>
                <w:highlight w:val="none"/>
                <w:u w:val="none"/>
                <w:lang w:val="en-US" w:eastAsia="zh-CN"/>
              </w:rPr>
              <w:t xml:space="preserve"> </w:t>
            </w:r>
          </w:p>
        </w:tc>
        <w:tc>
          <w:tcPr>
            <w:tcW w:w="1407" w:type="dxa"/>
            <w:vAlign w:val="center"/>
          </w:tcPr>
          <w:p w14:paraId="5960317B">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0.00</w:t>
            </w:r>
            <w:r>
              <w:rPr>
                <w:rFonts w:hint="eastAsia" w:cs="Times New Roman"/>
                <w:i w:val="0"/>
                <w:iCs w:val="0"/>
                <w:color w:val="auto"/>
                <w:kern w:val="0"/>
                <w:sz w:val="21"/>
                <w:szCs w:val="21"/>
                <w:highlight w:val="none"/>
                <w:u w:val="none"/>
                <w:lang w:val="en-US" w:eastAsia="zh-CN"/>
              </w:rPr>
              <w:t>1</w:t>
            </w:r>
            <w:r>
              <w:rPr>
                <w:rFonts w:hint="default" w:ascii="Times New Roman" w:hAnsi="Times New Roman" w:eastAsia="宋体" w:cs="Times New Roman"/>
                <w:i w:val="0"/>
                <w:iCs w:val="0"/>
                <w:color w:val="auto"/>
                <w:kern w:val="0"/>
                <w:sz w:val="21"/>
                <w:szCs w:val="21"/>
                <w:highlight w:val="none"/>
                <w:u w:val="none"/>
                <w:lang w:val="en-US" w:eastAsia="zh-CN"/>
              </w:rPr>
              <w:t xml:space="preserve"> </w:t>
            </w:r>
          </w:p>
        </w:tc>
      </w:tr>
      <w:tr w14:paraId="16EA4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restart"/>
            <w:vAlign w:val="center"/>
          </w:tcPr>
          <w:p w14:paraId="530B97A9">
            <w:pPr>
              <w:pageBreakBefore w:val="0"/>
              <w:wordWrap w:val="0"/>
              <w:overflowPunct/>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2085" w:type="dxa"/>
            <w:vAlign w:val="center"/>
          </w:tcPr>
          <w:p w14:paraId="5C8BE0AC">
            <w:pPr>
              <w:pageBreakBefore w:val="0"/>
              <w:widowControl/>
              <w:wordWrap w:val="0"/>
              <w:overflowPunct/>
              <w:bidi w:val="0"/>
              <w:spacing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废气量（万m</w:t>
            </w:r>
            <w:r>
              <w:rPr>
                <w:rFonts w:hint="default" w:ascii="Times New Roman" w:hAnsi="Times New Roman" w:cs="Times New Roman"/>
                <w:color w:val="auto"/>
                <w:kern w:val="0"/>
                <w:sz w:val="21"/>
                <w:szCs w:val="21"/>
                <w:highlight w:val="none"/>
                <w:vertAlign w:val="superscript"/>
              </w:rPr>
              <w:t>3</w:t>
            </w:r>
            <w:r>
              <w:rPr>
                <w:rFonts w:hint="default" w:ascii="Times New Roman" w:hAnsi="Times New Roman" w:cs="Times New Roman"/>
                <w:color w:val="auto"/>
                <w:kern w:val="0"/>
                <w:sz w:val="21"/>
                <w:szCs w:val="21"/>
                <w:highlight w:val="none"/>
              </w:rPr>
              <w:t>/a）</w:t>
            </w:r>
          </w:p>
        </w:tc>
        <w:tc>
          <w:tcPr>
            <w:tcW w:w="1676" w:type="dxa"/>
            <w:vAlign w:val="center"/>
          </w:tcPr>
          <w:p w14:paraId="5EECDCA5">
            <w:pPr>
              <w:pStyle w:val="61"/>
              <w:pageBreakBefore w:val="0"/>
              <w:wordWrap w:val="0"/>
              <w:overflowPunct/>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w:t>
            </w:r>
          </w:p>
        </w:tc>
        <w:tc>
          <w:tcPr>
            <w:tcW w:w="1544" w:type="dxa"/>
            <w:shd w:val="clear" w:color="auto" w:fill="auto"/>
            <w:vAlign w:val="center"/>
          </w:tcPr>
          <w:p w14:paraId="3B1C6E60">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465" w:type="dxa"/>
            <w:vAlign w:val="center"/>
          </w:tcPr>
          <w:p w14:paraId="2BEFEEC9">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636" w:type="dxa"/>
            <w:vAlign w:val="center"/>
          </w:tcPr>
          <w:p w14:paraId="516548F7">
            <w:pPr>
              <w:pageBreakBefore w:val="0"/>
              <w:wordWrap w:val="0"/>
              <w:overflowPunct/>
              <w:bidi w:val="0"/>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11490</w:t>
            </w:r>
          </w:p>
        </w:tc>
        <w:tc>
          <w:tcPr>
            <w:tcW w:w="1549" w:type="dxa"/>
            <w:vAlign w:val="center"/>
          </w:tcPr>
          <w:p w14:paraId="64A8EEE1">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704" w:type="dxa"/>
            <w:vAlign w:val="center"/>
          </w:tcPr>
          <w:p w14:paraId="58340CE6">
            <w:pPr>
              <w:pStyle w:val="61"/>
              <w:pageBreakBefore w:val="0"/>
              <w:wordWrap w:val="0"/>
              <w:overflowPunct/>
              <w:bidi w:val="0"/>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11490</w:t>
            </w:r>
          </w:p>
        </w:tc>
        <w:tc>
          <w:tcPr>
            <w:tcW w:w="1407" w:type="dxa"/>
            <w:vAlign w:val="center"/>
          </w:tcPr>
          <w:p w14:paraId="5D664019">
            <w:pPr>
              <w:pageBreakBefore w:val="0"/>
              <w:widowControl/>
              <w:wordWrap w:val="0"/>
              <w:overflowPunct/>
              <w:bidi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rPr>
              <w:t>+</w:t>
            </w:r>
            <w:r>
              <w:rPr>
                <w:rFonts w:hint="eastAsia" w:cs="Times New Roman"/>
                <w:color w:val="auto"/>
                <w:kern w:val="0"/>
                <w:sz w:val="21"/>
                <w:szCs w:val="21"/>
                <w:highlight w:val="none"/>
                <w:lang w:val="en-US" w:eastAsia="zh-CN"/>
              </w:rPr>
              <w:t>11490</w:t>
            </w:r>
          </w:p>
        </w:tc>
      </w:tr>
      <w:tr w14:paraId="7076E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538B0C54">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vAlign w:val="center"/>
          </w:tcPr>
          <w:p w14:paraId="24523DBE">
            <w:pPr>
              <w:pageBreakBefore w:val="0"/>
              <w:widowControl/>
              <w:wordWrap w:val="0"/>
              <w:overflowPunct/>
              <w:bidi w:val="0"/>
              <w:spacing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r>
              <w:rPr>
                <w:rFonts w:hint="default" w:ascii="Times New Roman" w:hAnsi="Times New Roman" w:cs="Times New Roman"/>
                <w:color w:val="auto"/>
                <w:kern w:val="0"/>
                <w:sz w:val="21"/>
                <w:szCs w:val="21"/>
                <w:highlight w:val="none"/>
              </w:rPr>
              <w:t>（t/a）</w:t>
            </w:r>
          </w:p>
        </w:tc>
        <w:tc>
          <w:tcPr>
            <w:tcW w:w="1676" w:type="dxa"/>
            <w:shd w:val="clear" w:color="auto" w:fill="auto"/>
            <w:vAlign w:val="center"/>
          </w:tcPr>
          <w:p w14:paraId="1CCFE2BA">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544" w:type="dxa"/>
            <w:vAlign w:val="center"/>
          </w:tcPr>
          <w:p w14:paraId="6F5C47F7">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465" w:type="dxa"/>
            <w:vAlign w:val="center"/>
          </w:tcPr>
          <w:p w14:paraId="325BE7EA">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636" w:type="dxa"/>
            <w:vAlign w:val="center"/>
          </w:tcPr>
          <w:p w14:paraId="485AD591">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rPr>
              <w:t>0.8</w:t>
            </w:r>
            <w:r>
              <w:rPr>
                <w:rFonts w:hint="eastAsia" w:cs="Times New Roman"/>
                <w:i w:val="0"/>
                <w:iCs w:val="0"/>
                <w:color w:val="auto"/>
                <w:kern w:val="0"/>
                <w:sz w:val="21"/>
                <w:szCs w:val="21"/>
                <w:highlight w:val="none"/>
                <w:u w:val="none"/>
                <w:lang w:val="en-US" w:eastAsia="zh-CN"/>
              </w:rPr>
              <w:t>40</w:t>
            </w:r>
            <w:r>
              <w:rPr>
                <w:rFonts w:hint="default" w:ascii="Times New Roman" w:hAnsi="Times New Roman" w:eastAsia="宋体" w:cs="Times New Roman"/>
                <w:i w:val="0"/>
                <w:iCs w:val="0"/>
                <w:color w:val="auto"/>
                <w:kern w:val="0"/>
                <w:sz w:val="21"/>
                <w:szCs w:val="21"/>
                <w:highlight w:val="none"/>
                <w:u w:val="none"/>
                <w:lang w:val="en-US" w:eastAsia="zh-CN"/>
              </w:rPr>
              <w:t xml:space="preserve"> </w:t>
            </w:r>
          </w:p>
        </w:tc>
        <w:tc>
          <w:tcPr>
            <w:tcW w:w="1549" w:type="dxa"/>
            <w:vAlign w:val="center"/>
          </w:tcPr>
          <w:p w14:paraId="6FC05F8D">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704" w:type="dxa"/>
            <w:vAlign w:val="center"/>
          </w:tcPr>
          <w:p w14:paraId="60A09C1C">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rPr>
              <w:t>0.8</w:t>
            </w:r>
            <w:r>
              <w:rPr>
                <w:rFonts w:hint="eastAsia" w:cs="Times New Roman"/>
                <w:i w:val="0"/>
                <w:iCs w:val="0"/>
                <w:color w:val="auto"/>
                <w:kern w:val="0"/>
                <w:sz w:val="21"/>
                <w:szCs w:val="21"/>
                <w:highlight w:val="none"/>
                <w:u w:val="none"/>
                <w:lang w:val="en-US" w:eastAsia="zh-CN"/>
              </w:rPr>
              <w:t>40</w:t>
            </w:r>
            <w:r>
              <w:rPr>
                <w:rFonts w:hint="default" w:ascii="Times New Roman" w:hAnsi="Times New Roman" w:eastAsia="宋体" w:cs="Times New Roman"/>
                <w:i w:val="0"/>
                <w:iCs w:val="0"/>
                <w:color w:val="auto"/>
                <w:kern w:val="0"/>
                <w:sz w:val="21"/>
                <w:szCs w:val="21"/>
                <w:highlight w:val="none"/>
                <w:u w:val="none"/>
                <w:lang w:val="en-US" w:eastAsia="zh-CN"/>
              </w:rPr>
              <w:t xml:space="preserve"> </w:t>
            </w:r>
          </w:p>
        </w:tc>
        <w:tc>
          <w:tcPr>
            <w:tcW w:w="1407" w:type="dxa"/>
            <w:vAlign w:val="center"/>
          </w:tcPr>
          <w:p w14:paraId="7296FE08">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0.8</w:t>
            </w:r>
            <w:r>
              <w:rPr>
                <w:rFonts w:hint="eastAsia" w:cs="Times New Roman"/>
                <w:i w:val="0"/>
                <w:iCs w:val="0"/>
                <w:color w:val="auto"/>
                <w:kern w:val="0"/>
                <w:sz w:val="21"/>
                <w:szCs w:val="21"/>
                <w:highlight w:val="none"/>
                <w:u w:val="none"/>
                <w:lang w:val="en-US" w:eastAsia="zh-CN"/>
              </w:rPr>
              <w:t>40</w:t>
            </w:r>
            <w:r>
              <w:rPr>
                <w:rFonts w:hint="default" w:ascii="Times New Roman" w:hAnsi="Times New Roman" w:eastAsia="宋体" w:cs="Times New Roman"/>
                <w:i w:val="0"/>
                <w:iCs w:val="0"/>
                <w:color w:val="auto"/>
                <w:kern w:val="0"/>
                <w:sz w:val="21"/>
                <w:szCs w:val="21"/>
                <w:highlight w:val="none"/>
                <w:u w:val="none"/>
                <w:lang w:val="en-US" w:eastAsia="zh-CN"/>
              </w:rPr>
              <w:t xml:space="preserve"> </w:t>
            </w:r>
          </w:p>
        </w:tc>
      </w:tr>
      <w:tr w14:paraId="2BB85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76A4C032">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vAlign w:val="center"/>
          </w:tcPr>
          <w:p w14:paraId="2CEDCD55">
            <w:pPr>
              <w:pageBreakBefore w:val="0"/>
              <w:widowControl/>
              <w:wordWrap w:val="0"/>
              <w:overflowPunct/>
              <w:bidi w:val="0"/>
              <w:spacing w:line="240" w:lineRule="auto"/>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cs="Times New Roman"/>
                <w:bCs/>
                <w:color w:val="auto"/>
                <w:sz w:val="21"/>
                <w:szCs w:val="21"/>
                <w:highlight w:val="none"/>
                <w:lang w:val="en-US" w:eastAsia="zh-CN"/>
              </w:rPr>
              <w:t>VOCs</w:t>
            </w:r>
            <w:r>
              <w:rPr>
                <w:rFonts w:hint="default" w:ascii="Times New Roman" w:hAnsi="Times New Roman" w:cs="Times New Roman"/>
                <w:color w:val="auto"/>
                <w:kern w:val="0"/>
                <w:sz w:val="21"/>
                <w:szCs w:val="21"/>
                <w:highlight w:val="none"/>
              </w:rPr>
              <w:t>（t/a）</w:t>
            </w:r>
          </w:p>
        </w:tc>
        <w:tc>
          <w:tcPr>
            <w:tcW w:w="1676" w:type="dxa"/>
            <w:shd w:val="clear" w:color="auto" w:fill="auto"/>
            <w:vAlign w:val="center"/>
          </w:tcPr>
          <w:p w14:paraId="2636021A">
            <w:pPr>
              <w:pStyle w:val="61"/>
              <w:pageBreakBefore w:val="0"/>
              <w:wordWrap w:val="0"/>
              <w:overflowPunct/>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w:t>
            </w:r>
          </w:p>
        </w:tc>
        <w:tc>
          <w:tcPr>
            <w:tcW w:w="1544" w:type="dxa"/>
            <w:vAlign w:val="center"/>
          </w:tcPr>
          <w:p w14:paraId="6C4C011D">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465" w:type="dxa"/>
            <w:vAlign w:val="center"/>
          </w:tcPr>
          <w:p w14:paraId="66CD941A">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636" w:type="dxa"/>
            <w:vAlign w:val="center"/>
          </w:tcPr>
          <w:p w14:paraId="0286FA2A">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rPr>
              <w:t>0.</w:t>
            </w:r>
            <w:r>
              <w:rPr>
                <w:rFonts w:hint="eastAsia" w:cs="Times New Roman"/>
                <w:i w:val="0"/>
                <w:iCs w:val="0"/>
                <w:color w:val="auto"/>
                <w:kern w:val="0"/>
                <w:sz w:val="21"/>
                <w:szCs w:val="21"/>
                <w:highlight w:val="none"/>
                <w:u w:val="none"/>
                <w:lang w:val="en-US" w:eastAsia="zh-CN"/>
              </w:rPr>
              <w:t>282</w:t>
            </w:r>
            <w:r>
              <w:rPr>
                <w:rFonts w:hint="default" w:ascii="Times New Roman" w:hAnsi="Times New Roman" w:eastAsia="宋体" w:cs="Times New Roman"/>
                <w:i w:val="0"/>
                <w:iCs w:val="0"/>
                <w:color w:val="auto"/>
                <w:kern w:val="0"/>
                <w:sz w:val="21"/>
                <w:szCs w:val="21"/>
                <w:highlight w:val="none"/>
                <w:u w:val="none"/>
                <w:lang w:val="en-US" w:eastAsia="zh-CN"/>
              </w:rPr>
              <w:t xml:space="preserve"> </w:t>
            </w:r>
          </w:p>
        </w:tc>
        <w:tc>
          <w:tcPr>
            <w:tcW w:w="1549" w:type="dxa"/>
            <w:vAlign w:val="center"/>
          </w:tcPr>
          <w:p w14:paraId="7428D8C3">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704" w:type="dxa"/>
            <w:vAlign w:val="center"/>
          </w:tcPr>
          <w:p w14:paraId="2EDFB43D">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rPr>
              <w:t>0.</w:t>
            </w:r>
            <w:r>
              <w:rPr>
                <w:rFonts w:hint="eastAsia" w:cs="Times New Roman"/>
                <w:i w:val="0"/>
                <w:iCs w:val="0"/>
                <w:color w:val="auto"/>
                <w:kern w:val="0"/>
                <w:sz w:val="21"/>
                <w:szCs w:val="21"/>
                <w:highlight w:val="none"/>
                <w:u w:val="none"/>
                <w:lang w:val="en-US" w:eastAsia="zh-CN"/>
              </w:rPr>
              <w:t>282</w:t>
            </w:r>
            <w:r>
              <w:rPr>
                <w:rFonts w:hint="default" w:ascii="Times New Roman" w:hAnsi="Times New Roman" w:eastAsia="宋体" w:cs="Times New Roman"/>
                <w:i w:val="0"/>
                <w:iCs w:val="0"/>
                <w:color w:val="auto"/>
                <w:kern w:val="0"/>
                <w:sz w:val="21"/>
                <w:szCs w:val="21"/>
                <w:highlight w:val="none"/>
                <w:u w:val="none"/>
                <w:lang w:val="en-US" w:eastAsia="zh-CN"/>
              </w:rPr>
              <w:t xml:space="preserve"> </w:t>
            </w:r>
          </w:p>
        </w:tc>
        <w:tc>
          <w:tcPr>
            <w:tcW w:w="1407" w:type="dxa"/>
            <w:vAlign w:val="center"/>
          </w:tcPr>
          <w:p w14:paraId="6ED3D4D3">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0.</w:t>
            </w:r>
            <w:r>
              <w:rPr>
                <w:rFonts w:hint="eastAsia" w:cs="Times New Roman"/>
                <w:i w:val="0"/>
                <w:iCs w:val="0"/>
                <w:color w:val="auto"/>
                <w:kern w:val="0"/>
                <w:sz w:val="21"/>
                <w:szCs w:val="21"/>
                <w:highlight w:val="none"/>
                <w:u w:val="none"/>
                <w:lang w:val="en-US" w:eastAsia="zh-CN"/>
              </w:rPr>
              <w:t>282</w:t>
            </w:r>
            <w:r>
              <w:rPr>
                <w:rFonts w:hint="default" w:ascii="Times New Roman" w:hAnsi="Times New Roman" w:eastAsia="宋体" w:cs="Times New Roman"/>
                <w:i w:val="0"/>
                <w:iCs w:val="0"/>
                <w:color w:val="auto"/>
                <w:kern w:val="0"/>
                <w:sz w:val="21"/>
                <w:szCs w:val="21"/>
                <w:highlight w:val="none"/>
                <w:u w:val="none"/>
                <w:lang w:val="en-US" w:eastAsia="zh-CN"/>
              </w:rPr>
              <w:t xml:space="preserve"> </w:t>
            </w:r>
          </w:p>
        </w:tc>
      </w:tr>
      <w:tr w14:paraId="1CD28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1605DD80">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vAlign w:val="center"/>
          </w:tcPr>
          <w:p w14:paraId="613B1A7E">
            <w:pPr>
              <w:pageBreakBefore w:val="0"/>
              <w:widowControl/>
              <w:wordWrap w:val="0"/>
              <w:overflowPunct/>
              <w:bidi w:val="0"/>
              <w:spacing w:line="240" w:lineRule="auto"/>
              <w:jc w:val="center"/>
              <w:textAlignment w:val="center"/>
              <w:rPr>
                <w:rFonts w:hint="default" w:ascii="Times New Roman" w:hAnsi="Times New Roman" w:cs="Times New Roman"/>
                <w:color w:val="auto"/>
                <w:kern w:val="0"/>
                <w:sz w:val="21"/>
                <w:szCs w:val="21"/>
                <w:highlight w:val="none"/>
              </w:rPr>
            </w:pPr>
            <w:r>
              <w:rPr>
                <w:rFonts w:hint="eastAsia" w:cs="Times New Roman"/>
                <w:color w:val="auto"/>
                <w:sz w:val="21"/>
                <w:szCs w:val="21"/>
                <w:highlight w:val="none"/>
                <w:lang w:val="en-US" w:eastAsia="zh-CN"/>
              </w:rPr>
              <w:t>苯系物</w:t>
            </w:r>
            <w:r>
              <w:rPr>
                <w:rFonts w:hint="default" w:ascii="Times New Roman" w:hAnsi="Times New Roman" w:cs="Times New Roman"/>
                <w:color w:val="auto"/>
                <w:kern w:val="0"/>
                <w:sz w:val="21"/>
                <w:szCs w:val="21"/>
                <w:highlight w:val="none"/>
              </w:rPr>
              <w:t>（t/a）</w:t>
            </w:r>
          </w:p>
        </w:tc>
        <w:tc>
          <w:tcPr>
            <w:tcW w:w="1676" w:type="dxa"/>
            <w:shd w:val="clear" w:color="auto" w:fill="auto"/>
            <w:vAlign w:val="center"/>
          </w:tcPr>
          <w:p w14:paraId="7B3A37A6">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544" w:type="dxa"/>
            <w:vAlign w:val="center"/>
          </w:tcPr>
          <w:p w14:paraId="5241A947">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465" w:type="dxa"/>
            <w:vAlign w:val="center"/>
          </w:tcPr>
          <w:p w14:paraId="05263DB9">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636" w:type="dxa"/>
            <w:vAlign w:val="center"/>
          </w:tcPr>
          <w:p w14:paraId="0EC813F7">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rPr>
              <w:t>0.0</w:t>
            </w:r>
            <w:r>
              <w:rPr>
                <w:rFonts w:hint="eastAsia" w:cs="Times New Roman"/>
                <w:i w:val="0"/>
                <w:iCs w:val="0"/>
                <w:color w:val="auto"/>
                <w:kern w:val="0"/>
                <w:sz w:val="21"/>
                <w:szCs w:val="21"/>
                <w:highlight w:val="none"/>
                <w:u w:val="none"/>
                <w:lang w:val="en-US" w:eastAsia="zh-CN"/>
              </w:rPr>
              <w:t>55</w:t>
            </w:r>
            <w:r>
              <w:rPr>
                <w:rFonts w:hint="default" w:ascii="Times New Roman" w:hAnsi="Times New Roman" w:eastAsia="宋体" w:cs="Times New Roman"/>
                <w:i w:val="0"/>
                <w:iCs w:val="0"/>
                <w:color w:val="auto"/>
                <w:kern w:val="0"/>
                <w:sz w:val="21"/>
                <w:szCs w:val="21"/>
                <w:highlight w:val="none"/>
                <w:u w:val="none"/>
                <w:lang w:val="en-US" w:eastAsia="zh-CN"/>
              </w:rPr>
              <w:t xml:space="preserve"> </w:t>
            </w:r>
          </w:p>
        </w:tc>
        <w:tc>
          <w:tcPr>
            <w:tcW w:w="1549" w:type="dxa"/>
            <w:vAlign w:val="center"/>
          </w:tcPr>
          <w:p w14:paraId="10B6BECC">
            <w:pPr>
              <w:pageBreakBefore w:val="0"/>
              <w:wordWrap w:val="0"/>
              <w:overflowPunct/>
              <w:bidi w:val="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704" w:type="dxa"/>
            <w:vAlign w:val="center"/>
          </w:tcPr>
          <w:p w14:paraId="1C938441">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rPr>
              <w:t>0.0</w:t>
            </w:r>
            <w:r>
              <w:rPr>
                <w:rFonts w:hint="eastAsia" w:cs="Times New Roman"/>
                <w:i w:val="0"/>
                <w:iCs w:val="0"/>
                <w:color w:val="auto"/>
                <w:kern w:val="0"/>
                <w:sz w:val="21"/>
                <w:szCs w:val="21"/>
                <w:highlight w:val="none"/>
                <w:u w:val="none"/>
                <w:lang w:val="en-US" w:eastAsia="zh-CN"/>
              </w:rPr>
              <w:t>55</w:t>
            </w:r>
            <w:r>
              <w:rPr>
                <w:rFonts w:hint="default" w:ascii="Times New Roman" w:hAnsi="Times New Roman" w:eastAsia="宋体" w:cs="Times New Roman"/>
                <w:i w:val="0"/>
                <w:iCs w:val="0"/>
                <w:color w:val="auto"/>
                <w:kern w:val="0"/>
                <w:sz w:val="21"/>
                <w:szCs w:val="21"/>
                <w:highlight w:val="none"/>
                <w:u w:val="none"/>
                <w:lang w:val="en-US" w:eastAsia="zh-CN"/>
              </w:rPr>
              <w:t xml:space="preserve"> </w:t>
            </w:r>
          </w:p>
        </w:tc>
        <w:tc>
          <w:tcPr>
            <w:tcW w:w="1407" w:type="dxa"/>
            <w:vAlign w:val="center"/>
          </w:tcPr>
          <w:p w14:paraId="5337B5E5">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0.0</w:t>
            </w:r>
            <w:r>
              <w:rPr>
                <w:rFonts w:hint="eastAsia" w:cs="Times New Roman"/>
                <w:i w:val="0"/>
                <w:iCs w:val="0"/>
                <w:color w:val="auto"/>
                <w:kern w:val="0"/>
                <w:sz w:val="21"/>
                <w:szCs w:val="21"/>
                <w:highlight w:val="none"/>
                <w:u w:val="none"/>
                <w:lang w:val="en-US" w:eastAsia="zh-CN"/>
              </w:rPr>
              <w:t>55</w:t>
            </w:r>
            <w:r>
              <w:rPr>
                <w:rFonts w:hint="default" w:ascii="Times New Roman" w:hAnsi="Times New Roman" w:eastAsia="宋体" w:cs="Times New Roman"/>
                <w:i w:val="0"/>
                <w:iCs w:val="0"/>
                <w:color w:val="auto"/>
                <w:kern w:val="0"/>
                <w:sz w:val="21"/>
                <w:szCs w:val="21"/>
                <w:highlight w:val="none"/>
                <w:u w:val="none"/>
                <w:lang w:val="en-US" w:eastAsia="zh-CN"/>
              </w:rPr>
              <w:t xml:space="preserve"> </w:t>
            </w:r>
          </w:p>
        </w:tc>
      </w:tr>
      <w:tr w14:paraId="1795B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74B0B894">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vAlign w:val="center"/>
          </w:tcPr>
          <w:p w14:paraId="3413E3A3">
            <w:pPr>
              <w:pageBreakBefore w:val="0"/>
              <w:widowControl/>
              <w:wordWrap w:val="0"/>
              <w:overflowPunct/>
              <w:bidi w:val="0"/>
              <w:spacing w:line="240" w:lineRule="auto"/>
              <w:jc w:val="center"/>
              <w:textAlignment w:val="center"/>
              <w:rPr>
                <w:rFonts w:hint="default" w:ascii="Times New Roman" w:hAnsi="Times New Roman" w:cs="Times New Roman"/>
                <w:color w:val="auto"/>
                <w:kern w:val="0"/>
                <w:sz w:val="21"/>
                <w:szCs w:val="21"/>
                <w:highlight w:val="none"/>
              </w:rPr>
            </w:pPr>
            <w:r>
              <w:rPr>
                <w:rFonts w:hint="eastAsia" w:cs="Times New Roman"/>
                <w:color w:val="auto"/>
                <w:sz w:val="21"/>
                <w:szCs w:val="21"/>
                <w:highlight w:val="none"/>
                <w:lang w:val="en-US" w:eastAsia="zh-CN"/>
              </w:rPr>
              <w:t>SO</w:t>
            </w:r>
            <w:r>
              <w:rPr>
                <w:rFonts w:hint="eastAsia" w:cs="Times New Roman"/>
                <w:color w:val="auto"/>
                <w:sz w:val="21"/>
                <w:szCs w:val="21"/>
                <w:highlight w:val="none"/>
                <w:vertAlign w:val="subscript"/>
                <w:lang w:val="en-US" w:eastAsia="zh-CN"/>
              </w:rPr>
              <w:t>2</w:t>
            </w:r>
          </w:p>
        </w:tc>
        <w:tc>
          <w:tcPr>
            <w:tcW w:w="1676" w:type="dxa"/>
            <w:shd w:val="clear" w:color="auto" w:fill="auto"/>
            <w:vAlign w:val="center"/>
          </w:tcPr>
          <w:p w14:paraId="16199A13">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544" w:type="dxa"/>
            <w:vAlign w:val="center"/>
          </w:tcPr>
          <w:p w14:paraId="49E05AE9">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465" w:type="dxa"/>
            <w:vAlign w:val="center"/>
          </w:tcPr>
          <w:p w14:paraId="6C8F6922">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636" w:type="dxa"/>
            <w:vAlign w:val="center"/>
          </w:tcPr>
          <w:p w14:paraId="2024BFF8">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rPr>
              <w:t xml:space="preserve">0.040 </w:t>
            </w:r>
          </w:p>
        </w:tc>
        <w:tc>
          <w:tcPr>
            <w:tcW w:w="1549" w:type="dxa"/>
            <w:vAlign w:val="center"/>
          </w:tcPr>
          <w:p w14:paraId="639374C0">
            <w:pPr>
              <w:pageBreakBefore w:val="0"/>
              <w:wordWrap w:val="0"/>
              <w:overflowPunct/>
              <w:bidi w:val="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704" w:type="dxa"/>
            <w:vAlign w:val="center"/>
          </w:tcPr>
          <w:p w14:paraId="6C62D512">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rPr>
              <w:t xml:space="preserve">0.040 </w:t>
            </w:r>
          </w:p>
        </w:tc>
        <w:tc>
          <w:tcPr>
            <w:tcW w:w="1407" w:type="dxa"/>
            <w:vAlign w:val="center"/>
          </w:tcPr>
          <w:p w14:paraId="311466B4">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 xml:space="preserve">0.040 </w:t>
            </w:r>
          </w:p>
        </w:tc>
      </w:tr>
      <w:tr w14:paraId="190C1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674EEF36">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vAlign w:val="center"/>
          </w:tcPr>
          <w:p w14:paraId="116BEE94">
            <w:pPr>
              <w:pageBreakBefore w:val="0"/>
              <w:widowControl/>
              <w:wordWrap w:val="0"/>
              <w:overflowPunct/>
              <w:bidi w:val="0"/>
              <w:spacing w:line="240" w:lineRule="auto"/>
              <w:jc w:val="center"/>
              <w:textAlignment w:val="center"/>
              <w:rPr>
                <w:rFonts w:hint="default" w:ascii="Times New Roman" w:hAnsi="Times New Roman" w:cs="Times New Roman"/>
                <w:color w:val="auto"/>
                <w:kern w:val="0"/>
                <w:sz w:val="21"/>
                <w:szCs w:val="21"/>
                <w:highlight w:val="none"/>
              </w:rPr>
            </w:pPr>
            <w:r>
              <w:rPr>
                <w:rFonts w:hint="eastAsia" w:cs="Times New Roman"/>
                <w:color w:val="auto"/>
                <w:sz w:val="21"/>
                <w:szCs w:val="21"/>
                <w:highlight w:val="none"/>
                <w:lang w:val="en-US" w:eastAsia="zh-CN"/>
              </w:rPr>
              <w:t>NO</w:t>
            </w:r>
            <w:r>
              <w:rPr>
                <w:rFonts w:hint="eastAsia" w:cs="Times New Roman"/>
                <w:color w:val="auto"/>
                <w:sz w:val="21"/>
                <w:szCs w:val="21"/>
                <w:highlight w:val="none"/>
                <w:vertAlign w:val="subscript"/>
                <w:lang w:val="en-US" w:eastAsia="zh-CN"/>
              </w:rPr>
              <w:t>X</w:t>
            </w:r>
          </w:p>
        </w:tc>
        <w:tc>
          <w:tcPr>
            <w:tcW w:w="1676" w:type="dxa"/>
            <w:shd w:val="clear" w:color="auto" w:fill="auto"/>
            <w:vAlign w:val="center"/>
          </w:tcPr>
          <w:p w14:paraId="5B5FE3C7">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544" w:type="dxa"/>
            <w:vAlign w:val="center"/>
          </w:tcPr>
          <w:p w14:paraId="0E2B02C1">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465" w:type="dxa"/>
            <w:vAlign w:val="center"/>
          </w:tcPr>
          <w:p w14:paraId="7B2BE323">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636" w:type="dxa"/>
            <w:vAlign w:val="center"/>
          </w:tcPr>
          <w:p w14:paraId="42C00A6D">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rPr>
              <w:t xml:space="preserve">0.374 </w:t>
            </w:r>
          </w:p>
        </w:tc>
        <w:tc>
          <w:tcPr>
            <w:tcW w:w="1549" w:type="dxa"/>
            <w:vAlign w:val="center"/>
          </w:tcPr>
          <w:p w14:paraId="4304FDC8">
            <w:pPr>
              <w:pageBreakBefore w:val="0"/>
              <w:wordWrap w:val="0"/>
              <w:overflowPunct/>
              <w:bidi w:val="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704" w:type="dxa"/>
            <w:vAlign w:val="center"/>
          </w:tcPr>
          <w:p w14:paraId="02317263">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rPr>
              <w:t xml:space="preserve">0.374 </w:t>
            </w:r>
          </w:p>
        </w:tc>
        <w:tc>
          <w:tcPr>
            <w:tcW w:w="1407" w:type="dxa"/>
            <w:vAlign w:val="center"/>
          </w:tcPr>
          <w:p w14:paraId="0F7586AF">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rPr>
              <w:t>+</w:t>
            </w:r>
            <w:r>
              <w:rPr>
                <w:rFonts w:hint="default" w:ascii="Times New Roman" w:hAnsi="Times New Roman" w:eastAsia="宋体" w:cs="Times New Roman"/>
                <w:i w:val="0"/>
                <w:iCs w:val="0"/>
                <w:color w:val="auto"/>
                <w:kern w:val="0"/>
                <w:sz w:val="21"/>
                <w:szCs w:val="21"/>
                <w:highlight w:val="none"/>
                <w:u w:val="none"/>
                <w:lang w:val="en-US" w:eastAsia="zh-CN"/>
              </w:rPr>
              <w:t xml:space="preserve">0.374 </w:t>
            </w:r>
          </w:p>
        </w:tc>
      </w:tr>
      <w:tr w14:paraId="736D8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5B886422">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vAlign w:val="center"/>
          </w:tcPr>
          <w:p w14:paraId="4C77DB87">
            <w:pPr>
              <w:pageBreakBefore w:val="0"/>
              <w:widowControl/>
              <w:wordWrap w:val="0"/>
              <w:overflowPunct/>
              <w:bidi w:val="0"/>
              <w:spacing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臭气浓度（无量纲）</w:t>
            </w:r>
          </w:p>
        </w:tc>
        <w:tc>
          <w:tcPr>
            <w:tcW w:w="1676" w:type="dxa"/>
            <w:shd w:val="clear" w:color="auto" w:fill="auto"/>
            <w:vAlign w:val="center"/>
          </w:tcPr>
          <w:p w14:paraId="1DB240EA">
            <w:pPr>
              <w:pageBreakBefore w:val="0"/>
              <w:wordWrap w:val="0"/>
              <w:overflowPunct/>
              <w:bidi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0</w:t>
            </w:r>
          </w:p>
        </w:tc>
        <w:tc>
          <w:tcPr>
            <w:tcW w:w="1544" w:type="dxa"/>
            <w:vAlign w:val="center"/>
          </w:tcPr>
          <w:p w14:paraId="264C9E4C">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465" w:type="dxa"/>
            <w:vAlign w:val="center"/>
          </w:tcPr>
          <w:p w14:paraId="4EA31C47">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636" w:type="dxa"/>
            <w:vAlign w:val="center"/>
          </w:tcPr>
          <w:p w14:paraId="66D7C453">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少量</w:t>
            </w:r>
          </w:p>
        </w:tc>
        <w:tc>
          <w:tcPr>
            <w:tcW w:w="1549" w:type="dxa"/>
            <w:vAlign w:val="center"/>
          </w:tcPr>
          <w:p w14:paraId="3CE5A574">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704" w:type="dxa"/>
            <w:vAlign w:val="center"/>
          </w:tcPr>
          <w:p w14:paraId="6B938404">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少量</w:t>
            </w:r>
          </w:p>
        </w:tc>
        <w:tc>
          <w:tcPr>
            <w:tcW w:w="1407" w:type="dxa"/>
            <w:vAlign w:val="center"/>
          </w:tcPr>
          <w:p w14:paraId="58CA65BE">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少量</w:t>
            </w:r>
          </w:p>
        </w:tc>
      </w:tr>
      <w:tr w14:paraId="0C7F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restart"/>
            <w:vAlign w:val="center"/>
          </w:tcPr>
          <w:p w14:paraId="34996EED">
            <w:pPr>
              <w:pageBreakBefore w:val="0"/>
              <w:wordWrap w:val="0"/>
              <w:overflowPunct/>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一般工业固体废物</w:t>
            </w:r>
          </w:p>
        </w:tc>
        <w:tc>
          <w:tcPr>
            <w:tcW w:w="2085" w:type="dxa"/>
            <w:vAlign w:val="center"/>
          </w:tcPr>
          <w:p w14:paraId="49F1F010">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default" w:ascii="Times New Roman" w:hAnsi="Times New Roman" w:eastAsia="宋体" w:cs="Times New Roman"/>
                <w:color w:val="auto"/>
                <w:kern w:val="2"/>
                <w:position w:val="0"/>
                <w:sz w:val="21"/>
                <w:szCs w:val="21"/>
                <w:highlight w:val="none"/>
                <w:lang w:val="en-US" w:eastAsia="zh-CN" w:bidi="ar-SA"/>
              </w:rPr>
              <w:t>生活垃圾（t/a）</w:t>
            </w:r>
          </w:p>
        </w:tc>
        <w:tc>
          <w:tcPr>
            <w:tcW w:w="1676" w:type="dxa"/>
            <w:vAlign w:val="center"/>
          </w:tcPr>
          <w:p w14:paraId="395CE0FC">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544" w:type="dxa"/>
            <w:shd w:val="clear" w:color="auto" w:fill="auto"/>
            <w:vAlign w:val="center"/>
          </w:tcPr>
          <w:p w14:paraId="20472C14">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465" w:type="dxa"/>
            <w:vAlign w:val="center"/>
          </w:tcPr>
          <w:p w14:paraId="12D781CC">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636" w:type="dxa"/>
            <w:vAlign w:val="center"/>
          </w:tcPr>
          <w:p w14:paraId="2F788332">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1549" w:type="dxa"/>
            <w:vAlign w:val="center"/>
          </w:tcPr>
          <w:p w14:paraId="63EE329C">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704" w:type="dxa"/>
            <w:vAlign w:val="center"/>
          </w:tcPr>
          <w:p w14:paraId="05E5BD23">
            <w:pPr>
              <w:keepNext w:val="0"/>
              <w:keepLines w:val="0"/>
              <w:widowControl/>
              <w:suppressLineNumbers w:val="0"/>
              <w:jc w:val="center"/>
              <w:textAlignment w:val="center"/>
              <w:rPr>
                <w:rFonts w:hint="default" w:ascii="Times New Roman" w:hAnsi="Times New Roman" w:cs="Times New Roman"/>
                <w:color w:val="auto"/>
                <w:spacing w:val="-2"/>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1407" w:type="dxa"/>
            <w:vAlign w:val="center"/>
          </w:tcPr>
          <w:p w14:paraId="279F593E">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4.5</w:t>
            </w:r>
          </w:p>
        </w:tc>
      </w:tr>
      <w:tr w14:paraId="5B3D5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02F24642">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shd w:val="clear" w:color="auto" w:fill="auto"/>
            <w:vAlign w:val="center"/>
          </w:tcPr>
          <w:p w14:paraId="4C082ED3">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default" w:ascii="Times New Roman" w:hAnsi="Times New Roman" w:eastAsia="宋体" w:cs="Times New Roman"/>
                <w:color w:val="auto"/>
                <w:kern w:val="2"/>
                <w:position w:val="0"/>
                <w:sz w:val="21"/>
                <w:szCs w:val="21"/>
                <w:highlight w:val="none"/>
                <w:lang w:val="en-US" w:eastAsia="zh-CN" w:bidi="ar-SA"/>
              </w:rPr>
              <w:t>废包装物（t/a）</w:t>
            </w:r>
          </w:p>
        </w:tc>
        <w:tc>
          <w:tcPr>
            <w:tcW w:w="1676" w:type="dxa"/>
            <w:shd w:val="clear" w:color="auto" w:fill="auto"/>
            <w:vAlign w:val="center"/>
          </w:tcPr>
          <w:p w14:paraId="45FFC686">
            <w:pPr>
              <w:pStyle w:val="61"/>
              <w:pageBreakBefore w:val="0"/>
              <w:wordWrap w:val="0"/>
              <w:overflowPunct/>
              <w:bidi w:val="0"/>
              <w:jc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cs="Times New Roman"/>
                <w:color w:val="auto"/>
                <w:sz w:val="21"/>
                <w:szCs w:val="21"/>
                <w:highlight w:val="none"/>
              </w:rPr>
              <w:t>0</w:t>
            </w:r>
          </w:p>
        </w:tc>
        <w:tc>
          <w:tcPr>
            <w:tcW w:w="1544" w:type="dxa"/>
            <w:shd w:val="clear" w:color="auto" w:fill="auto"/>
            <w:vAlign w:val="center"/>
          </w:tcPr>
          <w:p w14:paraId="3BBE0F89">
            <w:pPr>
              <w:pageBreakBefore w:val="0"/>
              <w:wordWrap w:val="0"/>
              <w:overflowPunct/>
              <w:bidi w:val="0"/>
              <w:jc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cs="Times New Roman"/>
                <w:color w:val="auto"/>
                <w:sz w:val="21"/>
                <w:szCs w:val="21"/>
                <w:highlight w:val="none"/>
              </w:rPr>
              <w:t>0</w:t>
            </w:r>
          </w:p>
        </w:tc>
        <w:tc>
          <w:tcPr>
            <w:tcW w:w="1465" w:type="dxa"/>
            <w:shd w:val="clear" w:color="auto" w:fill="auto"/>
            <w:vAlign w:val="center"/>
          </w:tcPr>
          <w:p w14:paraId="55FB578E">
            <w:pPr>
              <w:pageBreakBefore w:val="0"/>
              <w:wordWrap w:val="0"/>
              <w:overflowPunct/>
              <w:bidi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0</w:t>
            </w:r>
          </w:p>
        </w:tc>
        <w:tc>
          <w:tcPr>
            <w:tcW w:w="1636" w:type="dxa"/>
            <w:shd w:val="clear" w:color="auto" w:fill="auto"/>
            <w:vAlign w:val="center"/>
          </w:tcPr>
          <w:p w14:paraId="02A4B84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549" w:type="dxa"/>
            <w:shd w:val="clear" w:color="auto" w:fill="auto"/>
            <w:vAlign w:val="center"/>
          </w:tcPr>
          <w:p w14:paraId="6521DDE5">
            <w:pPr>
              <w:pageBreakBefore w:val="0"/>
              <w:wordWrap w:val="0"/>
              <w:overflowPunct/>
              <w:bidi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0</w:t>
            </w:r>
          </w:p>
        </w:tc>
        <w:tc>
          <w:tcPr>
            <w:tcW w:w="1704" w:type="dxa"/>
            <w:shd w:val="clear" w:color="auto" w:fill="auto"/>
            <w:vAlign w:val="center"/>
          </w:tcPr>
          <w:p w14:paraId="4D316497">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407" w:type="dxa"/>
            <w:shd w:val="clear" w:color="auto" w:fill="auto"/>
            <w:vAlign w:val="center"/>
          </w:tcPr>
          <w:p w14:paraId="19E0C39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108D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22A4A5A5">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shd w:val="clear" w:color="auto" w:fill="auto"/>
            <w:vAlign w:val="center"/>
          </w:tcPr>
          <w:p w14:paraId="5EA7121E">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b/>
                <w:bCs/>
                <w:color w:val="auto"/>
                <w:spacing w:val="-2"/>
                <w:kern w:val="2"/>
                <w:sz w:val="21"/>
                <w:szCs w:val="21"/>
                <w:highlight w:val="none"/>
                <w:lang w:val="en-US" w:eastAsia="zh-CN" w:bidi="ar-SA"/>
              </w:rPr>
            </w:pPr>
            <w:r>
              <w:rPr>
                <w:rFonts w:hint="eastAsia" w:cs="Times New Roman"/>
                <w:color w:val="auto"/>
                <w:kern w:val="2"/>
                <w:position w:val="0"/>
                <w:sz w:val="21"/>
                <w:szCs w:val="21"/>
                <w:highlight w:val="none"/>
                <w:lang w:val="en-US" w:eastAsia="zh-CN" w:bidi="ar-SA"/>
              </w:rPr>
              <w:t>边角料</w:t>
            </w:r>
            <w:r>
              <w:rPr>
                <w:rFonts w:hint="default" w:ascii="Times New Roman" w:hAnsi="Times New Roman" w:cs="Times New Roman"/>
                <w:color w:val="auto"/>
                <w:kern w:val="0"/>
                <w:sz w:val="21"/>
                <w:szCs w:val="21"/>
                <w:highlight w:val="none"/>
              </w:rPr>
              <w:t>（t/a）</w:t>
            </w:r>
          </w:p>
        </w:tc>
        <w:tc>
          <w:tcPr>
            <w:tcW w:w="1676" w:type="dxa"/>
            <w:shd w:val="clear" w:color="auto" w:fill="auto"/>
            <w:vAlign w:val="center"/>
          </w:tcPr>
          <w:p w14:paraId="01A29A6C">
            <w:pPr>
              <w:pStyle w:val="61"/>
              <w:pageBreakBefore w:val="0"/>
              <w:wordWrap w:val="0"/>
              <w:overflowPunct/>
              <w:bidi w:val="0"/>
              <w:jc w:val="center"/>
              <w:rPr>
                <w:rFonts w:hint="default" w:ascii="Times New Roman" w:hAnsi="Times New Roman" w:eastAsia="宋体" w:cs="Times New Roman"/>
                <w:color w:val="auto"/>
                <w:kern w:val="2"/>
                <w:position w:val="-10"/>
                <w:sz w:val="21"/>
                <w:szCs w:val="21"/>
                <w:highlight w:val="none"/>
                <w:lang w:val="en-US" w:eastAsia="zh-CN" w:bidi="ar-SA"/>
              </w:rPr>
            </w:pPr>
            <w:r>
              <w:rPr>
                <w:rFonts w:hint="default" w:ascii="Times New Roman" w:hAnsi="Times New Roman" w:cs="Times New Roman"/>
                <w:color w:val="auto"/>
                <w:sz w:val="21"/>
                <w:szCs w:val="21"/>
                <w:highlight w:val="none"/>
              </w:rPr>
              <w:t>0</w:t>
            </w:r>
          </w:p>
        </w:tc>
        <w:tc>
          <w:tcPr>
            <w:tcW w:w="1544" w:type="dxa"/>
            <w:shd w:val="clear" w:color="auto" w:fill="auto"/>
            <w:vAlign w:val="center"/>
          </w:tcPr>
          <w:p w14:paraId="7C34E63A">
            <w:pPr>
              <w:pageBreakBefore w:val="0"/>
              <w:wordWrap w:val="0"/>
              <w:overflowPunct/>
              <w:bidi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w:t>
            </w:r>
          </w:p>
        </w:tc>
        <w:tc>
          <w:tcPr>
            <w:tcW w:w="1465" w:type="dxa"/>
            <w:shd w:val="clear" w:color="auto" w:fill="auto"/>
            <w:vAlign w:val="center"/>
          </w:tcPr>
          <w:p w14:paraId="206013A0">
            <w:pPr>
              <w:pageBreakBefore w:val="0"/>
              <w:wordWrap w:val="0"/>
              <w:overflowPunct/>
              <w:bidi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w:t>
            </w:r>
          </w:p>
        </w:tc>
        <w:tc>
          <w:tcPr>
            <w:tcW w:w="1636" w:type="dxa"/>
            <w:shd w:val="clear" w:color="auto" w:fill="auto"/>
            <w:vAlign w:val="center"/>
          </w:tcPr>
          <w:p w14:paraId="7B2AB79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30.29 </w:t>
            </w:r>
          </w:p>
        </w:tc>
        <w:tc>
          <w:tcPr>
            <w:tcW w:w="1549" w:type="dxa"/>
            <w:shd w:val="clear" w:color="auto" w:fill="auto"/>
            <w:vAlign w:val="center"/>
          </w:tcPr>
          <w:p w14:paraId="5C350BC2">
            <w:pPr>
              <w:pageBreakBefore w:val="0"/>
              <w:wordWrap w:val="0"/>
              <w:overflowPunct/>
              <w:bidi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w:t>
            </w:r>
          </w:p>
        </w:tc>
        <w:tc>
          <w:tcPr>
            <w:tcW w:w="1704" w:type="dxa"/>
            <w:shd w:val="clear" w:color="auto" w:fill="auto"/>
            <w:vAlign w:val="center"/>
          </w:tcPr>
          <w:p w14:paraId="169F512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30.29 </w:t>
            </w:r>
          </w:p>
        </w:tc>
        <w:tc>
          <w:tcPr>
            <w:tcW w:w="1407" w:type="dxa"/>
            <w:shd w:val="clear" w:color="auto" w:fill="auto"/>
            <w:vAlign w:val="center"/>
          </w:tcPr>
          <w:p w14:paraId="65FE150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 xml:space="preserve">30.29 </w:t>
            </w:r>
          </w:p>
        </w:tc>
      </w:tr>
      <w:tr w14:paraId="1FA75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20FDD3EE">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shd w:val="clear" w:color="auto" w:fill="auto"/>
            <w:vAlign w:val="center"/>
          </w:tcPr>
          <w:p w14:paraId="37182E29">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废布袋</w:t>
            </w:r>
            <w:r>
              <w:rPr>
                <w:rFonts w:hint="default" w:ascii="Times New Roman" w:hAnsi="Times New Roman" w:cs="Times New Roman"/>
                <w:color w:val="auto"/>
                <w:kern w:val="0"/>
                <w:sz w:val="21"/>
                <w:szCs w:val="21"/>
                <w:highlight w:val="none"/>
              </w:rPr>
              <w:t>（t/a）</w:t>
            </w:r>
          </w:p>
        </w:tc>
        <w:tc>
          <w:tcPr>
            <w:tcW w:w="1676" w:type="dxa"/>
            <w:shd w:val="clear" w:color="auto" w:fill="auto"/>
            <w:vAlign w:val="center"/>
          </w:tcPr>
          <w:p w14:paraId="7709B4D0">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544" w:type="dxa"/>
            <w:shd w:val="clear" w:color="auto" w:fill="auto"/>
            <w:vAlign w:val="center"/>
          </w:tcPr>
          <w:p w14:paraId="29E9317D">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w:t>
            </w:r>
          </w:p>
        </w:tc>
        <w:tc>
          <w:tcPr>
            <w:tcW w:w="1465" w:type="dxa"/>
            <w:shd w:val="clear" w:color="auto" w:fill="auto"/>
            <w:vAlign w:val="center"/>
          </w:tcPr>
          <w:p w14:paraId="02CF38F6">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w:t>
            </w:r>
          </w:p>
        </w:tc>
        <w:tc>
          <w:tcPr>
            <w:tcW w:w="1636" w:type="dxa"/>
            <w:shd w:val="clear" w:color="auto" w:fill="auto"/>
            <w:vAlign w:val="center"/>
          </w:tcPr>
          <w:p w14:paraId="11232394">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1549" w:type="dxa"/>
            <w:shd w:val="clear" w:color="auto" w:fill="auto"/>
            <w:vAlign w:val="center"/>
          </w:tcPr>
          <w:p w14:paraId="60C64C58">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w:t>
            </w:r>
          </w:p>
        </w:tc>
        <w:tc>
          <w:tcPr>
            <w:tcW w:w="1704" w:type="dxa"/>
            <w:shd w:val="clear" w:color="auto" w:fill="auto"/>
            <w:vAlign w:val="center"/>
          </w:tcPr>
          <w:p w14:paraId="2B2E95C5">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1407" w:type="dxa"/>
            <w:shd w:val="clear" w:color="auto" w:fill="auto"/>
            <w:vAlign w:val="center"/>
          </w:tcPr>
          <w:p w14:paraId="03DD5D69">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0.05</w:t>
            </w:r>
          </w:p>
        </w:tc>
      </w:tr>
      <w:tr w14:paraId="0D78B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2A4EEE9C">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shd w:val="clear" w:color="auto" w:fill="auto"/>
            <w:vAlign w:val="center"/>
          </w:tcPr>
          <w:p w14:paraId="5EF363BB">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沉降金属粉尘和除尘器收集粉尘</w:t>
            </w:r>
            <w:r>
              <w:rPr>
                <w:rFonts w:hint="default" w:ascii="Times New Roman" w:hAnsi="Times New Roman" w:cs="Times New Roman"/>
                <w:color w:val="auto"/>
                <w:kern w:val="0"/>
                <w:sz w:val="21"/>
                <w:szCs w:val="21"/>
                <w:highlight w:val="none"/>
              </w:rPr>
              <w:t>（t/a）</w:t>
            </w:r>
          </w:p>
        </w:tc>
        <w:tc>
          <w:tcPr>
            <w:tcW w:w="1676" w:type="dxa"/>
            <w:shd w:val="clear" w:color="auto" w:fill="auto"/>
            <w:vAlign w:val="center"/>
          </w:tcPr>
          <w:p w14:paraId="060F6724">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544" w:type="dxa"/>
            <w:shd w:val="clear" w:color="auto" w:fill="auto"/>
            <w:vAlign w:val="center"/>
          </w:tcPr>
          <w:p w14:paraId="7996B067">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w:t>
            </w:r>
          </w:p>
        </w:tc>
        <w:tc>
          <w:tcPr>
            <w:tcW w:w="1465" w:type="dxa"/>
            <w:shd w:val="clear" w:color="auto" w:fill="auto"/>
            <w:vAlign w:val="center"/>
          </w:tcPr>
          <w:p w14:paraId="5CBF1E0F">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w:t>
            </w:r>
          </w:p>
        </w:tc>
        <w:tc>
          <w:tcPr>
            <w:tcW w:w="1636" w:type="dxa"/>
            <w:shd w:val="clear" w:color="auto" w:fill="auto"/>
            <w:vAlign w:val="center"/>
          </w:tcPr>
          <w:p w14:paraId="0596D72E">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12.73 </w:t>
            </w:r>
          </w:p>
        </w:tc>
        <w:tc>
          <w:tcPr>
            <w:tcW w:w="1549" w:type="dxa"/>
            <w:shd w:val="clear" w:color="auto" w:fill="auto"/>
            <w:vAlign w:val="center"/>
          </w:tcPr>
          <w:p w14:paraId="05F6A1E5">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w:t>
            </w:r>
          </w:p>
        </w:tc>
        <w:tc>
          <w:tcPr>
            <w:tcW w:w="1704" w:type="dxa"/>
            <w:shd w:val="clear" w:color="auto" w:fill="auto"/>
            <w:vAlign w:val="center"/>
          </w:tcPr>
          <w:p w14:paraId="0EA435DE">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12.73 </w:t>
            </w:r>
          </w:p>
        </w:tc>
        <w:tc>
          <w:tcPr>
            <w:tcW w:w="1407" w:type="dxa"/>
            <w:shd w:val="clear" w:color="auto" w:fill="auto"/>
            <w:vAlign w:val="center"/>
          </w:tcPr>
          <w:p w14:paraId="2168ABE5">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 xml:space="preserve">12.73 </w:t>
            </w:r>
          </w:p>
        </w:tc>
      </w:tr>
      <w:tr w14:paraId="6B61A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3AF17C76">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shd w:val="clear" w:color="auto" w:fill="auto"/>
            <w:vAlign w:val="center"/>
          </w:tcPr>
          <w:p w14:paraId="7CC35BC2">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rPr>
              <w:t>废滤芯</w:t>
            </w:r>
            <w:r>
              <w:rPr>
                <w:rFonts w:hint="default" w:ascii="Times New Roman" w:hAnsi="Times New Roman" w:cs="Times New Roman"/>
                <w:color w:val="auto"/>
                <w:kern w:val="0"/>
                <w:sz w:val="21"/>
                <w:szCs w:val="21"/>
                <w:highlight w:val="none"/>
              </w:rPr>
              <w:t>（t/a）</w:t>
            </w:r>
          </w:p>
        </w:tc>
        <w:tc>
          <w:tcPr>
            <w:tcW w:w="1676" w:type="dxa"/>
            <w:shd w:val="clear" w:color="auto" w:fill="auto"/>
            <w:vAlign w:val="center"/>
          </w:tcPr>
          <w:p w14:paraId="1DAC7387">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544" w:type="dxa"/>
            <w:shd w:val="clear" w:color="auto" w:fill="auto"/>
            <w:vAlign w:val="center"/>
          </w:tcPr>
          <w:p w14:paraId="371734D1">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w:t>
            </w:r>
          </w:p>
        </w:tc>
        <w:tc>
          <w:tcPr>
            <w:tcW w:w="1465" w:type="dxa"/>
            <w:shd w:val="clear" w:color="auto" w:fill="auto"/>
            <w:vAlign w:val="center"/>
          </w:tcPr>
          <w:p w14:paraId="37204456">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w:t>
            </w:r>
          </w:p>
        </w:tc>
        <w:tc>
          <w:tcPr>
            <w:tcW w:w="1636" w:type="dxa"/>
            <w:shd w:val="clear" w:color="auto" w:fill="auto"/>
            <w:vAlign w:val="center"/>
          </w:tcPr>
          <w:p w14:paraId="2FC43138">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0.18</w:t>
            </w:r>
          </w:p>
        </w:tc>
        <w:tc>
          <w:tcPr>
            <w:tcW w:w="1549" w:type="dxa"/>
            <w:shd w:val="clear" w:color="auto" w:fill="auto"/>
            <w:vAlign w:val="center"/>
          </w:tcPr>
          <w:p w14:paraId="74B4C197">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w:t>
            </w:r>
          </w:p>
        </w:tc>
        <w:tc>
          <w:tcPr>
            <w:tcW w:w="1704" w:type="dxa"/>
            <w:shd w:val="clear" w:color="auto" w:fill="auto"/>
            <w:vAlign w:val="center"/>
          </w:tcPr>
          <w:p w14:paraId="5B414766">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0.18</w:t>
            </w:r>
          </w:p>
        </w:tc>
        <w:tc>
          <w:tcPr>
            <w:tcW w:w="1407" w:type="dxa"/>
            <w:shd w:val="clear" w:color="auto" w:fill="auto"/>
            <w:vAlign w:val="center"/>
          </w:tcPr>
          <w:p w14:paraId="0ACDB233">
            <w:pPr>
              <w:keepNext w:val="0"/>
              <w:keepLines w:val="0"/>
              <w:widowControl/>
              <w:suppressLineNumbers w:val="0"/>
              <w:jc w:val="center"/>
              <w:textAlignment w:val="center"/>
              <w:rPr>
                <w:rFonts w:hint="default" w:ascii="Times New Roman" w:hAnsi="Times New Roman" w:eastAsia="宋体" w:cs="Times New Roman"/>
                <w:color w:val="auto"/>
                <w:position w:val="-1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0.18</w:t>
            </w:r>
          </w:p>
        </w:tc>
      </w:tr>
      <w:tr w14:paraId="5548A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restart"/>
            <w:vAlign w:val="center"/>
          </w:tcPr>
          <w:p w14:paraId="30410FB3">
            <w:pPr>
              <w:pageBreakBefore w:val="0"/>
              <w:wordWrap w:val="0"/>
              <w:overflowPunct/>
              <w:bidi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危险废物</w:t>
            </w:r>
          </w:p>
        </w:tc>
        <w:tc>
          <w:tcPr>
            <w:tcW w:w="2085" w:type="dxa"/>
            <w:vAlign w:val="center"/>
          </w:tcPr>
          <w:p w14:paraId="2F4966D9">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default" w:ascii="Times New Roman" w:hAnsi="Times New Roman" w:eastAsia="宋体" w:cs="Times New Roman"/>
                <w:color w:val="auto"/>
                <w:kern w:val="2"/>
                <w:position w:val="0"/>
                <w:sz w:val="21"/>
                <w:szCs w:val="21"/>
                <w:highlight w:val="none"/>
                <w:lang w:val="en-US" w:eastAsia="zh-CN" w:bidi="ar-SA"/>
              </w:rPr>
              <w:t>废</w:t>
            </w:r>
            <w:r>
              <w:rPr>
                <w:rFonts w:hint="eastAsia" w:cs="Times New Roman"/>
                <w:color w:val="auto"/>
                <w:kern w:val="2"/>
                <w:position w:val="0"/>
                <w:sz w:val="21"/>
                <w:szCs w:val="21"/>
                <w:highlight w:val="none"/>
                <w:lang w:val="en-US" w:eastAsia="zh-CN" w:bidi="ar-SA"/>
              </w:rPr>
              <w:t>包装</w:t>
            </w:r>
            <w:r>
              <w:rPr>
                <w:rFonts w:hint="default" w:ascii="Times New Roman" w:hAnsi="Times New Roman" w:eastAsia="宋体" w:cs="Times New Roman"/>
                <w:color w:val="auto"/>
                <w:kern w:val="2"/>
                <w:position w:val="0"/>
                <w:sz w:val="21"/>
                <w:szCs w:val="21"/>
                <w:highlight w:val="none"/>
                <w:lang w:val="en-US" w:eastAsia="zh-CN" w:bidi="ar-SA"/>
              </w:rPr>
              <w:t>桶（t/a）</w:t>
            </w:r>
          </w:p>
        </w:tc>
        <w:tc>
          <w:tcPr>
            <w:tcW w:w="1676" w:type="dxa"/>
            <w:vAlign w:val="center"/>
          </w:tcPr>
          <w:p w14:paraId="1C722CE1">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544" w:type="dxa"/>
            <w:shd w:val="clear" w:color="auto" w:fill="auto"/>
            <w:vAlign w:val="center"/>
          </w:tcPr>
          <w:p w14:paraId="473E1E6F">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465" w:type="dxa"/>
            <w:vAlign w:val="center"/>
          </w:tcPr>
          <w:p w14:paraId="585DEA05">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636" w:type="dxa"/>
            <w:vAlign w:val="center"/>
          </w:tcPr>
          <w:p w14:paraId="2380D961">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0.5 </w:t>
            </w:r>
          </w:p>
        </w:tc>
        <w:tc>
          <w:tcPr>
            <w:tcW w:w="1549" w:type="dxa"/>
            <w:vAlign w:val="center"/>
          </w:tcPr>
          <w:p w14:paraId="139EAD49">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704" w:type="dxa"/>
            <w:vAlign w:val="center"/>
          </w:tcPr>
          <w:p w14:paraId="2205B8F4">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0.5 </w:t>
            </w:r>
          </w:p>
        </w:tc>
        <w:tc>
          <w:tcPr>
            <w:tcW w:w="1407" w:type="dxa"/>
            <w:vAlign w:val="center"/>
          </w:tcPr>
          <w:p w14:paraId="44A097BD">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 xml:space="preserve">0.5 </w:t>
            </w:r>
          </w:p>
        </w:tc>
      </w:tr>
      <w:tr w14:paraId="14260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6A3D0F12">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shd w:val="clear" w:color="auto" w:fill="auto"/>
            <w:vAlign w:val="center"/>
          </w:tcPr>
          <w:p w14:paraId="74B6C1E4">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default" w:ascii="Times New Roman" w:hAnsi="Times New Roman" w:eastAsia="宋体" w:cs="Times New Roman"/>
                <w:color w:val="auto"/>
                <w:kern w:val="2"/>
                <w:position w:val="0"/>
                <w:sz w:val="21"/>
                <w:szCs w:val="21"/>
                <w:highlight w:val="none"/>
                <w:lang w:val="en-US" w:eastAsia="zh-CN" w:bidi="ar-SA"/>
              </w:rPr>
              <w:t>废油桶（t/a）</w:t>
            </w:r>
          </w:p>
        </w:tc>
        <w:tc>
          <w:tcPr>
            <w:tcW w:w="1676" w:type="dxa"/>
            <w:shd w:val="clear" w:color="auto" w:fill="auto"/>
            <w:vAlign w:val="center"/>
          </w:tcPr>
          <w:p w14:paraId="11F592C6">
            <w:pPr>
              <w:pageBreakBefore w:val="0"/>
              <w:wordWrap w:val="0"/>
              <w:overflowPunct/>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w:t>
            </w:r>
          </w:p>
        </w:tc>
        <w:tc>
          <w:tcPr>
            <w:tcW w:w="1544" w:type="dxa"/>
            <w:shd w:val="clear" w:color="auto" w:fill="auto"/>
            <w:vAlign w:val="center"/>
          </w:tcPr>
          <w:p w14:paraId="2E3B9977">
            <w:pPr>
              <w:pageBreakBefore w:val="0"/>
              <w:wordWrap w:val="0"/>
              <w:overflowPunct/>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w:t>
            </w:r>
          </w:p>
        </w:tc>
        <w:tc>
          <w:tcPr>
            <w:tcW w:w="1465" w:type="dxa"/>
            <w:shd w:val="clear" w:color="auto" w:fill="auto"/>
            <w:vAlign w:val="center"/>
          </w:tcPr>
          <w:p w14:paraId="019EC9DD">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636" w:type="dxa"/>
            <w:shd w:val="clear" w:color="auto" w:fill="auto"/>
            <w:vAlign w:val="center"/>
          </w:tcPr>
          <w:p w14:paraId="2F79526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c>
          <w:tcPr>
            <w:tcW w:w="1549" w:type="dxa"/>
            <w:shd w:val="clear" w:color="auto" w:fill="auto"/>
            <w:vAlign w:val="center"/>
          </w:tcPr>
          <w:p w14:paraId="612574B3">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704" w:type="dxa"/>
            <w:shd w:val="clear" w:color="auto" w:fill="auto"/>
            <w:vAlign w:val="center"/>
          </w:tcPr>
          <w:p w14:paraId="469ED73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c>
          <w:tcPr>
            <w:tcW w:w="1407" w:type="dxa"/>
            <w:shd w:val="clear" w:color="auto" w:fill="auto"/>
            <w:vAlign w:val="center"/>
          </w:tcPr>
          <w:p w14:paraId="63F9092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0.01</w:t>
            </w:r>
          </w:p>
        </w:tc>
      </w:tr>
      <w:tr w14:paraId="64DBE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66ED7CA0">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shd w:val="clear" w:color="auto" w:fill="auto"/>
            <w:vAlign w:val="center"/>
          </w:tcPr>
          <w:p w14:paraId="7A11F069">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default" w:ascii="Times New Roman" w:hAnsi="Times New Roman" w:eastAsia="宋体" w:cs="Times New Roman"/>
                <w:color w:val="auto"/>
                <w:kern w:val="2"/>
                <w:position w:val="0"/>
                <w:sz w:val="21"/>
                <w:szCs w:val="21"/>
                <w:highlight w:val="none"/>
                <w:lang w:val="en-US" w:eastAsia="zh-CN" w:bidi="ar-SA"/>
              </w:rPr>
              <w:t>废机油（t/a）</w:t>
            </w:r>
          </w:p>
        </w:tc>
        <w:tc>
          <w:tcPr>
            <w:tcW w:w="1676" w:type="dxa"/>
            <w:shd w:val="clear" w:color="auto" w:fill="auto"/>
            <w:vAlign w:val="center"/>
          </w:tcPr>
          <w:p w14:paraId="4ABA3FD7">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544" w:type="dxa"/>
            <w:shd w:val="clear" w:color="auto" w:fill="auto"/>
            <w:vAlign w:val="center"/>
          </w:tcPr>
          <w:p w14:paraId="27BA510C">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465" w:type="dxa"/>
            <w:shd w:val="clear" w:color="auto" w:fill="auto"/>
            <w:vAlign w:val="center"/>
          </w:tcPr>
          <w:p w14:paraId="5EF18A26">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636" w:type="dxa"/>
            <w:shd w:val="clear" w:color="auto" w:fill="auto"/>
            <w:vAlign w:val="center"/>
          </w:tcPr>
          <w:p w14:paraId="624D6AA2">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1549" w:type="dxa"/>
            <w:shd w:val="clear" w:color="auto" w:fill="auto"/>
            <w:vAlign w:val="center"/>
          </w:tcPr>
          <w:p w14:paraId="3F21B3B5">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704" w:type="dxa"/>
            <w:shd w:val="clear" w:color="auto" w:fill="auto"/>
            <w:vAlign w:val="center"/>
          </w:tcPr>
          <w:p w14:paraId="0D4586B8">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1407" w:type="dxa"/>
            <w:shd w:val="clear" w:color="auto" w:fill="auto"/>
            <w:vAlign w:val="center"/>
          </w:tcPr>
          <w:p w14:paraId="00CF9012">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0.2</w:t>
            </w:r>
          </w:p>
        </w:tc>
      </w:tr>
      <w:tr w14:paraId="11038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7264D576">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vAlign w:val="center"/>
          </w:tcPr>
          <w:p w14:paraId="2B874546">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default" w:ascii="Times New Roman" w:hAnsi="Times New Roman" w:eastAsia="宋体" w:cs="Times New Roman"/>
                <w:color w:val="auto"/>
                <w:kern w:val="2"/>
                <w:position w:val="0"/>
                <w:sz w:val="21"/>
                <w:szCs w:val="21"/>
                <w:highlight w:val="none"/>
                <w:lang w:val="en-US" w:eastAsia="zh-CN" w:bidi="ar-SA"/>
              </w:rPr>
              <w:t>废含油抹布及手套（t/a）</w:t>
            </w:r>
          </w:p>
        </w:tc>
        <w:tc>
          <w:tcPr>
            <w:tcW w:w="1676" w:type="dxa"/>
            <w:vAlign w:val="center"/>
          </w:tcPr>
          <w:p w14:paraId="651C4122">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544" w:type="dxa"/>
            <w:shd w:val="clear" w:color="auto" w:fill="auto"/>
            <w:vAlign w:val="center"/>
          </w:tcPr>
          <w:p w14:paraId="676FA387">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465" w:type="dxa"/>
            <w:vAlign w:val="center"/>
          </w:tcPr>
          <w:p w14:paraId="58782C8D">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636" w:type="dxa"/>
            <w:vAlign w:val="center"/>
          </w:tcPr>
          <w:p w14:paraId="011FB279">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c>
          <w:tcPr>
            <w:tcW w:w="1549" w:type="dxa"/>
            <w:vAlign w:val="center"/>
          </w:tcPr>
          <w:p w14:paraId="7EE18A7F">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704" w:type="dxa"/>
            <w:vAlign w:val="center"/>
          </w:tcPr>
          <w:p w14:paraId="56D62AFB">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c>
          <w:tcPr>
            <w:tcW w:w="1407" w:type="dxa"/>
            <w:vAlign w:val="center"/>
          </w:tcPr>
          <w:p w14:paraId="1EFD7A39">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0.01</w:t>
            </w:r>
          </w:p>
        </w:tc>
      </w:tr>
      <w:tr w14:paraId="3D128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6E4C57F0">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vAlign w:val="center"/>
          </w:tcPr>
          <w:p w14:paraId="2CD9F2FF">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default" w:ascii="Times New Roman" w:hAnsi="Times New Roman" w:eastAsia="宋体" w:cs="Times New Roman"/>
                <w:color w:val="auto"/>
                <w:kern w:val="2"/>
                <w:position w:val="0"/>
                <w:sz w:val="21"/>
                <w:szCs w:val="21"/>
                <w:highlight w:val="none"/>
                <w:lang w:val="en-US" w:eastAsia="zh-CN" w:bidi="ar-SA"/>
              </w:rPr>
              <w:t>喷枪清洗废液（t/a）</w:t>
            </w:r>
          </w:p>
        </w:tc>
        <w:tc>
          <w:tcPr>
            <w:tcW w:w="1676" w:type="dxa"/>
            <w:vAlign w:val="center"/>
          </w:tcPr>
          <w:p w14:paraId="6A5FDD19">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544" w:type="dxa"/>
            <w:shd w:val="clear" w:color="auto" w:fill="auto"/>
            <w:vAlign w:val="center"/>
          </w:tcPr>
          <w:p w14:paraId="56A5821E">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w:t>
            </w:r>
          </w:p>
        </w:tc>
        <w:tc>
          <w:tcPr>
            <w:tcW w:w="1465" w:type="dxa"/>
            <w:vAlign w:val="center"/>
          </w:tcPr>
          <w:p w14:paraId="03FD8B1A">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w:t>
            </w:r>
          </w:p>
        </w:tc>
        <w:tc>
          <w:tcPr>
            <w:tcW w:w="1636" w:type="dxa"/>
            <w:vAlign w:val="center"/>
          </w:tcPr>
          <w:p w14:paraId="3C1BF92F">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0.016 </w:t>
            </w:r>
          </w:p>
        </w:tc>
        <w:tc>
          <w:tcPr>
            <w:tcW w:w="1549" w:type="dxa"/>
            <w:vAlign w:val="center"/>
          </w:tcPr>
          <w:p w14:paraId="0078D02B">
            <w:pPr>
              <w:pageBreakBefore w:val="0"/>
              <w:wordWrap w:val="0"/>
              <w:overflowPunct/>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1704" w:type="dxa"/>
            <w:vAlign w:val="center"/>
          </w:tcPr>
          <w:p w14:paraId="2EB3E6CF">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0.016 </w:t>
            </w:r>
          </w:p>
        </w:tc>
        <w:tc>
          <w:tcPr>
            <w:tcW w:w="1407" w:type="dxa"/>
            <w:vAlign w:val="center"/>
          </w:tcPr>
          <w:p w14:paraId="1CE16D91">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 xml:space="preserve">0.016 </w:t>
            </w:r>
          </w:p>
        </w:tc>
      </w:tr>
      <w:tr w14:paraId="44860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41B5AF6B">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vAlign w:val="center"/>
          </w:tcPr>
          <w:p w14:paraId="40E21D12">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default" w:ascii="Times New Roman" w:hAnsi="Times New Roman" w:eastAsia="宋体" w:cs="Times New Roman"/>
                <w:color w:val="auto"/>
                <w:kern w:val="2"/>
                <w:position w:val="0"/>
                <w:sz w:val="21"/>
                <w:szCs w:val="21"/>
                <w:highlight w:val="none"/>
                <w:lang w:val="en-US" w:eastAsia="zh-CN" w:bidi="ar-SA"/>
              </w:rPr>
              <w:t>废空心球（t/a）</w:t>
            </w:r>
          </w:p>
        </w:tc>
        <w:tc>
          <w:tcPr>
            <w:tcW w:w="1676" w:type="dxa"/>
            <w:vAlign w:val="center"/>
          </w:tcPr>
          <w:p w14:paraId="08FBAC21">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544" w:type="dxa"/>
            <w:shd w:val="clear" w:color="auto" w:fill="auto"/>
            <w:vAlign w:val="center"/>
          </w:tcPr>
          <w:p w14:paraId="1182116F">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465" w:type="dxa"/>
            <w:vAlign w:val="center"/>
          </w:tcPr>
          <w:p w14:paraId="120A5D62">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636" w:type="dxa"/>
            <w:vAlign w:val="center"/>
          </w:tcPr>
          <w:p w14:paraId="765938A0">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1549" w:type="dxa"/>
            <w:vAlign w:val="center"/>
          </w:tcPr>
          <w:p w14:paraId="53D29419">
            <w:pPr>
              <w:pageBreakBefore w:val="0"/>
              <w:wordWrap w:val="0"/>
              <w:overflowPunct/>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1704" w:type="dxa"/>
            <w:vAlign w:val="center"/>
          </w:tcPr>
          <w:p w14:paraId="535A74E1">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1407" w:type="dxa"/>
            <w:vAlign w:val="center"/>
          </w:tcPr>
          <w:p w14:paraId="47CF7E07">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0.05</w:t>
            </w:r>
          </w:p>
        </w:tc>
      </w:tr>
      <w:tr w14:paraId="1DEF3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23879604">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vAlign w:val="center"/>
          </w:tcPr>
          <w:p w14:paraId="0D2ACED2">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default" w:ascii="Times New Roman" w:hAnsi="Times New Roman" w:eastAsia="宋体" w:cs="Times New Roman"/>
                <w:color w:val="auto"/>
                <w:kern w:val="2"/>
                <w:position w:val="0"/>
                <w:sz w:val="21"/>
                <w:szCs w:val="21"/>
                <w:highlight w:val="none"/>
                <w:lang w:val="en-US" w:eastAsia="zh-CN" w:bidi="ar-SA"/>
              </w:rPr>
              <w:t>废过滤棉（t/a）</w:t>
            </w:r>
          </w:p>
        </w:tc>
        <w:tc>
          <w:tcPr>
            <w:tcW w:w="1676" w:type="dxa"/>
            <w:vAlign w:val="center"/>
          </w:tcPr>
          <w:p w14:paraId="17C46084">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544" w:type="dxa"/>
            <w:shd w:val="clear" w:color="auto" w:fill="auto"/>
            <w:vAlign w:val="center"/>
          </w:tcPr>
          <w:p w14:paraId="71E4C353">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465" w:type="dxa"/>
            <w:vAlign w:val="center"/>
          </w:tcPr>
          <w:p w14:paraId="7A66F982">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636" w:type="dxa"/>
            <w:vAlign w:val="center"/>
          </w:tcPr>
          <w:p w14:paraId="3ADA0FC8">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0.59 </w:t>
            </w:r>
          </w:p>
        </w:tc>
        <w:tc>
          <w:tcPr>
            <w:tcW w:w="1549" w:type="dxa"/>
            <w:vAlign w:val="center"/>
          </w:tcPr>
          <w:p w14:paraId="598BEA17">
            <w:pPr>
              <w:pageBreakBefore w:val="0"/>
              <w:wordWrap w:val="0"/>
              <w:overflowPunct/>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1704" w:type="dxa"/>
            <w:vAlign w:val="center"/>
          </w:tcPr>
          <w:p w14:paraId="67E507A8">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0.59 </w:t>
            </w:r>
          </w:p>
        </w:tc>
        <w:tc>
          <w:tcPr>
            <w:tcW w:w="1407" w:type="dxa"/>
            <w:vAlign w:val="center"/>
          </w:tcPr>
          <w:p w14:paraId="308B75DC">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 xml:space="preserve">0.59 </w:t>
            </w:r>
          </w:p>
        </w:tc>
      </w:tr>
      <w:tr w14:paraId="541AD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625A5657">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vAlign w:val="center"/>
          </w:tcPr>
          <w:p w14:paraId="16296207">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default" w:ascii="Times New Roman" w:hAnsi="Times New Roman" w:eastAsia="宋体" w:cs="Times New Roman"/>
                <w:color w:val="auto"/>
                <w:kern w:val="2"/>
                <w:position w:val="0"/>
                <w:sz w:val="21"/>
                <w:szCs w:val="21"/>
                <w:highlight w:val="none"/>
                <w:lang w:val="en-US" w:eastAsia="zh-CN" w:bidi="ar-SA"/>
              </w:rPr>
              <w:t>废活性炭（t/a）</w:t>
            </w:r>
          </w:p>
        </w:tc>
        <w:tc>
          <w:tcPr>
            <w:tcW w:w="1676" w:type="dxa"/>
            <w:vAlign w:val="center"/>
          </w:tcPr>
          <w:p w14:paraId="0120C1E9">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544" w:type="dxa"/>
            <w:shd w:val="clear" w:color="auto" w:fill="auto"/>
            <w:vAlign w:val="center"/>
          </w:tcPr>
          <w:p w14:paraId="7E475CAF">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465" w:type="dxa"/>
            <w:vAlign w:val="center"/>
          </w:tcPr>
          <w:p w14:paraId="227A8765">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636" w:type="dxa"/>
            <w:vAlign w:val="center"/>
          </w:tcPr>
          <w:p w14:paraId="6008E67C">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9.115</w:t>
            </w:r>
          </w:p>
        </w:tc>
        <w:tc>
          <w:tcPr>
            <w:tcW w:w="1549" w:type="dxa"/>
            <w:vAlign w:val="center"/>
          </w:tcPr>
          <w:p w14:paraId="29729F71">
            <w:pPr>
              <w:pageBreakBefore w:val="0"/>
              <w:wordWrap w:val="0"/>
              <w:overflowPunct/>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1704" w:type="dxa"/>
            <w:vAlign w:val="center"/>
          </w:tcPr>
          <w:p w14:paraId="016CF1CC">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9.115</w:t>
            </w:r>
          </w:p>
        </w:tc>
        <w:tc>
          <w:tcPr>
            <w:tcW w:w="1407" w:type="dxa"/>
            <w:vAlign w:val="center"/>
          </w:tcPr>
          <w:p w14:paraId="440914D0">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9.115</w:t>
            </w:r>
          </w:p>
        </w:tc>
      </w:tr>
      <w:tr w14:paraId="4713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637DC373">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vAlign w:val="center"/>
          </w:tcPr>
          <w:p w14:paraId="3299DBC7">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eastAsia="宋体" w:cs="Times New Roman"/>
                <w:color w:val="auto"/>
                <w:kern w:val="2"/>
                <w:position w:val="0"/>
                <w:sz w:val="21"/>
                <w:szCs w:val="21"/>
                <w:highlight w:val="none"/>
                <w:lang w:val="en-US" w:eastAsia="zh-CN" w:bidi="ar-SA"/>
              </w:rPr>
            </w:pPr>
            <w:r>
              <w:rPr>
                <w:rFonts w:hint="default" w:ascii="Times New Roman" w:hAnsi="Times New Roman" w:eastAsia="宋体" w:cs="Times New Roman"/>
                <w:color w:val="auto"/>
                <w:kern w:val="2"/>
                <w:position w:val="0"/>
                <w:sz w:val="21"/>
                <w:szCs w:val="21"/>
                <w:highlight w:val="none"/>
                <w:lang w:val="en-US" w:eastAsia="zh-CN" w:bidi="ar-SA"/>
              </w:rPr>
              <w:t>喷淋废液及沉渣（t/a）</w:t>
            </w:r>
          </w:p>
        </w:tc>
        <w:tc>
          <w:tcPr>
            <w:tcW w:w="1676" w:type="dxa"/>
            <w:vAlign w:val="center"/>
          </w:tcPr>
          <w:p w14:paraId="6E02B6BD">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544" w:type="dxa"/>
            <w:shd w:val="clear" w:color="auto" w:fill="auto"/>
            <w:vAlign w:val="center"/>
          </w:tcPr>
          <w:p w14:paraId="0BAABE84">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465" w:type="dxa"/>
            <w:vAlign w:val="center"/>
          </w:tcPr>
          <w:p w14:paraId="416FD9F4">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636" w:type="dxa"/>
            <w:vAlign w:val="center"/>
          </w:tcPr>
          <w:p w14:paraId="6499F323">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79.73 </w:t>
            </w:r>
          </w:p>
        </w:tc>
        <w:tc>
          <w:tcPr>
            <w:tcW w:w="1549" w:type="dxa"/>
            <w:vAlign w:val="center"/>
          </w:tcPr>
          <w:p w14:paraId="4F4E8541">
            <w:pPr>
              <w:pageBreakBefore w:val="0"/>
              <w:wordWrap w:val="0"/>
              <w:overflowPunct/>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1704" w:type="dxa"/>
            <w:vAlign w:val="center"/>
          </w:tcPr>
          <w:p w14:paraId="1981DE3C">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79.73 </w:t>
            </w:r>
          </w:p>
        </w:tc>
        <w:tc>
          <w:tcPr>
            <w:tcW w:w="1407" w:type="dxa"/>
            <w:vAlign w:val="center"/>
          </w:tcPr>
          <w:p w14:paraId="4F02FD0C">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 xml:space="preserve">79.73 </w:t>
            </w:r>
          </w:p>
        </w:tc>
      </w:tr>
      <w:tr w14:paraId="60774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579EE810">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vAlign w:val="center"/>
          </w:tcPr>
          <w:p w14:paraId="5728102E">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ascii="Times New Roman" w:hAnsi="Times New Roman" w:cs="Times New Roman"/>
                <w:color w:val="auto"/>
                <w:sz w:val="21"/>
                <w:szCs w:val="21"/>
                <w:highlight w:val="none"/>
              </w:rPr>
            </w:pPr>
            <w:r>
              <w:rPr>
                <w:rFonts w:hint="eastAsia" w:cs="Times New Roman"/>
                <w:color w:val="auto"/>
                <w:kern w:val="2"/>
                <w:position w:val="0"/>
                <w:sz w:val="21"/>
                <w:szCs w:val="21"/>
                <w:highlight w:val="none"/>
                <w:lang w:val="en-US" w:eastAsia="zh-CN" w:bidi="ar-SA"/>
              </w:rPr>
              <w:t>水性漆喷枪清洗废水</w:t>
            </w:r>
            <w:r>
              <w:rPr>
                <w:rFonts w:hint="default" w:ascii="Times New Roman" w:hAnsi="Times New Roman" w:eastAsia="宋体" w:cs="Times New Roman"/>
                <w:color w:val="auto"/>
                <w:kern w:val="2"/>
                <w:position w:val="0"/>
                <w:sz w:val="21"/>
                <w:szCs w:val="21"/>
                <w:highlight w:val="none"/>
                <w:lang w:val="en-US" w:eastAsia="zh-CN" w:bidi="ar-SA"/>
              </w:rPr>
              <w:t>（t/a）</w:t>
            </w:r>
          </w:p>
        </w:tc>
        <w:tc>
          <w:tcPr>
            <w:tcW w:w="1676" w:type="dxa"/>
            <w:vAlign w:val="center"/>
          </w:tcPr>
          <w:p w14:paraId="5FF3AA24">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544" w:type="dxa"/>
            <w:shd w:val="clear" w:color="auto" w:fill="auto"/>
            <w:vAlign w:val="center"/>
          </w:tcPr>
          <w:p w14:paraId="317C9F66">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w:t>
            </w:r>
          </w:p>
        </w:tc>
        <w:tc>
          <w:tcPr>
            <w:tcW w:w="1465" w:type="dxa"/>
            <w:vAlign w:val="center"/>
          </w:tcPr>
          <w:p w14:paraId="4F593F0F">
            <w:pPr>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w:t>
            </w:r>
          </w:p>
        </w:tc>
        <w:tc>
          <w:tcPr>
            <w:tcW w:w="1636" w:type="dxa"/>
            <w:vAlign w:val="center"/>
          </w:tcPr>
          <w:p w14:paraId="58E18966">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1.35</w:t>
            </w:r>
          </w:p>
        </w:tc>
        <w:tc>
          <w:tcPr>
            <w:tcW w:w="1549" w:type="dxa"/>
            <w:vAlign w:val="center"/>
          </w:tcPr>
          <w:p w14:paraId="187B424A">
            <w:pPr>
              <w:pageBreakBefore w:val="0"/>
              <w:wordWrap w:val="0"/>
              <w:overflowPunct/>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1704" w:type="dxa"/>
            <w:vAlign w:val="center"/>
          </w:tcPr>
          <w:p w14:paraId="5F6DEB5A">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1.35</w:t>
            </w:r>
          </w:p>
        </w:tc>
        <w:tc>
          <w:tcPr>
            <w:tcW w:w="1407" w:type="dxa"/>
            <w:vAlign w:val="center"/>
          </w:tcPr>
          <w:p w14:paraId="3B693A0C">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1.35</w:t>
            </w:r>
          </w:p>
        </w:tc>
      </w:tr>
      <w:tr w14:paraId="6D071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3D57E1F3">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vAlign w:val="center"/>
          </w:tcPr>
          <w:p w14:paraId="6094BDD0">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eastAsia" w:cs="Times New Roman"/>
                <w:color w:val="auto"/>
                <w:kern w:val="2"/>
                <w:position w:val="0"/>
                <w:sz w:val="21"/>
                <w:szCs w:val="21"/>
                <w:highlight w:val="none"/>
                <w:lang w:val="en-US" w:eastAsia="zh-CN" w:bidi="ar-SA"/>
              </w:rPr>
            </w:pPr>
            <w:r>
              <w:rPr>
                <w:rFonts w:hint="eastAsia" w:cs="Times New Roman"/>
                <w:color w:val="auto"/>
                <w:kern w:val="2"/>
                <w:position w:val="0"/>
                <w:sz w:val="21"/>
                <w:szCs w:val="21"/>
                <w:highlight w:val="none"/>
                <w:lang w:val="en-US" w:eastAsia="zh-CN" w:bidi="ar-SA"/>
              </w:rPr>
              <w:t>网版清洗废液（t/a）</w:t>
            </w:r>
          </w:p>
        </w:tc>
        <w:tc>
          <w:tcPr>
            <w:tcW w:w="1676" w:type="dxa"/>
            <w:vAlign w:val="center"/>
          </w:tcPr>
          <w:p w14:paraId="4B6051A4">
            <w:pPr>
              <w:pStyle w:val="61"/>
              <w:pageBreakBefore w:val="0"/>
              <w:wordWrap w:val="0"/>
              <w:overflowPunct/>
              <w:bidi w:val="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544" w:type="dxa"/>
            <w:shd w:val="clear" w:color="auto" w:fill="auto"/>
            <w:vAlign w:val="center"/>
          </w:tcPr>
          <w:p w14:paraId="4BB07A92">
            <w:pPr>
              <w:pageBreakBefore w:val="0"/>
              <w:wordWrap w:val="0"/>
              <w:overflowPunct/>
              <w:bidi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465" w:type="dxa"/>
            <w:vAlign w:val="center"/>
          </w:tcPr>
          <w:p w14:paraId="4D5DEA15">
            <w:pPr>
              <w:pageBreakBefore w:val="0"/>
              <w:wordWrap w:val="0"/>
              <w:overflowPunct/>
              <w:bidi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636" w:type="dxa"/>
            <w:vAlign w:val="center"/>
          </w:tcPr>
          <w:p w14:paraId="07F3CC58">
            <w:pPr>
              <w:keepNext w:val="0"/>
              <w:keepLines w:val="0"/>
              <w:widowControl/>
              <w:suppressLineNumbers w:val="0"/>
              <w:jc w:val="center"/>
              <w:textAlignment w:val="center"/>
              <w:rPr>
                <w:rFonts w:hint="default"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0.138 </w:t>
            </w:r>
          </w:p>
        </w:tc>
        <w:tc>
          <w:tcPr>
            <w:tcW w:w="1549" w:type="dxa"/>
            <w:vAlign w:val="center"/>
          </w:tcPr>
          <w:p w14:paraId="7264DE07">
            <w:pPr>
              <w:pageBreakBefore w:val="0"/>
              <w:wordWrap w:val="0"/>
              <w:overflowPunct/>
              <w:bidi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704" w:type="dxa"/>
            <w:vAlign w:val="center"/>
          </w:tcPr>
          <w:p w14:paraId="5C660A71">
            <w:pPr>
              <w:keepNext w:val="0"/>
              <w:keepLines w:val="0"/>
              <w:widowControl/>
              <w:suppressLineNumbers w:val="0"/>
              <w:jc w:val="center"/>
              <w:textAlignment w:val="center"/>
              <w:rPr>
                <w:rFonts w:hint="default"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0.138 </w:t>
            </w:r>
          </w:p>
        </w:tc>
        <w:tc>
          <w:tcPr>
            <w:tcW w:w="1407" w:type="dxa"/>
            <w:vAlign w:val="center"/>
          </w:tcPr>
          <w:p w14:paraId="7CDEEB37">
            <w:pPr>
              <w:keepNext w:val="0"/>
              <w:keepLines w:val="0"/>
              <w:widowControl/>
              <w:suppressLineNumbers w:val="0"/>
              <w:jc w:val="center"/>
              <w:textAlignment w:val="center"/>
              <w:rPr>
                <w:rFonts w:hint="default" w:cs="Times New Roman"/>
                <w:color w:val="auto"/>
                <w:position w:val="-1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 xml:space="preserve">0.138 </w:t>
            </w:r>
          </w:p>
        </w:tc>
      </w:tr>
      <w:tr w14:paraId="2336F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4FA1DB54">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shd w:val="clear" w:color="auto" w:fill="auto"/>
            <w:vAlign w:val="center"/>
          </w:tcPr>
          <w:p w14:paraId="490D21B3">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eastAsia" w:ascii="Times New Roman" w:hAnsi="Times New Roman" w:eastAsia="宋体" w:cs="Times New Roman"/>
                <w:color w:val="auto"/>
                <w:kern w:val="2"/>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废静电喷粉滤芯</w:t>
            </w:r>
            <w:r>
              <w:rPr>
                <w:rFonts w:hint="default" w:ascii="Times New Roman" w:hAnsi="Times New Roman" w:eastAsia="宋体" w:cs="Times New Roman"/>
                <w:color w:val="auto"/>
                <w:kern w:val="2"/>
                <w:position w:val="0"/>
                <w:sz w:val="21"/>
                <w:szCs w:val="21"/>
                <w:highlight w:val="none"/>
                <w:lang w:val="en-US" w:eastAsia="zh-CN" w:bidi="ar-SA"/>
              </w:rPr>
              <w:t>（t/a）</w:t>
            </w:r>
          </w:p>
        </w:tc>
        <w:tc>
          <w:tcPr>
            <w:tcW w:w="1676" w:type="dxa"/>
            <w:vAlign w:val="center"/>
          </w:tcPr>
          <w:p w14:paraId="1564C0F9">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544" w:type="dxa"/>
            <w:shd w:val="clear" w:color="auto" w:fill="auto"/>
            <w:vAlign w:val="center"/>
          </w:tcPr>
          <w:p w14:paraId="06EB6178">
            <w:pPr>
              <w:pageBreakBefore w:val="0"/>
              <w:wordWrap w:val="0"/>
              <w:overflowPunct/>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1465" w:type="dxa"/>
            <w:vAlign w:val="center"/>
          </w:tcPr>
          <w:p w14:paraId="4698EBB0">
            <w:pPr>
              <w:pageBreakBefore w:val="0"/>
              <w:wordWrap w:val="0"/>
              <w:overflowPunct/>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1636" w:type="dxa"/>
            <w:vAlign w:val="center"/>
          </w:tcPr>
          <w:p w14:paraId="11FB7937">
            <w:pPr>
              <w:keepNext w:val="0"/>
              <w:keepLines w:val="0"/>
              <w:widowControl/>
              <w:suppressLineNumbers w:val="0"/>
              <w:jc w:val="center"/>
              <w:textAlignment w:val="center"/>
              <w:rPr>
                <w:rFonts w:hint="eastAsia"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0.096</w:t>
            </w:r>
          </w:p>
        </w:tc>
        <w:tc>
          <w:tcPr>
            <w:tcW w:w="1549" w:type="dxa"/>
            <w:vAlign w:val="center"/>
          </w:tcPr>
          <w:p w14:paraId="0E0D1921">
            <w:pPr>
              <w:pageBreakBefore w:val="0"/>
              <w:wordWrap w:val="0"/>
              <w:overflowPunct/>
              <w:bidi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704" w:type="dxa"/>
            <w:vAlign w:val="center"/>
          </w:tcPr>
          <w:p w14:paraId="68C49F68">
            <w:pPr>
              <w:keepNext w:val="0"/>
              <w:keepLines w:val="0"/>
              <w:widowControl/>
              <w:suppressLineNumbers w:val="0"/>
              <w:jc w:val="center"/>
              <w:textAlignment w:val="center"/>
              <w:rPr>
                <w:rFonts w:hint="eastAsia"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0.096</w:t>
            </w:r>
          </w:p>
        </w:tc>
        <w:tc>
          <w:tcPr>
            <w:tcW w:w="1407" w:type="dxa"/>
            <w:vAlign w:val="center"/>
          </w:tcPr>
          <w:p w14:paraId="0E638672">
            <w:pPr>
              <w:keepNext w:val="0"/>
              <w:keepLines w:val="0"/>
              <w:widowControl/>
              <w:suppressLineNumbers w:val="0"/>
              <w:jc w:val="center"/>
              <w:textAlignment w:val="center"/>
              <w:rPr>
                <w:rFonts w:hint="eastAsia" w:cs="Times New Roman"/>
                <w:color w:val="auto"/>
                <w:position w:val="-1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0.096</w:t>
            </w:r>
          </w:p>
        </w:tc>
      </w:tr>
      <w:tr w14:paraId="0B095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4B5B24BC">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shd w:val="clear" w:color="auto" w:fill="auto"/>
            <w:vAlign w:val="center"/>
          </w:tcPr>
          <w:p w14:paraId="56733648">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eastAsia" w:ascii="Times New Roman" w:hAnsi="Times New Roman" w:eastAsia="宋体" w:cs="Times New Roman"/>
                <w:color w:val="auto"/>
                <w:kern w:val="2"/>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废粉末涂料</w:t>
            </w:r>
            <w:r>
              <w:rPr>
                <w:rFonts w:hint="default" w:ascii="Times New Roman" w:hAnsi="Times New Roman" w:eastAsia="宋体" w:cs="Times New Roman"/>
                <w:color w:val="auto"/>
                <w:kern w:val="2"/>
                <w:position w:val="0"/>
                <w:sz w:val="21"/>
                <w:szCs w:val="21"/>
                <w:highlight w:val="none"/>
                <w:lang w:val="en-US" w:eastAsia="zh-CN" w:bidi="ar-SA"/>
              </w:rPr>
              <w:t>（t/a）</w:t>
            </w:r>
          </w:p>
        </w:tc>
        <w:tc>
          <w:tcPr>
            <w:tcW w:w="1676" w:type="dxa"/>
            <w:vAlign w:val="center"/>
          </w:tcPr>
          <w:p w14:paraId="03A8CF50">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544" w:type="dxa"/>
            <w:shd w:val="clear" w:color="auto" w:fill="auto"/>
            <w:vAlign w:val="center"/>
          </w:tcPr>
          <w:p w14:paraId="044CB4F7">
            <w:pPr>
              <w:pageBreakBefore w:val="0"/>
              <w:wordWrap w:val="0"/>
              <w:overflowPunct/>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1465" w:type="dxa"/>
            <w:vAlign w:val="center"/>
          </w:tcPr>
          <w:p w14:paraId="302799A1">
            <w:pPr>
              <w:pageBreakBefore w:val="0"/>
              <w:wordWrap w:val="0"/>
              <w:overflowPunct/>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1636" w:type="dxa"/>
            <w:vAlign w:val="center"/>
          </w:tcPr>
          <w:p w14:paraId="54BE0C4F">
            <w:pPr>
              <w:keepNext w:val="0"/>
              <w:keepLines w:val="0"/>
              <w:widowControl/>
              <w:suppressLineNumbers w:val="0"/>
              <w:jc w:val="center"/>
              <w:textAlignment w:val="center"/>
              <w:rPr>
                <w:rFonts w:hint="eastAsia"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0.375 </w:t>
            </w:r>
          </w:p>
        </w:tc>
        <w:tc>
          <w:tcPr>
            <w:tcW w:w="1549" w:type="dxa"/>
            <w:vAlign w:val="center"/>
          </w:tcPr>
          <w:p w14:paraId="7D0D1C8D">
            <w:pPr>
              <w:pageBreakBefore w:val="0"/>
              <w:wordWrap w:val="0"/>
              <w:overflowPunct/>
              <w:bidi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704" w:type="dxa"/>
            <w:vAlign w:val="center"/>
          </w:tcPr>
          <w:p w14:paraId="477EA56C">
            <w:pPr>
              <w:keepNext w:val="0"/>
              <w:keepLines w:val="0"/>
              <w:widowControl/>
              <w:suppressLineNumbers w:val="0"/>
              <w:jc w:val="center"/>
              <w:textAlignment w:val="center"/>
              <w:rPr>
                <w:rFonts w:hint="eastAsia"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0.375 </w:t>
            </w:r>
          </w:p>
        </w:tc>
        <w:tc>
          <w:tcPr>
            <w:tcW w:w="1407" w:type="dxa"/>
            <w:vAlign w:val="center"/>
          </w:tcPr>
          <w:p w14:paraId="0366FC57">
            <w:pPr>
              <w:keepNext w:val="0"/>
              <w:keepLines w:val="0"/>
              <w:widowControl/>
              <w:suppressLineNumbers w:val="0"/>
              <w:jc w:val="center"/>
              <w:textAlignment w:val="center"/>
              <w:rPr>
                <w:rFonts w:hint="default" w:cs="Times New Roman"/>
                <w:color w:val="auto"/>
                <w:position w:val="-1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 xml:space="preserve">0.375 </w:t>
            </w:r>
          </w:p>
        </w:tc>
      </w:tr>
      <w:tr w14:paraId="4CD01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6BC465B1">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shd w:val="clear" w:color="auto" w:fill="auto"/>
            <w:vAlign w:val="center"/>
          </w:tcPr>
          <w:p w14:paraId="14A5344B">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eastAsia" w:ascii="Times New Roman" w:hAnsi="Times New Roman" w:eastAsia="宋体" w:cs="Times New Roman"/>
                <w:color w:val="auto"/>
                <w:kern w:val="2"/>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废水处理站污泥</w:t>
            </w:r>
            <w:r>
              <w:rPr>
                <w:rFonts w:hint="default" w:ascii="Times New Roman" w:hAnsi="Times New Roman" w:eastAsia="宋体" w:cs="Times New Roman"/>
                <w:color w:val="auto"/>
                <w:kern w:val="2"/>
                <w:position w:val="0"/>
                <w:sz w:val="21"/>
                <w:szCs w:val="21"/>
                <w:highlight w:val="none"/>
                <w:lang w:val="en-US" w:eastAsia="zh-CN" w:bidi="ar-SA"/>
              </w:rPr>
              <w:t>（t/a）</w:t>
            </w:r>
          </w:p>
        </w:tc>
        <w:tc>
          <w:tcPr>
            <w:tcW w:w="1676" w:type="dxa"/>
            <w:vAlign w:val="center"/>
          </w:tcPr>
          <w:p w14:paraId="1245FE75">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544" w:type="dxa"/>
            <w:shd w:val="clear" w:color="auto" w:fill="auto"/>
            <w:vAlign w:val="center"/>
          </w:tcPr>
          <w:p w14:paraId="0A9B37E4">
            <w:pPr>
              <w:pageBreakBefore w:val="0"/>
              <w:wordWrap w:val="0"/>
              <w:overflowPunct/>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1465" w:type="dxa"/>
            <w:vAlign w:val="center"/>
          </w:tcPr>
          <w:p w14:paraId="569EB618">
            <w:pPr>
              <w:pageBreakBefore w:val="0"/>
              <w:wordWrap w:val="0"/>
              <w:overflowPunct/>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1636" w:type="dxa"/>
            <w:vAlign w:val="center"/>
          </w:tcPr>
          <w:p w14:paraId="0D2DD384">
            <w:pPr>
              <w:keepNext w:val="0"/>
              <w:keepLines w:val="0"/>
              <w:widowControl/>
              <w:suppressLineNumbers w:val="0"/>
              <w:jc w:val="center"/>
              <w:textAlignment w:val="center"/>
              <w:rPr>
                <w:rFonts w:hint="eastAsia"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0.186 </w:t>
            </w:r>
          </w:p>
        </w:tc>
        <w:tc>
          <w:tcPr>
            <w:tcW w:w="1549" w:type="dxa"/>
            <w:vAlign w:val="center"/>
          </w:tcPr>
          <w:p w14:paraId="1EFFD4B6">
            <w:pPr>
              <w:pageBreakBefore w:val="0"/>
              <w:wordWrap w:val="0"/>
              <w:overflowPunct/>
              <w:bidi w:val="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704" w:type="dxa"/>
            <w:vAlign w:val="center"/>
          </w:tcPr>
          <w:p w14:paraId="6A9C45E5">
            <w:pPr>
              <w:keepNext w:val="0"/>
              <w:keepLines w:val="0"/>
              <w:widowControl/>
              <w:suppressLineNumbers w:val="0"/>
              <w:jc w:val="center"/>
              <w:textAlignment w:val="center"/>
              <w:rPr>
                <w:rFonts w:hint="eastAsia"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0.186 </w:t>
            </w:r>
          </w:p>
        </w:tc>
        <w:tc>
          <w:tcPr>
            <w:tcW w:w="1407" w:type="dxa"/>
            <w:vAlign w:val="center"/>
          </w:tcPr>
          <w:p w14:paraId="36EB5E34">
            <w:pPr>
              <w:keepNext w:val="0"/>
              <w:keepLines w:val="0"/>
              <w:widowControl/>
              <w:suppressLineNumbers w:val="0"/>
              <w:jc w:val="center"/>
              <w:textAlignment w:val="center"/>
              <w:rPr>
                <w:rFonts w:hint="eastAsia" w:cs="Times New Roman"/>
                <w:color w:val="auto"/>
                <w:position w:val="-1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 xml:space="preserve">0.186 </w:t>
            </w:r>
          </w:p>
        </w:tc>
      </w:tr>
      <w:tr w14:paraId="0AA6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54" w:type="dxa"/>
            <w:vMerge w:val="continue"/>
            <w:vAlign w:val="center"/>
          </w:tcPr>
          <w:p w14:paraId="72DB279F">
            <w:pPr>
              <w:pageBreakBefore w:val="0"/>
              <w:wordWrap w:val="0"/>
              <w:overflowPunct/>
              <w:bidi w:val="0"/>
              <w:spacing w:line="240" w:lineRule="auto"/>
              <w:jc w:val="center"/>
              <w:rPr>
                <w:rFonts w:hint="default" w:ascii="Times New Roman" w:hAnsi="Times New Roman" w:cs="Times New Roman"/>
                <w:color w:val="auto"/>
                <w:sz w:val="21"/>
                <w:szCs w:val="21"/>
                <w:highlight w:val="none"/>
              </w:rPr>
            </w:pPr>
          </w:p>
        </w:tc>
        <w:tc>
          <w:tcPr>
            <w:tcW w:w="2085" w:type="dxa"/>
            <w:shd w:val="clear" w:color="auto" w:fill="auto"/>
            <w:vAlign w:val="center"/>
          </w:tcPr>
          <w:p w14:paraId="3A4152CD">
            <w:pPr>
              <w:keepNext w:val="0"/>
              <w:keepLines w:val="0"/>
              <w:pageBreakBefore w:val="0"/>
              <w:widowControl w:val="0"/>
              <w:kinsoku/>
              <w:wordWrap w:val="0"/>
              <w:overflowPunct/>
              <w:topLinePunct w:val="0"/>
              <w:autoSpaceDE w:val="0"/>
              <w:autoSpaceDN w:val="0"/>
              <w:bidi w:val="0"/>
              <w:adjustRightInd/>
              <w:snapToGrid w:val="0"/>
              <w:spacing w:line="240" w:lineRule="auto"/>
              <w:jc w:val="center"/>
              <w:textAlignment w:val="center"/>
              <w:rPr>
                <w:rFonts w:hint="default" w:cs="Times New Roman"/>
                <w:color w:val="auto"/>
                <w:position w:val="-10"/>
                <w:sz w:val="21"/>
                <w:szCs w:val="21"/>
                <w:highlight w:val="none"/>
                <w:lang w:val="en-US" w:eastAsia="zh-CN" w:bidi="ar-SA"/>
              </w:rPr>
            </w:pPr>
            <w:r>
              <w:rPr>
                <w:rFonts w:hint="eastAsia" w:cs="Times New Roman"/>
                <w:color w:val="auto"/>
                <w:position w:val="-10"/>
                <w:sz w:val="21"/>
                <w:szCs w:val="21"/>
                <w:highlight w:val="none"/>
                <w:lang w:val="en-US" w:eastAsia="zh-CN" w:bidi="ar-SA"/>
              </w:rPr>
              <w:t>废MBR膜（t/a）</w:t>
            </w:r>
          </w:p>
        </w:tc>
        <w:tc>
          <w:tcPr>
            <w:tcW w:w="1676" w:type="dxa"/>
            <w:vAlign w:val="center"/>
          </w:tcPr>
          <w:p w14:paraId="59703391">
            <w:pPr>
              <w:pStyle w:val="61"/>
              <w:pageBreakBefore w:val="0"/>
              <w:wordWrap w:val="0"/>
              <w:overflowPunct/>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1544" w:type="dxa"/>
            <w:shd w:val="clear" w:color="auto" w:fill="auto"/>
            <w:vAlign w:val="center"/>
          </w:tcPr>
          <w:p w14:paraId="529B4B37">
            <w:pPr>
              <w:pageBreakBefore w:val="0"/>
              <w:wordWrap w:val="0"/>
              <w:overflowPunct/>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1465" w:type="dxa"/>
            <w:vAlign w:val="center"/>
          </w:tcPr>
          <w:p w14:paraId="0E708AB3">
            <w:pPr>
              <w:pageBreakBefore w:val="0"/>
              <w:wordWrap w:val="0"/>
              <w:overflowPunct/>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1636" w:type="dxa"/>
            <w:vAlign w:val="center"/>
          </w:tcPr>
          <w:p w14:paraId="54561BB2">
            <w:pPr>
              <w:keepNext w:val="0"/>
              <w:keepLines w:val="0"/>
              <w:widowControl/>
              <w:suppressLineNumbers w:val="0"/>
              <w:jc w:val="center"/>
              <w:textAlignment w:val="center"/>
              <w:rPr>
                <w:rFonts w:hint="default"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1549" w:type="dxa"/>
            <w:vAlign w:val="center"/>
          </w:tcPr>
          <w:p w14:paraId="07105990">
            <w:pPr>
              <w:pageBreakBefore w:val="0"/>
              <w:wordWrap w:val="0"/>
              <w:overflowPunct/>
              <w:bidi w:val="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704" w:type="dxa"/>
            <w:vAlign w:val="center"/>
          </w:tcPr>
          <w:p w14:paraId="534A66FD">
            <w:pPr>
              <w:keepNext w:val="0"/>
              <w:keepLines w:val="0"/>
              <w:widowControl/>
              <w:suppressLineNumbers w:val="0"/>
              <w:jc w:val="center"/>
              <w:textAlignment w:val="center"/>
              <w:rPr>
                <w:rFonts w:hint="default" w:cs="Times New Roman"/>
                <w:color w:val="auto"/>
                <w:position w:val="-1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1407" w:type="dxa"/>
            <w:vAlign w:val="center"/>
          </w:tcPr>
          <w:p w14:paraId="28539426">
            <w:pPr>
              <w:keepNext w:val="0"/>
              <w:keepLines w:val="0"/>
              <w:widowControl/>
              <w:suppressLineNumbers w:val="0"/>
              <w:jc w:val="center"/>
              <w:textAlignment w:val="center"/>
              <w:rPr>
                <w:rFonts w:hint="default" w:cs="Times New Roman"/>
                <w:color w:val="auto"/>
                <w:position w:val="-10"/>
                <w:sz w:val="21"/>
                <w:szCs w:val="21"/>
                <w:highlight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0.2</w:t>
            </w:r>
          </w:p>
        </w:tc>
      </w:tr>
    </w:tbl>
    <w:p w14:paraId="5430F786">
      <w:pPr>
        <w:pageBreakBefore w:val="0"/>
        <w:wordWrap w:val="0"/>
        <w:overflowPunct/>
        <w:bidi w:val="0"/>
        <w:spacing w:line="240" w:lineRule="auto"/>
        <w:jc w:val="left"/>
        <w:rPr>
          <w:rFonts w:hint="default"/>
          <w:color w:val="000000"/>
        </w:rPr>
      </w:pPr>
      <w:r>
        <w:rPr>
          <w:rFonts w:eastAsia="黑体"/>
          <w:color w:val="auto"/>
          <w:sz w:val="21"/>
          <w:szCs w:val="21"/>
          <w:highlight w:val="none"/>
        </w:rPr>
        <w:t>注：⑥=①+③+④-⑤；⑦=⑥-①。</w:t>
      </w:r>
      <w:bookmarkEnd w:id="144"/>
      <w:bookmarkEnd w:id="145"/>
    </w:p>
    <w:sectPr>
      <w:headerReference r:id="rId8" w:type="default"/>
      <w:footerReference r:id="rId9" w:type="default"/>
      <w:pgSz w:w="16838" w:h="11906" w:orient="landscape"/>
      <w:pgMar w:top="1417" w:right="1417" w:bottom="1134" w:left="1559" w:header="851" w:footer="992" w:gutter="0"/>
      <w:pgBorders>
        <w:top w:val="none" w:sz="0" w:space="0"/>
        <w:left w:val="none" w:sz="0" w:space="0"/>
        <w:bottom w:val="none" w:sz="0" w:space="0"/>
        <w:right w:val="none" w:sz="0" w:space="0"/>
      </w:pgBorders>
      <w:pgNumType w:fmt="decimal"/>
      <w:cols w:space="0" w:num="1"/>
      <w:docGrid w:type="lines" w:linePitch="334"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02"/>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Mincho">
    <w:altName w:val="Yu Gothic UI"/>
    <w:panose1 w:val="02020609040000080304"/>
    <w:charset w:val="80"/>
    <w:family w:val="roma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方正仿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000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3000502000000000000"/>
    <w:charset w:val="86"/>
    <w:family w:val="script"/>
    <w:pitch w:val="default"/>
    <w:sig w:usb0="00000000" w:usb1="00000000" w:usb2="00000000" w:usb3="00000000" w:csb0="00040000" w:csb1="00000000"/>
  </w:font>
  <w:font w:name="瀹嬩綋">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Unicode MS">
    <w:altName w:val="宋体"/>
    <w:panose1 w:val="020B0604020202020204"/>
    <w:charset w:val="86"/>
    <w:family w:val="auto"/>
    <w:pitch w:val="default"/>
    <w:sig w:usb0="00000000" w:usb1="00000000" w:usb2="0000003F" w:usb3="00000000" w:csb0="603F01FF" w:csb1="FFFF0000"/>
  </w:font>
  <w:font w:name="宋体.....">
    <w:altName w:val="宋体"/>
    <w:panose1 w:val="00000000000000000000"/>
    <w:charset w:val="86"/>
    <w:family w:val="roman"/>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Segoe UI">
    <w:panose1 w:val="020B0502040204020203"/>
    <w:charset w:val="00"/>
    <w:family w:val="auto"/>
    <w:pitch w:val="default"/>
    <w:sig w:usb0="E4002EFF" w:usb1="C000E47F" w:usb2="00000009" w:usb3="00000000" w:csb0="200001FF" w:csb1="00000000"/>
  </w:font>
  <w:font w:name="KSOFE44F9426">
    <w:panose1 w:val="02010609060101010101"/>
    <w:charset w:val="86"/>
    <w:family w:val="auto"/>
    <w:pitch w:val="default"/>
    <w:sig w:usb0="00000001" w:usb1="00000000" w:usb2="00000000" w:usb3="00000000" w:csb0="00040001" w:csb1="00000000"/>
  </w:font>
  <w:font w:name="KSOFF9CBECC6">
    <w:panose1 w:val="02010609060101010101"/>
    <w:charset w:val="86"/>
    <w:family w:val="auto"/>
    <w:pitch w:val="default"/>
    <w:sig w:usb0="00000001" w:usb1="00000000" w:usb2="00000000" w:usb3="00000000" w:csb0="00040001" w:csb1="00000000"/>
  </w:font>
  <w:font w:name="KSOFD8A28030">
    <w:panose1 w:val="020B0503020204020204"/>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435E9">
    <w:pPr>
      <w:pStyle w:val="3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485A8">
    <w:pPr>
      <w:pStyle w:val="31"/>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4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1F00A95">
                          <w:pPr>
                            <w:pStyle w:val="31"/>
                          </w:pPr>
                          <w:r>
                            <w:fldChar w:fldCharType="begin"/>
                          </w:r>
                          <w:r>
                            <w:instrText xml:space="preserve"> PAGE  \* MERGEFORMAT </w:instrText>
                          </w:r>
                          <w:r>
                            <w:fldChar w:fldCharType="separate"/>
                          </w:r>
                          <w:r>
                            <w:t>I</w:t>
                          </w:r>
                          <w:r>
                            <w:fldChar w:fldCharType="end"/>
                          </w:r>
                        </w:p>
                      </w:txbxContent>
                    </wps:txbx>
                    <wps:bodyPr vert="horz" wrap="none" lIns="0" tIns="0" rIns="0" bIns="0" anchor="t" upright="0">
                      <a:spAutoFit/>
                    </wps:bodyPr>
                  </wps:wsp>
                </a:graphicData>
              </a:graphic>
            </wp:anchor>
          </w:drawing>
        </mc:Choice>
        <mc:Fallback>
          <w:pict>
            <v:rect id="文本框 14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&#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5dblS0AAAAAUBAAAPAAAAAAAAAAEAIAAAACIAAABk&#10;cnMvZG93bnJldi54bWxQSwECFAAUAAAACACHTuJA0jo4mtUBAACgAwAADgAAAAAAAAABACAAAAAf&#10;AQAAZHJzL2Uyb0RvYy54bWxQSwUGAAAAAAYABgBZAQAAZgUAAAAA&#10;">
              <v:fill on="f" focussize="0,0"/>
              <v:stroke on="f"/>
              <v:imagedata o:title=""/>
              <o:lock v:ext="edit" aspectratio="f"/>
              <v:textbox inset="0mm,0mm,0mm,0mm" style="mso-fit-shape-to-text:t;">
                <w:txbxContent>
                  <w:p w14:paraId="71F00A95">
                    <w:pPr>
                      <w:pStyle w:val="31"/>
                    </w:pPr>
                    <w:r>
                      <w:fldChar w:fldCharType="begin"/>
                    </w:r>
                    <w:r>
                      <w:instrText xml:space="preserve"> PAGE  \* MERGEFORMAT </w:instrText>
                    </w:r>
                    <w:r>
                      <w:fldChar w:fldCharType="separate"/>
                    </w:r>
                    <w:r>
                      <w:t>I</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D36EA">
    <w:pPr>
      <w:tabs>
        <w:tab w:val="center" w:pos="4153"/>
        <w:tab w:val="right" w:pos="8306"/>
      </w:tabs>
    </w:pPr>
    <w:r>
      <w:rPr>
        <w:sz w:val="24"/>
      </w:rPr>
      <mc:AlternateContent>
        <mc:Choice Requires="wps">
          <w:drawing>
            <wp:anchor distT="0" distB="0" distL="0" distR="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98" name="文本框 15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A2E90C2">
                          <w:pPr>
                            <w:pStyle w:val="31"/>
                          </w:pPr>
                          <w:r>
                            <w:t xml:space="preserve">— </w:t>
                          </w:r>
                          <w:r>
                            <w:fldChar w:fldCharType="begin"/>
                          </w:r>
                          <w:r>
                            <w:instrText xml:space="preserve"> PAGE  \* MERGEFORMAT </w:instrText>
                          </w:r>
                          <w:r>
                            <w:fldChar w:fldCharType="separate"/>
                          </w:r>
                          <w:r>
                            <w:t>III</w:t>
                          </w:r>
                          <w:r>
                            <w:fldChar w:fldCharType="end"/>
                          </w:r>
                          <w:r>
                            <w:t xml:space="preserve"> —</w:t>
                          </w:r>
                        </w:p>
                      </w:txbxContent>
                    </wps:txbx>
                    <wps:bodyPr vert="horz" wrap="none" lIns="0" tIns="0" rIns="0" bIns="0" anchor="t" upright="0">
                      <a:spAutoFit/>
                    </wps:bodyPr>
                  </wps:wsp>
                </a:graphicData>
              </a:graphic>
            </wp:anchor>
          </w:drawing>
        </mc:Choice>
        <mc:Fallback>
          <w:pict>
            <v:rect id="文本框 152" o:spid="_x0000_s1026" o:spt="1"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AOVS/7TAQAAoAMAAA4AAAAAAAAAAQAgAAAAHwEA&#10;AGRycy9lMm9Eb2MueG1sUEsFBgAAAAAGAAYAWQEAAGQFAAAAAA==&#10;">
              <v:fill on="f" focussize="0,0"/>
              <v:stroke on="f"/>
              <v:imagedata o:title=""/>
              <o:lock v:ext="edit" aspectratio="f"/>
              <v:textbox inset="0mm,0mm,0mm,0mm" style="mso-fit-shape-to-text:t;">
                <w:txbxContent>
                  <w:p w14:paraId="1A2E90C2">
                    <w:pPr>
                      <w:pStyle w:val="31"/>
                    </w:pPr>
                    <w:r>
                      <w:t xml:space="preserve">— </w:t>
                    </w:r>
                    <w:r>
                      <w:fldChar w:fldCharType="begin"/>
                    </w:r>
                    <w:r>
                      <w:instrText xml:space="preserve"> PAGE  \* MERGEFORMAT </w:instrText>
                    </w:r>
                    <w:r>
                      <w:fldChar w:fldCharType="separate"/>
                    </w:r>
                    <w:r>
                      <w:t>III</w:t>
                    </w:r>
                    <w:r>
                      <w:fldChar w:fldCharType="end"/>
                    </w:r>
                    <w:r>
                      <w:t xml:space="preserve"> —</w:t>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0A0F3">
    <w:pPr>
      <w:pStyle w:val="21"/>
      <w:spacing w:line="14" w:lineRule="auto"/>
      <w:ind w:firstLine="40"/>
      <w:rPr>
        <w:sz w:val="2"/>
      </w:rPr>
    </w:pPr>
    <w:r>
      <w:rPr>
        <w:sz w:val="2"/>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15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EBA0B83">
                          <w:pPr>
                            <w:pStyle w:val="31"/>
                          </w:pPr>
                          <w:r>
                            <w:fldChar w:fldCharType="begin"/>
                          </w:r>
                          <w:r>
                            <w:instrText xml:space="preserve"> PAGE  \* MERGEFORMAT </w:instrText>
                          </w:r>
                          <w:r>
                            <w:fldChar w:fldCharType="separate"/>
                          </w:r>
                          <w:r>
                            <w:t>XXVI</w:t>
                          </w:r>
                          <w:r>
                            <w:fldChar w:fldCharType="end"/>
                          </w:r>
                        </w:p>
                      </w:txbxContent>
                    </wps:txbx>
                    <wps:bodyPr vert="horz" wrap="none" lIns="0" tIns="0" rIns="0" bIns="0" anchor="t" upright="0">
                      <a:spAutoFit/>
                    </wps:bodyPr>
                  </wps:wsp>
                </a:graphicData>
              </a:graphic>
            </wp:anchor>
          </w:drawing>
        </mc:Choice>
        <mc:Fallback>
          <w:pict>
            <v:rect id="文本框 15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&#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5dblS0AAAAAUBAAAPAAAAAAAAAAEAIAAAACIAAABk&#10;cnMvZG93bnJldi54bWxQSwECFAAUAAAACACHTuJASqVLk9UBAACgAwAADgAAAAAAAAABACAAAAAf&#10;AQAAZHJzL2Uyb0RvYy54bWxQSwUGAAAAAAYABgBZAQAAZgUAAAAA&#10;">
              <v:fill on="f" focussize="0,0"/>
              <v:stroke on="f"/>
              <v:imagedata o:title=""/>
              <o:lock v:ext="edit" aspectratio="f"/>
              <v:textbox inset="0mm,0mm,0mm,0mm" style="mso-fit-shape-to-text:t;">
                <w:txbxContent>
                  <w:p w14:paraId="3EBA0B83">
                    <w:pPr>
                      <w:pStyle w:val="31"/>
                    </w:pPr>
                    <w:r>
                      <w:fldChar w:fldCharType="begin"/>
                    </w:r>
                    <w:r>
                      <w:instrText xml:space="preserve"> PAGE  \* MERGEFORMAT </w:instrText>
                    </w:r>
                    <w:r>
                      <w:fldChar w:fldCharType="separate"/>
                    </w:r>
                    <w:r>
                      <w:t>XXVI</w:t>
                    </w:r>
                    <w: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47FF6">
    <w:pPr>
      <w:pStyle w:val="21"/>
      <w:spacing w:line="14" w:lineRule="auto"/>
      <w:ind w:firstLine="40"/>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space"/>
      <w:lvlText w:val="表2-%1"/>
      <w:lvlJc w:val="center"/>
      <w:pPr>
        <w:tabs>
          <w:tab w:val="left" w:pos="0"/>
        </w:tabs>
        <w:ind w:left="0" w:firstLine="40"/>
      </w:pPr>
      <w:rPr>
        <w:rFonts w:hint="default" w:ascii="Times New Roman" w:hAnsi="Times New Roman" w:cs="Arial Unicode MS"/>
        <w:b/>
        <w:color w:val="000000"/>
        <w:sz w:val="21"/>
        <w:szCs w:val="21"/>
      </w:rPr>
    </w:lvl>
  </w:abstractNum>
  <w:abstractNum w:abstractNumId="1">
    <w:nsid w:val="00000001"/>
    <w:multiLevelType w:val="singleLevel"/>
    <w:tmpl w:val="00000001"/>
    <w:lvl w:ilvl="0" w:tentative="0">
      <w:start w:val="1"/>
      <w:numFmt w:val="decimal"/>
      <w:pStyle w:val="123"/>
      <w:suff w:val="space"/>
      <w:lvlText w:val="表2-%1"/>
      <w:lvlJc w:val="center"/>
      <w:pPr>
        <w:tabs>
          <w:tab w:val="left" w:pos="0"/>
        </w:tabs>
        <w:ind w:left="0" w:firstLine="0"/>
      </w:pPr>
      <w:rPr>
        <w:rFonts w:hint="default" w:ascii="Times New Roman" w:hAnsi="Times New Roman"/>
        <w:b/>
        <w:bCs/>
        <w:snapToGrid w:val="0"/>
        <w:color w:val="000000"/>
        <w:sz w:val="21"/>
        <w:szCs w:val="21"/>
      </w:rPr>
    </w:lvl>
  </w:abstractNum>
  <w:abstractNum w:abstractNumId="2">
    <w:nsid w:val="00000002"/>
    <w:multiLevelType w:val="singleLevel"/>
    <w:tmpl w:val="00000002"/>
    <w:lvl w:ilvl="0" w:tentative="0">
      <w:start w:val="1"/>
      <w:numFmt w:val="bullet"/>
      <w:pStyle w:val="23"/>
      <w:lvlText w:val=""/>
      <w:lvlJc w:val="left"/>
      <w:pPr>
        <w:tabs>
          <w:tab w:val="left" w:pos="780"/>
        </w:tabs>
        <w:ind w:left="840" w:hanging="360"/>
      </w:pPr>
      <w:rPr>
        <w:rFonts w:hint="default" w:ascii="Wingdings" w:hAnsi="Wingdings"/>
      </w:rPr>
    </w:lvl>
  </w:abstractNum>
  <w:abstractNum w:abstractNumId="3">
    <w:nsid w:val="00000003"/>
    <w:multiLevelType w:val="multilevel"/>
    <w:tmpl w:val="00000003"/>
    <w:lvl w:ilvl="0" w:tentative="0">
      <w:start w:val="1"/>
      <w:numFmt w:val="decimal"/>
      <w:suff w:val="nothing"/>
      <w:lvlText w:val="（%1）"/>
      <w:lvlJc w:val="left"/>
      <w:pPr>
        <w:tabs>
          <w:tab w:val="left" w:pos="0"/>
        </w:tabs>
        <w:ind w:left="0" w:firstLine="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00000004"/>
    <w:multiLevelType w:val="singleLevel"/>
    <w:tmpl w:val="00000004"/>
    <w:lvl w:ilvl="0" w:tentative="0">
      <w:start w:val="1"/>
      <w:numFmt w:val="bullet"/>
      <w:pStyle w:val="28"/>
      <w:lvlText w:val=""/>
      <w:lvlJc w:val="left"/>
      <w:pPr>
        <w:tabs>
          <w:tab w:val="left" w:pos="2040"/>
        </w:tabs>
        <w:ind w:left="2040" w:hanging="360"/>
      </w:pPr>
      <w:rPr>
        <w:rFonts w:hint="default" w:ascii="Wingdings" w:hAnsi="Wingdings"/>
      </w:rPr>
    </w:lvl>
  </w:abstractNum>
  <w:abstractNum w:abstractNumId="5">
    <w:nsid w:val="00000005"/>
    <w:multiLevelType w:val="singleLevel"/>
    <w:tmpl w:val="00000005"/>
    <w:lvl w:ilvl="0" w:tentative="0">
      <w:start w:val="1"/>
      <w:numFmt w:val="decimal"/>
      <w:lvlText w:val="%1."/>
      <w:lvlJc w:val="left"/>
      <w:pPr>
        <w:ind w:left="425" w:hanging="425"/>
      </w:pPr>
      <w:rPr>
        <w:rFonts w:hint="default"/>
      </w:rPr>
    </w:lvl>
  </w:abstractNum>
  <w:abstractNum w:abstractNumId="6">
    <w:nsid w:val="00000008"/>
    <w:multiLevelType w:val="multilevel"/>
    <w:tmpl w:val="00000008"/>
    <w:lvl w:ilvl="0" w:tentative="0">
      <w:start w:val="1"/>
      <w:numFmt w:val="decimal"/>
      <w:lvlText w:val="%1"/>
      <w:lvlJc w:val="left"/>
      <w:pPr>
        <w:ind w:left="432" w:hanging="432"/>
      </w:pPr>
      <w:rPr>
        <w:rFonts w:hint="eastAsia"/>
      </w:rPr>
    </w:lvl>
    <w:lvl w:ilvl="1" w:tentative="0">
      <w:start w:val="1"/>
      <w:numFmt w:val="none"/>
      <w:pStyle w:val="8"/>
      <w:suff w:val="nothing"/>
      <w:lvlText w:val=""/>
      <w:lvlJc w:val="left"/>
      <w:pPr>
        <w:tabs>
          <w:tab w:val="left" w:pos="0"/>
        </w:tabs>
        <w:ind w:left="0" w:firstLine="0"/>
      </w:pPr>
      <w:rPr>
        <w:rFonts w:hint="eastAsia" w:ascii="宋体" w:hAnsi="宋体" w:eastAsia="宋体" w:cs="宋体"/>
      </w:rPr>
    </w:lvl>
    <w:lvl w:ilvl="2" w:tentative="0">
      <w:start w:val="1"/>
      <w:numFmt w:val="chineseCounting"/>
      <w:pStyle w:val="9"/>
      <w:suff w:val="nothing"/>
      <w:lvlText w:val="%3、"/>
      <w:lvlJc w:val="left"/>
      <w:pPr>
        <w:tabs>
          <w:tab w:val="left" w:pos="0"/>
        </w:tabs>
        <w:ind w:left="-2" w:firstLine="0"/>
      </w:pPr>
      <w:rPr>
        <w:rFonts w:hint="eastAsia" w:ascii="宋体" w:hAnsi="宋体" w:eastAsia="宋体" w:cs="宋体"/>
        <w:b/>
        <w:bCs/>
        <w:sz w:val="24"/>
        <w:szCs w:val="24"/>
      </w:rPr>
    </w:lvl>
    <w:lvl w:ilvl="3" w:tentative="0">
      <w:start w:val="1"/>
      <w:numFmt w:val="decimal"/>
      <w:pStyle w:val="10"/>
      <w:suff w:val="nothing"/>
      <w:lvlText w:val="%4、"/>
      <w:lvlJc w:val="left"/>
      <w:pPr>
        <w:tabs>
          <w:tab w:val="left" w:pos="0"/>
        </w:tabs>
        <w:ind w:left="-96" w:hanging="864"/>
      </w:pPr>
      <w:rPr>
        <w:rFonts w:hint="eastAsia" w:ascii="Times New Roman" w:hAnsi="Times New Roman" w:eastAsia="宋体" w:cs="宋体"/>
        <w:b/>
        <w:bCs/>
        <w:sz w:val="24"/>
        <w:szCs w:val="24"/>
      </w:rPr>
    </w:lvl>
    <w:lvl w:ilvl="4" w:tentative="0">
      <w:start w:val="1"/>
      <w:numFmt w:val="decimal"/>
      <w:pStyle w:val="11"/>
      <w:suff w:val="nothing"/>
      <w:lvlText w:val="（%5）"/>
      <w:lvlJc w:val="left"/>
      <w:pPr>
        <w:tabs>
          <w:tab w:val="left" w:pos="0"/>
        </w:tabs>
        <w:ind w:left="-960" w:firstLine="0"/>
      </w:pPr>
      <w:rPr>
        <w:rFonts w:hint="eastAsia" w:ascii="Times New Roman" w:hAnsi="Times New Roman" w:eastAsia="宋体" w:cs="宋体"/>
      </w:rPr>
    </w:lvl>
    <w:lvl w:ilvl="5" w:tentative="0">
      <w:start w:val="1"/>
      <w:numFmt w:val="decimalEnclosedCircleChinese"/>
      <w:pStyle w:val="12"/>
      <w:suff w:val="nothing"/>
      <w:lvlText w:val="%6"/>
      <w:lvlJc w:val="left"/>
      <w:pPr>
        <w:tabs>
          <w:tab w:val="left" w:pos="0"/>
        </w:tabs>
        <w:ind w:left="0" w:firstLine="0"/>
      </w:pPr>
      <w:rPr>
        <w:rFonts w:hint="eastAsia" w:ascii="宋体" w:hAnsi="宋体" w:eastAsia="宋体" w:cs="宋体"/>
        <w:sz w:val="21"/>
        <w:szCs w:val="21"/>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7">
    <w:nsid w:val="00000009"/>
    <w:multiLevelType w:val="multilevel"/>
    <w:tmpl w:val="00000009"/>
    <w:lvl w:ilvl="0" w:tentative="0">
      <w:start w:val="1"/>
      <w:numFmt w:val="decimal"/>
      <w:suff w:val="nothing"/>
      <w:lvlText w:val="（%1）"/>
      <w:lvlJc w:val="left"/>
      <w:pPr>
        <w:tabs>
          <w:tab w:val="left" w:pos="0"/>
        </w:tabs>
        <w:ind w:left="0" w:firstLine="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0000000A"/>
    <w:multiLevelType w:val="singleLevel"/>
    <w:tmpl w:val="0000000A"/>
    <w:lvl w:ilvl="0" w:tentative="0">
      <w:start w:val="1"/>
      <w:numFmt w:val="chineseCounting"/>
      <w:pStyle w:val="7"/>
      <w:suff w:val="nothing"/>
      <w:lvlText w:val="%1、"/>
      <w:lvlJc w:val="left"/>
      <w:pPr>
        <w:tabs>
          <w:tab w:val="left" w:pos="0"/>
        </w:tabs>
        <w:ind w:left="0" w:firstLine="0"/>
      </w:pPr>
      <w:rPr>
        <w:rFonts w:hint="eastAsia" w:ascii="黑体" w:hAnsi="黑体" w:eastAsia="黑体" w:cs="黑体"/>
        <w:sz w:val="30"/>
        <w:szCs w:val="30"/>
      </w:rPr>
    </w:lvl>
  </w:abstractNum>
  <w:abstractNum w:abstractNumId="9">
    <w:nsid w:val="0000000B"/>
    <w:multiLevelType w:val="singleLevel"/>
    <w:tmpl w:val="0000000B"/>
    <w:lvl w:ilvl="0" w:tentative="0">
      <w:start w:val="1"/>
      <w:numFmt w:val="chineseCounting"/>
      <w:pStyle w:val="105"/>
      <w:suff w:val="nothing"/>
      <w:lvlText w:val="（%1）"/>
      <w:lvlJc w:val="left"/>
      <w:pPr>
        <w:ind w:left="0" w:firstLine="420"/>
      </w:pPr>
      <w:rPr>
        <w:rFonts w:hint="eastAsia"/>
      </w:rPr>
    </w:lvl>
  </w:abstractNum>
  <w:abstractNum w:abstractNumId="10">
    <w:nsid w:val="0000000C"/>
    <w:multiLevelType w:val="singleLevel"/>
    <w:tmpl w:val="0000000C"/>
    <w:lvl w:ilvl="0" w:tentative="0">
      <w:start w:val="1"/>
      <w:numFmt w:val="decimal"/>
      <w:suff w:val="space"/>
      <w:lvlText w:val="表3-%1"/>
      <w:lvlJc w:val="center"/>
      <w:pPr>
        <w:tabs>
          <w:tab w:val="left" w:pos="0"/>
        </w:tabs>
        <w:ind w:left="0" w:firstLine="40"/>
      </w:pPr>
      <w:rPr>
        <w:rFonts w:hint="default" w:ascii="Times New Roman" w:hAnsi="Times New Roman" w:cs="Times New Roman"/>
        <w:b/>
        <w:color w:val="000000"/>
        <w:sz w:val="21"/>
        <w:szCs w:val="21"/>
      </w:rPr>
    </w:lvl>
  </w:abstractNum>
  <w:abstractNum w:abstractNumId="11">
    <w:nsid w:val="0000000D"/>
    <w:multiLevelType w:val="singleLevel"/>
    <w:tmpl w:val="0000000D"/>
    <w:lvl w:ilvl="0" w:tentative="0">
      <w:start w:val="1"/>
      <w:numFmt w:val="decimal"/>
      <w:suff w:val="space"/>
      <w:lvlText w:val="表4-%1"/>
      <w:lvlJc w:val="center"/>
      <w:pPr>
        <w:tabs>
          <w:tab w:val="left" w:pos="0"/>
        </w:tabs>
        <w:ind w:left="0" w:hanging="1"/>
      </w:pPr>
      <w:rPr>
        <w:rFonts w:hint="default" w:ascii="Times New Roman" w:hAnsi="Times New Roman" w:cs="Times New Roman"/>
        <w:b/>
        <w:color w:val="000000"/>
        <w:sz w:val="21"/>
        <w:szCs w:val="21"/>
      </w:rPr>
    </w:lvl>
  </w:abstractNum>
  <w:abstractNum w:abstractNumId="12">
    <w:nsid w:val="0000000E"/>
    <w:multiLevelType w:val="singleLevel"/>
    <w:tmpl w:val="0000000E"/>
    <w:lvl w:ilvl="0" w:tentative="0">
      <w:start w:val="1"/>
      <w:numFmt w:val="decimal"/>
      <w:pStyle w:val="130"/>
      <w:suff w:val="space"/>
      <w:lvlText w:val="表1-%1"/>
      <w:lvlJc w:val="center"/>
      <w:pPr>
        <w:tabs>
          <w:tab w:val="left" w:pos="0"/>
        </w:tabs>
        <w:ind w:left="0" w:firstLine="0"/>
      </w:pPr>
      <w:rPr>
        <w:rFonts w:hint="default" w:ascii="Times New Roman" w:hAnsi="Times New Roman"/>
        <w:b/>
        <w:bCs/>
        <w:sz w:val="21"/>
        <w:szCs w:val="21"/>
      </w:rPr>
    </w:lvl>
  </w:abstractNum>
  <w:num w:numId="1">
    <w:abstractNumId w:val="8"/>
  </w:num>
  <w:num w:numId="2">
    <w:abstractNumId w:val="6"/>
  </w:num>
  <w:num w:numId="3">
    <w:abstractNumId w:val="2"/>
  </w:num>
  <w:num w:numId="4">
    <w:abstractNumId w:val="4"/>
  </w:num>
  <w:num w:numId="5">
    <w:abstractNumId w:val="9"/>
  </w:num>
  <w:num w:numId="6">
    <w:abstractNumId w:val="1"/>
  </w:num>
  <w:num w:numId="7">
    <w:abstractNumId w:val="12"/>
  </w:num>
  <w:num w:numId="8">
    <w:abstractNumId w:val="0"/>
  </w:num>
  <w:num w:numId="9">
    <w:abstractNumId w:val="10"/>
  </w:num>
  <w:num w:numId="10">
    <w:abstractNumId w:val="11"/>
  </w:num>
  <w:num w:numId="11">
    <w:abstractNumId w:val="5"/>
  </w:num>
  <w:num w:numId="12">
    <w:abstractNumId w:val="3"/>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67"/>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875D7"/>
    <w:rsid w:val="018D2186"/>
    <w:rsid w:val="04500707"/>
    <w:rsid w:val="04620A44"/>
    <w:rsid w:val="0471630E"/>
    <w:rsid w:val="06641E8F"/>
    <w:rsid w:val="0A6058C3"/>
    <w:rsid w:val="0B61144B"/>
    <w:rsid w:val="0BBE5456"/>
    <w:rsid w:val="0BD126BC"/>
    <w:rsid w:val="0FDA3526"/>
    <w:rsid w:val="11B82576"/>
    <w:rsid w:val="1294405E"/>
    <w:rsid w:val="12D70B99"/>
    <w:rsid w:val="177D6319"/>
    <w:rsid w:val="1FC5097D"/>
    <w:rsid w:val="2094723F"/>
    <w:rsid w:val="227E06DD"/>
    <w:rsid w:val="255F47F5"/>
    <w:rsid w:val="271217FF"/>
    <w:rsid w:val="280538EF"/>
    <w:rsid w:val="280B46DF"/>
    <w:rsid w:val="294139F5"/>
    <w:rsid w:val="2994108D"/>
    <w:rsid w:val="29F26D45"/>
    <w:rsid w:val="2CBC53C8"/>
    <w:rsid w:val="2CDC4806"/>
    <w:rsid w:val="2CF86E2B"/>
    <w:rsid w:val="2D893754"/>
    <w:rsid w:val="33C83D36"/>
    <w:rsid w:val="37180CA8"/>
    <w:rsid w:val="39616936"/>
    <w:rsid w:val="3C3F2281"/>
    <w:rsid w:val="3DE67131"/>
    <w:rsid w:val="41801AFE"/>
    <w:rsid w:val="428E22BD"/>
    <w:rsid w:val="43026A24"/>
    <w:rsid w:val="43C9428F"/>
    <w:rsid w:val="44213949"/>
    <w:rsid w:val="446462A7"/>
    <w:rsid w:val="446A4E7E"/>
    <w:rsid w:val="45480111"/>
    <w:rsid w:val="47EA029E"/>
    <w:rsid w:val="48864BE0"/>
    <w:rsid w:val="48987E4D"/>
    <w:rsid w:val="49E74045"/>
    <w:rsid w:val="52047780"/>
    <w:rsid w:val="52BA7868"/>
    <w:rsid w:val="543A6DC2"/>
    <w:rsid w:val="54B702A9"/>
    <w:rsid w:val="576158FB"/>
    <w:rsid w:val="57D518DC"/>
    <w:rsid w:val="58C22127"/>
    <w:rsid w:val="59CC048A"/>
    <w:rsid w:val="5A8D5BAC"/>
    <w:rsid w:val="5AFD6433"/>
    <w:rsid w:val="5B0D2C45"/>
    <w:rsid w:val="5C877C61"/>
    <w:rsid w:val="5CF33FF3"/>
    <w:rsid w:val="5DEA0F93"/>
    <w:rsid w:val="5FC75EF8"/>
    <w:rsid w:val="618F39D6"/>
    <w:rsid w:val="632D4065"/>
    <w:rsid w:val="6331710E"/>
    <w:rsid w:val="638C72E7"/>
    <w:rsid w:val="63DC3D45"/>
    <w:rsid w:val="699B4C9D"/>
    <w:rsid w:val="6B7D33FE"/>
    <w:rsid w:val="6BA970A2"/>
    <w:rsid w:val="70AC5DF4"/>
    <w:rsid w:val="71E76BC5"/>
    <w:rsid w:val="743E5E98"/>
    <w:rsid w:val="75C55C0F"/>
    <w:rsid w:val="78E67687"/>
    <w:rsid w:val="791A326A"/>
    <w:rsid w:val="7AC0247D"/>
    <w:rsid w:val="7B763291"/>
    <w:rsid w:val="7EA5226E"/>
    <w:rsid w:val="7F013C28"/>
    <w:rsid w:val="7FC061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99"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7">
    <w:name w:val="heading 1"/>
    <w:basedOn w:val="1"/>
    <w:next w:val="1"/>
    <w:qFormat/>
    <w:uiPriority w:val="0"/>
    <w:pPr>
      <w:keepNext/>
      <w:keepLines/>
      <w:numPr>
        <w:ilvl w:val="0"/>
        <w:numId w:val="1"/>
      </w:numPr>
      <w:jc w:val="center"/>
      <w:outlineLvl w:val="0"/>
    </w:pPr>
    <w:rPr>
      <w:rFonts w:eastAsia="黑体" w:cs="宋体"/>
      <w:color w:val="000000"/>
      <w:kern w:val="44"/>
      <w:sz w:val="30"/>
      <w:szCs w:val="30"/>
    </w:rPr>
  </w:style>
  <w:style w:type="paragraph" w:styleId="8">
    <w:name w:val="heading 2"/>
    <w:basedOn w:val="1"/>
    <w:next w:val="1"/>
    <w:qFormat/>
    <w:uiPriority w:val="0"/>
    <w:pPr>
      <w:keepNext/>
      <w:numPr>
        <w:ilvl w:val="1"/>
        <w:numId w:val="2"/>
      </w:numPr>
      <w:tabs>
        <w:tab w:val="clear" w:pos="0"/>
      </w:tabs>
      <w:jc w:val="center"/>
      <w:outlineLvl w:val="1"/>
    </w:pPr>
    <w:rPr>
      <w:rFonts w:ascii="Times New Roman" w:hAnsi="Times New Roman" w:eastAsia="宋体" w:cs="Times New Roman"/>
      <w:color w:val="000000"/>
      <w:sz w:val="24"/>
      <w:szCs w:val="24"/>
      <w:lang w:val="en-US" w:eastAsia="zh-CN" w:bidi="ar-SA"/>
    </w:rPr>
  </w:style>
  <w:style w:type="paragraph" w:styleId="9">
    <w:name w:val="heading 3"/>
    <w:basedOn w:val="1"/>
    <w:next w:val="1"/>
    <w:qFormat/>
    <w:uiPriority w:val="0"/>
    <w:pPr>
      <w:keepNext/>
      <w:keepLines/>
      <w:numPr>
        <w:ilvl w:val="2"/>
        <w:numId w:val="2"/>
      </w:numPr>
      <w:tabs>
        <w:tab w:val="clear" w:pos="0"/>
      </w:tabs>
      <w:ind w:firstLine="1440" w:firstLineChars="200"/>
      <w:outlineLvl w:val="2"/>
    </w:pPr>
    <w:rPr>
      <w:b/>
      <w:bCs/>
      <w:color w:val="000000"/>
    </w:rPr>
  </w:style>
  <w:style w:type="paragraph" w:styleId="10">
    <w:name w:val="heading 4"/>
    <w:basedOn w:val="1"/>
    <w:next w:val="1"/>
    <w:qFormat/>
    <w:uiPriority w:val="0"/>
    <w:pPr>
      <w:keepNext/>
      <w:keepLines/>
      <w:numPr>
        <w:ilvl w:val="3"/>
        <w:numId w:val="2"/>
      </w:numPr>
      <w:tabs>
        <w:tab w:val="clear" w:pos="0"/>
      </w:tabs>
      <w:ind w:left="0" w:firstLine="1440" w:firstLineChars="200"/>
      <w:outlineLvl w:val="3"/>
    </w:pPr>
    <w:rPr>
      <w:b/>
      <w:bCs/>
      <w:color w:val="000000"/>
      <w:szCs w:val="28"/>
    </w:rPr>
  </w:style>
  <w:style w:type="paragraph" w:styleId="11">
    <w:name w:val="heading 5"/>
    <w:next w:val="1"/>
    <w:qFormat/>
    <w:uiPriority w:val="0"/>
    <w:pPr>
      <w:keepNext/>
      <w:keepLines/>
      <w:numPr>
        <w:ilvl w:val="4"/>
        <w:numId w:val="2"/>
      </w:numPr>
      <w:spacing w:line="360" w:lineRule="auto"/>
      <w:ind w:firstLine="1440" w:firstLineChars="200"/>
      <w:outlineLvl w:val="4"/>
    </w:pPr>
    <w:rPr>
      <w:rFonts w:ascii="Times New Roman" w:hAnsi="Times New Roman" w:eastAsia="宋体" w:cs="Times New Roman"/>
      <w:b/>
      <w:bCs/>
      <w:sz w:val="24"/>
      <w:szCs w:val="24"/>
      <w:lang w:val="en-US" w:eastAsia="zh-CN" w:bidi="ar-SA"/>
    </w:rPr>
  </w:style>
  <w:style w:type="paragraph" w:styleId="12">
    <w:name w:val="heading 6"/>
    <w:basedOn w:val="1"/>
    <w:next w:val="1"/>
    <w:qFormat/>
    <w:uiPriority w:val="0"/>
    <w:pPr>
      <w:keepNext/>
      <w:keepLines/>
      <w:numPr>
        <w:ilvl w:val="5"/>
        <w:numId w:val="2"/>
      </w:numPr>
      <w:ind w:firstLine="1440" w:firstLineChars="200"/>
      <w:outlineLvl w:val="5"/>
    </w:pPr>
    <w:rPr>
      <w:szCs w:val="21"/>
    </w:rPr>
  </w:style>
  <w:style w:type="character" w:default="1" w:styleId="45">
    <w:name w:val="Default Paragraph Font"/>
    <w:qFormat/>
    <w:uiPriority w:val="1"/>
  </w:style>
  <w:style w:type="table" w:default="1" w:styleId="43">
    <w:name w:val="Normal Table"/>
    <w:qFormat/>
    <w:uiPriority w:val="99"/>
    <w:tblPr>
      <w:tblCellMar>
        <w:top w:w="0" w:type="dxa"/>
        <w:left w:w="108" w:type="dxa"/>
        <w:bottom w:w="0" w:type="dxa"/>
        <w:right w:w="108" w:type="dxa"/>
      </w:tblCellMar>
    </w:tblPr>
  </w:style>
  <w:style w:type="paragraph" w:customStyle="1" w:styleId="2">
    <w:name w:val="Default"/>
    <w:basedOn w:val="3"/>
    <w:next w:val="4"/>
    <w:qFormat/>
    <w:uiPriority w:val="0"/>
    <w:pPr>
      <w:autoSpaceDE w:val="0"/>
      <w:autoSpaceDN w:val="0"/>
    </w:pPr>
    <w:rPr>
      <w:rFonts w:hAnsi="Times New Roman" w:cs="宋体"/>
      <w:color w:val="000000"/>
    </w:rPr>
  </w:style>
  <w:style w:type="paragraph" w:customStyle="1" w:styleId="3">
    <w:name w:val="纯文本1"/>
    <w:basedOn w:val="1"/>
    <w:qFormat/>
    <w:uiPriority w:val="0"/>
    <w:pPr>
      <w:adjustRightInd w:val="0"/>
    </w:pPr>
    <w:rPr>
      <w:rFonts w:ascii="宋体" w:hAnsi="Courier New"/>
    </w:rPr>
  </w:style>
  <w:style w:type="paragraph" w:customStyle="1" w:styleId="4">
    <w:name w:val="正文文字 6"/>
    <w:basedOn w:val="5"/>
    <w:next w:val="1"/>
    <w:qFormat/>
    <w:uiPriority w:val="0"/>
    <w:pPr>
      <w:widowControl w:val="0"/>
      <w:ind w:left="240"/>
      <w:jc w:val="both"/>
    </w:pPr>
    <w:rPr>
      <w:rFonts w:ascii="宋体"/>
      <w:b/>
      <w:bCs/>
      <w:sz w:val="32"/>
      <w:szCs w:val="32"/>
    </w:rPr>
  </w:style>
  <w:style w:type="paragraph" w:customStyle="1" w:styleId="5">
    <w:name w:val="图位置"/>
    <w:next w:val="6"/>
    <w:qFormat/>
    <w:uiPriority w:val="0"/>
    <w:pPr>
      <w:jc w:val="center"/>
    </w:pPr>
    <w:rPr>
      <w:rFonts w:ascii="Times New Roman" w:hAnsi="Times New Roman" w:eastAsia="宋体" w:cs="Times New Roman"/>
      <w:kern w:val="2"/>
      <w:sz w:val="24"/>
      <w:szCs w:val="21"/>
      <w:lang w:val="en-US" w:eastAsia="zh-CN" w:bidi="ar-SA"/>
    </w:rPr>
  </w:style>
  <w:style w:type="paragraph" w:customStyle="1" w:styleId="6">
    <w:name w:val="图题"/>
    <w:basedOn w:val="1"/>
    <w:next w:val="1"/>
    <w:qFormat/>
    <w:uiPriority w:val="0"/>
    <w:pPr>
      <w:jc w:val="center"/>
    </w:pPr>
    <w:rPr>
      <w:rFonts w:ascii="宋体" w:hAnsi="宋体" w:eastAsia="黑体"/>
      <w:b/>
    </w:rPr>
  </w:style>
  <w:style w:type="paragraph" w:styleId="13">
    <w:name w:val="List 3"/>
    <w:basedOn w:val="1"/>
    <w:next w:val="1"/>
    <w:qFormat/>
    <w:uiPriority w:val="0"/>
    <w:pPr>
      <w:autoSpaceDE w:val="0"/>
      <w:autoSpaceDN w:val="0"/>
      <w:adjustRightInd w:val="0"/>
      <w:spacing w:line="288" w:lineRule="auto"/>
      <w:ind w:left="1260" w:hanging="420"/>
      <w:jc w:val="left"/>
      <w:textAlignment w:val="baseline"/>
    </w:pPr>
    <w:rPr>
      <w:kern w:val="0"/>
      <w:szCs w:val="20"/>
    </w:rPr>
  </w:style>
  <w:style w:type="paragraph" w:styleId="14">
    <w:name w:val="E-mail Signature"/>
    <w:basedOn w:val="1"/>
    <w:next w:val="15"/>
    <w:qFormat/>
    <w:uiPriority w:val="0"/>
    <w:pPr>
      <w:spacing w:line="460" w:lineRule="exact"/>
      <w:ind w:firstLine="200"/>
    </w:pPr>
  </w:style>
  <w:style w:type="paragraph" w:customStyle="1" w:styleId="15">
    <w:name w:val="文章"/>
    <w:basedOn w:val="16"/>
    <w:next w:val="18"/>
    <w:qFormat/>
    <w:uiPriority w:val="0"/>
    <w:pPr>
      <w:widowControl/>
      <w:ind w:firstLine="480"/>
      <w:jc w:val="center"/>
    </w:pPr>
    <w:rPr>
      <w:sz w:val="26"/>
    </w:rPr>
  </w:style>
  <w:style w:type="paragraph" w:styleId="16">
    <w:name w:val="Body Text Indent"/>
    <w:basedOn w:val="1"/>
    <w:next w:val="17"/>
    <w:qFormat/>
    <w:uiPriority w:val="0"/>
    <w:pPr>
      <w:adjustRightInd w:val="0"/>
      <w:spacing w:after="120"/>
      <w:ind w:left="420" w:leftChars="200"/>
      <w:textAlignment w:val="baseline"/>
    </w:pPr>
    <w:rPr>
      <w:sz w:val="21"/>
      <w:szCs w:val="21"/>
    </w:rPr>
  </w:style>
  <w:style w:type="paragraph" w:styleId="17">
    <w:name w:val="caption"/>
    <w:basedOn w:val="1"/>
    <w:next w:val="1"/>
    <w:link w:val="62"/>
    <w:qFormat/>
    <w:uiPriority w:val="0"/>
    <w:pPr>
      <w:jc w:val="center"/>
    </w:pPr>
    <w:rPr>
      <w:b/>
      <w:bCs/>
      <w:color w:val="000000"/>
      <w:sz w:val="21"/>
      <w:szCs w:val="21"/>
    </w:rPr>
  </w:style>
  <w:style w:type="paragraph" w:styleId="18">
    <w:name w:val="List"/>
    <w:basedOn w:val="1"/>
    <w:next w:val="1"/>
    <w:qFormat/>
    <w:uiPriority w:val="0"/>
    <w:pPr>
      <w:ind w:left="200" w:hanging="200" w:hangingChars="200"/>
      <w:contextualSpacing/>
    </w:pPr>
  </w:style>
  <w:style w:type="paragraph" w:styleId="19">
    <w:name w:val="Normal Indent"/>
    <w:basedOn w:val="1"/>
    <w:next w:val="10"/>
    <w:qFormat/>
    <w:uiPriority w:val="0"/>
    <w:pPr>
      <w:ind w:firstLine="200" w:firstLineChars="200"/>
    </w:pPr>
    <w:rPr>
      <w:sz w:val="21"/>
    </w:rPr>
  </w:style>
  <w:style w:type="paragraph" w:styleId="20">
    <w:name w:val="annotation text"/>
    <w:basedOn w:val="1"/>
    <w:link w:val="87"/>
    <w:qFormat/>
    <w:uiPriority w:val="0"/>
    <w:pPr>
      <w:jc w:val="left"/>
    </w:pPr>
    <w:rPr>
      <w:kern w:val="0"/>
      <w:szCs w:val="20"/>
    </w:rPr>
  </w:style>
  <w:style w:type="paragraph" w:styleId="21">
    <w:name w:val="Body Text"/>
    <w:basedOn w:val="1"/>
    <w:qFormat/>
    <w:uiPriority w:val="0"/>
    <w:pPr>
      <w:wordWrap w:val="0"/>
      <w:ind w:firstLine="1440" w:firstLineChars="200"/>
    </w:pPr>
    <w:rPr>
      <w:color w:val="000000"/>
    </w:rPr>
  </w:style>
  <w:style w:type="paragraph" w:styleId="22">
    <w:name w:val="List 2"/>
    <w:basedOn w:val="1"/>
    <w:qFormat/>
    <w:uiPriority w:val="0"/>
    <w:rPr>
      <w:rFonts w:ascii="楷体_GB2312" w:hAnsi="宋体" w:eastAsia="楷体_GB2312"/>
      <w:color w:val="000000"/>
      <w:szCs w:val="28"/>
    </w:rPr>
  </w:style>
  <w:style w:type="paragraph" w:styleId="23">
    <w:name w:val="List Bullet 2"/>
    <w:basedOn w:val="1"/>
    <w:next w:val="24"/>
    <w:qFormat/>
    <w:uiPriority w:val="0"/>
    <w:pPr>
      <w:numPr>
        <w:ilvl w:val="0"/>
        <w:numId w:val="3"/>
      </w:numPr>
    </w:pPr>
  </w:style>
  <w:style w:type="paragraph" w:customStyle="1" w:styleId="24">
    <w:name w:val="xl70"/>
    <w:basedOn w:val="1"/>
    <w:next w:val="25"/>
    <w:qFormat/>
    <w:uiPriority w:val="0"/>
    <w:pPr>
      <w:widowControl/>
      <w:spacing w:before="280" w:after="280" w:line="240" w:lineRule="auto"/>
    </w:pPr>
    <w:rPr>
      <w:rFonts w:ascii="宋体"/>
    </w:rPr>
  </w:style>
  <w:style w:type="paragraph" w:customStyle="1" w:styleId="25">
    <w:name w:val="正文缩进1"/>
    <w:basedOn w:val="1"/>
    <w:next w:val="26"/>
    <w:qFormat/>
    <w:uiPriority w:val="0"/>
    <w:pPr>
      <w:spacing w:line="312" w:lineRule="atLeast"/>
      <w:textAlignment w:val="baseline"/>
    </w:pPr>
    <w:rPr>
      <w:kern w:val="0"/>
      <w:sz w:val="28"/>
      <w:szCs w:val="20"/>
    </w:rPr>
  </w:style>
  <w:style w:type="paragraph" w:customStyle="1" w:styleId="26">
    <w:name w:val="td1"/>
    <w:basedOn w:val="1"/>
    <w:next w:val="1"/>
    <w:qFormat/>
    <w:uiPriority w:val="0"/>
    <w:pPr>
      <w:widowControl/>
      <w:spacing w:before="280" w:after="280" w:line="300" w:lineRule="atLeast"/>
      <w:ind w:firstLine="200"/>
    </w:pPr>
    <w:rPr>
      <w:color w:val="000000"/>
      <w:sz w:val="18"/>
    </w:rPr>
  </w:style>
  <w:style w:type="paragraph" w:styleId="27">
    <w:name w:val="Plain Text"/>
    <w:basedOn w:val="1"/>
    <w:qFormat/>
    <w:uiPriority w:val="0"/>
    <w:rPr>
      <w:rFonts w:ascii="宋体" w:hAnsi="Courier New"/>
      <w:sz w:val="20"/>
      <w:szCs w:val="20"/>
    </w:rPr>
  </w:style>
  <w:style w:type="paragraph" w:styleId="28">
    <w:name w:val="List Bullet 5"/>
    <w:basedOn w:val="1"/>
    <w:qFormat/>
    <w:uiPriority w:val="0"/>
    <w:pPr>
      <w:numPr>
        <w:ilvl w:val="0"/>
        <w:numId w:val="4"/>
      </w:numPr>
    </w:pPr>
  </w:style>
  <w:style w:type="paragraph" w:styleId="29">
    <w:name w:val="Body Text Indent 2"/>
    <w:basedOn w:val="1"/>
    <w:next w:val="1"/>
    <w:qFormat/>
    <w:uiPriority w:val="0"/>
    <w:pPr>
      <w:spacing w:after="120" w:line="480" w:lineRule="auto"/>
      <w:ind w:left="420" w:leftChars="200"/>
    </w:pPr>
  </w:style>
  <w:style w:type="paragraph" w:styleId="30">
    <w:name w:val="Balloon Text"/>
    <w:basedOn w:val="1"/>
    <w:qFormat/>
    <w:uiPriority w:val="0"/>
    <w:rPr>
      <w:kern w:val="0"/>
      <w:sz w:val="18"/>
      <w:szCs w:val="20"/>
    </w:rPr>
  </w:style>
  <w:style w:type="paragraph" w:styleId="31">
    <w:name w:val="footer"/>
    <w:basedOn w:val="1"/>
    <w:qFormat/>
    <w:uiPriority w:val="0"/>
    <w:pPr>
      <w:tabs>
        <w:tab w:val="center" w:pos="4153"/>
        <w:tab w:val="right" w:pos="8306"/>
      </w:tabs>
      <w:snapToGrid w:val="0"/>
      <w:jc w:val="left"/>
    </w:pPr>
    <w:rPr>
      <w:sz w:val="18"/>
    </w:rPr>
  </w:style>
  <w:style w:type="paragraph" w:styleId="3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33">
    <w:name w:val="toc 1"/>
    <w:basedOn w:val="1"/>
    <w:next w:val="1"/>
    <w:qFormat/>
    <w:uiPriority w:val="0"/>
  </w:style>
  <w:style w:type="paragraph" w:styleId="34">
    <w:name w:val="Subtitle"/>
    <w:basedOn w:val="1"/>
    <w:next w:val="1"/>
    <w:qFormat/>
    <w:uiPriority w:val="0"/>
    <w:pPr>
      <w:ind w:firstLine="200" w:firstLineChars="200"/>
      <w:outlineLvl w:val="1"/>
    </w:pPr>
    <w:rPr>
      <w:bCs/>
      <w:kern w:val="28"/>
      <w:szCs w:val="32"/>
    </w:rPr>
  </w:style>
  <w:style w:type="paragraph" w:styleId="35">
    <w:name w:val="Body Text Indent 3"/>
    <w:basedOn w:val="1"/>
    <w:qFormat/>
    <w:uiPriority w:val="99"/>
    <w:pPr>
      <w:snapToGrid w:val="0"/>
      <w:spacing w:line="480" w:lineRule="exact"/>
      <w:ind w:firstLine="535" w:firstLineChars="191"/>
    </w:pPr>
    <w:rPr>
      <w:sz w:val="28"/>
    </w:rPr>
  </w:style>
  <w:style w:type="paragraph" w:styleId="36">
    <w:name w:val="table of figures"/>
    <w:basedOn w:val="1"/>
    <w:next w:val="1"/>
    <w:qFormat/>
    <w:uiPriority w:val="0"/>
    <w:pPr>
      <w:ind w:left="200" w:leftChars="200" w:hanging="200" w:hangingChars="200"/>
    </w:pPr>
  </w:style>
  <w:style w:type="paragraph" w:styleId="37">
    <w:name w:val="toc 2"/>
    <w:basedOn w:val="1"/>
    <w:next w:val="14"/>
    <w:qFormat/>
    <w:uiPriority w:val="0"/>
    <w:pPr>
      <w:ind w:left="420" w:leftChars="200"/>
    </w:pPr>
  </w:style>
  <w:style w:type="paragraph" w:styleId="38">
    <w:name w:val="Body Text 2"/>
    <w:basedOn w:val="1"/>
    <w:qFormat/>
    <w:uiPriority w:val="0"/>
    <w:pPr>
      <w:spacing w:after="120" w:line="480" w:lineRule="auto"/>
    </w:pPr>
  </w:style>
  <w:style w:type="paragraph" w:styleId="39">
    <w:name w:val="Normal (Web)"/>
    <w:basedOn w:val="1"/>
    <w:qFormat/>
    <w:uiPriority w:val="0"/>
    <w:pPr>
      <w:spacing w:before="100" w:beforeAutospacing="1" w:after="100" w:afterAutospacing="1"/>
      <w:jc w:val="left"/>
    </w:pPr>
    <w:rPr>
      <w:kern w:val="0"/>
    </w:rPr>
  </w:style>
  <w:style w:type="paragraph" w:styleId="40">
    <w:name w:val="annotation subject"/>
    <w:basedOn w:val="20"/>
    <w:next w:val="20"/>
    <w:link w:val="88"/>
    <w:qFormat/>
    <w:uiPriority w:val="0"/>
    <w:rPr>
      <w:b/>
      <w:bCs/>
      <w:kern w:val="2"/>
      <w:szCs w:val="24"/>
    </w:rPr>
  </w:style>
  <w:style w:type="paragraph" w:styleId="41">
    <w:name w:val="Body Text First Indent"/>
    <w:basedOn w:val="21"/>
    <w:next w:val="1"/>
    <w:qFormat/>
    <w:uiPriority w:val="0"/>
    <w:pPr>
      <w:spacing w:after="120" w:line="240" w:lineRule="auto"/>
      <w:ind w:firstLine="420" w:firstLineChars="100"/>
    </w:pPr>
    <w:rPr>
      <w:sz w:val="21"/>
    </w:rPr>
  </w:style>
  <w:style w:type="paragraph" w:styleId="42">
    <w:name w:val="Body Text First Indent 2"/>
    <w:basedOn w:val="1"/>
    <w:next w:val="41"/>
    <w:qFormat/>
    <w:uiPriority w:val="0"/>
    <w:pPr>
      <w:widowControl/>
      <w:adjustRightInd/>
      <w:ind w:firstLine="420"/>
      <w:jc w:val="left"/>
      <w:textAlignment w:val="auto"/>
    </w:pPr>
    <w:rPr>
      <w:kern w:val="0"/>
      <w:sz w:val="28"/>
      <w:szCs w:val="20"/>
    </w:rPr>
  </w:style>
  <w:style w:type="table" w:styleId="44">
    <w:name w:val="Table Grid"/>
    <w:basedOn w:val="4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6">
    <w:name w:val="Strong"/>
    <w:basedOn w:val="45"/>
    <w:qFormat/>
    <w:uiPriority w:val="0"/>
    <w:rPr>
      <w:b/>
    </w:rPr>
  </w:style>
  <w:style w:type="character" w:styleId="47">
    <w:name w:val="Emphasis"/>
    <w:qFormat/>
    <w:uiPriority w:val="20"/>
    <w:rPr>
      <w:i/>
    </w:rPr>
  </w:style>
  <w:style w:type="character" w:styleId="48">
    <w:name w:val="Hyperlink"/>
    <w:qFormat/>
    <w:uiPriority w:val="0"/>
    <w:rPr>
      <w:color w:val="0000FF"/>
      <w:u w:val="single"/>
    </w:rPr>
  </w:style>
  <w:style w:type="character" w:styleId="49">
    <w:name w:val="annotation reference"/>
    <w:basedOn w:val="45"/>
    <w:qFormat/>
    <w:uiPriority w:val="0"/>
    <w:rPr>
      <w:sz w:val="21"/>
      <w:szCs w:val="21"/>
    </w:rPr>
  </w:style>
  <w:style w:type="paragraph" w:customStyle="1" w:styleId="50">
    <w:name w:val="表格"/>
    <w:basedOn w:val="19"/>
    <w:next w:val="1"/>
    <w:qFormat/>
    <w:uiPriority w:val="0"/>
    <w:pPr>
      <w:adjustRightInd w:val="0"/>
      <w:snapToGrid w:val="0"/>
      <w:spacing w:before="31" w:beforeLines="10" w:after="31" w:afterLines="10" w:line="259" w:lineRule="auto"/>
      <w:jc w:val="center"/>
    </w:pPr>
    <w:rPr>
      <w:rFonts w:ascii="宋体"/>
      <w:kern w:val="0"/>
      <w:szCs w:val="20"/>
    </w:rPr>
  </w:style>
  <w:style w:type="paragraph" w:customStyle="1" w:styleId="51">
    <w:name w:val="样式35"/>
    <w:basedOn w:val="52"/>
    <w:next w:val="57"/>
    <w:qFormat/>
    <w:uiPriority w:val="0"/>
    <w:pPr>
      <w:tabs>
        <w:tab w:val="left" w:pos="0"/>
        <w:tab w:val="left" w:pos="360"/>
        <w:tab w:val="left" w:pos="540"/>
        <w:tab w:val="left" w:pos="567"/>
        <w:tab w:val="left" w:pos="4140"/>
      </w:tabs>
      <w:spacing w:line="312" w:lineRule="auto"/>
      <w:ind w:firstLine="567"/>
    </w:pPr>
  </w:style>
  <w:style w:type="paragraph" w:customStyle="1" w:styleId="52">
    <w:name w:val="样式26"/>
    <w:basedOn w:val="53"/>
    <w:qFormat/>
    <w:uiPriority w:val="0"/>
    <w:pPr>
      <w:tabs>
        <w:tab w:val="left" w:pos="0"/>
        <w:tab w:val="left" w:pos="360"/>
        <w:tab w:val="left" w:pos="540"/>
        <w:tab w:val="left" w:pos="567"/>
        <w:tab w:val="left" w:pos="4140"/>
      </w:tabs>
    </w:pPr>
  </w:style>
  <w:style w:type="paragraph" w:customStyle="1" w:styleId="53">
    <w:name w:val="样式21"/>
    <w:basedOn w:val="54"/>
    <w:qFormat/>
    <w:uiPriority w:val="0"/>
    <w:pPr>
      <w:tabs>
        <w:tab w:val="left" w:pos="0"/>
        <w:tab w:val="left" w:pos="360"/>
        <w:tab w:val="left" w:pos="567"/>
        <w:tab w:val="left" w:pos="4140"/>
      </w:tabs>
      <w:ind w:hanging="992"/>
    </w:pPr>
  </w:style>
  <w:style w:type="paragraph" w:customStyle="1" w:styleId="54">
    <w:name w:val="样式5"/>
    <w:basedOn w:val="55"/>
    <w:qFormat/>
    <w:uiPriority w:val="0"/>
    <w:pPr>
      <w:tabs>
        <w:tab w:val="left" w:pos="0"/>
        <w:tab w:val="left" w:pos="360"/>
        <w:tab w:val="left" w:pos="4140"/>
      </w:tabs>
      <w:ind w:right="-105" w:rightChars="-50"/>
      <w:jc w:val="center"/>
    </w:pPr>
    <w:rPr>
      <w:rFonts w:ascii="宋体"/>
      <w:sz w:val="21"/>
    </w:rPr>
  </w:style>
  <w:style w:type="paragraph" w:customStyle="1" w:styleId="55">
    <w:name w:val="样式12"/>
    <w:basedOn w:val="56"/>
    <w:qFormat/>
    <w:uiPriority w:val="0"/>
    <w:pPr>
      <w:keepNext/>
      <w:keepLines/>
      <w:tabs>
        <w:tab w:val="left" w:pos="0"/>
        <w:tab w:val="left" w:pos="360"/>
        <w:tab w:val="left" w:pos="4140"/>
      </w:tabs>
      <w:spacing w:beforeLines="50" w:afterLines="50"/>
      <w:ind w:left="567" w:hanging="567"/>
      <w:outlineLvl w:val="1"/>
    </w:pPr>
    <w:rPr>
      <w:rFonts w:eastAsia="MS Mincho"/>
      <w:kern w:val="0"/>
      <w:sz w:val="28"/>
      <w:szCs w:val="28"/>
    </w:rPr>
  </w:style>
  <w:style w:type="paragraph" w:customStyle="1" w:styleId="56">
    <w:name w:val="样式 标题 3标题 3 Char标题3H3h33rd level第二层条三级标题ReHead 3 WSA头..."/>
    <w:basedOn w:val="9"/>
    <w:qFormat/>
    <w:uiPriority w:val="0"/>
    <w:pPr>
      <w:ind w:left="4140" w:hanging="720"/>
    </w:pPr>
    <w:rPr>
      <w:rFonts w:eastAsia="黑体"/>
      <w:color w:val="FF0000"/>
    </w:rPr>
  </w:style>
  <w:style w:type="paragraph" w:customStyle="1" w:styleId="57">
    <w:name w:val="font6"/>
    <w:basedOn w:val="1"/>
    <w:next w:val="37"/>
    <w:qFormat/>
    <w:uiPriority w:val="0"/>
    <w:pPr>
      <w:widowControl/>
      <w:spacing w:before="280" w:after="280"/>
    </w:pPr>
    <w:rPr>
      <w:sz w:val="21"/>
    </w:rPr>
  </w:style>
  <w:style w:type="paragraph" w:customStyle="1" w:styleId="58">
    <w:name w:val="6-正文"/>
    <w:basedOn w:val="1"/>
    <w:link w:val="91"/>
    <w:qFormat/>
    <w:uiPriority w:val="0"/>
    <w:rPr>
      <w:szCs w:val="28"/>
    </w:rPr>
  </w:style>
  <w:style w:type="paragraph" w:customStyle="1" w:styleId="59">
    <w:name w:val="表 内容"/>
    <w:basedOn w:val="1"/>
    <w:qFormat/>
    <w:uiPriority w:val="0"/>
    <w:pPr>
      <w:adjustRightInd w:val="0"/>
      <w:snapToGrid w:val="0"/>
      <w:spacing w:beforeLines="15"/>
      <w:jc w:val="center"/>
    </w:pPr>
    <w:rPr>
      <w:kern w:val="0"/>
      <w:sz w:val="20"/>
      <w:szCs w:val="21"/>
    </w:rPr>
  </w:style>
  <w:style w:type="paragraph" w:customStyle="1" w:styleId="60">
    <w:name w:val="flName"/>
    <w:basedOn w:val="1"/>
    <w:qFormat/>
    <w:uiPriority w:val="0"/>
    <w:pPr>
      <w:autoSpaceDE w:val="0"/>
      <w:autoSpaceDN w:val="0"/>
      <w:spacing w:before="320" w:after="160"/>
      <w:jc w:val="center"/>
    </w:pPr>
    <w:rPr>
      <w:rFonts w:ascii="Arial" w:hAnsi="Arial" w:eastAsia="黑体" w:cs="宋体"/>
      <w:sz w:val="32"/>
      <w:szCs w:val="22"/>
      <w:lang w:val="zh-CN" w:bidi="zh-CN"/>
    </w:rPr>
  </w:style>
  <w:style w:type="paragraph" w:customStyle="1" w:styleId="61">
    <w:name w:val="表格文字"/>
    <w:basedOn w:val="27"/>
    <w:qFormat/>
    <w:uiPriority w:val="0"/>
    <w:pPr>
      <w:tabs>
        <w:tab w:val="left" w:pos="-2848"/>
      </w:tabs>
      <w:wordWrap w:val="0"/>
      <w:autoSpaceDE w:val="0"/>
      <w:autoSpaceDN w:val="0"/>
      <w:jc w:val="center"/>
      <w:textAlignment w:val="center"/>
    </w:pPr>
    <w:rPr>
      <w:rFonts w:ascii="Times New Roman" w:hAnsi="Times New Roman" w:eastAsia="宋体" w:cs="Times New Roman"/>
      <w:position w:val="-10"/>
      <w:sz w:val="21"/>
      <w:szCs w:val="21"/>
      <w:lang w:val="en-US" w:eastAsia="zh-CN" w:bidi="ar-SA"/>
    </w:rPr>
  </w:style>
  <w:style w:type="character" w:customStyle="1" w:styleId="62">
    <w:name w:val="题注 字符"/>
    <w:link w:val="17"/>
    <w:qFormat/>
    <w:uiPriority w:val="0"/>
    <w:rPr>
      <w:rFonts w:ascii="Times New Roman" w:hAnsi="Times New Roman"/>
      <w:b/>
      <w:bCs/>
      <w:color w:val="000000"/>
      <w:sz w:val="21"/>
      <w:szCs w:val="21"/>
    </w:rPr>
  </w:style>
  <w:style w:type="paragraph" w:customStyle="1" w:styleId="63">
    <w:name w:val="括号标题"/>
    <w:basedOn w:val="3"/>
    <w:next w:val="4"/>
    <w:qFormat/>
    <w:uiPriority w:val="0"/>
    <w:pPr>
      <w:autoSpaceDE w:val="0"/>
      <w:autoSpaceDN w:val="0"/>
    </w:pPr>
    <w:rPr>
      <w:rFonts w:hAnsi="宋体"/>
      <w:color w:val="000000"/>
    </w:rPr>
  </w:style>
  <w:style w:type="paragraph" w:customStyle="1" w:styleId="64">
    <w:name w:val="J-表格内容（5号+居中）"/>
    <w:basedOn w:val="1"/>
    <w:qFormat/>
    <w:uiPriority w:val="0"/>
    <w:pPr>
      <w:spacing w:line="240" w:lineRule="auto"/>
      <w:jc w:val="center"/>
    </w:pPr>
    <w:rPr>
      <w:sz w:val="21"/>
      <w:szCs w:val="21"/>
    </w:rPr>
  </w:style>
  <w:style w:type="paragraph" w:customStyle="1" w:styleId="65">
    <w:name w:val="表内字"/>
    <w:basedOn w:val="50"/>
    <w:qFormat/>
    <w:uiPriority w:val="0"/>
    <w:pPr>
      <w:autoSpaceDE w:val="0"/>
      <w:autoSpaceDN w:val="0"/>
      <w:spacing w:line="320" w:lineRule="exact"/>
    </w:pPr>
    <w:rPr>
      <w:rFonts w:hAnsi="宋体"/>
      <w:kern w:val="2"/>
      <w:sz w:val="21"/>
      <w:szCs w:val="21"/>
    </w:rPr>
  </w:style>
  <w:style w:type="paragraph" w:customStyle="1" w:styleId="66">
    <w:name w:val="表内字1"/>
    <w:basedOn w:val="1"/>
    <w:qFormat/>
    <w:uiPriority w:val="0"/>
    <w:pPr>
      <w:adjustRightInd w:val="0"/>
      <w:snapToGrid w:val="0"/>
      <w:spacing w:line="300" w:lineRule="exact"/>
      <w:jc w:val="center"/>
    </w:pPr>
    <w:rPr>
      <w:rFonts w:ascii="Calibri" w:hAnsi="Calibri"/>
      <w:color w:val="000000"/>
      <w:sz w:val="22"/>
      <w:szCs w:val="21"/>
    </w:rPr>
  </w:style>
  <w:style w:type="paragraph" w:customStyle="1" w:styleId="67">
    <w:name w:val="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68">
    <w:name w:val="无间隔1"/>
    <w:qFormat/>
    <w:uiPriority w:val="99"/>
    <w:pPr>
      <w:widowControl w:val="0"/>
      <w:jc w:val="both"/>
    </w:pPr>
    <w:rPr>
      <w:rFonts w:ascii="Times New Roman" w:hAnsi="Times New Roman" w:eastAsia="宋体" w:cs="Times New Roman"/>
      <w:kern w:val="2"/>
      <w:sz w:val="24"/>
      <w:szCs w:val="24"/>
      <w:lang w:val="en-US" w:eastAsia="zh-CN" w:bidi="ar-SA"/>
    </w:rPr>
  </w:style>
  <w:style w:type="character" w:customStyle="1" w:styleId="69">
    <w:name w:val="font61"/>
    <w:basedOn w:val="45"/>
    <w:qFormat/>
    <w:uiPriority w:val="0"/>
    <w:rPr>
      <w:rFonts w:hint="default" w:ascii="Times New Roman" w:hAnsi="Times New Roman" w:cs="Times New Roman"/>
      <w:b/>
      <w:color w:val="000000"/>
      <w:sz w:val="18"/>
      <w:szCs w:val="18"/>
      <w:u w:val="none"/>
    </w:rPr>
  </w:style>
  <w:style w:type="character" w:customStyle="1" w:styleId="70">
    <w:name w:val="font81"/>
    <w:basedOn w:val="45"/>
    <w:qFormat/>
    <w:uiPriority w:val="0"/>
    <w:rPr>
      <w:rFonts w:hint="default" w:ascii="Times New Roman" w:hAnsi="Times New Roman" w:cs="Times New Roman"/>
      <w:b/>
      <w:color w:val="000000"/>
      <w:sz w:val="18"/>
      <w:szCs w:val="18"/>
      <w:u w:val="none"/>
    </w:rPr>
  </w:style>
  <w:style w:type="character" w:customStyle="1" w:styleId="71">
    <w:name w:val="font51"/>
    <w:basedOn w:val="45"/>
    <w:qFormat/>
    <w:uiPriority w:val="0"/>
    <w:rPr>
      <w:rFonts w:hint="eastAsia" w:ascii="宋体" w:hAnsi="宋体" w:eastAsia="宋体" w:cs="宋体"/>
      <w:b/>
      <w:color w:val="000000"/>
      <w:sz w:val="18"/>
      <w:szCs w:val="18"/>
      <w:u w:val="none"/>
    </w:rPr>
  </w:style>
  <w:style w:type="character" w:customStyle="1" w:styleId="72">
    <w:name w:val="font91"/>
    <w:basedOn w:val="45"/>
    <w:qFormat/>
    <w:uiPriority w:val="0"/>
    <w:rPr>
      <w:rFonts w:ascii="Calibri" w:hAnsi="Calibri" w:cs="Calibri"/>
      <w:color w:val="auto"/>
      <w:sz w:val="21"/>
      <w:szCs w:val="21"/>
      <w:u w:val="none"/>
    </w:rPr>
  </w:style>
  <w:style w:type="character" w:customStyle="1" w:styleId="73">
    <w:name w:val="font111"/>
    <w:basedOn w:val="45"/>
    <w:qFormat/>
    <w:uiPriority w:val="0"/>
    <w:rPr>
      <w:rFonts w:hint="default" w:ascii="Times New Roman" w:hAnsi="Times New Roman" w:cs="Times New Roman"/>
      <w:b/>
      <w:color w:val="000000"/>
      <w:sz w:val="18"/>
      <w:szCs w:val="18"/>
      <w:u w:val="none"/>
    </w:rPr>
  </w:style>
  <w:style w:type="character" w:customStyle="1" w:styleId="74">
    <w:name w:val="font101"/>
    <w:basedOn w:val="45"/>
    <w:qFormat/>
    <w:uiPriority w:val="0"/>
    <w:rPr>
      <w:rFonts w:hint="eastAsia" w:ascii="宋体" w:hAnsi="宋体" w:eastAsia="宋体" w:cs="宋体"/>
      <w:b/>
      <w:color w:val="000000"/>
      <w:sz w:val="18"/>
      <w:szCs w:val="18"/>
      <w:u w:val="none"/>
    </w:rPr>
  </w:style>
  <w:style w:type="paragraph" w:customStyle="1" w:styleId="75">
    <w:name w:val="附图附件"/>
    <w:basedOn w:val="1"/>
    <w:qFormat/>
    <w:uiPriority w:val="0"/>
    <w:pPr>
      <w:spacing w:line="240" w:lineRule="auto"/>
      <w:jc w:val="center"/>
      <w:outlineLvl w:val="0"/>
    </w:pPr>
  </w:style>
  <w:style w:type="paragraph" w:customStyle="1" w:styleId="76">
    <w:name w:val="J-表格标题+图片标题（5号+居中）"/>
    <w:basedOn w:val="1"/>
    <w:qFormat/>
    <w:uiPriority w:val="0"/>
    <w:pPr>
      <w:spacing w:line="240" w:lineRule="auto"/>
      <w:jc w:val="center"/>
    </w:pPr>
    <w:rPr>
      <w:b/>
      <w:sz w:val="21"/>
      <w:szCs w:val="21"/>
    </w:rPr>
  </w:style>
  <w:style w:type="paragraph" w:customStyle="1" w:styleId="77">
    <w:name w:val="报告表小标题"/>
    <w:basedOn w:val="1"/>
    <w:qFormat/>
    <w:uiPriority w:val="0"/>
    <w:pPr>
      <w:spacing w:before="100" w:beforeAutospacing="1"/>
    </w:pPr>
    <w:rPr>
      <w:b/>
    </w:rPr>
  </w:style>
  <w:style w:type="character" w:customStyle="1" w:styleId="78">
    <w:name w:val="font21"/>
    <w:basedOn w:val="45"/>
    <w:qFormat/>
    <w:uiPriority w:val="0"/>
    <w:rPr>
      <w:rFonts w:hint="eastAsia" w:ascii="宋体" w:hAnsi="宋体" w:eastAsia="宋体" w:cs="宋体"/>
      <w:b/>
      <w:bCs/>
      <w:color w:val="000000"/>
      <w:sz w:val="21"/>
      <w:szCs w:val="21"/>
      <w:u w:val="none"/>
    </w:rPr>
  </w:style>
  <w:style w:type="character" w:customStyle="1" w:styleId="79">
    <w:name w:val="font11"/>
    <w:basedOn w:val="45"/>
    <w:qFormat/>
    <w:uiPriority w:val="0"/>
    <w:rPr>
      <w:rFonts w:hint="eastAsia" w:ascii="宋体" w:hAnsi="宋体" w:eastAsia="宋体" w:cs="宋体"/>
      <w:color w:val="000000"/>
      <w:sz w:val="21"/>
      <w:szCs w:val="21"/>
      <w:u w:val="none"/>
    </w:rPr>
  </w:style>
  <w:style w:type="character" w:customStyle="1" w:styleId="80">
    <w:name w:val="font41"/>
    <w:basedOn w:val="45"/>
    <w:qFormat/>
    <w:uiPriority w:val="0"/>
    <w:rPr>
      <w:rFonts w:hint="eastAsia" w:ascii="宋体" w:hAnsi="宋体" w:eastAsia="宋体" w:cs="宋体"/>
      <w:color w:val="000000"/>
      <w:sz w:val="21"/>
      <w:szCs w:val="21"/>
      <w:u w:val="none"/>
    </w:rPr>
  </w:style>
  <w:style w:type="paragraph" w:customStyle="1" w:styleId="81">
    <w:name w:val="样式 方正仿宋_GBK 三号 行距: 固定值 28 磅"/>
    <w:basedOn w:val="1"/>
    <w:qFormat/>
    <w:uiPriority w:val="0"/>
    <w:pPr>
      <w:ind w:firstLine="200" w:firstLineChars="200"/>
      <w:jc w:val="left"/>
    </w:pPr>
    <w:rPr>
      <w:rFonts w:ascii="方正仿宋_GBK" w:hAnsi="方正仿宋_GBK" w:cs="宋体"/>
      <w:sz w:val="28"/>
      <w:szCs w:val="20"/>
    </w:rPr>
  </w:style>
  <w:style w:type="paragraph" w:styleId="82">
    <w:name w:val="List Paragraph"/>
    <w:basedOn w:val="1"/>
    <w:qFormat/>
    <w:uiPriority w:val="99"/>
    <w:pPr>
      <w:ind w:firstLine="420" w:firstLineChars="200"/>
    </w:pPr>
  </w:style>
  <w:style w:type="character" w:customStyle="1" w:styleId="83">
    <w:name w:val="fontstyle01"/>
    <w:basedOn w:val="45"/>
    <w:qFormat/>
    <w:uiPriority w:val="0"/>
    <w:rPr>
      <w:rFonts w:hint="eastAsia" w:ascii="宋体" w:hAnsi="宋体" w:eastAsia="宋体"/>
      <w:color w:val="000000"/>
      <w:sz w:val="24"/>
      <w:szCs w:val="24"/>
    </w:rPr>
  </w:style>
  <w:style w:type="paragraph" w:customStyle="1" w:styleId="84">
    <w:name w:val="HJ-正文"/>
    <w:basedOn w:val="1"/>
    <w:qFormat/>
    <w:uiPriority w:val="0"/>
    <w:pPr>
      <w:ind w:firstLine="480" w:firstLineChars="200"/>
    </w:pPr>
  </w:style>
  <w:style w:type="paragraph" w:customStyle="1" w:styleId="85">
    <w:name w:val="WPSOffice手动目录 1"/>
    <w:qFormat/>
    <w:uiPriority w:val="0"/>
    <w:rPr>
      <w:rFonts w:ascii="Times New Roman" w:hAnsi="Times New Roman" w:eastAsia="宋体" w:cs="Times New Roman"/>
      <w:lang w:val="en-US" w:eastAsia="zh-CN" w:bidi="ar-SA"/>
    </w:rPr>
  </w:style>
  <w:style w:type="paragraph" w:customStyle="1" w:styleId="86">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87">
    <w:name w:val="批注文字 字符"/>
    <w:basedOn w:val="45"/>
    <w:link w:val="20"/>
    <w:qFormat/>
    <w:uiPriority w:val="0"/>
    <w:rPr>
      <w:sz w:val="24"/>
    </w:rPr>
  </w:style>
  <w:style w:type="character" w:customStyle="1" w:styleId="88">
    <w:name w:val="批注主题 字符"/>
    <w:basedOn w:val="87"/>
    <w:link w:val="40"/>
    <w:qFormat/>
    <w:uiPriority w:val="0"/>
    <w:rPr>
      <w:b/>
      <w:bCs/>
      <w:kern w:val="2"/>
      <w:sz w:val="24"/>
      <w:szCs w:val="24"/>
    </w:rPr>
  </w:style>
  <w:style w:type="character" w:customStyle="1" w:styleId="89">
    <w:name w:val="NormalCharacter"/>
    <w:qFormat/>
    <w:uiPriority w:val="0"/>
    <w:rPr>
      <w:rFonts w:ascii="Times New Roman" w:hAnsi="Times New Roman" w:eastAsia="宋体" w:cs="Times New Roman"/>
      <w:kern w:val="2"/>
      <w:sz w:val="24"/>
      <w:szCs w:val="24"/>
      <w:lang w:val="en-US" w:eastAsia="zh-CN" w:bidi="ar-SA"/>
    </w:rPr>
  </w:style>
  <w:style w:type="character" w:customStyle="1" w:styleId="90">
    <w:name w:val="font31"/>
    <w:basedOn w:val="45"/>
    <w:qFormat/>
    <w:uiPriority w:val="0"/>
    <w:rPr>
      <w:rFonts w:hint="default" w:ascii="Times New Roman" w:hAnsi="Times New Roman" w:cs="Times New Roman"/>
      <w:color w:val="000000"/>
      <w:sz w:val="21"/>
      <w:szCs w:val="21"/>
      <w:u w:val="none"/>
    </w:rPr>
  </w:style>
  <w:style w:type="character" w:customStyle="1" w:styleId="91">
    <w:name w:val="6-正文 Char"/>
    <w:link w:val="58"/>
    <w:qFormat/>
    <w:uiPriority w:val="0"/>
    <w:rPr>
      <w:szCs w:val="28"/>
    </w:rPr>
  </w:style>
  <w:style w:type="table" w:customStyle="1" w:styleId="92">
    <w:name w:val="报告书标准表格"/>
    <w:basedOn w:val="43"/>
    <w:qFormat/>
    <w:uiPriority w:val="0"/>
    <w:pPr>
      <w:jc w:val="center"/>
    </w:pPr>
    <w:rPr>
      <w:rFonts w:eastAsia="Times New Roman"/>
      <w:sz w:val="21"/>
    </w:rPr>
    <w:tblPr>
      <w:tblBorders>
        <w:top w:val="single" w:color="auto" w:sz="12" w:space="0"/>
        <w:bottom w:val="single" w:color="auto" w:sz="12" w:space="0"/>
        <w:insideH w:val="single" w:color="auto" w:sz="4" w:space="0"/>
        <w:insideV w:val="single" w:color="auto" w:sz="4" w:space="0"/>
      </w:tblBorders>
    </w:tblPr>
    <w:tcPr>
      <w:vAlign w:val="center"/>
    </w:tcPr>
  </w:style>
  <w:style w:type="paragraph" w:customStyle="1" w:styleId="93">
    <w:name w:val="报告正文"/>
    <w:basedOn w:val="1"/>
    <w:qFormat/>
    <w:uiPriority w:val="0"/>
    <w:pPr>
      <w:ind w:firstLine="480" w:firstLineChars="200"/>
    </w:pPr>
  </w:style>
  <w:style w:type="paragraph" w:customStyle="1" w:styleId="94">
    <w:name w:val="表格内容"/>
    <w:basedOn w:val="95"/>
    <w:qFormat/>
    <w:uiPriority w:val="0"/>
    <w:rPr>
      <w:sz w:val="21"/>
      <w:szCs w:val="21"/>
    </w:rPr>
  </w:style>
  <w:style w:type="paragraph" w:customStyle="1" w:styleId="95">
    <w:name w:val="表格标题"/>
    <w:basedOn w:val="27"/>
    <w:qFormat/>
    <w:uiPriority w:val="0"/>
    <w:pPr>
      <w:jc w:val="center"/>
    </w:pPr>
    <w:rPr>
      <w:rFonts w:ascii="Times New Roman" w:hAnsi="Times New Roman"/>
      <w:b/>
    </w:rPr>
  </w:style>
  <w:style w:type="character" w:customStyle="1" w:styleId="96">
    <w:name w:val="16"/>
    <w:basedOn w:val="45"/>
    <w:qFormat/>
    <w:uiPriority w:val="0"/>
    <w:rPr>
      <w:rFonts w:hint="default" w:ascii="Times New Roman" w:hAnsi="Times New Roman" w:cs="Times New Roman"/>
      <w:color w:val="000000"/>
      <w:sz w:val="21"/>
      <w:szCs w:val="21"/>
    </w:rPr>
  </w:style>
  <w:style w:type="character" w:customStyle="1" w:styleId="97">
    <w:name w:val="17"/>
    <w:basedOn w:val="45"/>
    <w:qFormat/>
    <w:uiPriority w:val="0"/>
    <w:rPr>
      <w:rFonts w:hint="default" w:ascii="Times New Roman" w:hAnsi="Times New Roman" w:cs="Times New Roman"/>
      <w:color w:val="000000"/>
      <w:sz w:val="21"/>
      <w:szCs w:val="21"/>
      <w:vertAlign w:val="superscript"/>
    </w:rPr>
  </w:style>
  <w:style w:type="character" w:customStyle="1" w:styleId="98">
    <w:name w:val="15"/>
    <w:basedOn w:val="45"/>
    <w:qFormat/>
    <w:uiPriority w:val="0"/>
    <w:rPr>
      <w:rFonts w:hint="eastAsia" w:ascii="宋体" w:hAnsi="宋体" w:eastAsia="宋体"/>
      <w:color w:val="000000"/>
      <w:sz w:val="21"/>
      <w:szCs w:val="21"/>
    </w:rPr>
  </w:style>
  <w:style w:type="paragraph" w:customStyle="1" w:styleId="99">
    <w:name w:val="List Paragraph1"/>
    <w:basedOn w:val="1"/>
    <w:qFormat/>
    <w:uiPriority w:val="34"/>
    <w:pPr>
      <w:widowControl w:val="0"/>
      <w:ind w:firstLine="420" w:firstLineChars="200"/>
      <w:jc w:val="both"/>
    </w:pPr>
    <w:rPr>
      <w:rFonts w:ascii="Calibri" w:hAnsi="Calibri" w:eastAsia="宋体" w:cs="Times New Roman"/>
      <w:kern w:val="2"/>
      <w:sz w:val="21"/>
      <w:szCs w:val="22"/>
    </w:rPr>
  </w:style>
  <w:style w:type="paragraph" w:customStyle="1" w:styleId="100">
    <w:name w:val="图表标题"/>
    <w:basedOn w:val="1"/>
    <w:next w:val="1"/>
    <w:qFormat/>
    <w:uiPriority w:val="0"/>
    <w:pPr>
      <w:jc w:val="center"/>
    </w:pPr>
    <w:rPr>
      <w:b/>
      <w:sz w:val="21"/>
    </w:rPr>
  </w:style>
  <w:style w:type="paragraph" w:customStyle="1" w:styleId="101">
    <w:name w:val="表头"/>
    <w:basedOn w:val="102"/>
    <w:next w:val="1"/>
    <w:qFormat/>
    <w:uiPriority w:val="99"/>
    <w:pPr>
      <w:adjustRightInd w:val="0"/>
      <w:spacing w:beforeLines="50"/>
      <w:ind w:firstLine="200"/>
    </w:pPr>
    <w:rPr>
      <w:szCs w:val="28"/>
    </w:rPr>
  </w:style>
  <w:style w:type="paragraph" w:customStyle="1" w:styleId="102">
    <w:name w:val="表标题"/>
    <w:basedOn w:val="21"/>
    <w:next w:val="21"/>
    <w:qFormat/>
    <w:uiPriority w:val="0"/>
    <w:pPr>
      <w:spacing w:line="500" w:lineRule="exact"/>
      <w:ind w:firstLine="482" w:firstLineChars="200"/>
      <w:jc w:val="center"/>
    </w:pPr>
    <w:rPr>
      <w:rFonts w:ascii="仿宋_GB2312" w:eastAsia="仿宋_GB2312"/>
      <w:b/>
      <w:sz w:val="24"/>
    </w:rPr>
  </w:style>
  <w:style w:type="paragraph" w:customStyle="1" w:styleId="103">
    <w:name w:val="列表段落1"/>
    <w:basedOn w:val="1"/>
    <w:qFormat/>
    <w:uiPriority w:val="99"/>
    <w:pPr>
      <w:spacing w:line="360" w:lineRule="auto"/>
      <w:ind w:firstLine="420" w:firstLineChars="200"/>
    </w:pPr>
    <w:rPr>
      <w:sz w:val="24"/>
      <w:szCs w:val="22"/>
    </w:rPr>
  </w:style>
  <w:style w:type="paragraph" w:customStyle="1" w:styleId="104">
    <w:name w:val="表格内容1"/>
    <w:basedOn w:val="1"/>
    <w:qFormat/>
    <w:uiPriority w:val="0"/>
    <w:pPr>
      <w:adjustRightInd w:val="0"/>
      <w:snapToGrid w:val="0"/>
      <w:spacing w:before="15" w:beforeLines="15" w:after="15" w:afterLines="15" w:line="300" w:lineRule="exact"/>
      <w:jc w:val="center"/>
    </w:pPr>
    <w:rPr>
      <w:kern w:val="0"/>
    </w:rPr>
  </w:style>
  <w:style w:type="paragraph" w:customStyle="1" w:styleId="105">
    <w:name w:val="（一）"/>
    <w:basedOn w:val="1"/>
    <w:qFormat/>
    <w:uiPriority w:val="0"/>
    <w:pPr>
      <w:numPr>
        <w:ilvl w:val="0"/>
        <w:numId w:val="5"/>
      </w:numPr>
      <w:spacing w:line="400" w:lineRule="exact"/>
    </w:pPr>
    <w:rPr>
      <w:b/>
      <w:sz w:val="24"/>
    </w:rPr>
  </w:style>
  <w:style w:type="paragraph" w:customStyle="1" w:styleId="106">
    <w:name w:val="正文1"/>
    <w:basedOn w:val="1"/>
    <w:qFormat/>
    <w:uiPriority w:val="0"/>
    <w:rPr>
      <w:sz w:val="24"/>
    </w:rPr>
  </w:style>
  <w:style w:type="paragraph" w:customStyle="1" w:styleId="107">
    <w:name w:val="表格 32"/>
    <w:basedOn w:val="1"/>
    <w:qFormat/>
    <w:uiPriority w:val="0"/>
    <w:pPr>
      <w:autoSpaceDE w:val="0"/>
      <w:autoSpaceDN w:val="0"/>
      <w:adjustRightInd w:val="0"/>
      <w:spacing w:line="240" w:lineRule="atLeast"/>
      <w:jc w:val="center"/>
      <w:textAlignment w:val="baseline"/>
    </w:pPr>
    <w:rPr>
      <w:spacing w:val="0"/>
      <w:sz w:val="24"/>
      <w:szCs w:val="24"/>
    </w:rPr>
  </w:style>
  <w:style w:type="paragraph" w:customStyle="1" w:styleId="108">
    <w:name w:val="表格文字！！！！"/>
    <w:basedOn w:val="1"/>
    <w:qFormat/>
    <w:uiPriority w:val="0"/>
    <w:pPr>
      <w:jc w:val="center"/>
    </w:pPr>
    <w:rPr>
      <w:spacing w:val="0"/>
      <w:kern w:val="2"/>
      <w:sz w:val="21"/>
      <w:szCs w:val="24"/>
    </w:rPr>
  </w:style>
  <w:style w:type="paragraph" w:customStyle="1" w:styleId="109">
    <w:name w:val="陆晶 表格式"/>
    <w:basedOn w:val="1"/>
    <w:qFormat/>
    <w:uiPriority w:val="0"/>
    <w:pPr>
      <w:jc w:val="center"/>
    </w:pPr>
    <w:rPr>
      <w:spacing w:val="0"/>
      <w:kern w:val="2"/>
      <w:sz w:val="21"/>
    </w:rPr>
  </w:style>
  <w:style w:type="paragraph" w:customStyle="1" w:styleId="110">
    <w:name w:val="表格2"/>
    <w:basedOn w:val="1"/>
    <w:next w:val="1"/>
    <w:qFormat/>
    <w:uiPriority w:val="0"/>
    <w:pPr>
      <w:topLinePunct/>
      <w:autoSpaceDE w:val="0"/>
      <w:autoSpaceDN w:val="0"/>
      <w:adjustRightInd w:val="0"/>
      <w:spacing w:line="288" w:lineRule="auto"/>
      <w:jc w:val="center"/>
    </w:pPr>
    <w:rPr>
      <w:rFonts w:ascii="宋体"/>
      <w:kern w:val="0"/>
      <w:position w:val="-28"/>
      <w:sz w:val="18"/>
      <w:szCs w:val="20"/>
    </w:rPr>
  </w:style>
  <w:style w:type="paragraph" w:customStyle="1" w:styleId="111">
    <w:name w:val="AP外表文字居中（图）"/>
    <w:basedOn w:val="112"/>
    <w:qFormat/>
    <w:uiPriority w:val="0"/>
    <w:pPr>
      <w:spacing w:line="240" w:lineRule="auto"/>
      <w:ind w:firstLine="0" w:firstLineChars="0"/>
      <w:jc w:val="center"/>
    </w:pPr>
    <w:rPr>
      <w:kern w:val="2"/>
    </w:rPr>
  </w:style>
  <w:style w:type="paragraph" w:customStyle="1" w:styleId="112">
    <w:name w:val="AP外表文字段落"/>
    <w:basedOn w:val="113"/>
    <w:qFormat/>
    <w:uiPriority w:val="0"/>
    <w:pPr>
      <w:widowControl w:val="0"/>
      <w:spacing w:line="360" w:lineRule="auto"/>
    </w:pPr>
    <w:rPr>
      <w:rFonts w:hint="eastAsia"/>
      <w:kern w:val="44"/>
      <w:sz w:val="24"/>
    </w:rPr>
  </w:style>
  <w:style w:type="paragraph" w:customStyle="1" w:styleId="113">
    <w:name w:val="BP内表文字段落"/>
    <w:next w:val="1"/>
    <w:qFormat/>
    <w:uiPriority w:val="0"/>
    <w:pPr>
      <w:kinsoku w:val="0"/>
      <w:wordWrap w:val="0"/>
      <w:topLinePunct/>
      <w:ind w:firstLine="200" w:firstLineChars="200"/>
      <w:jc w:val="both"/>
    </w:pPr>
    <w:rPr>
      <w:rFonts w:ascii="Times New Roman" w:hAnsi="Times New Roman" w:eastAsia="宋体" w:cs="Times New Roman"/>
      <w:kern w:val="2"/>
      <w:sz w:val="21"/>
      <w:szCs w:val="24"/>
      <w:lang w:val="en-US" w:eastAsia="zh-CN" w:bidi="ar-SA"/>
    </w:rPr>
  </w:style>
  <w:style w:type="paragraph" w:customStyle="1" w:styleId="114">
    <w:name w:val="Table Paragraph"/>
    <w:basedOn w:val="1"/>
    <w:qFormat/>
    <w:uiPriority w:val="1"/>
    <w:rPr>
      <w:rFonts w:ascii="宋体" w:hAnsi="宋体" w:cs="宋体"/>
      <w:lang w:val="zh-CN" w:bidi="zh-CN"/>
    </w:rPr>
  </w:style>
  <w:style w:type="paragraph" w:customStyle="1" w:styleId="115">
    <w:name w:val="0-正文"/>
    <w:basedOn w:val="1"/>
    <w:qFormat/>
    <w:uiPriority w:val="0"/>
    <w:pPr>
      <w:ind w:firstLine="200" w:firstLineChars="200"/>
    </w:pPr>
    <w:rPr>
      <w:spacing w:val="4"/>
      <w:szCs w:val="28"/>
      <w:lang w:val="zh-CN"/>
    </w:rPr>
  </w:style>
  <w:style w:type="paragraph" w:customStyle="1" w:styleId="116">
    <w:name w:val="0表格文字 五号 常规"/>
    <w:basedOn w:val="1"/>
    <w:qFormat/>
    <w:uiPriority w:val="0"/>
    <w:pPr>
      <w:autoSpaceDE w:val="0"/>
      <w:autoSpaceDN w:val="0"/>
      <w:jc w:val="center"/>
    </w:pPr>
    <w:rPr>
      <w:sz w:val="21"/>
      <w:szCs w:val="20"/>
    </w:rPr>
  </w:style>
  <w:style w:type="paragraph" w:customStyle="1" w:styleId="117">
    <w:name w:val="【正文】"/>
    <w:basedOn w:val="1"/>
    <w:qFormat/>
    <w:uiPriority w:val="0"/>
    <w:pPr>
      <w:ind w:firstLine="200" w:firstLineChars="200"/>
    </w:pPr>
    <w:rPr>
      <w:rFonts w:cs="宋体"/>
      <w:szCs w:val="20"/>
    </w:rPr>
  </w:style>
  <w:style w:type="paragraph" w:customStyle="1" w:styleId="118">
    <w:name w:val="表格 标题"/>
    <w:qFormat/>
    <w:uiPriority w:val="0"/>
    <w:pPr>
      <w:spacing w:before="60"/>
      <w:jc w:val="center"/>
    </w:pPr>
    <w:rPr>
      <w:rFonts w:ascii="Times New Roman" w:hAnsi="Times New Roman" w:eastAsia="宋体" w:cs="Times New Roman"/>
      <w:b/>
      <w:snapToGrid w:val="0"/>
      <w:color w:val="000000"/>
      <w:sz w:val="21"/>
      <w:szCs w:val="22"/>
      <w:lang w:val="zh-CN" w:eastAsia="zh-CN" w:bidi="ar-SA"/>
    </w:rPr>
  </w:style>
  <w:style w:type="paragraph" w:customStyle="1" w:styleId="119">
    <w:name w:val="LL表格内容"/>
    <w:basedOn w:val="1"/>
    <w:qFormat/>
    <w:uiPriority w:val="0"/>
    <w:pPr>
      <w:wordWrap w:val="0"/>
      <w:overflowPunct w:val="0"/>
      <w:topLinePunct/>
      <w:autoSpaceDE w:val="0"/>
      <w:autoSpaceDN w:val="0"/>
      <w:spacing w:line="240" w:lineRule="auto"/>
      <w:jc w:val="center"/>
    </w:pPr>
    <w:rPr>
      <w:rFonts w:cs="宋体"/>
      <w:color w:val="auto"/>
      <w:kern w:val="0"/>
      <w:sz w:val="21"/>
      <w:szCs w:val="22"/>
      <w:lang w:val="zh-CN" w:bidi="zh-CN"/>
    </w:rPr>
  </w:style>
  <w:style w:type="paragraph" w:customStyle="1" w:styleId="120">
    <w:name w:val="国寰正文"/>
    <w:basedOn w:val="1"/>
    <w:qFormat/>
    <w:uiPriority w:val="0"/>
    <w:pPr>
      <w:adjustRightInd w:val="0"/>
      <w:snapToGrid w:val="0"/>
      <w:spacing w:line="360" w:lineRule="auto"/>
      <w:ind w:firstLine="200" w:firstLineChars="200"/>
    </w:pPr>
    <w:rPr>
      <w:spacing w:val="0"/>
      <w:kern w:val="2"/>
      <w:sz w:val="24"/>
      <w:szCs w:val="24"/>
    </w:rPr>
  </w:style>
  <w:style w:type="paragraph" w:customStyle="1" w:styleId="121">
    <w:name w:val="报告表"/>
    <w:basedOn w:val="1"/>
    <w:qFormat/>
    <w:uiPriority w:val="2"/>
    <w:pPr>
      <w:jc w:val="center"/>
      <w:outlineLvl w:val="0"/>
    </w:pPr>
    <w:rPr>
      <w:rFonts w:ascii="方正小标宋_GBK" w:eastAsia="方正小标宋_GBK"/>
      <w:bCs/>
      <w:sz w:val="72"/>
      <w:szCs w:val="72"/>
    </w:rPr>
  </w:style>
  <w:style w:type="paragraph" w:customStyle="1" w:styleId="122">
    <w:name w:val="Table Text"/>
    <w:basedOn w:val="1"/>
    <w:qFormat/>
    <w:uiPriority w:val="0"/>
    <w:rPr>
      <w:rFonts w:ascii="宋体" w:hAnsi="宋体" w:cs="宋体"/>
      <w:sz w:val="16"/>
      <w:szCs w:val="16"/>
      <w:lang w:eastAsia="en-US"/>
    </w:rPr>
  </w:style>
  <w:style w:type="paragraph" w:customStyle="1" w:styleId="123">
    <w:name w:val="表2"/>
    <w:basedOn w:val="1"/>
    <w:next w:val="50"/>
    <w:qFormat/>
    <w:uiPriority w:val="0"/>
    <w:pPr>
      <w:numPr>
        <w:ilvl w:val="0"/>
        <w:numId w:val="6"/>
      </w:numPr>
    </w:pPr>
  </w:style>
  <w:style w:type="character" w:customStyle="1" w:styleId="124">
    <w:name w:val="font71"/>
    <w:basedOn w:val="45"/>
    <w:qFormat/>
    <w:uiPriority w:val="0"/>
    <w:rPr>
      <w:rFonts w:hint="default" w:ascii="Times New Roman" w:hAnsi="Times New Roman" w:cs="Times New Roman"/>
      <w:color w:val="000000"/>
      <w:sz w:val="21"/>
      <w:szCs w:val="21"/>
      <w:u w:val="none"/>
      <w:vertAlign w:val="superscript"/>
    </w:rPr>
  </w:style>
  <w:style w:type="table" w:customStyle="1" w:styleId="125">
    <w:name w:val="Table Normal"/>
    <w:qFormat/>
    <w:uiPriority w:val="0"/>
    <w:rPr>
      <w:lang w:val="en-US" w:eastAsia="zh-CN" w:bidi="ar-SA"/>
    </w:rPr>
    <w:tblPr>
      <w:tblCellMar>
        <w:top w:w="0" w:type="dxa"/>
        <w:left w:w="0" w:type="dxa"/>
        <w:bottom w:w="0" w:type="dxa"/>
        <w:right w:w="0" w:type="dxa"/>
      </w:tblCellMar>
    </w:tblPr>
  </w:style>
  <w:style w:type="character" w:customStyle="1" w:styleId="126">
    <w:name w:val="font112"/>
    <w:basedOn w:val="45"/>
    <w:qFormat/>
    <w:uiPriority w:val="0"/>
    <w:rPr>
      <w:rFonts w:hint="eastAsia" w:ascii="宋体" w:hAnsi="宋体" w:eastAsia="宋体" w:cs="宋体"/>
      <w:color w:val="000000"/>
      <w:sz w:val="20"/>
      <w:szCs w:val="20"/>
      <w:u w:val="none"/>
    </w:rPr>
  </w:style>
  <w:style w:type="character" w:customStyle="1" w:styleId="127">
    <w:name w:val="fontstyle21"/>
    <w:qFormat/>
    <w:uiPriority w:val="0"/>
    <w:rPr>
      <w:rFonts w:hint="default" w:ascii="Times New Roman" w:hAnsi="Times New Roman" w:cs="Times New Roman"/>
      <w:color w:val="000000"/>
      <w:sz w:val="24"/>
      <w:szCs w:val="24"/>
    </w:rPr>
  </w:style>
  <w:style w:type="paragraph" w:customStyle="1" w:styleId="128">
    <w:name w:val="B表内"/>
    <w:basedOn w:val="1"/>
    <w:qFormat/>
    <w:uiPriority w:val="0"/>
    <w:pPr>
      <w:spacing w:line="0" w:lineRule="atLeast"/>
      <w:jc w:val="center"/>
    </w:pPr>
    <w:rPr>
      <w:rFonts w:cs="宋体"/>
    </w:rPr>
  </w:style>
  <w:style w:type="paragraph" w:customStyle="1" w:styleId="129">
    <w:name w:val="正文~"/>
    <w:basedOn w:val="1"/>
    <w:qFormat/>
    <w:uiPriority w:val="0"/>
    <w:pPr>
      <w:spacing w:line="360" w:lineRule="auto"/>
      <w:ind w:firstLine="177" w:firstLineChars="177"/>
    </w:pPr>
  </w:style>
  <w:style w:type="paragraph" w:customStyle="1" w:styleId="130">
    <w:name w:val="表1"/>
    <w:basedOn w:val="1"/>
    <w:next w:val="50"/>
    <w:qFormat/>
    <w:uiPriority w:val="0"/>
    <w:pPr>
      <w:numPr>
        <w:ilvl w:val="0"/>
        <w:numId w:val="7"/>
      </w:numPr>
      <w:spacing w:line="360" w:lineRule="auto"/>
      <w:ind w:firstLine="0" w:firstLineChars="0"/>
      <w:jc w:val="center"/>
    </w:pPr>
    <w:rPr>
      <w:b/>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4.xml"/><Relationship Id="rId33" Type="http://schemas.openxmlformats.org/officeDocument/2006/relationships/customXml" Target="../customXml/item3.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oleObject4.bin"/><Relationship Id="rId17" Type="http://schemas.openxmlformats.org/officeDocument/2006/relationships/image" Target="media/image4.wmf"/><Relationship Id="rId16" Type="http://schemas.openxmlformats.org/officeDocument/2006/relationships/oleObject" Target="embeddings/oleObject3.bin"/><Relationship Id="rId15" Type="http://schemas.openxmlformats.org/officeDocument/2006/relationships/image" Target="media/image3.emf"/><Relationship Id="rId14" Type="http://schemas.openxmlformats.org/officeDocument/2006/relationships/oleObject" Target="embeddings/oleObject2.bin"/><Relationship Id="rId13" Type="http://schemas.openxmlformats.org/officeDocument/2006/relationships/image" Target="media/image2.emf"/><Relationship Id="rId12" Type="http://schemas.openxmlformats.org/officeDocument/2006/relationships/oleObject" Target="embeddings/oleObject1.bin"/><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contractReview xmlns="http://schemas.wps.cn/vas-ai-hub/contract-review">
  <reviewItems>
    <reviewItem>
      <errorID>dfcd21cb-5041-4653-b26b-7c852019a16f</errorID>
      <errorWord>&lt;</errorWord>
      <group>L1_Format</group>
      <groupName>格式问题</groupName>
      <ability>L2_HalfPunc</ability>
      <abilityName>全半角检查</abilityName>
      <candidateList>
        <item>〈</item>
      </candidateList>
      <explain>文本全半角错误。</explain>
      <paraID>650B0C82</paraID>
      <start>57</start>
      <end>58</end>
      <status>ignored</status>
      <modifiedWord/>
      <trackRevisions>false</trackRevisions>
    </reviewItem>
    <reviewItem>
      <errorID>13496e0e-fb7e-47c9-84d9-d74dd27476e7</errorID>
      <errorWord>胶粘剂</errorWord>
      <group>L1_Word</group>
      <groupName>字词问题</groupName>
      <ability>L2_Typo</ability>
      <abilityName>字词错误</abilityName>
      <candidateList>
        <item>胶黏剂</item>
      </candidateList>
      <explain/>
      <paraID> 7DE61CF</paraID>
      <start>252</start>
      <end>255</end>
      <status>ignored</status>
      <modifiedWord/>
      <trackRevisions>false</trackRevisions>
    </reviewItem>
    <reviewItem>
      <errorID>050d5b5e-594f-4c52-8bc3-f8663401c96e</errorID>
      <errorWord>采用的</errorWord>
      <group>L1_Word</group>
      <groupName>字词问题</groupName>
      <ability>L2_Typo</ability>
      <abilityName>字词错误</abilityName>
      <candidateList>
        <item>采用</item>
      </candidateList>
      <explain/>
      <paraID> 7DE61CF</paraID>
      <start>458</start>
      <end>461</end>
      <status>ignored</status>
      <modifiedWord/>
      <trackRevisions>false</trackRevisions>
    </reviewItem>
    <reviewItem>
      <errorID>13116330-16dc-42a1-8e5e-cb02670a31b8</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C070EFB</paraID>
      <start>1</start>
      <end>2</end>
      <status>ignored</status>
      <modifiedWord/>
      <trackRevisions>false</trackRevisions>
    </reviewItem>
    <reviewItem>
      <errorID>64637ced-ddf8-4d04-9c68-f37023460176</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1F06AF07</paraID>
      <start>11</start>
      <end>12</end>
      <status>ignored</status>
      <modifiedWord/>
      <trackRevisions>false</trackRevisions>
    </reviewItem>
    <reviewItem>
      <errorID>e7e083e7-1b57-4d3b-8068-16a106641ce8</errorID>
      <errorWord>制造业产业</errorWord>
      <group>L1_Grammar</group>
      <groupName>语法问题</groupName>
      <ability>L2_Grammar</ability>
      <abilityName>语法错误</abilityName>
      <candidateList>
        <item>制造业</item>
      </candidateList>
      <explain/>
      <paraID>46F70836</paraID>
      <start>43</start>
      <end>48</end>
      <status>ignored</status>
      <modifiedWord/>
      <trackRevisions>false</trackRevisions>
    </reviewItem>
    <reviewItem>
      <errorID>ea8453c2-2301-4dd6-b43a-69b932823841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370D8C62</paraID>
      <start>0</start>
      <end>2</end>
      <status>ignored</status>
      <modifiedWord/>
      <trackRevisions>false</trackRevisions>
    </reviewItem>
    <reviewItem>
      <errorID>1bd63870-064f-4fe7-95c5-7878b3988ec2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692852AF</paraID>
      <start>0</start>
      <end>2</end>
      <status>ignored</status>
      <modifiedWord/>
      <trackRevisions>false</trackRevisions>
    </reviewItem>
    <reviewItem>
      <errorID>0d74f1da-79c4-4113-8e4a-53a10771f9dc</errorID>
      <errorWord>;</errorWord>
      <group>L1_Format</group>
      <groupName>格式问题</groupName>
      <ability>L2_HalfPunc</ability>
      <abilityName>全半角检查</abilityName>
      <candidateList>
        <item>；</item>
      </candidateList>
      <explain>文本全半角错误。</explain>
      <paraID>692852AF</paraID>
      <start>14</start>
      <end>15</end>
      <status>ignored</status>
      <modifiedWord/>
      <trackRevisions>false</trackRevisions>
    </reviewItem>
    <reviewItem>
      <errorID>885f5297-aa47-4378-b139-18c02321cf06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68B1772</paraID>
      <start>0</start>
      <end>2</end>
      <status>ignored</status>
      <modifiedWord/>
      <trackRevisions>false</trackRevisions>
    </reviewItem>
    <reviewItem>
      <errorID>ad6810e1-f666-4878-abe4-cdf38df32af0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7110F379</paraID>
      <start>0</start>
      <end>2</end>
      <status>ignored</status>
      <modifiedWord/>
      <trackRevisions>false</trackRevisions>
    </reviewItem>
    <reviewItem>
      <errorID>70262c74-fa5e-4df6-acb2-34cd3b892c33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76218956</paraID>
      <start>0</start>
      <end>2</end>
      <status>ignored</status>
      <modifiedWord/>
      <trackRevisions>false</trackRevisions>
    </reviewItem>
    <reviewItem>
      <errorID>e7575d6d-bf78-4b8f-b217-42a8139badfb</errorID>
      <errorWord>临近</errorWord>
      <group>L1_Word</group>
      <groupName>字词问题</groupName>
      <ability>L2_Typo</ability>
      <abilityName>字词错误</abilityName>
      <candidateList>
        <item>邻近</item>
      </candidateList>
      <explain>存在发音相同字词的误用。</explain>
      <paraID>76218956</paraID>
      <start>28</start>
      <end>30</end>
      <status>ignored</status>
      <modifiedWord/>
      <trackRevisions>false</trackRevisions>
    </reviewItem>
    <reviewItem>
      <errorID>c9dfce68-876e-4c7c-99b0-d9eee4866040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36F681BC</paraID>
      <start>0</start>
      <end>2</end>
      <status>ignored</status>
      <modifiedWord/>
      <trackRevisions>false</trackRevisions>
    </reviewItem>
    <reviewItem>
      <errorID>3aa67ad1-1e9b-4242-930b-0de93902886d</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3059DF15</paraID>
      <start>0</start>
      <end>2</end>
      <status>ignored</status>
      <modifiedWord/>
      <trackRevisions>false</trackRevisions>
    </reviewItem>
    <reviewItem>
      <errorID>4a9eda86-0795-4e7f-b44c-8e123374eb3b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38826741</paraID>
      <start>0</start>
      <end>2</end>
      <status>ignored</status>
      <modifiedWord/>
      <trackRevisions>false</trackRevisions>
    </reviewItem>
    <reviewItem>
      <errorID>e6873f5c-9a63-44a9-b53e-b75cc5f63a32</errorID>
      <errorWord>;</errorWord>
      <group>L1_Format</group>
      <groupName>格式问题</groupName>
      <ability>L2_HalfPunc</ability>
      <abilityName>全半角检查</abilityName>
      <candidateList>
        <item>；</item>
      </candidateList>
      <explain>文本全半角错误。</explain>
      <paraID>652F885E</paraID>
      <start>35</start>
      <end>36</end>
      <status>ignored</status>
      <modifiedWord/>
      <trackRevisions>false</trackRevisions>
    </reviewItem>
    <reviewItem>
      <errorID>f8251ced-18f7-4784-9b26-0e8ebbc8c993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621DE290</paraID>
      <start>0</start>
      <end>2</end>
      <status>ignored</status>
      <modifiedWord/>
      <trackRevisions>false</trackRevisions>
    </reviewItem>
    <reviewItem>
      <errorID>f9338817-17e3-47d7-af44-3add3851ffd7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D73CD18</paraID>
      <start>0</start>
      <end>2</end>
      <status>ignored</status>
      <modifiedWord/>
      <trackRevisions>false</trackRevisions>
    </reviewItem>
    <reviewItem>
      <errorID>5f51f9c2-a19b-49c4-81c6-1820301fa3f6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354B145A</paraID>
      <start>0</start>
      <end>2</end>
      <status>ignored</status>
      <modifiedWord/>
      <trackRevisions>false</trackRevisions>
    </reviewItem>
    <reviewItem>
      <errorID>91b6abed-69cc-4aad-b74d-9fe7b140fe59</errorID>
      <errorWord>DB44765</errorWord>
      <group>L1_Word</group>
      <groupName>字词问题</groupName>
      <ability>L2_Typo</ability>
      <abilityName>字词错误</abilityName>
      <candidateList>
        <item>DB44/765</item>
      </candidateList>
      <explain/>
      <paraID>354B145A</paraID>
      <start>31</start>
      <end>38</end>
      <status>ignored</status>
      <modifiedWord/>
      <trackRevisions>false</trackRevisions>
    </reviewItem>
    <reviewItem>
      <errorID>9cd19124-d6fc-4411-a4b9-cc4d507a3760</errorID>
      <errorWord>;</errorWord>
      <group>L1_Punc</group>
      <groupName>标点问题</groupName>
      <ability>L2_Punc</ability>
      <abilityName>标点符号检查</abilityName>
      <candidateList>
        <item>；</item>
      </candidateList>
      <explain/>
      <paraID>354B145A</paraID>
      <start>58</start>
      <end>59</end>
      <status>ignored</status>
      <modifiedWord/>
      <trackRevisions>false</trackRevisions>
    </reviewItem>
    <reviewItem>
      <errorID>be1bb547-5c83-4417-9d6b-208034b25006</errorID>
      <errorWord>DB44</errorWord>
      <group>L1_Punc</group>
      <groupName>标点问题</groupName>
      <ability>L2_Punc</ability>
      <abilityName>标点符号检查</abilityName>
      <candidateList>
        <item>(DB44</item>
      </candidateList>
      <explain/>
      <paraID>354B145A</paraID>
      <start>188</start>
      <end>192</end>
      <status>ignored</status>
      <modifiedWord/>
      <trackRevisions>false</trackRevisions>
    </reviewItem>
    <reviewItem>
      <errorID>e5f4c1ec-c04c-4dcd-b933-8d395bf634a1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2AD962E</paraID>
      <start>0</start>
      <end>2</end>
      <status>ignored</status>
      <modifiedWord/>
      <trackRevisions>false</trackRevisions>
    </reviewItem>
    <reviewItem>
      <errorID>8f755f5c-9f8a-4a82-a64a-e1a29c2196da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55DDBCC5</paraID>
      <start>0</start>
      <end>2</end>
      <status>ignored</status>
      <modifiedWord/>
      <trackRevisions>false</trackRevisions>
    </reviewItem>
    <reviewItem>
      <errorID>8c0a1154-f6c1-4931-b73a-4bae9c83a73a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64BD7CD4</paraID>
      <start>0</start>
      <end>2</end>
      <status>ignored</status>
      <modifiedWord/>
      <trackRevisions>false</trackRevisions>
    </reviewItem>
    <reviewItem>
      <errorID>60d95688-6265-487e-8316-82951d6d0c80</errorID>
      <errorWord>“三线一单"</errorWord>
      <group>L1_Political</group>
      <groupName>政治性问题</groupName>
      <ability>L2_Keyword</ability>
      <abilityName>固定表述</abilityName>
      <candidateList>
        <item>“三线一单”</item>
      </candidateList>
      <explain>此处内容疑似含有固定表述相关错误，建议核查。</explain>
      <paraID>64BD7CD4</paraID>
      <start>23</start>
      <end>29</end>
      <status>ignored</status>
      <modifiedWord/>
      <trackRevisions>false</trackRevisions>
    </reviewItem>
    <reviewItem>
      <errorID>a094de04-faa3-43f7-a43c-75cb5c0d3cac</errorID>
      <errorWord>需向</errorWord>
      <group>L1_Word</group>
      <groupName>字词问题</groupName>
      <ability>L2_Typo</ability>
      <abilityName>字词错误</abilityName>
      <candidateList>
        <item>需</item>
      </candidateList>
      <explain/>
      <paraID> 222A704</paraID>
      <start>20</start>
      <end>22</end>
      <status>ignored</status>
      <modifiedWord/>
      <trackRevisions>false</trackRevisions>
    </reviewItem>
    <reviewItem>
      <errorID>99e61642-11b5-4d74-8eef-eae01a8b044e</errorID>
      <errorWord>达</errorWord>
      <group>L1_Word</group>
      <groupName>字词问题</groupName>
      <ability>L2_Typo</ability>
      <abilityName>字词错误</abilityName>
      <candidateList>
        <item>达到</item>
      </candidateList>
      <explain>〈动〉到（多指抽象事物或程度）：达得到｜达不到｜目的没有～｜～国际水平。</explain>
      <paraID> 222A704</paraID>
      <start>67</start>
      <end>68</end>
      <status>ignored</status>
      <modifiedWord/>
      <trackRevisions>false</trackRevisions>
    </reviewItem>
    <reviewItem>
      <errorID>9c8a208a-4aa9-4b5d-a7c0-098f7d07f42d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49833484</paraID>
      <start>0</start>
      <end>2</end>
      <status>ignored</status>
      <modifiedWord/>
      <trackRevisions>false</trackRevisions>
    </reviewItem>
    <reviewItem>
      <errorID>ac5dcd3f-e28f-4309-b6f9-0e1d3dcffefd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2044AD4</paraID>
      <start>0</start>
      <end>2</end>
      <status>ignored</status>
      <modifiedWord/>
      <trackRevisions>false</trackRevisions>
    </reviewItem>
    <reviewItem>
      <errorID>c3350815-2aa4-4904-adaa-cc95ab9431d6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29F1A106</paraID>
      <start>0</start>
      <end>2</end>
      <status>ignored</status>
      <modifiedWord/>
      <trackRevisions>false</trackRevisions>
    </reviewItem>
    <reviewItem>
      <errorID>30ce51fc-4db2-483e-8c6c-164eb7244136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3E690A33</paraID>
      <start>0</start>
      <end>2</end>
      <status>ignored</status>
      <modifiedWord/>
      <trackRevisions>false</trackRevisions>
    </reviewItem>
    <reviewItem>
      <errorID>c203de28-c34e-4ca5-9d84-2ae6b398ae13</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3E690A33</paraID>
      <start>51</start>
      <end>52</end>
      <status>ignored</status>
      <modifiedWord/>
      <trackRevisions>false</trackRevisions>
    </reviewItem>
    <reviewItem>
      <errorID>8b6147d5-16cf-44e5-98a6-1caced21809b</errorID>
      <errorWord>如围堰</errorWord>
      <group>L1_Punc</group>
      <groupName>标点问题</groupName>
      <ability>L2_Punc</ability>
      <abilityName>标点符号检查</abilityName>
      <candidateList>
        <item>（如围堰）</item>
      </candidateList>
      <explain/>
      <paraID>43DB271E</paraID>
      <start>18</start>
      <end>21</end>
      <status>ignored</status>
      <modifiedWord/>
      <trackRevisions>false</trackRevisions>
    </reviewItem>
    <reviewItem>
      <errorID>12860595-9d82-4d5e-be16-110a020cf88c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270D5B55</paraID>
      <start>0</start>
      <end>2</end>
      <status>ignored</status>
      <modifiedWord/>
      <trackRevisions>false</trackRevisions>
    </reviewItem>
    <reviewItem>
      <errorID>c56f5fa5-f37f-4085-9449-862c74eff4e1</errorID>
      <errorWord>;</errorWord>
      <group>L1_Format</group>
      <groupName>格式问题</groupName>
      <ability>L2_HalfPunc</ability>
      <abilityName>全半角检查</abilityName>
      <candidateList>
        <item>；</item>
      </candidateList>
      <explain>文本全半角错误。</explain>
      <paraID>270D5B55</paraID>
      <start>27</start>
      <end>28</end>
      <status>ignored</status>
      <modifiedWord/>
      <trackRevisions>false</trackRevisions>
    </reviewItem>
    <reviewItem>
      <errorID>9b1441bc-d12a-42b3-80fe-560c6d4a36c5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4672DF94</paraID>
      <start>0</start>
      <end>2</end>
      <status>ignored</status>
      <modifiedWord/>
      <trackRevisions>false</trackRevisions>
    </reviewItem>
    <reviewItem>
      <errorID>b15a8ced-f9c8-4404-bd0b-c1f73aecd507</errorID>
      <errorWord>要求</errorWord>
      <group>L1_Punc</group>
      <groupName>标点问题</groupName>
      <ability>L2_Punc</ability>
      <abilityName>标点符号检查</abilityName>
      <candidateList>
        <item>要求。</item>
      </candidateList>
      <explain/>
      <paraID>4672DF94</paraID>
      <start>91</start>
      <end>94</end>
      <status>modified</status>
      <modifiedWord>要求。</modifiedWord>
      <trackRevisions>false</trackRevisions>
    </reviewItem>
    <reviewItem>
      <errorID>e90addec-a655-43b7-b1c9-99c10ec39d8c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27E614B9</paraID>
      <start>0</start>
      <end>2</end>
      <status>ignored</status>
      <modifiedWord/>
      <trackRevisions>false</trackRevisions>
    </reviewItem>
    <reviewItem>
      <errorID>a1597b04-5bc6-4721-8a16-52153a60ad8f</errorID>
      <errorWord>&lt;</errorWord>
      <group>L1_Format</group>
      <groupName>格式问题</groupName>
      <ability>L2_HalfPunc</ability>
      <abilityName>全半角检查</abilityName>
      <candidateList>
        <item>〈</item>
      </candidateList>
      <explain>文本全半角错误。</explain>
      <paraID>7BF3B967</paraID>
      <start>17</start>
      <end>18</end>
      <status>ignored</status>
      <modifiedWord/>
      <trackRevisions>false</trackRevisions>
    </reviewItem>
    <reviewItem>
      <errorID>cbc7fbdf-dba5-4440-a2bf-8ed6e46545b7</errorID>
      <errorWord>&lt;</errorWord>
      <group>L1_Format</group>
      <groupName>格式问题</groupName>
      <ability>L2_HalfPunc</ability>
      <abilityName>全半角检查</abilityName>
      <candidateList>
        <item>〈</item>
      </candidateList>
      <explain>文本全半角错误。</explain>
      <paraID>2B137A00</paraID>
      <start>15</start>
      <end>16</end>
      <status>ignored</status>
      <modifiedWord/>
      <trackRevisions>false</trackRevisions>
    </reviewItem>
    <reviewItem>
      <errorID>736aadb7-9b8c-4c4f-bdb8-c4d23f09828f</errorID>
      <errorWord>&lt;</errorWord>
      <group>L1_Format</group>
      <groupName>格式问题</groupName>
      <ability>L2_HalfPunc</ability>
      <abilityName>全半角检查</abilityName>
      <candidateList>
        <item>〈</item>
      </candidateList>
      <explain>文本全半角错误。</explain>
      <paraID>2011C1F1</paraID>
      <start>20</start>
      <end>21</end>
      <status>ignored</status>
      <modifiedWord/>
      <trackRevisions>false</trackRevisions>
    </reviewItem>
    <reviewItem>
      <errorID>d811e592-68ab-4414-93fb-1a88ca36a53a</errorID>
      <errorWord>所在地位</errorWord>
      <group>L1_Word</group>
      <groupName>字词问题</groupName>
      <ability>L2_Typo</ability>
      <abilityName>字词错误</abilityName>
      <candidateList>
        <item>所在地</item>
      </candidateList>
      <explain/>
      <paraID>4DA702EE</paraID>
      <start>53</start>
      <end>56</end>
      <status>modified</status>
      <modifiedWord>所在地</modifiedWord>
      <trackRevisions>false</trackRevisions>
    </reviewItem>
    <reviewItem>
      <errorID>9fcc962b-68a1-46a9-af4f-dbf6e6f08eee</errorID>
      <errorWord>&lt;</errorWord>
      <group>L1_Format</group>
      <groupName>格式问题</groupName>
      <ability>L2_HalfPunc</ability>
      <abilityName>全半角检查</abilityName>
      <candidateList>
        <item>〈</item>
      </candidateList>
      <explain>文本全半角错误。</explain>
      <paraID>371A3FD0</paraID>
      <start>13</start>
      <end>14</end>
      <status>ignored</status>
      <modifiedWord/>
      <trackRevisions>false</trackRevisions>
    </reviewItem>
    <reviewItem>
      <errorID>54e9d18f-2923-40ab-965f-644dfbdbffb2</errorID>
      <errorWord>&lt;</errorWord>
      <group>L1_Format</group>
      <groupName>格式问题</groupName>
      <ability>L2_HalfPunc</ability>
      <abilityName>全半角检查</abilityName>
      <candidateList>
        <item>〈</item>
      </candidateList>
      <explain>文本全半角错误。</explain>
      <paraID>4123430A</paraID>
      <start>74</start>
      <end>75</end>
      <status>ignored</status>
      <modifiedWord/>
      <trackRevisions>false</trackRevisions>
    </reviewItem>
    <reviewItem>
      <errorID>036006ec-a605-47aa-b81c-4c289f807963</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6D048A9C</paraID>
      <start>48</start>
      <end>49</end>
      <status>modified</status>
      <modifiedWord>地</modifiedWord>
      <trackRevisions>false</trackRevisions>
    </reviewItem>
    <reviewItem>
      <errorID>b22a2f4d-541e-4331-8721-97dc37e9c837</errorID>
      <errorWord>区</errorWord>
      <group>L1_Word</group>
      <groupName>字词问题</groupName>
      <ability>L2_Typo</ability>
      <abilityName>字词错误</abilityName>
      <candidateList>
        <item>区要</item>
      </candidateList>
      <explain/>
      <paraID> 46FB85E</paraID>
      <start>291</start>
      <end>292</end>
      <status>ignored</status>
      <modifiedWord/>
      <trackRevisions>false</trackRevisions>
    </reviewItem>
    <reviewItem>
      <errorID>a4b69a4e-3cc1-4c80-ad53-faedfc4d6308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3859C07A</paraID>
      <start>0</start>
      <end>2</end>
      <status>ignored</status>
      <modifiedWord/>
      <trackRevisions>false</trackRevisions>
    </reviewItem>
    <reviewItem>
      <errorID>ff93bc1f-82e5-40e6-8f80-30047d2a16b1</errorID>
      <errorWord>引用水</errorWord>
      <group>L1_Word</group>
      <groupName>字词问题</groupName>
      <ability>L2_Typo</ability>
      <abilityName>字词错误</abilityName>
      <candidateList>
        <item>饮用水</item>
      </candidateList>
      <explain>〈名〉喝的和做饭用的水。</explain>
      <paraID>48A2D103</paraID>
      <start>27</start>
      <end>30</end>
      <status>modified</status>
      <modifiedWord>饮用水</modifiedWord>
      <trackRevisions>false</trackRevisions>
    </reviewItem>
    <reviewItem>
      <errorID>f1a180ec-08eb-484f-8d4a-eb2b2d4f7bdb</errorID>
      <errorWord>：</errorWord>
      <group>L1_Punc</group>
      <groupName>标点问题</groupName>
      <ability>L2_Punc</ability>
      <abilityName>标点符号检查</abilityName>
      <candidateList>
        <item>——</item>
      </candidateList>
      <explain/>
      <paraID>48A2D103</paraID>
      <start>35</start>
      <end>36</end>
      <status>ignored</status>
      <modifiedWord/>
      <trackRevisions>false</trackRevisions>
    </reviewItem>
    <reviewItem>
      <errorID>853bac89-49a1-4d94-bcb8-4ea7828745b2</errorID>
      <errorWord>：</errorWord>
      <group>L1_Punc</group>
      <groupName>标点问题</groupName>
      <ability>L2_Punc</ability>
      <abilityName>标点符号检查</abilityName>
      <candidateList>
        <item>；</item>
      </candidateList>
      <explain/>
      <paraID>47A465C6</paraID>
      <start>86</start>
      <end>87</end>
      <status>ignored</status>
      <modifiedWord/>
      <trackRevisions>false</trackRevisions>
    </reviewItem>
    <reviewItem>
      <errorID>11ce6b5e-52dc-4368-b70a-41eba0c6c2dc</errorID>
      <errorWord>城乡结合部</errorWord>
      <group>L1_Word</group>
      <groupName>字词问题</groupName>
      <ability>L2_Typo</ability>
      <abilityName>字词错误</abilityName>
      <candidateList>
        <item>城乡接合部</item>
      </candidateList>
      <explain/>
      <paraID>2F498ABD</paraID>
      <start>34</start>
      <end>39</end>
      <status>ignored</status>
      <modifiedWord/>
      <trackRevisions>false</trackRevisions>
    </reviewItem>
    <reviewItem>
      <errorID>1081bfbf-16fd-4ba8-a144-f387757365e2</errorID>
      <errorWord>代替</errorWord>
      <group>L1_Word</group>
      <groupName>字词问题</groupName>
      <ability>L2_Typo</ability>
      <abilityName>字词错误</abilityName>
      <candidateList>
        <item>替代</item>
      </candidateList>
      <explain/>
      <paraID>37FB3196</paraID>
      <start>69</start>
      <end>71</end>
      <status>ignored</status>
      <modifiedWord/>
      <trackRevisions>false</trackRevisions>
    </reviewItem>
    <reviewItem>
      <errorID>fe8d8489-6eb5-49a5-bd2a-7a9167c1074b</errorID>
      <errorWord>&lt;</errorWord>
      <group>L1_Format</group>
      <groupName>格式问题</groupName>
      <ability>L2_HalfPunc</ability>
      <abilityName>全半角检查</abilityName>
      <candidateList>
        <item>〈</item>
      </candidateList>
      <explain>文本全半角错误。</explain>
      <paraID>7A157247</paraID>
      <start>8</start>
      <end>9</end>
      <status>ignored</status>
      <modifiedWord/>
      <trackRevisions>false</trackRevisions>
    </reviewItem>
    <reviewItem>
      <errorID>7fb9d2ba-7fe7-4f86-9597-55fcdd2e4948</errorID>
      <errorWord>胶粘剂</errorWord>
      <group>L1_Word</group>
      <groupName>字词问题</groupName>
      <ability>L2_Typo</ability>
      <abilityName>字词错误</abilityName>
      <candidateList>
        <item>胶黏剂</item>
      </candidateList>
      <explain/>
      <paraID>  CBBBAC</paraID>
      <start>119</start>
      <end>122</end>
      <status>ignored</status>
      <modifiedWord/>
      <trackRevisions>false</trackRevisions>
    </reviewItem>
    <reviewItem>
      <errorID>52cc1395-ca8a-40ad-a081-cc30a08180b7</errorID>
      <errorWord>,</errorWord>
      <group>L1_Format</group>
      <groupName>格式问题</groupName>
      <ability>L2_HalfPunc</ability>
      <abilityName>全半角检查</abilityName>
      <candidateList>
        <item>，</item>
      </candidateList>
      <explain>文本全半角错误。</explain>
      <paraID>18D0C113</paraID>
      <start>291</start>
      <end>292</end>
      <status>ignored</status>
      <modifiedWord/>
      <trackRevisions>false</trackRevisions>
    </reviewItem>
    <reviewItem>
      <errorID>6e738224-d4db-4ab6-8653-891c54bf23b5</errorID>
      <errorWord>&lt;</errorWord>
      <group>L1_Format</group>
      <groupName>格式问题</groupName>
      <ability>L2_HalfPunc</ability>
      <abilityName>全半角检查</abilityName>
      <candidateList>
        <item>〈</item>
      </candidateList>
      <explain>文本全半角错误。</explain>
      <paraID>43302478</paraID>
      <start>14</start>
      <end>15</end>
      <status>ignored</status>
      <modifiedWord/>
      <trackRevisions>false</trackRevisions>
    </reviewItem>
    <reviewItem>
      <errorID>aab6275d-c40c-41a0-b03b-ae10ec61a0c5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442A0298</paraID>
      <start>0</start>
      <end>2</end>
      <status>ignored</status>
      <modifiedWord/>
      <trackRevisions>false</trackRevisions>
    </reviewItem>
    <reviewItem>
      <errorID>bd5e8a81-d53e-4333-8866-210117ecbb1b</errorID>
      <errorWord>&lt;</errorWord>
      <group>L1_Format</group>
      <groupName>格式问题</groupName>
      <ability>L2_HalfPunc</ability>
      <abilityName>全半角检查</abilityName>
      <candidateList>
        <item>〈</item>
      </candidateList>
      <explain>文本全半角错误。</explain>
      <paraID>442A0298</paraID>
      <start>18</start>
      <end>19</end>
      <status>ignored</status>
      <modifiedWord/>
      <trackRevisions>false</trackRevisions>
    </reviewItem>
    <reviewItem>
      <errorID>641e4982-ae0d-4162-9716-c4f2f96e621a</errorID>
      <errorWord>&lt;</errorWord>
      <group>L1_Format</group>
      <groupName>格式问题</groupName>
      <ability>L2_HalfPunc</ability>
      <abilityName>全半角检查</abilityName>
      <candidateList>
        <item>〈</item>
      </candidateList>
      <explain>文本全半角错误。</explain>
      <paraID> DF6B62E</paraID>
      <start>239</start>
      <end>240</end>
      <status>ignored</status>
      <modifiedWord/>
      <trackRevisions>false</trackRevisions>
    </reviewItem>
    <reviewItem>
      <errorID>bde03520-f274-4615-a5bf-424e15c562cd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11FAD9CD</paraID>
      <start>0</start>
      <end>2</end>
      <status>ignored</status>
      <modifiedWord/>
      <trackRevisions>false</trackRevisions>
    </reviewItem>
    <reviewItem>
      <errorID>d0926790-3207-4dfb-9f51-11be439c6110</errorID>
      <errorWord>&lt;</errorWord>
      <group>L1_Format</group>
      <groupName>格式问题</groupName>
      <ability>L2_HalfPunc</ability>
      <abilityName>全半角检查</abilityName>
      <candidateList>
        <item>〈</item>
      </candidateList>
      <explain>文本全半角错误。</explain>
      <paraID>11FAD9CD</paraID>
      <start>18</start>
      <end>19</end>
      <status>ignored</status>
      <modifiedWord/>
      <trackRevisions>false</trackRevisions>
    </reviewItem>
    <reviewItem>
      <errorID>b5a3b2e4-8578-486e-a888-f356cff60a84</errorID>
      <errorWord>的</errorWord>
      <group>L1_Punc</group>
      <groupName>标点问题</groupName>
      <ability>L2_Punc</ability>
      <abilityName>标点符号检查</abilityName>
      <candidateList>
        <item>&gt;的</item>
      </candidateList>
      <explain/>
      <paraID>11FAD9CD</paraID>
      <start>35</start>
      <end>37</end>
      <status>modified</status>
      <modifiedWord>&gt;的</modifiedWord>
      <trackRevisions>false</trackRevisions>
    </reviewItem>
    <reviewItem>
      <errorID>cc309090-dfe8-4241-9bb1-ee0ce409e35e</errorID>
      <errorWord>&lt;</errorWord>
      <group>L1_Format</group>
      <groupName>格式问题</groupName>
      <ability>L2_HalfPunc</ability>
      <abilityName>全半角检查</abilityName>
      <candidateList>
        <item>〈</item>
      </candidateList>
      <explain>文本全半角错误。</explain>
      <paraID>701DB42F</paraID>
      <start>226</start>
      <end>227</end>
      <status>ignored</status>
      <modifiedWord/>
      <trackRevisions>false</trackRevisions>
    </reviewItem>
    <reviewItem>
      <errorID>a6657027-1f90-4b31-842b-580d6e969d18</errorID>
      <errorWord>环境保护部</errorWord>
      <group>L1_Political</group>
      <groupName>政治性问题</groupName>
      <ability>L2_Keyword</ability>
      <abilityName>固定表述</abilityName>
      <candidateList>
        <item>生态环境部</item>
      </candidateList>
      <explain>此处内容疑似含有固定表述相关错误，建议核查。</explain>
      <paraID>4422261E</paraID>
      <start>4</start>
      <end>9</end>
      <status>ignored</status>
      <modifiedWord/>
      <trackRevisions>false</trackRevisions>
    </reviewItem>
    <reviewItem>
      <errorID>bea3c8a0-a8a3-4d8e-a347-bdecee046b2b</errorID>
      <errorWord>&lt;</errorWord>
      <group>L1_Format</group>
      <groupName>格式问题</groupName>
      <ability>L2_HalfPunc</ability>
      <abilityName>全半角检查</abilityName>
      <candidateList>
        <item>〈</item>
      </candidateList>
      <explain>文本全半角错误。</explain>
      <paraID>4422261E</paraID>
      <start>13</start>
      <end>14</end>
      <status>ignored</status>
      <modifiedWord/>
      <trackRevisions>false</trackRevisions>
    </reviewItem>
    <reviewItem>
      <errorID>abfc669d-91c0-4631-b45b-397fb9f469bc</errorID>
      <errorWord>环境保护部</errorWord>
      <group>L1_Political</group>
      <groupName>政治性问题</groupName>
      <ability>L2_Keyword</ability>
      <abilityName>固定表述</abilityName>
      <candidateList>
        <item>生态环境部</item>
      </candidateList>
      <explain>此处内容疑似含有固定表述相关错误，建议核查。</explain>
      <paraID>7FCC4F6C</paraID>
      <start>63</start>
      <end>68</end>
      <status>ignored</status>
      <modifiedWord/>
      <trackRevisions>false</trackRevisions>
    </reviewItem>
    <reviewItem>
      <errorID>7474ff57-3c69-4058-9d18-a04f343f611f</errorID>
      <errorWord>&lt;</errorWord>
      <group>L1_Format</group>
      <groupName>格式问题</groupName>
      <ability>L2_HalfPunc</ability>
      <abilityName>全半角检查</abilityName>
      <candidateList>
        <item>〈</item>
      </candidateList>
      <explain>文本全半角错误。</explain>
      <paraID>7FCC4F6C</paraID>
      <start>73</start>
      <end>74</end>
      <status>ignored</status>
      <modifiedWord/>
      <trackRevisions>false</trackRevisions>
    </reviewItem>
    <reviewItem>
      <errorID>bbcb2011-40bd-4a66-8636-eb13799fb836</errorID>
      <errorWord>国家生态环境部</errorWord>
      <group>L1_Political</group>
      <groupName>政治性问题</groupName>
      <ability>L2_Unpolitical</ability>
      <abilityName>政治敏感错误</abilityName>
      <candidateList>
        <item>生态环境部</item>
      </candidateList>
      <explain/>
      <paraID>36BAC023</paraID>
      <start>176</start>
      <end>181</end>
      <status>modified</status>
      <modifiedWord>生态环境部</modifiedWord>
      <trackRevisions>false</trackRevisions>
    </reviewItem>
    <reviewItem>
      <errorID>f8d5ceb2-5370-4ab4-a617-ae8479ff663b</errorID>
      <errorWord>面布置图</errorWord>
      <group>L1_Word</group>
      <groupName>字词问题</groupName>
      <ability>L2_Typo</ability>
      <abilityName>字词错误</abilityName>
      <candidateList>
        <item>平面布置图</item>
      </candidateList>
      <explain/>
      <paraID>13867C9D</paraID>
      <start>93</start>
      <end>98</end>
      <status>modified</status>
      <modifiedWord>平面布置图</modifiedWord>
      <trackRevisions>false</trackRevisions>
    </reviewItem>
    <reviewItem>
      <errorID>3ece8c86-db73-48f6-be33-c2a9d09b1953</errorID>
      <errorWord>厂</errorWord>
      <group>L1_Word</group>
      <groupName>字词问题</groupName>
      <ability>L2_Typo</ability>
      <abilityName>字词错误</abilityName>
      <candidateList>
        <item> 厂</item>
      </candidateList>
      <explain/>
      <paraID> D9F8D06</paraID>
      <start>0</start>
      <end>1</end>
      <status>ignored</status>
      <modifiedWord/>
      <trackRevisions>false</trackRevisions>
    </reviewItem>
    <reviewItem>
      <errorID>d4ccd0a5-0446-4a9e-a1d7-a0af6a19a2b7</errorID>
      <errorWord>项目</errorWord>
      <group>L1_Word</group>
      <groupName>字词问题</groupName>
      <ability>L2_Typo</ability>
      <abilityName>字词错误</abilityName>
      <candidateList>
        <item>本项目</item>
      </candidateList>
      <explain/>
      <paraID> 3033A89</paraID>
      <start>2</start>
      <end>5</end>
      <status>modified</status>
      <modifiedWord>本项目</modifiedWord>
      <trackRevisions>false</trackRevisions>
    </reviewItem>
    <reviewItem>
      <errorID>a15b220e-4db4-4961-91f0-0dfa745c6d04</errorID>
      <errorWord>、</errorWord>
      <group>L1_Punc</group>
      <groupName>标点问题</groupName>
      <ability>L2_Punc</ability>
      <abilityName>标点符号检查</abilityName>
      <candidateList>
        <item>，</item>
      </candidateList>
      <explain/>
      <paraID>56803CFF</paraID>
      <start>52</start>
      <end>53</end>
      <status>ignored</status>
      <modifiedWord/>
      <trackRevisions>false</trackRevisions>
    </reviewItem>
    <reviewItem>
      <errorID>79a591a3-2c41-4b59-9210-de32d2130fa6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58D82245</paraID>
      <start>0</start>
      <end>2</end>
      <status>ignored</status>
      <modifiedWord/>
      <trackRevisions>false</trackRevisions>
    </reviewItem>
    <reviewItem>
      <errorID>809a6865-c465-4de2-818a-b01df036360e</errorID>
      <errorWord>丝印</errorWord>
      <group>L1_Punc</group>
      <groupName>标点问题</groupName>
      <ability>L2_Punc</ability>
      <abilityName>标点符号检查</abilityName>
      <candidateList>
        <item>、丝印</item>
      </candidateList>
      <explain/>
      <paraID>4C32D375</paraID>
      <start>112</start>
      <end>114</end>
      <status>ignored</status>
      <modifiedWord/>
      <trackRevisions>false</trackRevisions>
    </reviewItem>
    <reviewItem>
      <errorID>725756ff-d803-4c90-8fd0-1e80f1858d50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64DDD53D</paraID>
      <start>0</start>
      <end>2</end>
      <status>ignored</status>
      <modifiedWord/>
      <trackRevisions>false</trackRevisions>
    </reviewItem>
    <reviewItem>
      <errorID>0392e9a4-03e7-478b-b3b7-54bf0851637c</errorID>
      <errorWord>t</errorWord>
      <group>L1_Punc</group>
      <groupName>标点问题</groupName>
      <ability>L2_Punc</ability>
      <abilityName>标点符号检查</abilityName>
      <candidateList>
        <item>（t）</item>
      </candidateList>
      <explain/>
      <paraID>520BF2C3</paraID>
      <start>5</start>
      <end>8</end>
      <status>modified</status>
      <modifiedWord>（t）</modifiedWord>
      <trackRevisions>false</trackRevisions>
    </reviewItem>
    <reviewItem>
      <errorID>f5f0f516-28ca-4a9e-87e1-d32f47f1d62d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20CF601B</paraID>
      <start>30</start>
      <end>31</end>
      <status>ignored</status>
      <modifiedWord/>
      <trackRevisions>false</trackRevisions>
    </reviewItem>
    <reviewItem>
      <errorID>44edd2df-755c-4109-b7b6-5441aa181fa2</errorID>
      <errorWord>40%~60%</errorWord>
      <group>L1_Knowledge</group>
      <groupName>知识性问题</groupName>
      <ability>L2_Knowledge</ability>
      <abilityName>其他知识</abilityName>
      <candidateList>
        <item>40%～60%</item>
      </candidateList>
      <explain>1. “40%~60%”中的单位“%”仅出现在后一个数字上，容易引起歧义；根据《现代汉语标点符号数字用法规范手册》，数字表示范围两边需要使用统一的格式。2. 根据标点国标 4.13 中的规则，数字、时间或地域连接符应使用（视觉上更长的）“—”或“～”。</explain>
      <paraID> 63F8BB8</paraID>
      <start>7</start>
      <end>14</end>
      <status>ignored</status>
      <modifiedWord/>
      <trackRevisions>false</trackRevisions>
    </reviewItem>
    <reviewItem>
      <errorID>cc4e5f4d-5c4b-4f40-be19-e88adc02ad6c</errorID>
      <errorWord>3%~8%</errorWord>
      <group>L1_Knowledge</group>
      <groupName>知识性问题</groupName>
      <ability>L2_Knowledge</ability>
      <abilityName>其他知识</abilityName>
      <candidateList>
        <item>3%～8%</item>
      </candidateList>
      <explain>1. “3%~8%”中的单位“%”仅出现在后一个数字上，容易引起歧义；根据《现代汉语标点符号数字用法规范手册》，数字表示范围两边需要使用统一的格式。2. 根据标点国标 4.13 中的规则，数字、时间或地域连接符应使用（视觉上更长的）“—”或“～”。</explain>
      <paraID>22AE4BA8</paraID>
      <start>3</start>
      <end>8</end>
      <status>ignored</status>
      <modifiedWord/>
      <trackRevisions>false</trackRevisions>
    </reviewItem>
    <reviewItem>
      <errorID>b5ca4e36-2a8a-481d-892f-49e2568f97d0</errorID>
      <errorWord>1%~5%</errorWord>
      <group>L1_Knowledge</group>
      <groupName>知识性问题</groupName>
      <ability>L2_Knowledge</ability>
      <abilityName>其他知识</abilityName>
      <candidateList>
        <item>1%～5%</item>
      </candidateList>
      <explain>1. “1%~5%”中的单位“%”仅出现在后一个数字上，容易引起歧义；根据《现代汉语标点符号数字用法规范手册》，数字表示范围两边需要使用统一的格式。2. 根据标点国标 4.13 中的规则，数字、时间或地域连接符应使用（视觉上更长的）“—”或“～”。</explain>
      <paraID>7B9F6160</paraID>
      <start>4</start>
      <end>9</end>
      <status>ignored</status>
      <modifiedWord/>
      <trackRevisions>false</trackRevisions>
    </reviewItem>
    <reviewItem>
      <errorID>6e5c4001-d631-4f00-8680-a9325530bfb3</errorID>
      <errorWord>15%~30%</errorWord>
      <group>L1_Knowledge</group>
      <groupName>知识性问题</groupName>
      <ability>L2_Knowledge</ability>
      <abilityName>其他知识</abilityName>
      <candidateList>
        <item>15%～30%</item>
      </candidateList>
      <explain>1. “15%~30%”中的单位“%”仅出现在后一个数字上，容易引起歧义；根据《现代汉语标点符号数字用法规范手册》，数字表示范围两边需要使用统一的格式。2. 根据标点国标 4.13 中的规则，数字、时间或地域连接符应使用（视觉上更长的）“—”或“～”。</explain>
      <paraID>46D6C494</paraID>
      <start>3</start>
      <end>10</end>
      <status>ignored</status>
      <modifiedWord/>
      <trackRevisions>false</trackRevisions>
    </reviewItem>
    <reviewItem>
      <errorID>9c092ee1-5041-4974-8c74-e334249a3d35</errorID>
      <errorWord>;</errorWord>
      <group>L1_Format</group>
      <groupName>格式问题</groupName>
      <ability>L2_HalfPunc</ability>
      <abilityName>全半角检查</abilityName>
      <candidateList>
        <item>；</item>
      </candidateList>
      <explain>文本全半角错误。</explain>
      <paraID>7B2085F6</paraID>
      <start>74</start>
      <end>75</end>
      <status>ignored</status>
      <modifiedWord/>
      <trackRevisions>false</trackRevisions>
    </reviewItem>
    <reviewItem>
      <errorID>68f0c661-9c63-46c1-8fc8-035d63175828</errorID>
      <errorWord>70%~100%</errorWord>
      <group>L1_Knowledge</group>
      <groupName>知识性问题</groupName>
      <ability>L2_Knowledge</ability>
      <abilityName>其他知识</abilityName>
      <candidateList>
        <item>70%～100%</item>
      </candidateList>
      <explain>1. “70%~100%”中的单位“%”仅出现在后一个数字上，容易引起歧义；根据《现代汉语标点符号数字用法规范手册》，数字表示范围两边需要使用统一的格式。2. 根据标点国标 4.13 中的规则，数字、时间或地域连接符应使用（视觉上更长的）“—”或“～”。</explain>
      <paraID>5334B037</paraID>
      <start>9</start>
      <end>17</end>
      <status>ignored</status>
      <modifiedWord/>
      <trackRevisions>false</trackRevisions>
    </reviewItem>
    <reviewItem>
      <errorID>23b0e4c5-8621-41fc-890c-b54e2fb00ef6</errorID>
      <errorWord>5%~25%</errorWord>
      <group>L1_Knowledge</group>
      <groupName>知识性问题</groupName>
      <ability>L2_Knowledge</ability>
      <abilityName>其他知识</abilityName>
      <candidateList>
        <item>5%～25%</item>
      </candidateList>
      <explain>1. “5%~25%”中的单位“%”仅出现在后一个数字上，容易引起歧义；根据《现代汉语标点符号数字用法规范手册》，数字表示范围两边需要使用统一的格式。2. 根据标点国标 4.13 中的规则，数字、时间或地域连接符应使用（视觉上更长的）“—”或“～”。</explain>
      <paraID>39AA9AEA</paraID>
      <start>4</start>
      <end>10</end>
      <status>ignored</status>
      <modifiedWord/>
      <trackRevisions>false</trackRevisions>
    </reviewItem>
    <reviewItem>
      <errorID>5a80be6b-1f49-4e80-8918-e6860676a1a5</errorID>
      <errorWord>;</errorWord>
      <group>L1_Format</group>
      <groupName>格式问题</groupName>
      <ability>L2_HalfPunc</ability>
      <abilityName>全半角检查</abilityName>
      <candidateList>
        <item>；</item>
      </candidateList>
      <explain>文本全半角错误。</explain>
      <paraID>74877DC8</paraID>
      <start>68</start>
      <end>69</end>
      <status>ignored</status>
      <modifiedWord/>
      <trackRevisions>false</trackRevisions>
    </reviewItem>
    <reviewItem>
      <errorID>a65056d4-5e05-400f-ba15-e451c54d6543</errorID>
      <errorWord>10%~30%</errorWord>
      <group>L1_Knowledge</group>
      <groupName>知识性问题</groupName>
      <ability>L2_Knowledge</ability>
      <abilityName>其他知识</abilityName>
      <candidateList>
        <item>10%～30%</item>
      </candidateList>
      <explain>1. “10%~30%”中的单位“%”仅出现在后一个数字上，容易引起歧义；根据《现代汉语标点符号数字用法规范手册》，数字表示范围两边需要使用统一的格式。2. 根据标点国标 4.13 中的规则，数字、时间或地域连接符应使用（视觉上更长的）“—”或“～”。</explain>
      <paraID>1460E6E8</paraID>
      <start>3</start>
      <end>10</end>
      <status>ignored</status>
      <modifiedWord/>
      <trackRevisions>false</trackRevisions>
    </reviewItem>
    <reviewItem>
      <errorID>e11e931c-b9a7-4c12-9cdf-fc4af8dd9f16</errorID>
      <errorWord>30%~50%</errorWord>
      <group>L1_Knowledge</group>
      <groupName>知识性问题</groupName>
      <ability>L2_Knowledge</ability>
      <abilityName>其他知识</abilityName>
      <candidateList>
        <item>30%～50%</item>
      </candidateList>
      <explain>1. “30%~50%”中的单位“%”仅出现在后一个数字上，容易引起歧义；根据《现代汉语标点符号数字用法规范手册》，数字表示范围两边需要使用统一的格式。2. 根据标点国标 4.13 中的规则，数字、时间或地域连接符应使用（视觉上更长的）“—”或“～”。</explain>
      <paraID>3CAC8056</paraID>
      <start>4</start>
      <end>11</end>
      <status>ignored</status>
      <modifiedWord/>
      <trackRevisions>false</trackRevisions>
    </reviewItem>
    <reviewItem>
      <errorID>ffbe7e4c-d098-4afa-bdd4-2364ee0e2f4c</errorID>
      <errorWord>20%~40%</errorWord>
      <group>L1_Knowledge</group>
      <groupName>知识性问题</groupName>
      <ability>L2_Knowledge</ability>
      <abilityName>其他知识</abilityName>
      <candidateList>
        <item>20%～40%</item>
      </candidateList>
      <explain>1. “20%~40%”中的单位“%”仅出现在后一个数字上，容易引起歧义；根据《现代汉语标点符号数字用法规范手册》，数字表示范围两边需要使用统一的格式。2. 根据标点国标 4.13 中的规则，数字、时间或地域连接符应使用（视觉上更长的）“—”或“～”。</explain>
      <paraID>3CAC8056</paraID>
      <start>19</start>
      <end>26</end>
      <status>ignored</status>
      <modifiedWord/>
      <trackRevisions>false</trackRevisions>
    </reviewItem>
    <reviewItem>
      <errorID>6cc60e34-b314-4c1d-8f3a-a885e9a975f9</errorID>
      <errorWord>混浊</errorWord>
      <group>L1_Word</group>
      <groupName>字词问题</groupName>
      <ability>L2_Typo</ability>
      <abilityName>字词错误</abilityName>
      <candidateList>
        <item>浑浊</item>
      </candidateList>
      <explain>存在发音相同字词的误用。</explain>
      <paraID>6D0F75B8</paraID>
      <start>25</start>
      <end>27</end>
      <status>ignored</status>
      <modifiedWord/>
      <trackRevisions>false</trackRevisions>
    </reviewItem>
    <reviewItem>
      <errorID>1fb43e92-465e-4df4-8d07-1251fcc89d34</errorID>
      <errorWord> </errorWord>
      <group>L1_Punc</group>
      <groupName>标点问题</groupName>
      <ability>L2_Punc</ability>
      <abilityName>标点符号检查</abilityName>
      <candidateList>
        <item>；</item>
      </candidateList>
      <explain/>
      <paraID>3F70F8CB</paraID>
      <start>4</start>
      <end>5</end>
      <status>modified</status>
      <modifiedWord>；</modifiedWord>
      <trackRevisions>false</trackRevisions>
    </reviewItem>
    <reviewItem>
      <errorID>7e0c6b86-9d48-46eb-a55b-2a47230bd223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2CEF787F</paraID>
      <start>0</start>
      <end>2</end>
      <status>ignored</status>
      <modifiedWord/>
      <trackRevisions>false</trackRevisions>
    </reviewItem>
    <reviewItem>
      <errorID>1a698324-8e3b-41e4-a77b-af4383ed013b</errorID>
      <errorWord>资料</errorWord>
      <group>L1_Word</group>
      <groupName>字词问题</groupName>
      <ability>L2_Typo</ability>
      <abilityName>字词错误</abilityName>
      <candidateList>
        <item>的资料</item>
      </candidateList>
      <explain/>
      <paraID>2CEF787F</paraID>
      <start>10</start>
      <end>13</end>
      <status>modified</status>
      <modifiedWord>的资料</modifiedWord>
      <trackRevisions>false</trackRevisions>
    </reviewItem>
    <reviewItem>
      <errorID>40c99139-dc40-4bc8-a83c-cd611694fe91</errorID>
      <errorWord> </errorWord>
      <group>L1_Punc</group>
      <groupName>标点问题</groupName>
      <ability>L2_Punc</ability>
      <abilityName>标点符号检查</abilityName>
      <candidateList>
        <item>》（</item>
      </candidateList>
      <explain/>
      <paraID>2CEF787F</paraID>
      <start>43</start>
      <end>44</end>
      <status>ignored</status>
      <modifiedWord/>
      <trackRevisions>false</trackRevisions>
    </reviewItem>
    <reviewItem>
      <errorID>53b1868b-be9b-41e0-aa45-3d451d2efed8</errorID>
      <errorWord> </errorWord>
      <group>L1_Punc</group>
      <groupName>标点问题</groupName>
      <ability>L2_Punc</ability>
      <abilityName>标点符号检查</abilityName>
      <candidateList>
        <item>，</item>
      </candidateList>
      <explain/>
      <paraID>2CEF787F</paraID>
      <start>51</start>
      <end>52</end>
      <status>ignored</status>
      <modifiedWord/>
      <trackRevisions>false</trackRevisions>
    </reviewItem>
    <reviewItem>
      <errorID>326f368c-7f3a-4657-a0a9-fd9242062650</errorID>
      <errorWord>》</errorWord>
      <group>L1_Punc</group>
      <groupName>标点问题</groupName>
      <ability>L2_Punc</ability>
      <abilityName>标点符号检查</abilityName>
      <candidateList>
        <item/>
      </candidateList>
      <explain/>
      <paraID>2CEF787F</paraID>
      <start>62</start>
      <end>63</end>
      <status>ignored</status>
      <modifiedWord/>
      <trackRevisions>false</trackRevisions>
    </reviewItem>
    <reviewItem>
      <errorID>99a3b079-07ac-40d5-96e0-6e23a0a7e554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365E51EC</paraID>
      <start>0</start>
      <end>2</end>
      <status>ignored</status>
      <modifiedWord/>
      <trackRevisions>false</trackRevisions>
    </reviewItem>
    <reviewItem>
      <errorID>257881ab-0880-4631-bf18-b0a0d3795f33</errorID>
      <errorWord>：</errorWord>
      <group>L1_Format</group>
      <groupName>格式问题</groupName>
      <ability>L2_HalfPunc</ability>
      <abilityName>全半角检查</abilityName>
      <candidateList>
        <item>:</item>
      </candidateList>
      <explain>文本全半角错误。</explain>
      <paraID>2DB93CE2</paraID>
      <start>20</start>
      <end>21</end>
      <status>ignored</status>
      <modifiedWord/>
      <trackRevisions>false</trackRevisions>
    </reviewItem>
    <reviewItem>
      <errorID>d3b1c8e2-4666-43a7-b57f-7800893a0b75</errorID>
      <errorWord>,</errorWord>
      <group>L1_Format</group>
      <groupName>格式问题</groupName>
      <ability>L2_HalfPunc</ability>
      <abilityName>全半角检查</abilityName>
      <candidateList>
        <item>，</item>
      </candidateList>
      <explain>文本全半角错误。</explain>
      <paraID>138DE86E</paraID>
      <start>58</start>
      <end>59</end>
      <status>ignored</status>
      <modifiedWord/>
      <trackRevisions>false</trackRevisions>
    </reviewItem>
    <reviewItem>
      <errorID>ff4aa895-f9b1-440a-9ff2-632a286b3ca1</errorID>
      <errorWord>挥发份</errorWord>
      <group>L1_Word</group>
      <groupName>字词问题</groupName>
      <ability>L2_Typo</ability>
      <abilityName>字词错误</abilityName>
      <candidateList>
        <item>挥发分</item>
      </candidateList>
      <explain/>
      <paraID>36C96797</paraID>
      <start>45</start>
      <end>48</end>
      <status>modified</status>
      <modifiedWord>挥发分</modifiedWord>
      <trackRevisions>false</trackRevisions>
    </reviewItem>
    <reviewItem>
      <errorID>532e4897-1deb-4bed-b155-7111719abbac</errorID>
      <errorWord>②</errorWord>
      <group>L1_Word</group>
      <groupName>字词问题</groupName>
      <ability>L2_Typo</ability>
      <abilityName>字词错误</abilityName>
      <candidateList>
        <item>③</item>
      </candidateList>
      <explain/>
      <paraID>2A7EA250</paraID>
      <start>0</start>
      <end>1</end>
      <status>ignored</status>
      <modifiedWord/>
      <trackRevisions>false</trackRevisions>
    </reviewItem>
    <reviewItem>
      <errorID>a73a70f1-fbcf-4771-8c2c-0dcbbc9559b2</errorID>
      <errorWord>T38597</errorWord>
      <group>L1_Word</group>
      <groupName>字词问题</groupName>
      <ability>L2_Typo</ability>
      <abilityName>字词错误</abilityName>
      <candidateList>
        <item>T 38597</item>
      </candidateList>
      <explain/>
      <paraID>208E2D16</paraID>
      <start>25</start>
      <end>31</end>
      <status>ignored</status>
      <modifiedWord/>
      <trackRevisions>false</trackRevisions>
    </reviewItem>
    <reviewItem>
      <errorID>d5c61a89-5777-4433-a184-8aa4f85ced24</errorID>
      <errorWord>GB38507</errorWord>
      <group>L1_Word</group>
      <groupName>字词问题</groupName>
      <ability>L2_Typo</ability>
      <abilityName>字词错误</abilityName>
      <candidateList>
        <item>GB 38507</item>
      </candidateList>
      <explain/>
      <paraID>5C62D495</paraID>
      <start>26</start>
      <end>33</end>
      <status>ignored</status>
      <modifiedWord/>
      <trackRevisions>false</trackRevisions>
    </reviewItem>
    <reviewItem>
      <errorID>98de88e1-6b19-4087-92bf-8a7681395ea9</errorID>
      <errorWord> </errorWord>
      <group>L1_Punc</group>
      <groupName>标点问题</groupName>
      <ability>L2_Punc</ability>
      <abilityName>标点符号检查</abilityName>
      <candidateList>
        <item>》（</item>
      </candidateList>
      <explain/>
      <paraID>229E2B9F</paraID>
      <start>9</start>
      <end>10</end>
      <status>ignored</status>
      <modifiedWord/>
      <trackRevisions>false</trackRevisions>
    </reviewItem>
    <reviewItem>
      <errorID>fc5c890b-970e-4cf3-8577-d21f51fac587</errorID>
      <errorWord> </errorWord>
      <group>L1_Punc</group>
      <groupName>标点问题</groupName>
      <ability>L2_Punc</ability>
      <abilityName>标点符号检查</abilityName>
      <candidateList>
        <item>，</item>
      </candidateList>
      <explain/>
      <paraID>229E2B9F</paraID>
      <start>17</start>
      <end>18</end>
      <status>ignored</status>
      <modifiedWord/>
      <trackRevisions>false</trackRevisions>
    </reviewItem>
    <reviewItem>
      <errorID>478c4801-a87d-455d-ad90-432eb5196107</errorID>
      <errorWord>》</errorWord>
      <group>L1_Punc</group>
      <groupName>标点问题</groupName>
      <ability>L2_Punc</ability>
      <abilityName>标点符号检查</abilityName>
      <candidateList>
        <item>）</item>
      </candidateList>
      <explain/>
      <paraID>229E2B9F</paraID>
      <start>28</start>
      <end>29</end>
      <status>ignored</status>
      <modifiedWord/>
      <trackRevisions>false</trackRevisions>
    </reviewItem>
    <reviewItem>
      <errorID>162554a6-0a95-4b2b-96e7-1e9d037f2641</errorID>
      <errorWord>粉末</errorWord>
      <group>L1_Word</group>
      <groupName>字词问题</groupName>
      <ability>L2_Typo</ability>
      <abilityName>字词错误</abilityName>
      <candidateList>
        <item> 粉末</item>
      </candidateList>
      <explain/>
      <paraID>229E2B9F</paraID>
      <start>37</start>
      <end>39</end>
      <status>ignored</status>
      <modifiedWord/>
      <trackRevisions>false</trackRevisions>
    </reviewItem>
    <reviewItem>
      <errorID>6c2829a4-d0be-45d5-a5da-6343b21f952f</errorID>
      <errorWord> </errorWord>
      <group>L1_Punc</group>
      <groupName>标点问题</groupName>
      <ability>L2_Punc</ability>
      <abilityName>标点符号检查</abilityName>
      <candidateList>
        <item>，</item>
      </candidateList>
      <explain/>
      <paraID>229E2B9F</paraID>
      <start>41</start>
      <end>42</end>
      <status>ignored</status>
      <modifiedWord/>
      <trackRevisions>false</trackRevisions>
    </reviewItem>
    <reviewItem>
      <errorID>62c8edc4-5559-414c-9eaa-c5284bb9399e</errorID>
      <errorWord>粉末涂料</errorWord>
      <group>L1_Word</group>
      <groupName>字词问题</groupName>
      <ability>L2_Typo</ability>
      <abilityName>字词错误</abilityName>
      <candidateList>
        <item> 粉末涂料</item>
      </candidateList>
      <explain/>
      <paraID>229E2B9F</paraID>
      <start>47</start>
      <end>51</end>
      <status>ignored</status>
      <modifiedWord/>
      <trackRevisions>false</trackRevisions>
    </reviewItem>
    <reviewItem>
      <errorID>8bba60ad-00f7-45df-89cb-66e7b8757343</errorID>
      <errorWord>粉末</errorWord>
      <group>L1_Word</group>
      <groupName>字词问题</groupName>
      <ability>L2_Typo</ability>
      <abilityName>字词错误</abilityName>
      <candidateList>
        <item> 粉末</item>
      </candidateList>
      <explain/>
      <paraID>36AC1306</paraID>
      <start>0</start>
      <end>2</end>
      <status>ignored</status>
      <modifiedWord/>
      <trackRevisions>false</trackRevisions>
    </reviewItem>
    <reviewItem>
      <errorID>68db1bef-b121-45e4-a739-b25054930d70</errorID>
      <errorWord>~</errorWord>
      <group>L1_Format</group>
      <groupName>格式问题</groupName>
      <ability>L2_HalfPunc</ability>
      <abilityName>全半角检查</abilityName>
      <candidateList>
        <item>～</item>
      </candidateList>
      <explain>文本全半角错误。</explain>
      <paraID>4CBA5D16</paraID>
      <start>11</start>
      <end>12</end>
      <status>ignored</status>
      <modifiedWord/>
      <trackRevisions>false</trackRevisions>
    </reviewItem>
    <reviewItem>
      <errorID>37d02403-458d-467e-8a93-d11b6e462582</errorID>
      <errorWord>约为</errorWord>
      <group>L1_Word</group>
      <groupName>字词问题</groupName>
      <ability>L2_Typo</ability>
      <abilityName>字词错误</abilityName>
      <candidateList>
        <item>约</item>
      </candidateList>
      <explain/>
      <paraID>4CBA5D16</paraID>
      <start>35</start>
      <end>37</end>
      <status>ignored</status>
      <modifiedWord/>
      <trackRevisions>false</trackRevisions>
    </reviewItem>
    <reviewItem>
      <errorID>8ab5e8e6-1251-4155-b9b9-3fce50c06479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18243D9D</paraID>
      <start>0</start>
      <end>2</end>
      <status>ignored</status>
      <modifiedWord/>
      <trackRevisions>false</trackRevisions>
    </reviewItem>
    <reviewItem>
      <errorID>9e1ccb3c-e97b-4e4d-b3dc-af0869db1ad7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2031CF0B</paraID>
      <start>0</start>
      <end>2</end>
      <status>ignored</status>
      <modifiedWord/>
      <trackRevisions>false</trackRevisions>
    </reviewItem>
    <reviewItem>
      <errorID>2c3b8638-f379-40ba-a02b-3fc5ec4e928b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51DF4FDD</paraID>
      <start>0</start>
      <end>2</end>
      <status>ignored</status>
      <modifiedWord/>
      <trackRevisions>false</trackRevisions>
    </reviewItem>
    <reviewItem>
      <errorID>16b37c03-5926-48c8-89fb-a8747504bd3e</errorID>
      <errorWord>0.5~1.5%</errorWord>
      <group>L1_Knowledge</group>
      <groupName>知识性问题</groupName>
      <ability>L2_Knowledge</ability>
      <abilityName>其他知识</abilityName>
      <candidateList>
        <item>0.5%～1.5%</item>
      </candidateList>
      <explain>1. “0.5~1.5%”中的单位“%”仅出现在后一个数字上，容易引起歧义；根据《现代汉语标点符号数字用法规范手册》，数字表示范围两边需要使用统一的格式。2. 根据标点国标 4.13 中的规则，数字、时间或地域连接符应使用（视觉上更长的）“—”或“～”。</explain>
      <paraID>32B4AD05</paraID>
      <start>77</start>
      <end>85</end>
      <status>ignored</status>
      <modifiedWord/>
      <trackRevisions>false</trackRevisions>
    </reviewItem>
    <reviewItem>
      <errorID>0221de44-5c16-4d25-b1de-4b9dd0546f30</errorID>
      <errorWord>0.4~0.6%</errorWord>
      <group>L1_Knowledge</group>
      <groupName>知识性问题</groupName>
      <ability>L2_Knowledge</ability>
      <abilityName>其他知识</abilityName>
      <candidateList>
        <item>0.4%～0.6%</item>
      </candidateList>
      <explain>1. “0.4~0.6%”中的单位“%”仅出现在后一个数字上，容易引起歧义；根据《现代汉语标点符号数字用法规范手册》，数字表示范围两边需要使用统一的格式。2. 根据标点国标 4.13 中的规则，数字、时间或地域连接符应使用（视觉上更长的）“—”或“～”。</explain>
      <paraID>32B4AD05</paraID>
      <start>104</start>
      <end>112</end>
      <status>ignored</status>
      <modifiedWord/>
      <trackRevisions>false</trackRevisions>
    </reviewItem>
    <reviewItem>
      <errorID>0ecc1b71-6fd2-43aa-ba08-db1e3ca7c1d5</errorID>
      <errorWord>交由</errorWord>
      <group>L1_Grammar</group>
      <groupName>语法问题</groupName>
      <ability>L2_Grammar</ability>
      <abilityName>语法错误</abilityName>
      <candidateList>
        <item>处理标准，交由</item>
      </candidateList>
      <explain/>
      <paraID>2600424F</paraID>
      <start>134</start>
      <end>136</end>
      <status>ignored</status>
      <modifiedWord/>
      <trackRevisions>false</trackRevisions>
    </reviewItem>
    <reviewItem>
      <errorID>6a940340-d846-488f-9185-ca9a7a898f82</errorID>
      <errorWord>单位</errorWord>
      <group>L1_Word</group>
      <groupName>字词问题</groupName>
      <ability>L2_Typo</ability>
      <abilityName>字词错误</abilityName>
      <candidateList>
        <item>的单位</item>
      </candidateList>
      <explain/>
      <paraID>2600424F</paraID>
      <start>145</start>
      <end>147</end>
      <status>ignored</status>
      <modifiedWord/>
      <trackRevisions>false</trackRevisions>
    </reviewItem>
    <reviewItem>
      <errorID>602659d5-bcb9-4070-9314-56abe750613d</errorID>
      <errorWord>计</errorWord>
      <group>L1_Word</group>
      <groupName>字词问题</groupName>
      <ability>L2_Typo</ability>
      <abilityName>字词错误</abilityName>
      <candidateList>
        <item>计算</item>
      </candidateList>
      <explain/>
      <paraID>5FACA914</paraID>
      <start>3</start>
      <end>5</end>
      <status>modified</status>
      <modifiedWord>计算</modifiedWord>
      <trackRevisions>false</trackRevisions>
    </reviewItem>
    <reviewItem>
      <errorID>25c3f8c4-a3c1-4bb6-8ddb-e2beb635421b</errorID>
      <errorWord>单位</errorWord>
      <group>L1_Grammar</group>
      <groupName>语法问题</groupName>
      <ability>L2_Grammar</ability>
      <abilityName>语法错误</abilityName>
      <candidateList>
        <item>资质的单位</item>
      </candidateList>
      <explain/>
      <paraID>789F905E</paraID>
      <start>137</start>
      <end>142</end>
      <status>modified</status>
      <modifiedWord>资质的单位</modifiedWord>
      <trackRevisions>false</trackRevisions>
    </reviewItem>
    <reviewItem>
      <errorID>6be96bea-093a-4f60-82ca-f312d9d034c0</errorID>
      <errorWord>理</errorWord>
      <group>L1_Word</group>
      <groupName>字词问题</groupName>
      <ability>L2_Typo</ability>
      <abilityName>字词错误</abilityName>
      <candidateList>
        <item>理性</item>
      </candidateList>
      <explain/>
      <paraID>6E1A10C3</paraID>
      <start>5</start>
      <end>6</end>
      <status>ignored</status>
      <modifiedWord/>
      <trackRevisions>false</trackRevisions>
    </reviewItem>
    <reviewItem>
      <errorID>835e0cea-b7bb-4e54-9c64-d7124add265b</errorID>
      <errorWord>中华人民共和国不动产权证书</errorWord>
      <group>L1_Political</group>
      <groupName>政治性问题</groupName>
      <ability>L2_Keyword</ability>
      <abilityName>固定表述</abilityName>
      <candidateList>
        <item>《中华人民共和国不动产权证书》</item>
      </candidateList>
      <explain>此处内容疑似含有固定表述相关错误，建议核查。</explain>
      <paraID>68F569BB</paraID>
      <start>41</start>
      <end>54</end>
      <status>ignored</status>
      <modifiedWord/>
      <trackRevisions>false</trackRevisions>
    </reviewItem>
    <reviewItem>
      <errorID>767c3f65-d435-465a-b2b2-53d11253950c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7563EAC3</paraID>
      <start>0</start>
      <end>2</end>
      <status>ignored</status>
      <modifiedWord/>
      <trackRevisions>false</trackRevisions>
    </reviewItem>
    <reviewItem>
      <errorID>dfde8560-f91e-4b1a-9efd-2ea58f2d85c6</errorID>
      <errorWord>、</errorWord>
      <group>L1_Punc</group>
      <groupName>标点问题</groupName>
      <ability>L2_Punc</ability>
      <abilityName>标点符号检查</abilityName>
      <candidateList>
        <item>，</item>
      </candidateList>
      <explain/>
      <paraID> EDBC5A9</paraID>
      <start>15</start>
      <end>16</end>
      <status>ignored</status>
      <modifiedWord/>
      <trackRevisions>false</trackRevisions>
    </reviewItem>
    <reviewItem>
      <errorID>c54759c5-e1f1-475b-83d2-71639611df8e</errorID>
      <errorWord>,</errorWord>
      <group>L1_Format</group>
      <groupName>格式问题</groupName>
      <ability>L2_HalfPunc</ability>
      <abilityName>全半角检查</abilityName>
      <candidateList>
        <item>，</item>
      </candidateList>
      <explain>文本全半角错误。</explain>
      <paraID> EDBC5A9</paraID>
      <start>36</start>
      <end>37</end>
      <status>ignored</status>
      <modifiedWord/>
      <trackRevisions>false</trackRevisions>
    </reviewItem>
    <reviewItem>
      <errorID>b8770b6a-0d40-4657-893c-509c5b2463fb</errorID>
      <errorWord>,</errorWord>
      <group>L1_Format</group>
      <groupName>格式问题</groupName>
      <ability>L2_HalfPunc</ability>
      <abilityName>全半角检查</abilityName>
      <candidateList>
        <item>，</item>
      </candidateList>
      <explain>文本全半角错误。</explain>
      <paraID> EDBC5A9</paraID>
      <start>42</start>
      <end>43</end>
      <status>ignored</status>
      <modifiedWord/>
      <trackRevisions>false</trackRevisions>
    </reviewItem>
    <reviewItem>
      <errorID>0ad34b72-680b-4dfd-82b5-80d0e6907d28</errorID>
      <errorWord>为</errorWord>
      <group>L1_Word</group>
      <groupName>字词问题</groupName>
      <ability>L2_Typo</ability>
      <abilityName>字词错误</abilityName>
      <candidateList>
        <item>处的</item>
      </candidateList>
      <explain/>
      <paraID> EDBC5A9</paraID>
      <start>72</start>
      <end>73</end>
      <status>ignored</status>
      <modifiedWord/>
      <trackRevisions>false</trackRevisions>
    </reviewItem>
    <reviewItem>
      <errorID>c2019865-bd99-45a7-ad32-175b7ceca60b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68BE332B</paraID>
      <start>0</start>
      <end>2</end>
      <status>ignored</status>
      <modifiedWord/>
      <trackRevisions>false</trackRevisions>
    </reviewItem>
    <reviewItem>
      <errorID>e024c184-f0c9-4a34-8930-a85be77febde</errorID>
      <errorWord>生产</errorWord>
      <group>L1_Word</group>
      <groupName>字词问题</groupName>
      <ability>L2_Typo</ability>
      <abilityName>字词错误</abilityName>
      <candidateList>
        <item>产生</item>
      </candidateList>
      <explain/>
      <paraID>49BDAD55</paraID>
      <start>143</start>
      <end>145</end>
      <status>ignored</status>
      <modifiedWord/>
      <trackRevisions>false</trackRevisions>
    </reviewItem>
    <reviewItem>
      <errorID>111f84c7-be36-4000-a46d-bf08ece8203a</errorID>
      <errorWord>交有</errorWord>
      <group>L1_Word</group>
      <groupName>字词问题</groupName>
      <ability>L2_Typo</ability>
      <abilityName>字词错误</abilityName>
      <candidateList>
        <item>交由</item>
      </candidateList>
      <explain/>
      <paraID>370B20DF</paraID>
      <start>13</start>
      <end>15</end>
      <status>modified</status>
      <modifiedWord>交由</modifiedWord>
      <trackRevisions>false</trackRevisions>
    </reviewItem>
    <reviewItem>
      <errorID>b723e1d2-7172-4d22-ac4f-f629c78fdacf</errorID>
      <errorWord>[2018]</errorWord>
      <group>L1_Punc</group>
      <groupName>标点问题</groupName>
      <ability>L2_Punc</ability>
      <abilityName>标点符号检查</abilityName>
      <candidateList>
        <item>〔2018〕</item>
      </candidateList>
      <explain/>
      <paraID>40B6F85A</paraID>
      <start>3</start>
      <end>39</end>
      <status>ignored</status>
      <modifiedWord/>
      <trackRevisions>false</trackRevisions>
    </reviewItem>
    <reviewItem>
      <errorID>08268904-12c8-4e56-897e-f85c0d075db4</errorID>
      <errorWord>[2017]</errorWord>
      <group>L1_Punc</group>
      <groupName>标点问题</groupName>
      <ability>L2_Punc</ability>
      <abilityName>标点符号检查</abilityName>
      <candidateList>
        <item>〔2017〕</item>
      </candidateList>
      <explain/>
      <paraID>201B4102</paraID>
      <start>3</start>
      <end>39</end>
      <status>ignored</status>
      <modifiedWord/>
      <trackRevisions>false</trackRevisions>
    </reviewItem>
    <reviewItem>
      <errorID>518676e5-37b3-4161-8828-d9eefea5aac1</errorID>
      <errorWord>公</errorWord>
      <group>L1_Word</group>
      <groupName>字词问题</groupName>
      <ability>L2_Typo</ability>
      <abilityName>字词错误</abilityName>
      <candidateList>
        <item>公司</item>
      </candidateList>
      <explain>〈名〉依法设立，以营利为目的，独立承担民事责任的从事生产或服务性业务的经济实体。分为有限责任公司和股份有限公司。</explain>
      <paraID>4367EE08</paraID>
      <start>11</start>
      <end>12</end>
      <status>ignored</status>
      <modifiedWord/>
      <trackRevisions>false</trackRevisions>
    </reviewItem>
    <reviewItem>
      <errorID>95ff75e3-b02e-433c-8bfa-0829069f1346</errorID>
      <errorWord>公</errorWord>
      <group>L1_Word</group>
      <groupName>字词问题</groupName>
      <ability>L2_Typo</ability>
      <abilityName>字词错误</abilityName>
      <candidateList>
        <item>公司</item>
      </candidateList>
      <explain>〈名〉依法设立，以营利为目的，独立承担民事责任的从事生产或服务性业务的经济实体。分为有限责任公司和股份有限公司。</explain>
      <paraID>31E679EE</paraID>
      <start>11</start>
      <end>12</end>
      <status>ignored</status>
      <modifiedWord/>
      <trackRevisions>false</trackRevisions>
    </reviewItem>
    <reviewItem>
      <errorID>58dee723-09f0-4948-8ec9-df8c3c52e01a</errorID>
      <errorWord>公</errorWord>
      <group>L1_Word</group>
      <groupName>字词问题</groupName>
      <ability>L2_Typo</ability>
      <abilityName>字词错误</abilityName>
      <candidateList>
        <item>公司</item>
      </candidateList>
      <explain>〈名〉依法设立，以营利为目的，独立承担民事责任的从事生产或服务性业务的经济实体。分为有限责任公司和股份有限公司。</explain>
      <paraID>1FD16482</paraID>
      <start>11</start>
      <end>12</end>
      <status>ignored</status>
      <modifiedWord/>
      <trackRevisions>false</trackRevisions>
    </reviewItem>
    <reviewItem>
      <errorID>ff3ae23c-1313-4df8-94d2-4be873a11ffc</errorID>
      <errorWord>公</errorWord>
      <group>L1_Word</group>
      <groupName>字词问题</groupName>
      <ability>L2_Typo</ability>
      <abilityName>字词错误</abilityName>
      <candidateList>
        <item>公司</item>
      </candidateList>
      <explain>〈名〉依法设立，以营利为目的，独立承担民事责任的从事生产或服务性业务的经济实体。分为有限责任公司和股份有限公司。</explain>
      <paraID> 6C2EAD3</paraID>
      <start>11</start>
      <end>12</end>
      <status>ignored</status>
      <modifiedWord/>
      <trackRevisions>false</trackRevisions>
    </reviewItem>
    <reviewItem>
      <errorID>4b32555e-d721-4319-b977-e7024ce28af0</errorID>
      <errorWord>[2017]</errorWord>
      <group>L1_Punc</group>
      <groupName>标点问题</groupName>
      <ability>L2_Punc</ability>
      <abilityName>标点符号检查</abilityName>
      <candidateList>
        <item>〔2017〕</item>
      </candidateList>
      <explain/>
      <paraID> 997CF9E</paraID>
      <start>3</start>
      <end>39</end>
      <status>ignored</status>
      <modifiedWord/>
      <trackRevisions>false</trackRevisions>
    </reviewItem>
    <reviewItem>
      <errorID>060b9373-0d64-49fe-8e89-dc6bee053a5d</errorID>
      <errorWord>[2021]</errorWord>
      <group>L1_Punc</group>
      <groupName>标点问题</groupName>
      <ability>L2_Punc</ability>
      <abilityName>标点符号检查</abilityName>
      <candidateList>
        <item>〔2021〕</item>
      </candidateList>
      <explain/>
      <paraID>1E7A78A8</paraID>
      <start>0</start>
      <end>36</end>
      <status>ignored</status>
      <modifiedWord/>
      <trackRevisions>false</trackRevisions>
    </reviewItem>
    <reviewItem>
      <errorID>59e166b6-70ad-49e7-a30c-1ea7b2213ff1</errorID>
      <errorWord>[2017]</errorWord>
      <group>L1_Punc</group>
      <groupName>标点问题</groupName>
      <ability>L2_Punc</ability>
      <abilityName>标点符号检查</abilityName>
      <candidateList>
        <item>〔2017〕</item>
      </candidateList>
      <explain/>
      <paraID>14E0075C</paraID>
      <start>3</start>
      <end>39</end>
      <status>ignored</status>
      <modifiedWord/>
      <trackRevisions>false</trackRevisions>
    </reviewItem>
    <reviewItem>
      <errorID>4c21a545-2ed0-4e9c-8f98-8148a0162a09</errorID>
      <errorWord>公</errorWord>
      <group>L1_Word</group>
      <groupName>字词问题</groupName>
      <ability>L2_Typo</ability>
      <abilityName>字词错误</abilityName>
      <candidateList>
        <item>公司</item>
      </candidateList>
      <explain>〈名〉依法设立，以营利为目的，独立承担民事责任的从事生产或服务性业务的经济实体。分为有限责任公司和股份有限公司。</explain>
      <paraID>2FB25DDE</paraID>
      <start>11</start>
      <end>12</end>
      <status>ignored</status>
      <modifiedWord/>
      <trackRevisions>false</trackRevisions>
    </reviewItem>
    <reviewItem>
      <errorID>c1f70533-b395-4f75-bc13-dab1ee14d7bd</errorID>
      <errorWord>[2017]</errorWord>
      <group>L1_Punc</group>
      <groupName>标点问题</groupName>
      <ability>L2_Punc</ability>
      <abilityName>标点符号检查</abilityName>
      <candidateList>
        <item>〔2017〕</item>
      </candidateList>
      <explain/>
      <paraID>312AD449</paraID>
      <start>3</start>
      <end>39</end>
      <status>ignored</status>
      <modifiedWord/>
      <trackRevisions>false</trackRevisions>
    </reviewItem>
    <reviewItem>
      <errorID>6628e531-a94a-47a3-8061-abb31debc0de</errorID>
      <errorWord>[2017]</errorWord>
      <group>L1_Punc</group>
      <groupName>标点问题</groupName>
      <ability>L2_Punc</ability>
      <abilityName>标点符号检查</abilityName>
      <candidateList>
        <item>〔2017〕</item>
      </candidateList>
      <explain/>
      <paraID>299D0C9B</paraID>
      <start>3</start>
      <end>39</end>
      <status>ignored</status>
      <modifiedWord/>
      <trackRevisions>false</trackRevisions>
    </reviewItem>
    <reviewItem>
      <errorID>faa5becb-ae89-4072-8886-3f63412c4425</errorID>
      <errorWord>公</errorWord>
      <group>L1_Word</group>
      <groupName>字词问题</groupName>
      <ability>L2_Typo</ability>
      <abilityName>字词错误</abilityName>
      <candidateList>
        <item>公司</item>
      </candidateList>
      <explain>〈名〉依法设立，以营利为目的，独立承担民事责任的从事生产或服务性业务的经济实体。分为有限责任公司和股份有限公司。</explain>
      <paraID>66A9A1AA</paraID>
      <start>11</start>
      <end>12</end>
      <status>ignored</status>
      <modifiedWord/>
      <trackRevisions>false</trackRevisions>
    </reviewItem>
    <reviewItem>
      <errorID>4a9bca6e-783b-4f18-a32f-3842107cc497</errorID>
      <errorWord>[2017]</errorWord>
      <group>L1_Punc</group>
      <groupName>标点问题</groupName>
      <ability>L2_Punc</ability>
      <abilityName>标点符号检查</abilityName>
      <candidateList>
        <item>〔2017〕</item>
      </candidateList>
      <explain/>
      <paraID>64427614</paraID>
      <start>3</start>
      <end>39</end>
      <status>ignored</status>
      <modifiedWord/>
      <trackRevisions>false</trackRevisions>
    </reviewItem>
    <reviewItem>
      <errorID>e7b35a41-36e0-4665-af4c-655a32ee8aa7</errorID>
      <errorWord>[2022]</errorWord>
      <group>L1_Punc</group>
      <groupName>标点问题</groupName>
      <ability>L2_Punc</ability>
      <abilityName>标点符号检查</abilityName>
      <candidateList>
        <item>〔2022〕</item>
      </candidateList>
      <explain/>
      <paraID>36880273</paraID>
      <start>0</start>
      <end>36</end>
      <status>ignored</status>
      <modifiedWord/>
      <trackRevisions>false</trackRevisions>
    </reviewItem>
    <reviewItem>
      <errorID>a14fed90-927d-45c4-86d2-5f31372a2b23</errorID>
      <errorWord>[2018]</errorWord>
      <group>L1_Punc</group>
      <groupName>标点问题</groupName>
      <ability>L2_Punc</ability>
      <abilityName>标点符号检查</abilityName>
      <candidateList>
        <item>〔2018〕</item>
      </candidateList>
      <explain/>
      <paraID>51C473BC</paraID>
      <start>3</start>
      <end>39</end>
      <status>ignored</status>
      <modifiedWord/>
      <trackRevisions>false</trackRevisions>
    </reviewItem>
    <reviewItem>
      <errorID>20de8908-a6bc-42cb-a385-ac521bd7c373</errorID>
      <errorWord>[2017]</errorWord>
      <group>L1_Punc</group>
      <groupName>标点问题</groupName>
      <ability>L2_Punc</ability>
      <abilityName>标点符号检查</abilityName>
      <candidateList>
        <item>〔2017〕</item>
      </candidateList>
      <explain/>
      <paraID> 81BE498</paraID>
      <start>3</start>
      <end>39</end>
      <status>ignored</status>
      <modifiedWord/>
      <trackRevisions>false</trackRevisions>
    </reviewItem>
    <reviewItem>
      <errorID>1b3115b6-97f5-4af1-ad62-3d3504c53f85</errorID>
      <errorWord>[2018]</errorWord>
      <group>L1_Punc</group>
      <groupName>标点问题</groupName>
      <ability>L2_Punc</ability>
      <abilityName>标点符号检查</abilityName>
      <candidateList>
        <item>〔2018〕</item>
      </candidateList>
      <explain/>
      <paraID>4C4D3ED3</paraID>
      <start>3</start>
      <end>39</end>
      <status>ignored</status>
      <modifiedWord/>
      <trackRevisions>false</trackRevisions>
    </reviewItem>
    <reviewItem>
      <errorID>714b9ad0-ec6d-4518-8777-227b67f625cb</errorID>
      <errorWord>[2017]</errorWord>
      <group>L1_Punc</group>
      <groupName>标点问题</groupName>
      <ability>L2_Punc</ability>
      <abilityName>标点符号检查</abilityName>
      <candidateList>
        <item>〔2017〕</item>
      </candidateList>
      <explain/>
      <paraID> 4A12546</paraID>
      <start>3</start>
      <end>39</end>
      <status>ignored</status>
      <modifiedWord/>
      <trackRevisions>false</trackRevisions>
    </reviewItem>
    <reviewItem>
      <errorID>33d96ca4-b681-413c-ab20-5a4eba759a82</errorID>
      <errorWord>[2018]</errorWord>
      <group>L1_Punc</group>
      <groupName>标点问题</groupName>
      <ability>L2_Punc</ability>
      <abilityName>标点符号检查</abilityName>
      <candidateList>
        <item>〔2018〕</item>
      </candidateList>
      <explain/>
      <paraID> CF68FEA</paraID>
      <start>3</start>
      <end>39</end>
      <status>ignored</status>
      <modifiedWord/>
      <trackRevisions>false</trackRevisions>
    </reviewItem>
    <reviewItem>
      <errorID>12e7bc50-6919-4880-a99d-396bdbfa9505</errorID>
      <errorWord>[2017]</errorWord>
      <group>L1_Punc</group>
      <groupName>标点问题</groupName>
      <ability>L2_Punc</ability>
      <abilityName>标点符号检查</abilityName>
      <candidateList>
        <item>〔2017〕</item>
      </candidateList>
      <explain/>
      <paraID>7CD2D6F2</paraID>
      <start>3</start>
      <end>39</end>
      <status>ignored</status>
      <modifiedWord/>
      <trackRevisions>false</trackRevisions>
    </reviewItem>
    <reviewItem>
      <errorID>584a52a9-95f2-4021-9c61-caec9fb5468b</errorID>
      <errorWord>[2011]</errorWord>
      <group>L1_Punc</group>
      <groupName>标点问题</groupName>
      <ability>L2_Punc</ability>
      <abilityName>标点符号检查</abilityName>
      <candidateList>
        <item>〔2011〕</item>
      </candidateList>
      <explain/>
      <paraID> D75DDD6</paraID>
      <start>3</start>
      <end>39</end>
      <status>ignored</status>
      <modifiedWord/>
      <trackRevisions>false</trackRevisions>
    </reviewItem>
    <reviewItem>
      <errorID>d91634d1-583a-4002-8762-5e8f0c0c693f</errorID>
      <errorWord>[2018]</errorWord>
      <group>L1_Punc</group>
      <groupName>标点问题</groupName>
      <ability>L2_Punc</ability>
      <abilityName>标点符号检查</abilityName>
      <candidateList>
        <item>〔2018〕</item>
      </candidateList>
      <explain/>
      <paraID> D75DDD6</paraID>
      <start>48</start>
      <end>84</end>
      <status>ignored</status>
      <modifiedWord/>
      <trackRevisions>false</trackRevisions>
    </reviewItem>
    <reviewItem>
      <errorID>35fe7c47-71fc-48b5-8f14-2d3abd413003</errorID>
      <errorWord>[2008]</errorWord>
      <group>L1_Punc</group>
      <groupName>标点问题</groupName>
      <ability>L2_Punc</ability>
      <abilityName>标点符号检查</abilityName>
      <candidateList>
        <item>〔2008〕</item>
      </candidateList>
      <explain/>
      <paraID>70A5AF04</paraID>
      <start>3</start>
      <end>39</end>
      <status>ignored</status>
      <modifiedWord/>
      <trackRevisions>false</trackRevisions>
    </reviewItem>
    <reviewItem>
      <errorID>a81808a1-5eb7-4234-bbff-f889b654770a</errorID>
      <errorWord>[2018]</errorWord>
      <group>L1_Punc</group>
      <groupName>标点问题</groupName>
      <ability>L2_Punc</ability>
      <abilityName>标点符号检查</abilityName>
      <candidateList>
        <item>〔2018〕</item>
      </candidateList>
      <explain/>
      <paraID>68DC53B4</paraID>
      <start>0</start>
      <end>36</end>
      <status>ignored</status>
      <modifiedWord/>
      <trackRevisions>false</trackRevisions>
    </reviewItem>
    <reviewItem>
      <errorID>0cd66168-7cd3-40fb-b942-f998671e1ab2</errorID>
      <errorWord>呎</errorWord>
      <group>L1_Word</group>
      <groupName>字词问题</groupName>
      <ability>L2_Typo</ability>
      <abilityName>字词错误</abilityName>
      <candidateList>
        <item>英尺</item>
      </candidateList>
      <explain/>
      <paraID>5A31D807</paraID>
      <start>14</start>
      <end>15</end>
      <status>ignored</status>
      <modifiedWord/>
      <trackRevisions>false</trackRevisions>
    </reviewItem>
    <reviewItem>
      <errorID>d84bf10b-62c0-4e15-af05-190bde96424b</errorID>
      <errorWord>公</errorWord>
      <group>L1_Word</group>
      <groupName>字词问题</groupName>
      <ability>L2_Typo</ability>
      <abilityName>字词错误</abilityName>
      <candidateList>
        <item>公司</item>
      </candidateList>
      <explain>〈名〉依法设立，以营利为目的，独立承担民事责任的从事生产或服务性业务的经济实体。分为有限责任公司和股份有限公司。</explain>
      <paraID>75D6007C</paraID>
      <start>11</start>
      <end>12</end>
      <status>ignored</status>
      <modifiedWord/>
      <trackRevisions>false</trackRevisions>
    </reviewItem>
    <reviewItem>
      <errorID>644507e3-87b5-41d7-bc11-b9bc2c66263d</errorID>
      <errorWord>[2015]</errorWord>
      <group>L1_Punc</group>
      <groupName>标点问题</groupName>
      <ability>L2_Punc</ability>
      <abilityName>标点符号检查</abilityName>
      <candidateList>
        <item>〔2015〕</item>
      </candidateList>
      <explain/>
      <paraID>7162FEDF</paraID>
      <start>3</start>
      <end>39</end>
      <status>ignored</status>
      <modifiedWord/>
      <trackRevisions>false</trackRevisions>
    </reviewItem>
    <reviewItem>
      <errorID>0d989e3f-599a-4cb2-bd11-935eb377d560</errorID>
      <errorWord>公</errorWord>
      <group>L1_Word</group>
      <groupName>字词问题</groupName>
      <ability>L2_Typo</ability>
      <abilityName>字词错误</abilityName>
      <candidateList>
        <item>公司</item>
      </candidateList>
      <explain>〈名〉依法设立，以营利为目的，独立承担民事责任的从事生产或服务性业务的经济实体。分为有限责任公司和股份有限公司。</explain>
      <paraID>6D243B74</paraID>
      <start>11</start>
      <end>12</end>
      <status>ignored</status>
      <modifiedWord/>
      <trackRevisions>false</trackRevisions>
    </reviewItem>
    <reviewItem>
      <errorID>e30cc8fb-8080-4e40-ba45-62bfaf67d919</errorID>
      <errorWord>[2009]</errorWord>
      <group>L1_Punc</group>
      <groupName>标点问题</groupName>
      <ability>L2_Punc</ability>
      <abilityName>标点符号检查</abilityName>
      <candidateList>
        <item>〔2009〕</item>
      </candidateList>
      <explain/>
      <paraID>741A7E24</paraID>
      <start>3</start>
      <end>39</end>
      <status>ignored</status>
      <modifiedWord/>
      <trackRevisions>false</trackRevisions>
    </reviewItem>
    <reviewItem>
      <errorID>2421e9ec-4e1f-4379-a94d-272d7058be73</errorID>
      <errorWord>[2018]</errorWord>
      <group>L1_Punc</group>
      <groupName>标点问题</groupName>
      <ability>L2_Punc</ability>
      <abilityName>标点符号检查</abilityName>
      <candidateList>
        <item>〔2018〕</item>
      </candidateList>
      <explain/>
      <paraID>1AD71F3C</paraID>
      <start>3</start>
      <end>39</end>
      <status>ignored</status>
      <modifiedWord/>
      <trackRevisions>false</trackRevisions>
    </reviewItem>
    <reviewItem>
      <errorID>73e20788-b9bb-4235-aae3-d6e97a1a26d2</errorID>
      <errorWord>[2009]</errorWord>
      <group>L1_Punc</group>
      <groupName>标点问题</groupName>
      <ability>L2_Punc</ability>
      <abilityName>标点符号检查</abilityName>
      <candidateList>
        <item>〔2009〕</item>
      </candidateList>
      <explain/>
      <paraID>26948788</paraID>
      <start>3</start>
      <end>39</end>
      <status>ignored</status>
      <modifiedWord/>
      <trackRevisions>false</trackRevisions>
    </reviewItem>
    <reviewItem>
      <errorID>5fdd5258-32ea-445f-b430-38918fc68c91</errorID>
      <errorWord>[2011]</errorWord>
      <group>L1_Punc</group>
      <groupName>标点问题</groupName>
      <ability>L2_Punc</ability>
      <abilityName>标点符号检查</abilityName>
      <candidateList>
        <item>〔2011〕</item>
      </candidateList>
      <explain/>
      <paraID>6E410464</paraID>
      <start>3</start>
      <end>39</end>
      <status>ignored</status>
      <modifiedWord/>
      <trackRevisions>false</trackRevisions>
    </reviewItem>
    <reviewItem>
      <errorID>6aca75ff-3c4b-4b97-9ee7-2a990f956998</errorID>
      <errorWord>[2018]</errorWord>
      <group>L1_Punc</group>
      <groupName>标点问题</groupName>
      <ability>L2_Punc</ability>
      <abilityName>标点符号检查</abilityName>
      <candidateList>
        <item>〔2018〕</item>
      </candidateList>
      <explain/>
      <paraID>4D89E2B0</paraID>
      <start>3</start>
      <end>39</end>
      <status>ignored</status>
      <modifiedWord/>
      <trackRevisions>false</trackRevisions>
    </reviewItem>
    <reviewItem>
      <errorID>0cea955c-612f-43e5-8fcf-387dd3d370b5</errorID>
      <errorWord>公</errorWord>
      <group>L1_Word</group>
      <groupName>字词问题</groupName>
      <ability>L2_Typo</ability>
      <abilityName>字词错误</abilityName>
      <candidateList>
        <item>公司</item>
      </candidateList>
      <explain>〈名〉依法设立，以营利为目的，独立承担民事责任的从事生产或服务性业务的经济实体。分为有限责任公司和股份有限公司。</explain>
      <paraID>37972403</paraID>
      <start>11</start>
      <end>12</end>
      <status>ignored</status>
      <modifiedWord/>
      <trackRevisions>false</trackRevisions>
    </reviewItem>
    <reviewItem>
      <errorID>41d834da-a655-499e-aa3a-83878c630c27</errorID>
      <errorWord>[2009]</errorWord>
      <group>L1_Punc</group>
      <groupName>标点问题</groupName>
      <ability>L2_Punc</ability>
      <abilityName>标点符号检查</abilityName>
      <candidateList>
        <item>〔2009〕</item>
      </candidateList>
      <explain/>
      <paraID>6DA65EB1</paraID>
      <start>3</start>
      <end>39</end>
      <status>ignored</status>
      <modifiedWord/>
      <trackRevisions>false</trackRevisions>
    </reviewItem>
    <reviewItem>
      <errorID>b6648252-242e-4429-9fcf-7738f3297bdc</errorID>
      <errorWord>公</errorWord>
      <group>L1_Word</group>
      <groupName>字词问题</groupName>
      <ability>L2_Typo</ability>
      <abilityName>字词错误</abilityName>
      <candidateList>
        <item>公司</item>
      </candidateList>
      <explain>〈名〉依法设立，以营利为目的，独立承担民事责任的从事生产或服务性业务的经济实体。分为有限责任公司和股份有限公司。</explain>
      <paraID>567CA7A5</paraID>
      <start>11</start>
      <end>12</end>
      <status>ignored</status>
      <modifiedWord/>
      <trackRevisions>false</trackRevisions>
    </reviewItem>
    <reviewItem>
      <errorID>afa9b631-3f1f-4c10-9d46-db9cc8c71267</errorID>
      <errorWord>[2017]</errorWord>
      <group>L1_Punc</group>
      <groupName>标点问题</groupName>
      <ability>L2_Punc</ability>
      <abilityName>标点符号检查</abilityName>
      <candidateList>
        <item>〔2017〕</item>
      </candidateList>
      <explain/>
      <paraID>5496C753</paraID>
      <start>3</start>
      <end>39</end>
      <status>ignored</status>
      <modifiedWord/>
      <trackRevisions>false</trackRevisions>
    </reviewItem>
    <reviewItem>
      <errorID>e707e370-2716-4dc0-801a-ebd4105310e4</errorID>
      <errorWord>公</errorWord>
      <group>L1_Word</group>
      <groupName>字词问题</groupName>
      <ability>L2_Typo</ability>
      <abilityName>字词错误</abilityName>
      <candidateList>
        <item>公司</item>
      </candidateList>
      <explain>〈名〉依法设立，以营利为目的，独立承担民事责任的从事生产或服务性业务的经济实体。分为有限责任公司和股份有限公司。</explain>
      <paraID>51221198</paraID>
      <start>11</start>
      <end>12</end>
      <status>ignored</status>
      <modifiedWord/>
      <trackRevisions>false</trackRevisions>
    </reviewItem>
    <reviewItem>
      <errorID>d78aa7ae-de83-400e-9f13-b236638361c3</errorID>
      <errorWord>[2016]</errorWord>
      <group>L1_Punc</group>
      <groupName>标点问题</groupName>
      <ability>L2_Punc</ability>
      <abilityName>标点符号检查</abilityName>
      <candidateList>
        <item>〔2016〕</item>
      </candidateList>
      <explain/>
      <paraID>47A23FFC</paraID>
      <start>3</start>
      <end>39</end>
      <status>ignored</status>
      <modifiedWord/>
      <trackRevisions>false</trackRevisions>
    </reviewItem>
    <reviewItem>
      <errorID>7ed01c9f-b28a-4022-8b7a-d0a83c131336</errorID>
      <errorWord>[2018]</errorWord>
      <group>L1_Punc</group>
      <groupName>标点问题</groupName>
      <ability>L2_Punc</ability>
      <abilityName>标点符号检查</abilityName>
      <candidateList>
        <item>〔2018〕</item>
      </candidateList>
      <explain/>
      <paraID>1DCC195B</paraID>
      <start>3</start>
      <end>39</end>
      <status>ignored</status>
      <modifiedWord/>
      <trackRevisions>false</trackRevisions>
    </reviewItem>
    <reviewItem>
      <errorID>c3284ae6-d6fe-490a-b535-ef9a16b29c4c</errorID>
      <errorWord>[2023]</errorWord>
      <group>L1_Punc</group>
      <groupName>标点问题</groupName>
      <ability>L2_Punc</ability>
      <abilityName>标点符号检查</abilityName>
      <candidateList>
        <item>〔2023〕</item>
      </candidateList>
      <explain/>
      <paraID>76F04FE9</paraID>
      <start>4</start>
      <end>40</end>
      <status>ignored</status>
      <modifiedWord/>
      <trackRevisions>false</trackRevisions>
    </reviewItem>
    <reviewItem>
      <errorID>9c96d168-52f9-4186-94a8-9291428cada7</errorID>
      <errorWord>公</errorWord>
      <group>L1_Word</group>
      <groupName>字词问题</groupName>
      <ability>L2_Typo</ability>
      <abilityName>字词错误</abilityName>
      <candidateList>
        <item>公司</item>
      </candidateList>
      <explain>〈名〉依法设立，以营利为目的，独立承担民事责任的从事生产或服务性业务的经济实体。分为有限责任公司和股份有限公司。</explain>
      <paraID>38450A1D</paraID>
      <start>11</start>
      <end>12</end>
      <status>ignored</status>
      <modifiedWord/>
      <trackRevisions>false</trackRevisions>
    </reviewItem>
    <reviewItem>
      <errorID>e6bd4452-d7b4-4fae-aec1-d9fa92db45e4</errorID>
      <errorWord>公</errorWord>
      <group>L1_Word</group>
      <groupName>字词问题</groupName>
      <ability>L2_Typo</ability>
      <abilityName>字词错误</abilityName>
      <candidateList>
        <item>公司</item>
      </candidateList>
      <explain>〈名〉依法设立，以营利为目的，独立承担民事责任的从事生产或服务性业务的经济实体。分为有限责任公司和股份有限公司。</explain>
      <paraID>697E8820</paraID>
      <start>11</start>
      <end>12</end>
      <status>ignored</status>
      <modifiedWord/>
      <trackRevisions>false</trackRevisions>
    </reviewItem>
    <reviewItem>
      <errorID>cb001d47-b6f0-42d5-894c-f52333b5d28b</errorID>
      <errorWord>[2011]</errorWord>
      <group>L1_Punc</group>
      <groupName>标点问题</groupName>
      <ability>L2_Punc</ability>
      <abilityName>标点符号检查</abilityName>
      <candidateList>
        <item>〔2011〕</item>
      </candidateList>
      <explain/>
      <paraID>4CE9CE2D</paraID>
      <start>3</start>
      <end>39</end>
      <status>ignored</status>
      <modifiedWord/>
      <trackRevisions>false</trackRevisions>
    </reviewItem>
    <reviewItem>
      <errorID>0768d2b9-e966-4ef7-b418-7ab67fd8100a</errorID>
      <errorWord>[2018]</errorWord>
      <group>L1_Punc</group>
      <groupName>标点问题</groupName>
      <ability>L2_Punc</ability>
      <abilityName>标点符号检查</abilityName>
      <candidateList>
        <item>〔2018〕</item>
      </candidateList>
      <explain/>
      <paraID>7A83F222</paraID>
      <start>0</start>
      <end>36</end>
      <status>ignored</status>
      <modifiedWord/>
      <trackRevisions>false</trackRevisions>
    </reviewItem>
    <reviewItem>
      <errorID>a492dc72-1fae-4084-9a24-7f96a4614554</errorID>
      <errorWord>[2018]</errorWord>
      <group>L1_Punc</group>
      <groupName>标点问题</groupName>
      <ability>L2_Punc</ability>
      <abilityName>标点符号检查</abilityName>
      <candidateList>
        <item>〔2018〕</item>
      </candidateList>
      <explain/>
      <paraID>7A83F222</paraID>
      <start>45</start>
      <end>81</end>
      <status>ignored</status>
      <modifiedWord/>
      <trackRevisions>false</trackRevisions>
    </reviewItem>
    <reviewItem>
      <errorID>42c4282b-7039-4934-9227-37266681a75f</errorID>
      <errorWord>[2012]</errorWord>
      <group>L1_Punc</group>
      <groupName>标点问题</groupName>
      <ability>L2_Punc</ability>
      <abilityName>标点符号检查</abilityName>
      <candidateList>
        <item>〔2012〕</item>
      </candidateList>
      <explain/>
      <paraID>3BE06D5E</paraID>
      <start>3</start>
      <end>39</end>
      <status>ignored</status>
      <modifiedWord/>
      <trackRevisions>false</trackRevisions>
    </reviewItem>
    <reviewItem>
      <errorID>08905fa0-95e8-4979-883b-53cd6c53acc2</errorID>
      <errorWord>公</errorWord>
      <group>L1_Word</group>
      <groupName>字词问题</groupName>
      <ability>L2_Typo</ability>
      <abilityName>字词错误</abilityName>
      <candidateList>
        <item>公司</item>
      </candidateList>
      <explain>〈名〉依法设立，以营利为目的，独立承担民事责任的从事生产或服务性业务的经济实体。分为有限责任公司和股份有限公司。</explain>
      <paraID> 6CEACFF</paraID>
      <start>11</start>
      <end>12</end>
      <status>ignored</status>
      <modifiedWord/>
      <trackRevisions>false</trackRevisions>
    </reviewItem>
    <reviewItem>
      <errorID>d1a067cb-7199-43c8-aa88-097498dba885</errorID>
      <errorWord>[2011]</errorWord>
      <group>L1_Punc</group>
      <groupName>标点问题</groupName>
      <ability>L2_Punc</ability>
      <abilityName>标点符号检查</abilityName>
      <candidateList>
        <item>〔2011〕</item>
      </candidateList>
      <explain/>
      <paraID>38870011</paraID>
      <start>3</start>
      <end>39</end>
      <status>ignored</status>
      <modifiedWord/>
      <trackRevisions>false</trackRevisions>
    </reviewItem>
    <reviewItem>
      <errorID>1d981b72-8d51-49ee-9606-103ceeaf6345</errorID>
      <errorWord>[2012]</errorWord>
      <group>L1_Punc</group>
      <groupName>标点问题</groupName>
      <ability>L2_Punc</ability>
      <abilityName>标点符号检查</abilityName>
      <candidateList>
        <item>〔2012〕</item>
      </candidateList>
      <explain/>
      <paraID>5B092299</paraID>
      <start>3</start>
      <end>39</end>
      <status>ignored</status>
      <modifiedWord/>
      <trackRevisions>false</trackRevisions>
    </reviewItem>
    <reviewItem>
      <errorID>f543496b-4721-4eb2-bd59-81b456f653b8</errorID>
      <errorWord>[2010]</errorWord>
      <group>L1_Punc</group>
      <groupName>标点问题</groupName>
      <ability>L2_Punc</ability>
      <abilityName>标点符号检查</abilityName>
      <candidateList>
        <item>〔2010〕</item>
      </candidateList>
      <explain/>
      <paraID>5DB9C95D</paraID>
      <start>3</start>
      <end>39</end>
      <status>ignored</status>
      <modifiedWord/>
      <trackRevisions>false</trackRevisions>
    </reviewItem>
    <reviewItem>
      <errorID>4bb3d928-6586-4624-b5b9-26dfa36e72df</errorID>
      <errorWord>[2018]</errorWord>
      <group>L1_Punc</group>
      <groupName>标点问题</groupName>
      <ability>L2_Punc</ability>
      <abilityName>标点符号检查</abilityName>
      <candidateList>
        <item>〔2018〕</item>
      </candidateList>
      <explain/>
      <paraID>77F9CF2E</paraID>
      <start>3</start>
      <end>39</end>
      <status>ignored</status>
      <modifiedWord/>
      <trackRevisions>false</trackRevisions>
    </reviewItem>
    <reviewItem>
      <errorID>8f0b5c73-31f7-4641-8df5-7ada90d1db9e</errorID>
      <errorWord>[2017]</errorWord>
      <group>L1_Punc</group>
      <groupName>标点问题</groupName>
      <ability>L2_Punc</ability>
      <abilityName>标点符号检查</abilityName>
      <candidateList>
        <item>〔2017〕</item>
      </candidateList>
      <explain/>
      <paraID>61F8CB7D</paraID>
      <start>3</start>
      <end>39</end>
      <status>ignored</status>
      <modifiedWord/>
      <trackRevisions>false</trackRevisions>
    </reviewItem>
    <reviewItem>
      <errorID>b5b3bbf1-b173-409e-94ce-31934fea2b3b</errorID>
      <errorWord>[2018]</errorWord>
      <group>L1_Punc</group>
      <groupName>标点问题</groupName>
      <ability>L2_Punc</ability>
      <abilityName>标点符号检查</abilityName>
      <candidateList>
        <item>〔2018〕</item>
      </candidateList>
      <explain/>
      <paraID> 6C81218</paraID>
      <start>0</start>
      <end>36</end>
      <status>ignored</status>
      <modifiedWord/>
      <trackRevisions>false</trackRevisions>
    </reviewItem>
    <reviewItem>
      <errorID>f7d887f0-4f1f-4184-84c6-0ed99f4051a4</errorID>
      <errorWord>[2017]</errorWord>
      <group>L1_Punc</group>
      <groupName>标点问题</groupName>
      <ability>L2_Punc</ability>
      <abilityName>标点符号检查</abilityName>
      <candidateList>
        <item>〔2017〕</item>
      </candidateList>
      <explain/>
      <paraID>1DD5EB09</paraID>
      <start>3</start>
      <end>39</end>
      <status>ignored</status>
      <modifiedWord/>
      <trackRevisions>false</trackRevisions>
    </reviewItem>
    <reviewItem>
      <errorID>c66b8c41-ed4f-40c3-963f-2976244f1041</errorID>
      <errorWord>[2019]</errorWord>
      <group>L1_Punc</group>
      <groupName>标点问题</groupName>
      <ability>L2_Punc</ability>
      <abilityName>标点符号检查</abilityName>
      <candidateList>
        <item>〔2019〕</item>
      </candidateList>
      <explain/>
      <paraID>4F805DF1</paraID>
      <start>3</start>
      <end>39</end>
      <status>ignored</status>
      <modifiedWord/>
      <trackRevisions>false</trackRevisions>
    </reviewItem>
    <reviewItem>
      <errorID>88e9dd68-cc51-42a2-907f-6bfebc0925cb</errorID>
      <errorWord>[2017]</errorWord>
      <group>L1_Punc</group>
      <groupName>标点问题</groupName>
      <ability>L2_Punc</ability>
      <abilityName>标点符号检查</abilityName>
      <candidateList>
        <item>〔2017〕</item>
      </candidateList>
      <explain/>
      <paraID>7E040C56</paraID>
      <start>3</start>
      <end>39</end>
      <status>ignored</status>
      <modifiedWord/>
      <trackRevisions>false</trackRevisions>
    </reviewItem>
    <reviewItem>
      <errorID>5d97974b-9dac-4dd3-9c2b-7feee7c1b526</errorID>
      <errorWord>公</errorWord>
      <group>L1_Word</group>
      <groupName>字词问题</groupName>
      <ability>L2_Typo</ability>
      <abilityName>字词错误</abilityName>
      <candidateList>
        <item>公司</item>
      </candidateList>
      <explain>〈名〉依法设立，以营利为目的，独立承担民事责任的从事生产或服务性业务的经济实体。分为有限责任公司和股份有限公司。</explain>
      <paraID>54242271</paraID>
      <start>11</start>
      <end>12</end>
      <status>ignored</status>
      <modifiedWord/>
      <trackRevisions>false</trackRevisions>
    </reviewItem>
    <reviewItem>
      <errorID>27ab7033-09f4-4e76-8638-b4726527d775</errorID>
      <errorWord>[2018]</errorWord>
      <group>L1_Punc</group>
      <groupName>标点问题</groupName>
      <ability>L2_Punc</ability>
      <abilityName>标点符号检查</abilityName>
      <candidateList>
        <item>〔2018〕</item>
      </candidateList>
      <explain/>
      <paraID>2EAE54B9</paraID>
      <start>3</start>
      <end>39</end>
      <status>ignored</status>
      <modifiedWord/>
      <trackRevisions>false</trackRevisions>
    </reviewItem>
    <reviewItem>
      <errorID>5679db7c-8926-40d6-bd46-612d4b9466f1</errorID>
      <errorWord>公</errorWord>
      <group>L1_Word</group>
      <groupName>字词问题</groupName>
      <ability>L2_Typo</ability>
      <abilityName>字词错误</abilityName>
      <candidateList>
        <item>公司</item>
      </candidateList>
      <explain>〈名〉依法设立，以营利为目的，独立承担民事责任的从事生产或服务性业务的经济实体。分为有限责任公司和股份有限公司。</explain>
      <paraID>14495C6C</paraID>
      <start>11</start>
      <end>12</end>
      <status>ignored</status>
      <modifiedWord/>
      <trackRevisions>false</trackRevisions>
    </reviewItem>
    <reviewItem>
      <errorID>585ca76b-f552-4443-8319-993702d875ef</errorID>
      <errorWord>公</errorWord>
      <group>L1_Word</group>
      <groupName>字词问题</groupName>
      <ability>L2_Typo</ability>
      <abilityName>字词错误</abilityName>
      <candidateList>
        <item>公司</item>
      </candidateList>
      <explain>〈名〉依法设立，以营利为目的，独立承担民事责任的从事生产或服务性业务的经济实体。分为有限责任公司和股份有限公司。</explain>
      <paraID>4E70D517</paraID>
      <start>12</start>
      <end>13</end>
      <status>ignored</status>
      <modifiedWord/>
      <trackRevisions>false</trackRevisions>
    </reviewItem>
    <reviewItem>
      <errorID>b7aaaa23-ee37-4eae-8bf7-eb91de3aca39</errorID>
      <errorWord>公</errorWord>
      <group>L1_Word</group>
      <groupName>字词问题</groupName>
      <ability>L2_Typo</ability>
      <abilityName>字词错误</abilityName>
      <candidateList>
        <item>公司</item>
      </candidateList>
      <explain>〈名〉依法设立，以营利为目的，独立承担民事责任的从事生产或服务性业务的经济实体。分为有限责任公司和股份有限公司。</explain>
      <paraID>78A3C048</paraID>
      <start>11</start>
      <end>12</end>
      <status>ignored</status>
      <modifiedWord/>
      <trackRevisions>false</trackRevisions>
    </reviewItem>
    <reviewItem>
      <errorID>13b25430-3444-4017-b467-24a9a8f97df7</errorID>
      <errorWord>公</errorWord>
      <group>L1_Word</group>
      <groupName>字词问题</groupName>
      <ability>L2_Typo</ability>
      <abilityName>字词错误</abilityName>
      <candidateList>
        <item>公司</item>
      </candidateList>
      <explain>〈名〉依法设立，以营利为目的，独立承担民事责任的从事生产或服务性业务的经济实体。分为有限责任公司和股份有限公司。</explain>
      <paraID>316EE3DC</paraID>
      <start>11</start>
      <end>12</end>
      <status>ignored</status>
      <modifiedWord/>
      <trackRevisions>false</trackRevisions>
    </reviewItem>
    <reviewItem>
      <errorID>3ffd59fe-b6c0-4858-a4ae-86d961edd9c9</errorID>
      <errorWord>堂石</errorWord>
      <group>L1_Word</group>
      <groupName>字词问题</groupName>
      <ability>L2_Typo</ability>
      <abilityName>字词错误</abilityName>
      <candidateList>
        <item>萤石</item>
      </candidateList>
      <explain/>
      <paraID>7ECA6691</paraID>
      <start>2</start>
      <end>4</end>
      <status>ignored</status>
      <modifiedWord/>
      <trackRevisions>false</trackRevisions>
    </reviewItem>
    <reviewItem>
      <errorID>31652cd1-acd9-4167-877b-23bd4602cb37</errorID>
      <errorWord>公</errorWord>
      <group>L1_Word</group>
      <groupName>字词问题</groupName>
      <ability>L2_Typo</ability>
      <abilityName>字词错误</abilityName>
      <candidateList>
        <item>公司</item>
      </candidateList>
      <explain>〈名〉依法设立，以营利为目的，独立承担民事责任的从事生产或服务性业务的经济实体。分为有限责任公司和股份有限公司。</explain>
      <paraID>13C1D9E7</paraID>
      <start>11</start>
      <end>12</end>
      <status>ignored</status>
      <modifiedWord/>
      <trackRevisions>false</trackRevisions>
    </reviewItem>
    <reviewItem>
      <errorID>953916a4-d578-41f9-a108-5372dbb461b6</errorID>
      <errorWord>[2017]</errorWord>
      <group>L1_Punc</group>
      <groupName>标点问题</groupName>
      <ability>L2_Punc</ability>
      <abilityName>标点符号检查</abilityName>
      <candidateList>
        <item>〔2017〕</item>
      </candidateList>
      <explain/>
      <paraID>12835054</paraID>
      <start>3</start>
      <end>39</end>
      <status>ignored</status>
      <modifiedWord/>
      <trackRevisions>false</trackRevisions>
    </reviewItem>
    <reviewItem>
      <errorID>b91cfd2f-9afc-4eb5-87e1-5869c0a5f565</errorID>
      <errorWord>公</errorWord>
      <group>L1_Word</group>
      <groupName>字词问题</groupName>
      <ability>L2_Typo</ability>
      <abilityName>字词错误</abilityName>
      <candidateList>
        <item>公司</item>
      </candidateList>
      <explain>〈名〉依法设立，以营利为目的，独立承担民事责任的从事生产或服务性业务的经济实体。分为有限责任公司和股份有限公司。</explain>
      <paraID>5268095A</paraID>
      <start>11</start>
      <end>12</end>
      <status>ignored</status>
      <modifiedWord/>
      <trackRevisions>false</trackRevisions>
    </reviewItem>
    <reviewItem>
      <errorID>ec8fa718-2553-4e0e-94d2-9217a58cdaf0</errorID>
      <errorWord>[2018]</errorWord>
      <group>L1_Punc</group>
      <groupName>标点问题</groupName>
      <ability>L2_Punc</ability>
      <abilityName>标点符号检查</abilityName>
      <candidateList>
        <item>〔2018〕</item>
      </candidateList>
      <explain/>
      <paraID>1335CA98</paraID>
      <start>3</start>
      <end>39</end>
      <status>ignored</status>
      <modifiedWord/>
      <trackRevisions>false</trackRevisions>
    </reviewItem>
    <reviewItem>
      <errorID>e6725777-3b1c-4e21-95f6-85c2a5f31c84</errorID>
      <errorWord>公</errorWord>
      <group>L1_Word</group>
      <groupName>字词问题</groupName>
      <ability>L2_Typo</ability>
      <abilityName>字词错误</abilityName>
      <candidateList>
        <item>公司</item>
      </candidateList>
      <explain>〈名〉依法设立，以营利为目的，独立承担民事责任的从事生产或服务性业务的经济实体。分为有限责任公司和股份有限公司。</explain>
      <paraID>6E5DCF66</paraID>
      <start>12</start>
      <end>13</end>
      <status>ignored</status>
      <modifiedWord/>
      <trackRevisions>false</trackRevisions>
    </reviewItem>
    <reviewItem>
      <errorID>b4cd060a-9f38-4b77-8080-200cec6fa85b</errorID>
      <errorWord>[2017]</errorWord>
      <group>L1_Punc</group>
      <groupName>标点问题</groupName>
      <ability>L2_Punc</ability>
      <abilityName>标点符号检查</abilityName>
      <candidateList>
        <item>〔2017〕</item>
      </candidateList>
      <explain/>
      <paraID>3BF96CDA</paraID>
      <start>3</start>
      <end>39</end>
      <status>ignored</status>
      <modifiedWord/>
      <trackRevisions>false</trackRevisions>
    </reviewItem>
    <reviewItem>
      <errorID>090a341a-4300-4d0c-ab53-af708778c8be</errorID>
      <errorWord>[2023]</errorWord>
      <group>L1_Punc</group>
      <groupName>标点问题</groupName>
      <ability>L2_Punc</ability>
      <abilityName>标点符号检查</abilityName>
      <candidateList>
        <item>〔2023〕</item>
      </candidateList>
      <explain/>
      <paraID>61EA1233</paraID>
      <start>0</start>
      <end>36</end>
      <status>ignored</status>
      <modifiedWord/>
      <trackRevisions>false</trackRevisions>
    </reviewItem>
    <reviewItem>
      <errorID>b09586c4-6082-45c6-a13f-c2e5bf2bb474</errorID>
      <errorWord>公</errorWord>
      <group>L1_Word</group>
      <groupName>字词问题</groupName>
      <ability>L2_Typo</ability>
      <abilityName>字词错误</abilityName>
      <candidateList>
        <item>公司</item>
      </candidateList>
      <explain>〈名〉依法设立，以营利为目的，独立承担民事责任的从事生产或服务性业务的经济实体。分为有限责任公司和股份有限公司。</explain>
      <paraID>17E2CCB4</paraID>
      <start>11</start>
      <end>12</end>
      <status>ignored</status>
      <modifiedWord/>
      <trackRevisions>false</trackRevisions>
    </reviewItem>
    <reviewItem>
      <errorID>8cd237a6-2138-4a1e-b438-e47fc4112f5e</errorID>
      <errorWord>[2018]</errorWord>
      <group>L1_Punc</group>
      <groupName>标点问题</groupName>
      <ability>L2_Punc</ability>
      <abilityName>标点符号检查</abilityName>
      <candidateList>
        <item>〔2018〕</item>
      </candidateList>
      <explain/>
      <paraID>3C767D24</paraID>
      <start>3</start>
      <end>39</end>
      <status>ignored</status>
      <modifiedWord/>
      <trackRevisions>false</trackRevisions>
    </reviewItem>
    <reviewItem>
      <errorID>b462e79d-9ad4-4344-aff0-ea7eba8fca75</errorID>
      <errorWord>[2018]</errorWord>
      <group>L1_Punc</group>
      <groupName>标点问题</groupName>
      <ability>L2_Punc</ability>
      <abilityName>标点符号检查</abilityName>
      <candidateList>
        <item>〔2018〕</item>
      </candidateList>
      <explain/>
      <paraID> 684B586</paraID>
      <start>3</start>
      <end>39</end>
      <status>ignored</status>
      <modifiedWord/>
      <trackRevisions>false</trackRevisions>
    </reviewItem>
    <reviewItem>
      <errorID>e755334a-77c0-48d2-99be-381e819205c1</errorID>
      <errorWord>[2022]</errorWord>
      <group>L1_Punc</group>
      <groupName>标点问题</groupName>
      <ability>L2_Punc</ability>
      <abilityName>标点符号检查</abilityName>
      <candidateList>
        <item>〔2022〕</item>
      </candidateList>
      <explain/>
      <paraID>79A1F2D8</paraID>
      <start>4</start>
      <end>40</end>
      <status>ignored</status>
      <modifiedWord/>
      <trackRevisions>false</trackRevisions>
    </reviewItem>
    <reviewItem>
      <errorID>bef47f43-aa04-484e-9f73-4ebbef187cbd</errorID>
      <errorWord>[2018]</errorWord>
      <group>L1_Punc</group>
      <groupName>标点问题</groupName>
      <ability>L2_Punc</ability>
      <abilityName>标点符号检查</abilityName>
      <candidateList>
        <item>〔2018〕</item>
      </candidateList>
      <explain/>
      <paraID>4F391C1A</paraID>
      <start>3</start>
      <end>39</end>
      <status>ignored</status>
      <modifiedWord/>
      <trackRevisions>false</trackRevisions>
    </reviewItem>
    <reviewItem>
      <errorID>fc5160cd-9afe-4675-b86c-539c511172c6</errorID>
      <errorWord>[2022]</errorWord>
      <group>L1_Punc</group>
      <groupName>标点问题</groupName>
      <ability>L2_Punc</ability>
      <abilityName>标点符号检查</abilityName>
      <candidateList>
        <item>〔2022〕</item>
      </candidateList>
      <explain/>
      <paraID>3D7BD71C</paraID>
      <start>0</start>
      <end>36</end>
      <status>ignored</status>
      <modifiedWord/>
      <trackRevisions>false</trackRevisions>
    </reviewItem>
    <reviewItem>
      <errorID>55fe4c01-38fa-4fd0-a2c5-426878b5ab1e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84F804F</paraID>
      <start>0</start>
      <end>2</end>
      <status>ignored</status>
      <modifiedWord/>
      <trackRevisions>false</trackRevisions>
    </reviewItem>
    <reviewItem>
      <errorID>9150a9b5-530d-403e-a56d-7b01db7179a6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6430F5DA</paraID>
      <start>11</start>
      <end>12</end>
      <status>ignored</status>
      <modifiedWord/>
      <trackRevisions>false</trackRevisions>
    </reviewItem>
    <reviewItem>
      <errorID>19b9c33b-16ff-4224-bc8e-14e2e8c68b53</errorID>
      <errorWord>&lt;</errorWord>
      <group>L1_Format</group>
      <groupName>格式问题</groupName>
      <ability>L2_HalfPunc</ability>
      <abilityName>全半角检查</abilityName>
      <candidateList>
        <item>〈</item>
      </candidateList>
      <explain>文本全半角错误。</explain>
      <paraID>4EEB2B84</paraID>
      <start>41</start>
      <end>42</end>
      <status>ignored</status>
      <modifiedWord/>
      <trackRevisions>false</trackRevisions>
    </reviewItem>
    <reviewItem>
      <errorID>fb5e5d09-811e-4238-a0cf-39a9ec4dc28b</errorID>
      <errorWord>III类</errorWord>
      <group>L1_Knowledge</group>
      <groupName>知识性问题</groupName>
      <ability>L2_Knowledge</ability>
      <abilityName>其他知识</abilityName>
      <candidateList>
        <item>Ⅲ类</item>
      </candidateList>
      <explain>中文环境下罗马数字格式错误。</explain>
      <paraID>4EEB2B84</paraID>
      <start>112</start>
      <end>116</end>
      <status>ignored</status>
      <modifiedWord/>
      <trackRevisions>false</trackRevisions>
    </reviewItem>
    <reviewItem>
      <errorID>b9e2f801-4083-4bbd-9a41-ebb0271052bf</errorID>
      <errorWord>III类</errorWord>
      <group>L1_Knowledge</group>
      <groupName>知识性问题</groupName>
      <ability>L2_Knowledge</ability>
      <abilityName>其他知识</abilityName>
      <candidateList>
        <item>Ⅲ类</item>
      </candidateList>
      <explain>中文环境下罗马数字格式错误。</explain>
      <paraID>4EEB2B84</paraID>
      <start>150</start>
      <end>154</end>
      <status>ignored</status>
      <modifiedWord/>
      <trackRevisions>false</trackRevisions>
    </reviewItem>
    <reviewItem>
      <errorID>24ac8c46-35f5-4376-8024-ee15ce46901e</errorID>
      <errorWord>作</errorWord>
      <group>L1_Word</group>
      <groupName>字词问题</groupName>
      <ability>L2_Typo</ability>
      <abilityName>字词错误</abilityName>
      <candidateList>
        <item>做</item>
      </candidateList>
      <explain>存在发音相同字词的误用。</explain>
      <paraID>23FE0E9B</paraID>
      <start>22</start>
      <end>23</end>
      <status>modified</status>
      <modifiedWord>做</modifiedWord>
      <trackRevisions>false</trackRevisions>
    </reviewItem>
    <reviewItem>
      <errorID>30e645bd-4759-486c-b0b1-a6694734ab83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23FE0E9B</paraID>
      <start>48</start>
      <end>49</end>
      <status>ignored</status>
      <modifiedWord/>
      <trackRevisions>false</trackRevisions>
    </reviewItem>
    <reviewItem>
      <errorID>44b40bff-8787-4931-b668-b4ab9284d5a9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23FE0E9B</paraID>
      <start>90</start>
      <end>91</end>
      <status>ignored</status>
      <modifiedWord/>
      <trackRevisions>false</trackRevisions>
    </reviewItem>
    <reviewItem>
      <errorID>cb3e808d-df8b-4a50-b402-f1c1feaa9c23</errorID>
      <errorWord>勘踏</errorWord>
      <group>L1_Knowledge</group>
      <groupName>知识性问题</groupName>
      <ability>L2_Knowledge</ability>
      <abilityName>其他知识</abilityName>
      <candidateList>
        <item>勘探</item>
      </candidateList>
      <explain/>
      <paraID>44EDD17C</paraID>
      <start>23</start>
      <end>25</end>
      <status>ignored</status>
      <modifiedWord/>
      <trackRevisions>false</trackRevisions>
    </reviewItem>
    <reviewItem>
      <errorID>a0c13ef9-4f30-4dc7-93bf-3369b91d10ae</errorID>
      <errorWord>,</errorWord>
      <group>L1_Format</group>
      <groupName>格式问题</groupName>
      <ability>L2_HalfPunc</ability>
      <abilityName>全半角检查</abilityName>
      <candidateList>
        <item>，</item>
      </candidateList>
      <explain>文本全半角错误。</explain>
      <paraID>692F909D</paraID>
      <start>6</start>
      <end>7</end>
      <status>ignored</status>
      <modifiedWord/>
      <trackRevisions>false</trackRevisions>
    </reviewItem>
    <reviewItem>
      <errorID>0bcb0e55-43d6-4d6a-96d7-1ad235f3dbb8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68E96009</paraID>
      <start>0</start>
      <end>2</end>
      <status>ignored</status>
      <modifiedWord/>
      <trackRevisions>false</trackRevisions>
    </reviewItem>
    <reviewItem>
      <errorID>f8ec94a5-2f6d-410b-90c9-7d273cd76494</errorID>
      <errorWord>*</errorWord>
      <group>L1_Punc</group>
      <groupName>标点问题</groupName>
      <ability>L2_Punc</ability>
      <abilityName>标点符号检查</abilityName>
      <candidateList/>
      <explain/>
      <paraID>7A3B0F40</paraID>
      <start>0</start>
      <end>1</end>
      <status>ignored</status>
      <modifiedWord/>
      <trackRevisions>false</trackRevisions>
    </reviewItem>
    <reviewItem>
      <errorID>3e3e3f3b-ab93-4f27-8035-ffffb77cd80a</errorID>
      <errorWord>&lt;</errorWord>
      <group>L1_Format</group>
      <groupName>格式问题</groupName>
      <ability>L2_HalfPunc</ability>
      <abilityName>全半角检查</abilityName>
      <candidateList>
        <item>〈</item>
      </candidateList>
      <explain>文本全半角错误。</explain>
      <paraID>17661A0A</paraID>
      <start>42</start>
      <end>43</end>
      <status>ignored</status>
      <modifiedWord/>
      <trackRevisions>false</trackRevisions>
    </reviewItem>
    <reviewItem>
      <errorID>1f21998d-4878-4d4d-88fc-e3526221754b</errorID>
      <errorWord>&lt;</errorWord>
      <group>L1_Format</group>
      <groupName>格式问题</groupName>
      <ability>L2_HalfPunc</ability>
      <abilityName>全半角检查</abilityName>
      <candidateList>
        <item>〈</item>
      </candidateList>
      <explain>文本全半角错误。</explain>
      <paraID>17661A0A</paraID>
      <start>84</start>
      <end>85</end>
      <status>ignored</status>
      <modifiedWord/>
      <trackRevisions>false</trackRevisions>
    </reviewItem>
    <reviewItem>
      <errorID>f0c058ec-c77c-44ad-8e40-62163731e460</errorID>
      <errorWord>水污染排放</errorWord>
      <group>L1_Knowledge</group>
      <groupName>知识性问题</groupName>
      <ability>L2_Knowledge</ability>
      <abilityName>其他知识</abilityName>
      <candidateList>
        <item>水污染物排放</item>
      </candidateList>
      <explain/>
      <paraID>   D436E</paraID>
      <start>19</start>
      <end>24</end>
      <status>ignored</status>
      <modifiedWord/>
      <trackRevisions>false</trackRevisions>
    </reviewItem>
    <reviewItem>
      <errorID>ba75506f-40cb-4f85-9d99-793c66fb27a4</errorID>
      <errorWord>水污染排放</errorWord>
      <group>L1_Word</group>
      <groupName>字词问题</groupName>
      <ability>L2_Typo</ability>
      <abilityName>字词错误</abilityName>
      <candidateList>
        <item>水污染物排放</item>
      </candidateList>
      <explain/>
      <paraID>2B518509</paraID>
      <start>20</start>
      <end>25</end>
      <status>ignored</status>
      <modifiedWord/>
      <trackRevisions>false</trackRevisions>
    </reviewItem>
    <reviewItem>
      <errorID>82223b00-7e05-4e1e-acde-39e98801ea9a</errorID>
      <errorWord>喷粉</errorWord>
      <group>L1_Word</group>
      <groupName>字词问题</groupName>
      <ability>L2_Typo</ability>
      <abilityName>字词错误</abilityName>
      <candidateList>
        <item>喷洒</item>
      </candidateList>
      <explain>〈动〉喷射散落（多用于液体）：～农药。</explain>
      <paraID>4F957B54</paraID>
      <start>0</start>
      <end>2</end>
      <status>ignored</status>
      <modifiedWord/>
      <trackRevisions>false</trackRevisions>
    </reviewItem>
    <reviewItem>
      <errorID>719f47d2-3aa3-41ab-97a2-ddbd90663185</errorID>
      <errorWord>&lt;</errorWord>
      <group>L1_Format</group>
      <groupName>格式问题</groupName>
      <ability>L2_HalfPunc</ability>
      <abilityName>全半角检查</abilityName>
      <candidateList>
        <item>〈</item>
      </candidateList>
      <explain>文本全半角错误。</explain>
      <paraID>27C9C14B</paraID>
      <start>7</start>
      <end>8</end>
      <status>ignored</status>
      <modifiedWord/>
      <trackRevisions>false</trackRevisions>
    </reviewItem>
    <reviewItem>
      <errorID>3b8148c2-2d9a-466a-8fee-50d11392803d</errorID>
      <errorWord>&lt;</errorWord>
      <group>L1_Format</group>
      <groupName>格式问题</groupName>
      <ability>L2_HalfPunc</ability>
      <abilityName>全半角检查</abilityName>
      <candidateList>
        <item>〈</item>
      </candidateList>
      <explain>文本全半角错误。</explain>
      <paraID>27C9C14B</paraID>
      <start>49</start>
      <end>50</end>
      <status>ignored</status>
      <modifiedWord/>
      <trackRevisions>false</trackRevisions>
    </reviewItem>
    <reviewItem>
      <errorID>38de4c2b-b828-45d7-9dd6-ae5ea21be49b</errorID>
      <errorWord>喷粉</errorWord>
      <group>L1_Word</group>
      <groupName>字词问题</groupName>
      <ability>L2_Typo</ability>
      <abilityName>字词错误</abilityName>
      <candidateList>
        <item>喷洒</item>
      </candidateList>
      <explain>〈动〉喷射散落（多用于液体）：～农药。</explain>
      <paraID>688BA220</paraID>
      <start>0</start>
      <end>2</end>
      <status>ignored</status>
      <modifiedWord/>
      <trackRevisions>false</trackRevisions>
    </reviewItem>
    <reviewItem>
      <errorID>6562f9dd-4e3f-4e61-925d-a9eaa3a7761d</errorID>
      <errorWord>99.0%~99.5%</errorWord>
      <group>L1_Knowledge</group>
      <groupName>知识性问题</groupName>
      <ability>L2_Knowledge</ability>
      <abilityName>其他知识</abilityName>
      <candidateList>
        <item>99.0%～99.5%</item>
      </candidateList>
      <explain>1. “99.0%~99.5%”中的单位“%”仅出现在后一个数字上，容易引起歧义；根据《现代汉语标点符号数字用法规范手册》，数字表示范围两边需要使用统一的格式。2. 根据标点国标 4.13 中的规则，数字、时间或地域连接符应使用（视觉上更长的）“—”或“～”。</explain>
      <paraID>7D7096BF</paraID>
      <start>58</start>
      <end>69</end>
      <status>ignored</status>
      <modifiedWord/>
      <trackRevisions>false</trackRevisions>
    </reviewItem>
    <reviewItem>
      <errorID>1a06b7eb-3083-4382-99d1-74f7e8dcb4d3</errorID>
      <errorWord>'</errorWord>
      <group>L1_Format</group>
      <groupName>格式问题</groupName>
      <ability>L2_HalfPunc</ability>
      <abilityName>全半角检查</abilityName>
      <candidateList/>
      <explain>文本全半角错误。</explain>
      <paraID>708D4BE2</paraID>
      <start>45</start>
      <end>46</end>
      <status>ignored</status>
      <modifiedWord/>
      <trackRevisions>false</trackRevisions>
    </reviewItem>
    <reviewItem>
      <errorID>c6d5d764-c8fb-4cf1-b779-1c8f7b364e94</errorID>
      <errorWord>超</errorWord>
      <group>L1_Word</group>
      <groupName>字词问题</groupName>
      <ability>L2_Typo</ability>
      <abilityName>字词错误</abilityName>
      <candidateList>
        <item>超过</item>
      </candidateList>
      <explain/>
      <paraID>25C9A244</paraID>
      <start>67</start>
      <end>68</end>
      <status>ignored</status>
      <modifiedWord/>
      <trackRevisions>false</trackRevisions>
    </reviewItem>
    <reviewItem>
      <errorID>bd20b482-17e3-47b5-9bd1-ce4748b8b803</errorID>
      <errorWord>&lt;</errorWord>
      <group>L1_Format</group>
      <groupName>格式问题</groupName>
      <ability>L2_HalfPunc</ability>
      <abilityName>全半角检查</abilityName>
      <candidateList>
        <item>〈</item>
      </candidateList>
      <explain>文本全半角错误。</explain>
      <paraID>2392BCA5</paraID>
      <start>266</start>
      <end>267</end>
      <status>ignored</status>
      <modifiedWord/>
      <trackRevisions>false</trackRevisions>
    </reviewItem>
    <reviewItem>
      <errorID>6c311bb3-b37f-48d4-832b-f131ec64f69e</errorID>
      <errorWord>一下</errorWord>
      <group>L1_Word</group>
      <groupName>字词问题</groupName>
      <ability>L2_Typo</ability>
      <abilityName>字词错误</abilityName>
      <candidateList>
        <item>以下</item>
      </candidateList>
      <explain/>
      <paraID>5C7FAAFA</paraID>
      <start>26</start>
      <end>28</end>
      <status>modified</status>
      <modifiedWord>以下</modifiedWord>
      <trackRevisions>false</trackRevisions>
    </reviewItem>
    <reviewItem>
      <errorID>c0bb7a32-40b7-45d5-a62c-538d5eeb95ee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323B6B9C</paraID>
      <start>0</start>
      <end>2</end>
      <status>ignored</status>
      <modifiedWord/>
      <trackRevisions>false</trackRevisions>
    </reviewItem>
    <reviewItem>
      <errorID>7b6136c2-9ed2-44c8-a6f3-7f76f5c27167</errorID>
      <errorWord>...</errorWord>
      <group>L1_Punc</group>
      <groupName>标点问题</groupName>
      <ability>L2_Punc</ability>
      <abilityName>标点符号检查</abilityName>
      <candidateList>
        <item>……</item>
      </candidateList>
      <explain>省略号错误。</explain>
      <paraID>5B9F2CD2</paraID>
      <start>169</start>
      <end>172</end>
      <status>ignored</status>
      <modifiedWord/>
      <trackRevisions>false</trackRevisions>
    </reviewItem>
    <reviewItem>
      <errorID>87c3a994-f8a9-4e02-b2e4-094fa3282670</errorID>
      <errorWord>作</errorWord>
      <group>L1_Word</group>
      <groupName>字词问题</groupName>
      <ability>L2_Typo</ability>
      <abilityName>字词错误</abilityName>
      <candidateList>
        <item>做</item>
      </candidateList>
      <explain>存在发音相同字词的误用。</explain>
      <paraID>56EC44B0</paraID>
      <start>99</start>
      <end>100</end>
      <status>modified</status>
      <modifiedWord>做</modifiedWord>
      <trackRevisions>false</trackRevisions>
    </reviewItem>
    <reviewItem>
      <errorID>885ce777-0ee4-4499-903b-da05b0681830</errorID>
      <errorWord>,</errorWord>
      <group>L1_Format</group>
      <groupName>格式问题</groupName>
      <ability>L2_HalfPunc</ability>
      <abilityName>全半角检查</abilityName>
      <candidateList>
        <item>，</item>
      </candidateList>
      <explain>文本全半角错误。</explain>
      <paraID>56EC44B0</paraID>
      <start>104</start>
      <end>105</end>
      <status>ignored</status>
      <modifiedWord/>
      <trackRevisions>false</trackRevisions>
    </reviewItem>
    <reviewItem>
      <errorID>cbc2c79c-223e-4cf2-ab51-763a8377a0bc</errorID>
      <errorWord>作</errorWord>
      <group>L1_Word</group>
      <groupName>字词问题</groupName>
      <ability>L2_Typo</ability>
      <abilityName>字词错误</abilityName>
      <candidateList>
        <item>做</item>
      </candidateList>
      <explain>存在发音相同字词的误用。</explain>
      <paraID>56EC44B0</paraID>
      <start>267</start>
      <end>268</end>
      <status>modified</status>
      <modifiedWord>做</modifiedWord>
      <trackRevisions>false</trackRevisions>
    </reviewItem>
    <reviewItem>
      <errorID>2f92a2df-a13f-42e0-a721-2fb273ce1bf8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5C740840</paraID>
      <start>0</start>
      <end>2</end>
      <status>ignored</status>
      <modifiedWord/>
      <trackRevisions>false</trackRevisions>
    </reviewItem>
    <reviewItem>
      <errorID>7a3a4e7c-892f-4270-8b27-577c52099693</errorID>
      <errorWord>每个</errorWord>
      <group>L1_Word</group>
      <groupName>字词问题</groupName>
      <ability>L2_Typo</ability>
      <abilityName>字词错误</abilityName>
      <candidateList>
        <item>每隔</item>
      </candidateList>
      <explain>存在发音相同字词的误用。</explain>
      <paraID>18C4746E</paraID>
      <start>20</start>
      <end>22</end>
      <status>ignored</status>
      <modifiedWord/>
      <trackRevisions>false</trackRevisions>
    </reviewItem>
    <reviewItem>
      <errorID>62e79e27-7002-4c8e-9be2-a6ae8f433aca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2E9CB8D</paraID>
      <start>0</start>
      <end>2</end>
      <status>ignored</status>
      <modifiedWord/>
      <trackRevisions>false</trackRevisions>
    </reviewItem>
    <reviewItem>
      <errorID>4d7ee8f0-0085-4a9b-a718-0d0679543b86</errorID>
      <errorWord>：</errorWord>
      <group>L1_Format</group>
      <groupName>格式问题</groupName>
      <ability>L2_HalfPunc</ability>
      <abilityName>全半角检查</abilityName>
      <candidateList>
        <item>:</item>
      </candidateList>
      <explain>文本全半角错误。</explain>
      <paraID>7BFD5354</paraID>
      <start>82</start>
      <end>83</end>
      <status>ignored</status>
      <modifiedWord/>
      <trackRevisions>false</trackRevisions>
    </reviewItem>
    <reviewItem>
      <errorID>874a1806-3330-4802-8072-cdf0c0df2458</errorID>
      <errorWord>水份蒸发</errorWord>
      <group>L1_Word</group>
      <groupName>字词问题</groupName>
      <ability>L2_Variant</ability>
      <abilityName>异形词</abilityName>
      <candidateList>
        <item>水分蒸发</item>
      </candidateList>
      <explain>词汇[水份蒸发]的规范词形写作[水分蒸发]。</explain>
      <paraID>7BFD5354</paraID>
      <start>285</start>
      <end>289</end>
      <status>modified</status>
      <modifiedWord>水分蒸发</modifiedWord>
      <trackRevisions>false</trackRevisions>
    </reviewItem>
    <reviewItem>
      <errorID>835b5e40-7078-484e-8c99-a0b0961149c6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3F06ABA6</paraID>
      <start>0</start>
      <end>2</end>
      <status>ignored</status>
      <modifiedWord/>
      <trackRevisions>false</trackRevisions>
    </reviewItem>
    <reviewItem>
      <errorID>1bd73a14-0b01-4aaf-bab1-f64a871c1a05</errorID>
      <errorWord>,</errorWord>
      <group>L1_Format</group>
      <groupName>格式问题</groupName>
      <ability>L2_HalfPunc</ability>
      <abilityName>全半角检查</abilityName>
      <candidateList>
        <item>，</item>
      </candidateList>
      <explain>文本全半角错误。</explain>
      <paraID>43072E44</paraID>
      <start>87</start>
      <end>88</end>
      <status>ignored</status>
      <modifiedWord/>
      <trackRevisions>false</trackRevisions>
    </reviewItem>
    <reviewItem>
      <errorID>e085ddce-3ac7-46a0-a7b2-a654fc0d0ee5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4950A26F</paraID>
      <start>0</start>
      <end>2</end>
      <status>ignored</status>
      <modifiedWord/>
      <trackRevisions>false</trackRevisions>
    </reviewItem>
    <reviewItem>
      <errorID>4dca9e10-bbfd-40f5-b5c4-ce90af2c4b06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52F38D91</paraID>
      <start>0</start>
      <end>2</end>
      <status>ignored</status>
      <modifiedWord/>
      <trackRevisions>false</trackRevisions>
    </reviewItem>
    <reviewItem>
      <errorID>3b9ad1a4-5a0e-4740-9c92-020b0282a80d</errorID>
      <errorWord>效率好</errorWord>
      <group>L1_Word</group>
      <groupName>字词问题</groupName>
      <ability>L2_Typo</ability>
      <abilityName>字词错误</abilityName>
      <candidateList>
        <item>效率高</item>
      </candidateList>
      <explain>存在发音相近字词的误用。</explain>
      <paraID>4A76B854</paraID>
      <start>69</start>
      <end>72</end>
      <status>ignored</status>
      <modifiedWord/>
      <trackRevisions>false</trackRevisions>
    </reviewItem>
    <reviewItem>
      <errorID>c260af97-ad4d-41b5-a490-0c6499b2896d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68980248</paraID>
      <start>0</start>
      <end>2</end>
      <status>ignored</status>
      <modifiedWord/>
      <trackRevisions>false</trackRevisions>
    </reviewItem>
    <reviewItem>
      <errorID>2921169f-d56a-443a-acce-1a7517c8bc94</errorID>
      <errorWord>污水厂</errorWord>
      <group>L1_Word</group>
      <groupName>字词问题</groupName>
      <ability>L2_Typo</ability>
      <abilityName>字词错误</abilityName>
      <candidateList>
        <item>污水处理厂</item>
      </candidateList>
      <explain/>
      <paraID>524E94EA</paraID>
      <start>76</start>
      <end>79</end>
      <status>ignored</status>
      <modifiedWord/>
      <trackRevisions>false</trackRevisions>
    </reviewItem>
    <reviewItem>
      <errorID>6c2a4bac-6969-4fc9-81f9-3c343ca5c813</errorID>
      <errorWord>污水厂</errorWord>
      <group>L1_Word</group>
      <groupName>字词问题</groupName>
      <ability>L2_Typo</ability>
      <abilityName>字词错误</abilityName>
      <candidateList>
        <item>污水处理厂</item>
      </candidateList>
      <explain/>
      <paraID>524E94EA</paraID>
      <start>156</start>
      <end>159</end>
      <status>ignored</status>
      <modifiedWord/>
      <trackRevisions>false</trackRevisions>
    </reviewItem>
    <reviewItem>
      <errorID>2912c4d4-832a-4610-b1b8-a67d308d20af</errorID>
      <errorWord>20%~30%</errorWord>
      <group>L1_Knowledge</group>
      <groupName>知识性问题</groupName>
      <ability>L2_Knowledge</ability>
      <abilityName>其他知识</abilityName>
      <candidateList>
        <item>20%～30%</item>
      </candidateList>
      <explain>1. “20%~30%”中的单位“%”仅出现在后一个数字上，容易引起歧义；根据《现代汉语标点符号数字用法规范手册》，数字表示范围两边需要使用统一的格式。2. 根据标点国标 4.13 中的规则，数字、时间或地域连接符应使用（视觉上更长的）“—”或“～”。</explain>
      <paraID>1521D340</paraID>
      <start>145</start>
      <end>152</end>
      <status>ignored</status>
      <modifiedWord/>
      <trackRevisions>false</trackRevisions>
    </reviewItem>
    <reviewItem>
      <errorID>828dbf34-c49b-48d5-8435-79796f2f4e0f</errorID>
      <errorWord>~</errorWord>
      <group>L1_Format</group>
      <groupName>格式问题</groupName>
      <ability>L2_HalfPunc</ability>
      <abilityName>全半角检查</abilityName>
      <candidateList>
        <item>～</item>
      </candidateList>
      <explain>文本全半角错误。</explain>
      <paraID>49CCF441</paraID>
      <start>84</start>
      <end>85</end>
      <status>ignored</status>
      <modifiedWord/>
      <trackRevisions>false</trackRevisions>
    </reviewItem>
    <reviewItem>
      <errorID>c84f8c98-b96e-48ac-a9f0-e0b97b7ecf22</errorID>
      <errorWord>~</errorWord>
      <group>L1_Format</group>
      <groupName>格式问题</groupName>
      <ability>L2_HalfPunc</ability>
      <abilityName>全半角检查</abilityName>
      <candidateList>
        <item>～</item>
      </candidateList>
      <explain>文本全半角错误。</explain>
      <paraID>49CCF441</paraID>
      <start>97</start>
      <end>98</end>
      <status>ignored</status>
      <modifiedWord/>
      <trackRevisions>false</trackRevisions>
    </reviewItem>
    <reviewItem>
      <errorID>9f0e4230-f653-4eee-a003-8bda081132fa</errorID>
      <errorWord>~</errorWord>
      <group>L1_Format</group>
      <groupName>格式问题</groupName>
      <ability>L2_HalfPunc</ability>
      <abilityName>全半角检查</abilityName>
      <candidateList>
        <item>～</item>
      </candidateList>
      <explain>文本全半角错误。</explain>
      <paraID>49CCF441</paraID>
      <start>153</start>
      <end>154</end>
      <status>ignored</status>
      <modifiedWord/>
      <trackRevisions>false</trackRevisions>
    </reviewItem>
    <reviewItem>
      <errorID>9f17d5ce-4da1-4e8c-b5a5-126212fc22bb</errorID>
      <errorWord>15%~25%</errorWord>
      <group>L1_Knowledge</group>
      <groupName>知识性问题</groupName>
      <ability>L2_Knowledge</ability>
      <abilityName>其他知识</abilityName>
      <candidateList>
        <item>15%～25%</item>
      </candidateList>
      <explain>1. “15%~25%”中的单位“%”仅出现在后一个数字上，容易引起歧义；根据《现代汉语标点符号数字用法规范手册》，数字表示范围两边需要使用统一的格式。2. 根据标点国标 4.13 中的规则，数字、时间或地域连接符应使用（视觉上更长的）“—”或“～”。</explain>
      <paraID>178A9793</paraID>
      <start>41</start>
      <end>48</end>
      <status>ignored</status>
      <modifiedWord/>
      <trackRevisions>false</trackRevisions>
    </reviewItem>
    <reviewItem>
      <errorID>f80d17d7-aa1c-42dc-a30c-824b5147a679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15E30A</paraID>
      <start>0</start>
      <end>2</end>
      <status>ignored</status>
      <modifiedWord/>
      <trackRevisions>false</trackRevisions>
    </reviewItem>
    <reviewItem>
      <errorID>f934fbbe-16a4-48be-b6b7-60113227e89f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1AC2B9A1</paraID>
      <start>0</start>
      <end>2</end>
      <status>ignored</status>
      <modifiedWord/>
      <trackRevisions>false</trackRevisions>
    </reviewItem>
    <reviewItem>
      <errorID>eb29e9ed-f75f-4424-88b5-1692e528749d</errorID>
      <errorWord>迭加</errorWord>
      <group>L1_Word</group>
      <groupName>字词问题</groupName>
      <ability>L2_Typo</ability>
      <abilityName>字词错误</abilityName>
      <candidateList>
        <item>叠加</item>
      </candidateList>
      <explain/>
      <paraID>4820C6AB</paraID>
      <start>204</start>
      <end>206</end>
      <status>modified</status>
      <modifiedWord>叠加</modifiedWord>
      <trackRevisions>false</trackRevisions>
    </reviewItem>
    <reviewItem>
      <errorID>60b865cf-bb92-4a25-a9d4-69788fab80e3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3B73627C</paraID>
      <start>0</start>
      <end>2</end>
      <status>ignored</status>
      <modifiedWord/>
      <trackRevisions>false</trackRevisions>
    </reviewItem>
    <reviewItem>
      <errorID>08c5a270-6a8b-4ed8-8388-4a9ec640abca</errorID>
      <errorWord>、</errorWord>
      <group>L1_Punc</group>
      <groupName>标点问题</groupName>
      <ability>L2_Punc</ability>
      <abilityName>标点符号检查</abilityName>
      <candidateList>
        <item>.</item>
      </candidateList>
      <explain/>
      <paraID>241F86D1</paraID>
      <start>1</start>
      <end>2</end>
      <status>ignored</status>
      <modifiedWord/>
      <trackRevisions>false</trackRevisions>
    </reviewItem>
    <reviewItem>
      <errorID>4c02b55c-cb7e-4fb6-8647-c876a82d315f</errorID>
      <errorWord>、</errorWord>
      <group>L1_Punc</group>
      <groupName>标点问题</groupName>
      <ability>L2_Punc</ability>
      <abilityName>标点符号检查</abilityName>
      <candidateList>
        <item>.</item>
      </candidateList>
      <explain/>
      <paraID>5F7C67B6</paraID>
      <start>1</start>
      <end>2</end>
      <status>ignored</status>
      <modifiedWord/>
      <trackRevisions>false</trackRevisions>
    </reviewItem>
    <reviewItem>
      <errorID>14e2b431-ebc9-4e11-aad0-72756c379311</errorID>
      <errorWord>别</errorWord>
      <group>L1_Word</group>
      <groupName>字词问题</groupName>
      <ability>L2_Typo</ability>
      <abilityName>字词错误</abilityName>
      <candidateList>
        <item>别是</item>
      </candidateList>
      <explain/>
      <paraID>6E48BB0E</paraID>
      <start>42</start>
      <end>44</end>
      <status>modified</status>
      <modifiedWord>别是</modifiedWord>
      <trackRevisions>false</trackRevisions>
    </reviewItem>
    <reviewItem>
      <errorID>bbed5604-0fcf-464e-945e-7ce368e7d718</errorID>
      <errorWord>上述的</errorWord>
      <group>L1_Word</group>
      <groupName>字词问题</groupName>
      <ability>L2_Typo</ability>
      <abilityName>字词错误</abilityName>
      <candidateList>
        <item>上述</item>
      </candidateList>
      <explain>〈形〉属性词。上面所说的：～各条，望切实执行。</explain>
      <paraID>4ACDCFEF</paraID>
      <start>25</start>
      <end>27</end>
      <status>modified</status>
      <modifiedWord>上述</modifiedWord>
      <trackRevisions>false</trackRevisions>
    </reviewItem>
    <reviewItem>
      <errorID>362e06e2-a2f1-4a46-84f0-3abe35cf56a4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7CB464CE</paraID>
      <start>0</start>
      <end>2</end>
      <status>ignored</status>
      <modifiedWord/>
      <trackRevisions>false</trackRevisions>
    </reviewItem>
    <reviewItem>
      <errorID>1f67c629-8a08-4ffa-8085-110ce72d5128</errorID>
      <errorWord>相关有</errorWord>
      <group>L1_Word</group>
      <groupName>字词问题</groupName>
      <ability>L2_Typo</ability>
      <abilityName>字词错误</abilityName>
      <candidateList>
        <item>相关</item>
      </candidateList>
      <explain>〈动〉彼此关连：休戚～｜体育事业和人民健康密切～。</explain>
      <paraID>25206906</paraID>
      <start>235</start>
      <end>237</end>
      <status>modified</status>
      <modifiedWord>相关</modifiedWord>
      <trackRevisions>false</trackRevisions>
    </reviewItem>
    <reviewItem>
      <errorID>6117bc4c-6428-43d4-8346-d3a1020ffc86</errorID>
      <errorWord>相关有</errorWord>
      <group>L1_Word</group>
      <groupName>字词问题</groupName>
      <ability>L2_Typo</ability>
      <abilityName>字词错误</abilityName>
      <candidateList>
        <item>相关</item>
      </candidateList>
      <explain>〈动〉彼此关连：休戚～｜体育事业和人民健康密切～。</explain>
      <paraID>70D68004</paraID>
      <start>131</start>
      <end>133</end>
      <status>modified</status>
      <modifiedWord>相关</modifiedWord>
      <trackRevisions>false</trackRevisions>
    </reviewItem>
    <reviewItem>
      <errorID>236bbaf8-9ded-453e-888f-26049fb803bd</errorID>
      <errorWord>~</errorWord>
      <group>L1_Format</group>
      <groupName>格式问题</groupName>
      <ability>L2_HalfPunc</ability>
      <abilityName>全半角检查</abilityName>
      <candidateList>
        <item>～</item>
      </candidateList>
      <explain>文本全半角错误。</explain>
      <paraID>556DBF53</paraID>
      <start>80</start>
      <end>81</end>
      <status>ignored</status>
      <modifiedWord/>
      <trackRevisions>false</trackRevisions>
    </reviewItem>
    <reviewItem>
      <errorID>669b8ce4-5f73-449a-8d48-dd606d9f8daf</errorID>
      <errorWord>程</errorWord>
      <group>L1_Word</group>
      <groupName>字词问题</groupName>
      <ability>L2_Typo</ability>
      <abilityName>字词错误</abilityName>
      <candidateList>
        <item>程中</item>
      </candidateList>
      <explain/>
      <paraID>1485594C</paraID>
      <start>6</start>
      <end>7</end>
      <status>ignored</status>
      <modifiedWord/>
      <trackRevisions>false</trackRevisions>
    </reviewItem>
    <reviewItem>
      <errorID>753a3bbb-2d3d-43d7-a76c-02c5520b3102</errorID>
      <errorWord>、以及</errorWord>
      <group>L1_Punc</group>
      <groupName>标点问题</groupName>
      <ability>L2_Punc</ability>
      <abilityName>标点符号检查</abilityName>
      <candidateList>
        <item>，以及</item>
      </candidateList>
      <explain>连接词前后不宜使用顿号，建议使用逗号。</explain>
      <paraID>3D939495</paraID>
      <start>7</start>
      <end>10</end>
      <status>modified</status>
      <modifiedWord>，以及</modifiedWord>
      <trackRevisions>false</trackRevisions>
    </reviewItem>
    <reviewItem>
      <errorID>62f1e0e9-85fd-4f96-b6f4-f3805f6751e6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31B8A5D7</paraID>
      <start>0</start>
      <end>2</end>
      <status>ignored</status>
      <modifiedWord/>
      <trackRevisions>false</trackRevisions>
    </reviewItem>
    <reviewItem>
      <errorID>78d9826c-bfef-4e3c-8856-a5c4382d1155</errorID>
      <errorWord>程</errorWord>
      <group>L1_Word</group>
      <groupName>字词问题</groupName>
      <ability>L2_Typo</ability>
      <abilityName>字词错误</abilityName>
      <candidateList>
        <item>程中</item>
      </candidateList>
      <explain/>
      <paraID> EAA8628</paraID>
      <start>368</start>
      <end>369</end>
      <status>ignored</status>
      <modifiedWord/>
      <trackRevisions>false</trackRevisions>
    </reviewItem>
    <reviewItem>
      <errorID>63072d01-a3b5-4af3-9344-053efeafef09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EAA8628</paraID>
      <start>710</start>
      <end>711</end>
      <status>ignored</status>
      <modifiedWord/>
      <trackRevisions>false</trackRevisions>
    </reviewItem>
    <reviewItem>
      <errorID>bfed5c59-5672-4a42-98e6-1c50c96d22cf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EAA8628</paraID>
      <start>750</start>
      <end>751</end>
      <status>ignored</status>
      <modifiedWord/>
      <trackRevisions>false</trackRevisions>
    </reviewItem>
    <reviewItem>
      <errorID>c388f074-d883-4cb2-8dda-bbb8d990edc9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1382BA72</paraID>
      <start>0</start>
      <end>2</end>
      <status>ignored</status>
      <modifiedWord/>
      <trackRevisions>false</trackRevisions>
    </reviewItem>
    <reviewItem>
      <errorID>e62bb9e7-ef22-4366-b230-9b02798fb5be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4DEDB26C</paraID>
      <start>0</start>
      <end>2</end>
      <status>ignored</status>
      <modifiedWord/>
      <trackRevisions>false</trackRevisions>
    </reviewItem>
    <reviewItem>
      <errorID>0f8c3dad-4e8e-4725-997a-a820a2fe2d2e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4119BB77</paraID>
      <start>0</start>
      <end>2</end>
      <status>ignored</status>
      <modifiedWord/>
      <trackRevisions>false</trackRevisions>
    </reviewItem>
    <reviewItem>
      <errorID>bd9356f1-e45a-46b2-b05c-342574d4beba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1904E6A3</paraID>
      <start>0</start>
      <end>2</end>
      <status>ignored</status>
      <modifiedWord/>
      <trackRevisions>false</trackRevisions>
    </reviewItem>
    <reviewItem>
      <errorID>afe52032-2b0f-4548-a5a2-e6ef78d7c8f9</errorID>
      <errorWord>；</errorWord>
      <group>L1_Format</group>
      <groupName>格式问题</groupName>
      <ability>L2_HalfPunc</ability>
      <abilityName>全半角检查</abilityName>
      <candidateList>
        <item>;</item>
      </candidateList>
      <explain>文本全半角错误。</explain>
      <paraID>5087D1A0</paraID>
      <start>8</start>
      <end>9</end>
      <status>ignored</status>
      <modifiedWord/>
      <trackRevisions>false</trackRevisions>
    </reviewItem>
    <reviewItem>
      <errorID>f0373196-0048-4e37-bf4b-6ca418ce7c1b</errorID>
      <errorWord>年平均</errorWord>
      <group>L1_Word</group>
      <groupName>字词问题</groupName>
      <ability>L2_Typo</ability>
      <abilityName>字词错误</abilityName>
      <candidateList>
        <item>平均年</item>
      </candidateList>
      <explain/>
      <paraID>74993AFF</paraID>
      <start>3</start>
      <end>6</end>
      <status>ignored</status>
      <modifiedWord/>
      <trackRevisions>false</trackRevisions>
    </reviewItem>
    <reviewItem>
      <errorID>3bbb640f-238f-4469-848b-d4ab44d206c9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3280DB28</paraID>
      <start>0</start>
      <end>2</end>
      <status>ignored</status>
      <modifiedWord/>
      <trackRevisions>false</trackRevisions>
    </reviewItem>
    <reviewItem>
      <errorID>5772a295-c4fc-4557-87b5-2a63354138d4</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2F8D38DB</paraID>
      <start>49</start>
      <end>50</end>
      <status>ignored</status>
      <modifiedWord/>
      <trackRevisions>false</trackRevisions>
    </reviewItem>
    <reviewItem>
      <errorID>6331dc94-b827-4e27-b4f3-9bcefc653a10</errorID>
      <errorWord>提高</errorWord>
      <group>L1_Grammar</group>
      <groupName>语法问题</groupName>
      <ability>L2_Grammar</ability>
      <abilityName>语法错误</abilityName>
      <candidateList>
        <item>增强</item>
      </candidateList>
      <explain>“提高～意识”搭配不当，建议修改为“增强～意识”。</explain>
      <paraID>3CE74BB5</paraID>
      <start>22</start>
      <end>24</end>
      <status>ignored</status>
      <modifiedWord/>
      <trackRevisions>false</trackRevisions>
    </reviewItem>
    <reviewItem>
      <errorID>409a41f9-a9fb-4562-85a8-ba6f64144140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6111F92</paraID>
      <start>0</start>
      <end>2</end>
      <status>ignored</status>
      <modifiedWord/>
      <trackRevisions>false</trackRevisions>
    </reviewItem>
    <reviewItem>
      <errorID>b0d06a70-fec1-4348-a555-eb3a9d23e3a4</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58091A08</paraID>
      <start>0</start>
      <end>2</end>
      <status>ignored</status>
      <modifiedWord/>
      <trackRevisions>false</trackRevisions>
    </reviewItem>
    <reviewItem>
      <errorID>cc89e9d4-f8b1-4c87-98cd-ec3895a249b9</errorID>
      <errorWord>水污染排放</errorWord>
      <group>L1_Knowledge</group>
      <groupName>知识性问题</groupName>
      <ability>L2_Knowledge</ability>
      <abilityName>其他知识</abilityName>
      <candidateList>
        <item>水污染物排放</item>
      </candidateList>
      <explain/>
      <paraID> 5BF927D</paraID>
      <start>18</start>
      <end>24</end>
      <status>modified</status>
      <modifiedWord>水污染物排放</modifiedWord>
      <trackRevisions>false</trackRevisions>
    </reviewItem>
    <reviewItem>
      <errorID>f4be6a8e-9232-45c0-a50e-b0e69e841466</errorID>
      <errorWord>、及</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2AF81721</paraID>
      <start>78</start>
      <end>79</end>
      <status>modified</status>
      <modifiedWord>及</modifiedWord>
      <trackRevisions>false</trackRevisions>
    </reviewItem>
    <reviewItem>
      <errorID>da4a7623-4548-4b76-ad1e-092f400cf549</errorID>
      <errorWord>生产环境质量</errorWord>
      <group>L1_Political</group>
      <groupName>政治性问题</groupName>
      <ability>L2_Keyword</ability>
      <abilityName>固定表述</abilityName>
      <candidateList>
        <item>生态环境质量</item>
      </candidateList>
      <explain>词汇“生态环境质量”在特定场景下为固定表述形式，请确认此处的“生产环境质量”是否存在不当。</explain>
      <paraID>4623B4F4</paraID>
      <start>68</start>
      <end>74</end>
      <status>ignored</status>
      <modifiedWord/>
      <trackRevisions>false</trackRevisions>
    </reviewItem>
    <reviewItem>
      <errorID>53a399ad-1a0d-48a2-b0b5-9303cf9f58dd</errorID>
      <errorWord>绿化的</errorWord>
      <group>L1_Word</group>
      <groupName>字词问题</groupName>
      <ability>L2_Typo</ability>
      <abilityName>字词错误</abilityName>
      <candidateList>
        <item>绿化</item>
      </candidateList>
      <explain/>
      <paraID>3E0BF3C0</paraID>
      <start>5</start>
      <end>8</end>
      <status>ignored</status>
      <modifiedWord/>
      <trackRevisions>false</trackRevisions>
    </reviewItem>
    <reviewItem>
      <errorID>4b3e0c86-77c2-4fd2-853d-c0e6ec89865e</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2C74B377</paraID>
      <start>17</start>
      <end>18</end>
      <status>ignored</status>
      <modifiedWord/>
      <trackRevisions>false</trackRevisions>
    </reviewItem>
    <reviewItem>
      <errorID>37abc693-9396-4ad3-84c5-2dbe04275300</errorID>
      <errorWord>永久农田</errorWord>
      <group>L1_Political</group>
      <groupName>政治性问题</groupName>
      <ability>L2_Unpolitical</ability>
      <abilityName>政治敏感错误</abilityName>
      <candidateList>
        <item>永久基本农田</item>
      </candidateList>
      <explain/>
      <paraID>39C8B3DC</paraID>
      <start>4</start>
      <end>10</end>
      <status>modified</status>
      <modifiedWord>永久基本农田</modifiedWord>
      <trackRevisions>false</trackRevisions>
    </reviewItem>
  </reviewItems>
  <config/>
</contractReview>
</file>

<file path=customXml/item4.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4396ea-904a-4a7f-a525-e7357d7f0484}">
  <ds:schemaRefs/>
</ds:datastoreItem>
</file>

<file path=customXml/itemProps3.xml><?xml version="1.0" encoding="utf-8"?>
<ds:datastoreItem xmlns:ds="http://schemas.openxmlformats.org/officeDocument/2006/customXml" ds:itemID="{582219f8-1c70-4109-bb35-679f8abc38b3}">
  <ds:schemaRefs/>
</ds:datastoreItem>
</file>

<file path=customXml/itemProps4.xml><?xml version="1.0" encoding="utf-8"?>
<ds:datastoreItem xmlns:ds="http://schemas.openxmlformats.org/officeDocument/2006/customXml" ds:itemID="{1c9d18e6-4791-46f1-ab62-235de36c5cf2}">
  <ds:schemaRefs/>
</ds:datastoreItem>
</file>

<file path=docProps/app.xml><?xml version="1.0" encoding="utf-8"?>
<Properties xmlns="http://schemas.openxmlformats.org/officeDocument/2006/extended-properties" xmlns:vt="http://schemas.openxmlformats.org/officeDocument/2006/docPropsVTypes">
  <Template>Normal.dotm</Template>
  <Pages>134</Pages>
  <Words>74784</Words>
  <Characters>92769</Characters>
  <Paragraphs>8361</Paragraphs>
  <TotalTime>35</TotalTime>
  <ScaleCrop>false</ScaleCrop>
  <LinksUpToDate>false</LinksUpToDate>
  <CharactersWithSpaces>94330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2022-04-28T02:26:00Z</dcterms:created>
  <dc:creator>O</dc:creator>
  <cp:lastModifiedBy>杨宗祺-Swi</cp:lastModifiedBy>
  <cp:lastPrinted>2026-01-04T10:36:00Z</cp:lastPrinted>
  <dcterms:modified xsi:type="dcterms:W3CDTF">2026-06-12T06:06:23Z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15561D1E58764463BE004B89EC139755_13</vt:lpwstr>
  </property>
  <property fmtid="{D5CDD505-2E9C-101B-9397-08002B2CF9AE}" pid="4" name="KSOTemplateDocerSaveRecord">
    <vt:lpwstr>eyJoZGlkIjoiYTY3NjljNDJiNDZmNDUzMTJiY2Y2OGFhMmE2ZDkwMDMiLCJ1c2VySWQiOiIzNzQ0OTk2MDAifQ==</vt:lpwstr>
  </property>
</Properties>
</file>