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FBE81">
      <w:pPr>
        <w:pStyle w:val="6"/>
        <w:spacing w:line="269" w:lineRule="auto"/>
        <w:rPr>
          <w:color w:val="auto"/>
        </w:rPr>
      </w:pPr>
    </w:p>
    <w:p w14:paraId="589B17F3">
      <w:pPr>
        <w:pStyle w:val="6"/>
        <w:spacing w:line="269" w:lineRule="auto"/>
        <w:rPr>
          <w:color w:val="auto"/>
        </w:rPr>
      </w:pPr>
    </w:p>
    <w:p w14:paraId="327F3929">
      <w:pPr>
        <w:pStyle w:val="6"/>
        <w:spacing w:line="269" w:lineRule="auto"/>
        <w:rPr>
          <w:color w:val="auto"/>
        </w:rPr>
      </w:pPr>
    </w:p>
    <w:p w14:paraId="07EB6F07">
      <w:pPr>
        <w:pStyle w:val="6"/>
        <w:spacing w:line="269" w:lineRule="auto"/>
        <w:rPr>
          <w:color w:val="auto"/>
        </w:rPr>
      </w:pPr>
    </w:p>
    <w:p w14:paraId="6FDB6CE1">
      <w:pPr>
        <w:pStyle w:val="6"/>
        <w:spacing w:line="270" w:lineRule="auto"/>
        <w:rPr>
          <w:color w:val="auto"/>
        </w:rPr>
      </w:pPr>
    </w:p>
    <w:p w14:paraId="4EED62F6">
      <w:pPr>
        <w:pStyle w:val="6"/>
        <w:spacing w:line="270" w:lineRule="auto"/>
        <w:rPr>
          <w:color w:val="auto"/>
        </w:rPr>
      </w:pPr>
    </w:p>
    <w:p w14:paraId="258EF7CB">
      <w:pPr>
        <w:pStyle w:val="6"/>
        <w:spacing w:line="270" w:lineRule="auto"/>
        <w:rPr>
          <w:color w:val="auto"/>
        </w:rPr>
      </w:pPr>
    </w:p>
    <w:p w14:paraId="1B81070D">
      <w:pPr>
        <w:pStyle w:val="6"/>
        <w:spacing w:line="270" w:lineRule="auto"/>
        <w:rPr>
          <w:color w:val="auto"/>
        </w:rPr>
      </w:pPr>
    </w:p>
    <w:p w14:paraId="7AC7602C">
      <w:pPr>
        <w:spacing w:before="305" w:line="185" w:lineRule="auto"/>
        <w:ind w:left="216"/>
        <w:outlineLvl w:val="0"/>
        <w:rPr>
          <w:rFonts w:ascii="微软雅黑" w:hAnsi="微软雅黑" w:eastAsia="微软雅黑" w:cs="微软雅黑"/>
          <w:color w:val="auto"/>
          <w:sz w:val="71"/>
          <w:szCs w:val="71"/>
        </w:rPr>
      </w:pPr>
      <w:r>
        <w:rPr>
          <w:rFonts w:ascii="微软雅黑" w:hAnsi="微软雅黑" w:eastAsia="微软雅黑" w:cs="微软雅黑"/>
          <w:color w:val="auto"/>
          <w:spacing w:val="9"/>
          <w:sz w:val="71"/>
          <w:szCs w:val="71"/>
        </w:rPr>
        <w:t>建设项目环境影响报告表</w:t>
      </w:r>
    </w:p>
    <w:p w14:paraId="288FF8E9">
      <w:pPr>
        <w:spacing w:before="285" w:line="227" w:lineRule="auto"/>
        <w:ind w:left="2541"/>
        <w:rPr>
          <w:rFonts w:ascii="楷体" w:hAnsi="楷体" w:eastAsia="楷体" w:cs="楷体"/>
          <w:color w:val="auto"/>
          <w:sz w:val="47"/>
          <w:szCs w:val="47"/>
        </w:rPr>
      </w:pPr>
      <w:r>
        <w:rPr>
          <w:rFonts w:ascii="楷体" w:hAnsi="楷体" w:eastAsia="楷体" w:cs="楷体"/>
          <w:color w:val="auto"/>
          <w:sz w:val="47"/>
          <w:szCs w:val="47"/>
        </w:rPr>
        <w:t>（污染影响类）</w:t>
      </w:r>
    </w:p>
    <w:p w14:paraId="1B94F96A">
      <w:pPr>
        <w:pStyle w:val="6"/>
        <w:spacing w:line="251" w:lineRule="auto"/>
        <w:rPr>
          <w:color w:val="auto"/>
        </w:rPr>
      </w:pPr>
    </w:p>
    <w:p w14:paraId="6D7D8BB1">
      <w:pPr>
        <w:pStyle w:val="6"/>
        <w:spacing w:line="251" w:lineRule="auto"/>
        <w:rPr>
          <w:color w:val="auto"/>
        </w:rPr>
      </w:pPr>
    </w:p>
    <w:p w14:paraId="5EE158F2">
      <w:pPr>
        <w:pStyle w:val="6"/>
        <w:spacing w:line="251" w:lineRule="auto"/>
        <w:rPr>
          <w:color w:val="auto"/>
        </w:rPr>
      </w:pPr>
    </w:p>
    <w:p w14:paraId="654C6DAB">
      <w:pPr>
        <w:pStyle w:val="6"/>
        <w:spacing w:line="251" w:lineRule="auto"/>
        <w:rPr>
          <w:color w:val="auto"/>
        </w:rPr>
      </w:pPr>
      <w:bookmarkStart w:id="13" w:name="_GoBack"/>
      <w:bookmarkEnd w:id="13"/>
    </w:p>
    <w:p w14:paraId="22C795F0">
      <w:pPr>
        <w:pStyle w:val="6"/>
        <w:spacing w:line="251" w:lineRule="auto"/>
        <w:rPr>
          <w:color w:val="auto"/>
        </w:rPr>
      </w:pPr>
    </w:p>
    <w:p w14:paraId="3D3499F9">
      <w:pPr>
        <w:pStyle w:val="6"/>
        <w:spacing w:line="251" w:lineRule="auto"/>
        <w:rPr>
          <w:color w:val="auto"/>
        </w:rPr>
      </w:pPr>
    </w:p>
    <w:p w14:paraId="2BA2953A">
      <w:pPr>
        <w:pStyle w:val="6"/>
        <w:spacing w:line="251" w:lineRule="auto"/>
        <w:rPr>
          <w:color w:val="auto"/>
        </w:rPr>
      </w:pPr>
    </w:p>
    <w:p w14:paraId="6EA18373">
      <w:pPr>
        <w:pStyle w:val="6"/>
        <w:spacing w:line="252" w:lineRule="auto"/>
        <w:rPr>
          <w:color w:val="auto"/>
        </w:rPr>
      </w:pPr>
    </w:p>
    <w:p w14:paraId="4CBDAD48">
      <w:pPr>
        <w:pStyle w:val="6"/>
        <w:spacing w:line="252" w:lineRule="auto"/>
        <w:rPr>
          <w:color w:val="auto"/>
        </w:rPr>
      </w:pPr>
    </w:p>
    <w:p w14:paraId="3869DFA6">
      <w:pPr>
        <w:pStyle w:val="6"/>
        <w:spacing w:line="252" w:lineRule="auto"/>
        <w:rPr>
          <w:color w:val="auto"/>
        </w:rPr>
      </w:pPr>
    </w:p>
    <w:p w14:paraId="118B7258">
      <w:pPr>
        <w:pStyle w:val="6"/>
        <w:spacing w:line="252" w:lineRule="auto"/>
        <w:rPr>
          <w:color w:val="auto"/>
        </w:rPr>
      </w:pPr>
    </w:p>
    <w:p w14:paraId="1365B80C">
      <w:pPr>
        <w:tabs>
          <w:tab w:val="left" w:pos="8589"/>
        </w:tabs>
        <w:spacing w:before="98" w:line="349" w:lineRule="auto"/>
        <w:ind w:left="813" w:firstLine="1"/>
        <w:jc w:val="both"/>
        <w:rPr>
          <w:rFonts w:ascii="仿宋" w:hAnsi="仿宋" w:eastAsia="仿宋" w:cs="仿宋"/>
          <w:b w:val="0"/>
          <w:bCs w:val="0"/>
          <w:color w:val="auto"/>
          <w:sz w:val="32"/>
          <w:szCs w:val="32"/>
        </w:rPr>
      </w:pPr>
      <w:r>
        <w:rPr>
          <w:rFonts w:ascii="仿宋" w:hAnsi="仿宋" w:eastAsia="仿宋" w:cs="仿宋"/>
          <w:b w:val="0"/>
          <w:bCs w:val="0"/>
          <w:color w:val="auto"/>
          <w:spacing w:val="-1"/>
          <w:sz w:val="32"/>
          <w:szCs w:val="32"/>
        </w:rPr>
        <w:t>项目名称：</w:t>
      </w:r>
      <w:r>
        <w:rPr>
          <w:rFonts w:hint="eastAsia" w:ascii="仿宋" w:hAnsi="仿宋" w:eastAsia="仿宋" w:cs="仿宋"/>
          <w:b w:val="0"/>
          <w:bCs w:val="0"/>
          <w:color w:val="auto"/>
          <w:sz w:val="32"/>
          <w:szCs w:val="32"/>
          <w:u w:val="single" w:color="auto"/>
          <w:lang w:val="en-US" w:eastAsia="zh-CN"/>
        </w:rPr>
        <w:t>年产</w:t>
      </w:r>
      <w:r>
        <w:rPr>
          <w:rFonts w:hint="default" w:ascii="Times New Roman" w:hAnsi="Times New Roman" w:eastAsia="仿宋" w:cs="Times New Roman"/>
          <w:b w:val="0"/>
          <w:bCs w:val="0"/>
          <w:color w:val="auto"/>
          <w:sz w:val="32"/>
          <w:szCs w:val="32"/>
          <w:u w:val="single" w:color="auto"/>
          <w:lang w:val="en-US" w:eastAsia="zh-CN"/>
        </w:rPr>
        <w:t>5</w:t>
      </w:r>
      <w:r>
        <w:rPr>
          <w:rFonts w:hint="eastAsia" w:ascii="仿宋" w:hAnsi="仿宋" w:eastAsia="仿宋" w:cs="仿宋"/>
          <w:b w:val="0"/>
          <w:bCs w:val="0"/>
          <w:color w:val="auto"/>
          <w:sz w:val="32"/>
          <w:szCs w:val="32"/>
          <w:u w:val="single" w:color="auto"/>
          <w:lang w:val="en-US" w:eastAsia="zh-CN"/>
        </w:rPr>
        <w:t xml:space="preserve">万立方米混凝土搅拌站项目  </w:t>
      </w:r>
      <w:r>
        <w:rPr>
          <w:rFonts w:ascii="仿宋" w:hAnsi="仿宋" w:eastAsia="仿宋" w:cs="仿宋"/>
          <w:b w:val="0"/>
          <w:bCs w:val="0"/>
          <w:color w:val="auto"/>
          <w:sz w:val="32"/>
          <w:szCs w:val="32"/>
        </w:rPr>
        <w:t xml:space="preserve"> </w:t>
      </w:r>
    </w:p>
    <w:p w14:paraId="2596CDE4">
      <w:pPr>
        <w:tabs>
          <w:tab w:val="left" w:pos="8589"/>
        </w:tabs>
        <w:spacing w:before="98" w:line="349" w:lineRule="auto"/>
        <w:ind w:left="813" w:firstLine="1"/>
        <w:jc w:val="both"/>
        <w:rPr>
          <w:rFonts w:ascii="仿宋" w:hAnsi="仿宋" w:eastAsia="仿宋" w:cs="仿宋"/>
          <w:b w:val="0"/>
          <w:bCs w:val="0"/>
          <w:color w:val="auto"/>
          <w:sz w:val="32"/>
          <w:szCs w:val="32"/>
        </w:rPr>
      </w:pPr>
      <w:r>
        <w:rPr>
          <w:rFonts w:ascii="仿宋" w:hAnsi="仿宋" w:eastAsia="仿宋" w:cs="仿宋"/>
          <w:b w:val="0"/>
          <w:bCs w:val="0"/>
          <w:color w:val="auto"/>
          <w:spacing w:val="-2"/>
          <w:sz w:val="32"/>
          <w:szCs w:val="32"/>
        </w:rPr>
        <w:t>建设单位（盖章</w:t>
      </w:r>
      <w:r>
        <w:rPr>
          <w:rFonts w:ascii="仿宋" w:hAnsi="仿宋" w:eastAsia="仿宋" w:cs="仿宋"/>
          <w:b w:val="0"/>
          <w:bCs w:val="0"/>
          <w:color w:val="auto"/>
          <w:spacing w:val="11"/>
          <w:sz w:val="32"/>
          <w:szCs w:val="32"/>
        </w:rPr>
        <w:t>）：</w:t>
      </w:r>
      <w:r>
        <w:rPr>
          <w:rFonts w:hint="eastAsia" w:ascii="仿宋" w:hAnsi="仿宋" w:eastAsia="仿宋" w:cs="仿宋"/>
          <w:b w:val="0"/>
          <w:bCs w:val="0"/>
          <w:color w:val="auto"/>
          <w:spacing w:val="-2"/>
          <w:sz w:val="32"/>
          <w:szCs w:val="32"/>
          <w:u w:val="single" w:color="auto"/>
        </w:rPr>
        <w:t>乐昌市银岳贸易有限公司</w:t>
      </w:r>
      <w:r>
        <w:rPr>
          <w:rFonts w:hint="eastAsia" w:ascii="仿宋" w:hAnsi="仿宋" w:eastAsia="仿宋" w:cs="仿宋"/>
          <w:b w:val="0"/>
          <w:bCs w:val="0"/>
          <w:color w:val="auto"/>
          <w:spacing w:val="-2"/>
          <w:sz w:val="32"/>
          <w:szCs w:val="32"/>
          <w:u w:val="single" w:color="auto"/>
          <w:lang w:val="en-US" w:eastAsia="zh-CN"/>
        </w:rPr>
        <w:t xml:space="preserve"> </w:t>
      </w:r>
      <w:r>
        <w:rPr>
          <w:rFonts w:ascii="仿宋" w:hAnsi="仿宋" w:eastAsia="仿宋" w:cs="仿宋"/>
          <w:b w:val="0"/>
          <w:bCs w:val="0"/>
          <w:color w:val="auto"/>
          <w:sz w:val="32"/>
          <w:szCs w:val="32"/>
        </w:rPr>
        <w:t xml:space="preserve"> </w:t>
      </w:r>
    </w:p>
    <w:p w14:paraId="5CDDC47F">
      <w:pPr>
        <w:tabs>
          <w:tab w:val="left" w:pos="8589"/>
        </w:tabs>
        <w:spacing w:before="98" w:line="349" w:lineRule="auto"/>
        <w:ind w:left="813" w:firstLine="1"/>
        <w:jc w:val="both"/>
        <w:rPr>
          <w:rFonts w:hint="eastAsia" w:ascii="仿宋" w:hAnsi="仿宋" w:eastAsia="仿宋" w:cs="仿宋"/>
          <w:b w:val="0"/>
          <w:bCs w:val="0"/>
          <w:color w:val="auto"/>
          <w:sz w:val="32"/>
          <w:szCs w:val="32"/>
          <w:lang w:val="en-US" w:eastAsia="zh-CN"/>
        </w:rPr>
      </w:pPr>
      <w:r>
        <w:rPr>
          <w:rFonts w:ascii="仿宋" w:hAnsi="仿宋" w:eastAsia="仿宋" w:cs="仿宋"/>
          <w:b w:val="0"/>
          <w:bCs w:val="0"/>
          <w:color w:val="auto"/>
          <w:spacing w:val="-14"/>
          <w:sz w:val="32"/>
          <w:szCs w:val="32"/>
        </w:rPr>
        <w:t>编制日期：</w:t>
      </w:r>
      <w:r>
        <w:rPr>
          <w:rFonts w:ascii="Times New Roman" w:hAnsi="Times New Roman" w:eastAsia="Times New Roman" w:cs="Times New Roman"/>
          <w:b w:val="0"/>
          <w:bCs w:val="0"/>
          <w:color w:val="auto"/>
          <w:spacing w:val="-14"/>
          <w:sz w:val="32"/>
          <w:szCs w:val="32"/>
          <w:u w:val="single" w:color="auto"/>
        </w:rPr>
        <w:t xml:space="preserve">  </w:t>
      </w:r>
      <w:r>
        <w:rPr>
          <w:rFonts w:hint="default" w:ascii="Times New Roman" w:hAnsi="Times New Roman" w:eastAsia="仿宋" w:cs="Times New Roman"/>
          <w:b w:val="0"/>
          <w:bCs w:val="0"/>
          <w:color w:val="auto"/>
          <w:spacing w:val="-2"/>
          <w:sz w:val="32"/>
          <w:szCs w:val="32"/>
          <w:u w:val="single" w:color="auto"/>
        </w:rPr>
        <w:t>202</w:t>
      </w:r>
      <w:r>
        <w:rPr>
          <w:rFonts w:hint="default" w:ascii="Times New Roman" w:hAnsi="Times New Roman" w:eastAsia="仿宋" w:cs="Times New Roman"/>
          <w:b w:val="0"/>
          <w:bCs w:val="0"/>
          <w:color w:val="auto"/>
          <w:spacing w:val="-2"/>
          <w:sz w:val="32"/>
          <w:szCs w:val="32"/>
          <w:u w:val="single" w:color="auto"/>
          <w:lang w:val="en-US" w:eastAsia="zh-CN"/>
        </w:rPr>
        <w:t>6</w:t>
      </w:r>
      <w:r>
        <w:rPr>
          <w:rFonts w:hint="default" w:ascii="Times New Roman" w:hAnsi="Times New Roman" w:eastAsia="仿宋" w:cs="Times New Roman"/>
          <w:b w:val="0"/>
          <w:bCs w:val="0"/>
          <w:color w:val="auto"/>
          <w:spacing w:val="-2"/>
          <w:sz w:val="32"/>
          <w:szCs w:val="32"/>
          <w:u w:val="single" w:color="auto"/>
        </w:rPr>
        <w:t xml:space="preserve"> 年 </w:t>
      </w:r>
      <w:r>
        <w:rPr>
          <w:rFonts w:hint="eastAsia" w:ascii="Times New Roman" w:hAnsi="Times New Roman" w:eastAsia="仿宋" w:cs="Times New Roman"/>
          <w:b w:val="0"/>
          <w:bCs w:val="0"/>
          <w:color w:val="auto"/>
          <w:spacing w:val="-2"/>
          <w:sz w:val="32"/>
          <w:szCs w:val="32"/>
          <w:u w:val="single" w:color="auto"/>
          <w:lang w:val="en-US" w:eastAsia="zh-CN"/>
        </w:rPr>
        <w:t>6</w:t>
      </w:r>
      <w:r>
        <w:rPr>
          <w:rFonts w:hint="default" w:ascii="Times New Roman" w:hAnsi="Times New Roman" w:eastAsia="仿宋" w:cs="Times New Roman"/>
          <w:b w:val="0"/>
          <w:bCs w:val="0"/>
          <w:color w:val="auto"/>
          <w:spacing w:val="-2"/>
          <w:sz w:val="32"/>
          <w:szCs w:val="32"/>
          <w:u w:val="single" w:color="auto"/>
        </w:rPr>
        <w:t xml:space="preserve">月 </w:t>
      </w:r>
      <w:r>
        <w:rPr>
          <w:rFonts w:ascii="仿宋" w:hAnsi="仿宋" w:eastAsia="仿宋" w:cs="仿宋"/>
          <w:b w:val="0"/>
          <w:bCs w:val="0"/>
          <w:color w:val="auto"/>
          <w:sz w:val="32"/>
          <w:szCs w:val="32"/>
          <w:u w:val="single" w:color="auto"/>
        </w:rPr>
        <w:t xml:space="preserve">                  </w:t>
      </w:r>
      <w:r>
        <w:rPr>
          <w:rFonts w:hint="eastAsia" w:ascii="仿宋" w:hAnsi="仿宋" w:eastAsia="仿宋" w:cs="仿宋"/>
          <w:b w:val="0"/>
          <w:bCs w:val="0"/>
          <w:color w:val="auto"/>
          <w:sz w:val="32"/>
          <w:szCs w:val="32"/>
          <w:u w:val="single" w:color="auto"/>
          <w:lang w:val="en-US" w:eastAsia="zh-CN"/>
        </w:rPr>
        <w:t xml:space="preserve"> </w:t>
      </w:r>
    </w:p>
    <w:p w14:paraId="308BCD17">
      <w:pPr>
        <w:pStyle w:val="6"/>
        <w:spacing w:line="242" w:lineRule="auto"/>
        <w:rPr>
          <w:color w:val="auto"/>
        </w:rPr>
      </w:pPr>
    </w:p>
    <w:p w14:paraId="4B608038">
      <w:pPr>
        <w:pStyle w:val="6"/>
        <w:spacing w:line="242" w:lineRule="auto"/>
        <w:rPr>
          <w:color w:val="auto"/>
        </w:rPr>
      </w:pPr>
    </w:p>
    <w:p w14:paraId="48447741">
      <w:pPr>
        <w:pStyle w:val="6"/>
        <w:spacing w:line="242" w:lineRule="auto"/>
        <w:rPr>
          <w:color w:val="auto"/>
        </w:rPr>
      </w:pPr>
    </w:p>
    <w:p w14:paraId="0F8C2D15">
      <w:pPr>
        <w:pStyle w:val="6"/>
        <w:spacing w:line="242" w:lineRule="auto"/>
        <w:rPr>
          <w:color w:val="auto"/>
        </w:rPr>
      </w:pPr>
    </w:p>
    <w:p w14:paraId="1CF0F801">
      <w:pPr>
        <w:pStyle w:val="6"/>
        <w:spacing w:line="242" w:lineRule="auto"/>
        <w:rPr>
          <w:color w:val="auto"/>
        </w:rPr>
      </w:pPr>
    </w:p>
    <w:p w14:paraId="1DE0A5D6">
      <w:pPr>
        <w:pStyle w:val="6"/>
        <w:spacing w:line="242" w:lineRule="auto"/>
        <w:rPr>
          <w:color w:val="auto"/>
        </w:rPr>
      </w:pPr>
    </w:p>
    <w:p w14:paraId="78CD2D28">
      <w:pPr>
        <w:pStyle w:val="6"/>
        <w:spacing w:line="242" w:lineRule="auto"/>
        <w:rPr>
          <w:color w:val="auto"/>
        </w:rPr>
      </w:pPr>
    </w:p>
    <w:p w14:paraId="526DB3BB">
      <w:pPr>
        <w:pStyle w:val="6"/>
        <w:spacing w:line="242" w:lineRule="auto"/>
        <w:rPr>
          <w:color w:val="auto"/>
        </w:rPr>
      </w:pPr>
    </w:p>
    <w:p w14:paraId="4BC8CC58">
      <w:pPr>
        <w:pStyle w:val="6"/>
        <w:spacing w:line="242" w:lineRule="auto"/>
        <w:rPr>
          <w:color w:val="auto"/>
        </w:rPr>
      </w:pPr>
    </w:p>
    <w:p w14:paraId="00C4D694">
      <w:pPr>
        <w:pStyle w:val="6"/>
        <w:spacing w:line="243" w:lineRule="auto"/>
        <w:rPr>
          <w:color w:val="auto"/>
        </w:rPr>
      </w:pPr>
    </w:p>
    <w:p w14:paraId="53BD7A99">
      <w:pPr>
        <w:pStyle w:val="6"/>
        <w:spacing w:line="243" w:lineRule="auto"/>
        <w:rPr>
          <w:color w:val="auto"/>
        </w:rPr>
      </w:pPr>
    </w:p>
    <w:p w14:paraId="5E0902D6">
      <w:pPr>
        <w:pStyle w:val="6"/>
        <w:spacing w:line="243" w:lineRule="auto"/>
        <w:rPr>
          <w:color w:val="auto"/>
        </w:rPr>
      </w:pPr>
    </w:p>
    <w:p w14:paraId="306A298A">
      <w:pPr>
        <w:pStyle w:val="6"/>
        <w:spacing w:line="243" w:lineRule="auto"/>
        <w:rPr>
          <w:color w:val="auto"/>
        </w:rPr>
      </w:pPr>
    </w:p>
    <w:p w14:paraId="5234C880">
      <w:pPr>
        <w:pStyle w:val="6"/>
        <w:spacing w:line="243" w:lineRule="auto"/>
        <w:rPr>
          <w:color w:val="auto"/>
        </w:rPr>
      </w:pPr>
    </w:p>
    <w:p w14:paraId="5810BC63">
      <w:pPr>
        <w:spacing w:before="114" w:line="230" w:lineRule="auto"/>
        <w:ind w:left="1882"/>
        <w:outlineLvl w:val="0"/>
        <w:rPr>
          <w:rFonts w:ascii="楷体" w:hAnsi="楷体" w:eastAsia="楷体" w:cs="楷体"/>
          <w:color w:val="auto"/>
          <w:sz w:val="35"/>
          <w:szCs w:val="35"/>
        </w:rPr>
      </w:pPr>
      <w:r>
        <w:rPr>
          <w:rFonts w:ascii="楷体" w:hAnsi="楷体" w:eastAsia="楷体" w:cs="楷体"/>
          <w:color w:val="auto"/>
          <w:spacing w:val="5"/>
          <w:sz w:val="35"/>
          <w:szCs w:val="35"/>
        </w:rPr>
        <w:t>中华人民共和国生态环境部制</w:t>
      </w:r>
    </w:p>
    <w:p w14:paraId="280E2A9D">
      <w:pPr>
        <w:spacing w:line="230" w:lineRule="auto"/>
        <w:rPr>
          <w:rFonts w:ascii="楷体" w:hAnsi="楷体" w:eastAsia="楷体" w:cs="楷体"/>
          <w:color w:val="auto"/>
          <w:sz w:val="35"/>
          <w:szCs w:val="35"/>
        </w:rPr>
        <w:sectPr>
          <w:headerReference r:id="rId5" w:type="default"/>
          <w:pgSz w:w="11906" w:h="16839"/>
          <w:pgMar w:top="1431" w:right="1530" w:bottom="0" w:left="1785" w:header="0" w:footer="0" w:gutter="0"/>
          <w:cols w:space="720" w:num="1"/>
        </w:sectPr>
      </w:pPr>
    </w:p>
    <w:p w14:paraId="000AD316">
      <w:pPr>
        <w:keepNext w:val="0"/>
        <w:keepLines w:val="0"/>
        <w:pageBreakBefore w:val="0"/>
        <w:widowControl/>
        <w:kinsoku w:val="0"/>
        <w:wordWrap/>
        <w:overflowPunct/>
        <w:topLinePunct w:val="0"/>
        <w:autoSpaceDE w:val="0"/>
        <w:autoSpaceDN w:val="0"/>
        <w:bidi w:val="0"/>
        <w:adjustRightInd w:val="0"/>
        <w:snapToGrid w:val="0"/>
        <w:spacing w:before="10" w:line="219" w:lineRule="auto"/>
        <w:ind w:left="108"/>
        <w:jc w:val="center"/>
        <w:textAlignment w:val="baseline"/>
        <w:outlineLvl w:val="0"/>
        <w:rPr>
          <w:rFonts w:ascii="宋体" w:hAnsi="宋体" w:eastAsia="宋体" w:cs="宋体"/>
          <w:color w:val="auto"/>
          <w:sz w:val="30"/>
          <w:szCs w:val="30"/>
        </w:rPr>
      </w:pPr>
      <w:bookmarkStart w:id="0" w:name="bookmark1"/>
      <w:bookmarkEnd w:id="0"/>
      <w:bookmarkStart w:id="1" w:name="bookmark2"/>
      <w:bookmarkEnd w:id="1"/>
      <w:r>
        <w:rPr>
          <w:rFonts w:ascii="宋体" w:hAnsi="宋体" w:eastAsia="宋体" w:cs="宋体"/>
          <w:b/>
          <w:bCs/>
          <w:color w:val="auto"/>
          <w:spacing w:val="-4"/>
          <w:sz w:val="30"/>
          <w:szCs w:val="30"/>
        </w:rPr>
        <w:t>一、建设项目基本情况</w:t>
      </w:r>
    </w:p>
    <w:p w14:paraId="4DD1924C">
      <w:pPr>
        <w:spacing w:line="182" w:lineRule="exact"/>
        <w:rPr>
          <w:color w:val="auto"/>
        </w:rPr>
      </w:pPr>
    </w:p>
    <w:tbl>
      <w:tblPr>
        <w:tblStyle w:val="21"/>
        <w:tblW w:w="901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0"/>
        <w:gridCol w:w="2471"/>
        <w:gridCol w:w="1650"/>
        <w:gridCol w:w="3139"/>
      </w:tblGrid>
      <w:tr w14:paraId="04BA1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750" w:type="dxa"/>
            <w:tcBorders>
              <w:top w:val="single" w:color="000000" w:sz="6" w:space="0"/>
              <w:left w:val="single" w:color="000000" w:sz="6" w:space="0"/>
            </w:tcBorders>
            <w:vAlign w:val="top"/>
          </w:tcPr>
          <w:p w14:paraId="005D95C8">
            <w:pPr>
              <w:pStyle w:val="22"/>
              <w:spacing w:before="146" w:line="220" w:lineRule="auto"/>
              <w:ind w:left="155"/>
              <w:rPr>
                <w:color w:val="auto"/>
              </w:rPr>
            </w:pPr>
            <w:r>
              <w:rPr>
                <w:b/>
                <w:bCs/>
                <w:color w:val="auto"/>
                <w:spacing w:val="-4"/>
              </w:rPr>
              <w:t>建设项目名称</w:t>
            </w:r>
          </w:p>
        </w:tc>
        <w:tc>
          <w:tcPr>
            <w:tcW w:w="7260" w:type="dxa"/>
            <w:gridSpan w:val="3"/>
            <w:tcBorders>
              <w:top w:val="single" w:color="000000" w:sz="6" w:space="0"/>
              <w:right w:val="single" w:color="000000" w:sz="6" w:space="0"/>
            </w:tcBorders>
            <w:vAlign w:val="top"/>
          </w:tcPr>
          <w:p w14:paraId="433A7B6B">
            <w:pPr>
              <w:pStyle w:val="22"/>
              <w:spacing w:before="147" w:line="219" w:lineRule="auto"/>
              <w:ind w:left="253"/>
              <w:jc w:val="center"/>
              <w:rPr>
                <w:color w:val="auto"/>
              </w:rPr>
            </w:pPr>
            <w:r>
              <w:rPr>
                <w:rFonts w:hint="eastAsia"/>
                <w:color w:val="auto"/>
                <w:spacing w:val="-1"/>
              </w:rPr>
              <w:t>年</w:t>
            </w:r>
            <w:r>
              <w:rPr>
                <w:rFonts w:hint="default" w:ascii="Times New Roman" w:hAnsi="Times New Roman" w:cs="Times New Roman"/>
                <w:color w:val="auto"/>
                <w:spacing w:val="-1"/>
              </w:rPr>
              <w:t>产5</w:t>
            </w:r>
            <w:r>
              <w:rPr>
                <w:rFonts w:hint="eastAsia"/>
                <w:color w:val="auto"/>
                <w:spacing w:val="-1"/>
              </w:rPr>
              <w:t>万立方米混凝土搅拌站项目</w:t>
            </w:r>
          </w:p>
        </w:tc>
      </w:tr>
      <w:tr w14:paraId="5D2B0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750" w:type="dxa"/>
            <w:tcBorders>
              <w:left w:val="single" w:color="000000" w:sz="6" w:space="0"/>
            </w:tcBorders>
            <w:vAlign w:val="top"/>
          </w:tcPr>
          <w:p w14:paraId="2DEE1E08">
            <w:pPr>
              <w:pStyle w:val="22"/>
              <w:spacing w:before="143" w:line="219" w:lineRule="auto"/>
              <w:ind w:left="396"/>
              <w:rPr>
                <w:color w:val="auto"/>
              </w:rPr>
            </w:pPr>
            <w:r>
              <w:rPr>
                <w:b/>
                <w:bCs/>
                <w:color w:val="auto"/>
                <w:spacing w:val="-6"/>
              </w:rPr>
              <w:t>项目代码</w:t>
            </w:r>
          </w:p>
        </w:tc>
        <w:tc>
          <w:tcPr>
            <w:tcW w:w="7260" w:type="dxa"/>
            <w:gridSpan w:val="3"/>
            <w:tcBorders>
              <w:right w:val="single" w:color="000000" w:sz="6" w:space="0"/>
            </w:tcBorders>
            <w:vAlign w:val="top"/>
          </w:tcPr>
          <w:p w14:paraId="5D2075F3">
            <w:pPr>
              <w:spacing w:before="184" w:line="188" w:lineRule="auto"/>
              <w:ind w:left="241"/>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pacing w:val="-1"/>
                <w:sz w:val="24"/>
                <w:szCs w:val="24"/>
                <w:lang w:val="en-US" w:eastAsia="zh-CN"/>
              </w:rPr>
              <w:t>2606-440281-04-01-843841</w:t>
            </w:r>
          </w:p>
        </w:tc>
      </w:tr>
      <w:tr w14:paraId="6FBE1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750" w:type="dxa"/>
            <w:tcBorders>
              <w:left w:val="single" w:color="000000" w:sz="6" w:space="0"/>
            </w:tcBorders>
            <w:vAlign w:val="top"/>
          </w:tcPr>
          <w:p w14:paraId="7E079744">
            <w:pPr>
              <w:pStyle w:val="22"/>
              <w:spacing w:before="144" w:line="220" w:lineRule="auto"/>
              <w:ind w:left="35"/>
              <w:rPr>
                <w:color w:val="auto"/>
              </w:rPr>
            </w:pPr>
            <w:r>
              <w:rPr>
                <w:b/>
                <w:bCs/>
                <w:color w:val="auto"/>
                <w:spacing w:val="-4"/>
              </w:rPr>
              <w:t>建设单位联系人</w:t>
            </w:r>
          </w:p>
        </w:tc>
        <w:tc>
          <w:tcPr>
            <w:tcW w:w="2471" w:type="dxa"/>
            <w:vAlign w:val="top"/>
          </w:tcPr>
          <w:p w14:paraId="53B42478">
            <w:pPr>
              <w:pStyle w:val="22"/>
              <w:spacing w:before="144" w:line="219" w:lineRule="auto"/>
              <w:ind w:left="1001"/>
              <w:rPr>
                <w:rFonts w:hint="default" w:eastAsia="宋体"/>
                <w:color w:val="auto"/>
                <w:lang w:val="en-US" w:eastAsia="zh-CN"/>
              </w:rPr>
            </w:pPr>
            <w:r>
              <w:rPr>
                <w:rFonts w:hint="eastAsia"/>
                <w:color w:val="auto"/>
                <w:spacing w:val="-6"/>
                <w:lang w:val="en-US" w:eastAsia="zh-CN"/>
              </w:rPr>
              <w:t>*****</w:t>
            </w:r>
          </w:p>
        </w:tc>
        <w:tc>
          <w:tcPr>
            <w:tcW w:w="1650" w:type="dxa"/>
            <w:vAlign w:val="top"/>
          </w:tcPr>
          <w:p w14:paraId="751ABF03">
            <w:pPr>
              <w:pStyle w:val="22"/>
              <w:spacing w:before="143" w:line="221" w:lineRule="auto"/>
              <w:ind w:left="350"/>
              <w:rPr>
                <w:color w:val="auto"/>
              </w:rPr>
            </w:pPr>
            <w:r>
              <w:rPr>
                <w:b/>
                <w:bCs/>
                <w:color w:val="auto"/>
                <w:spacing w:val="-5"/>
              </w:rPr>
              <w:t>联系方式</w:t>
            </w:r>
          </w:p>
        </w:tc>
        <w:tc>
          <w:tcPr>
            <w:tcW w:w="3139" w:type="dxa"/>
            <w:tcBorders>
              <w:right w:val="single" w:color="000000" w:sz="6" w:space="0"/>
            </w:tcBorders>
            <w:vAlign w:val="top"/>
          </w:tcPr>
          <w:p w14:paraId="16281000">
            <w:pPr>
              <w:pStyle w:val="22"/>
              <w:spacing w:before="144" w:line="219" w:lineRule="auto"/>
              <w:jc w:val="center"/>
              <w:rPr>
                <w:color w:val="auto"/>
              </w:rPr>
            </w:pPr>
            <w:r>
              <w:rPr>
                <w:rFonts w:hint="eastAsia"/>
                <w:color w:val="auto"/>
                <w:spacing w:val="-6"/>
                <w:lang w:val="en-US" w:eastAsia="zh-CN"/>
              </w:rPr>
              <w:t>*****</w:t>
            </w:r>
          </w:p>
        </w:tc>
      </w:tr>
      <w:tr w14:paraId="6C751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750" w:type="dxa"/>
            <w:tcBorders>
              <w:left w:val="single" w:color="000000" w:sz="6" w:space="0"/>
            </w:tcBorders>
            <w:vAlign w:val="top"/>
          </w:tcPr>
          <w:p w14:paraId="2A8EA730">
            <w:pPr>
              <w:pStyle w:val="22"/>
              <w:spacing w:before="145" w:line="221" w:lineRule="auto"/>
              <w:ind w:left="395"/>
              <w:rPr>
                <w:color w:val="auto"/>
              </w:rPr>
            </w:pPr>
            <w:r>
              <w:rPr>
                <w:b/>
                <w:bCs/>
                <w:color w:val="auto"/>
                <w:spacing w:val="-5"/>
              </w:rPr>
              <w:t>建设地点</w:t>
            </w:r>
          </w:p>
        </w:tc>
        <w:tc>
          <w:tcPr>
            <w:tcW w:w="7260" w:type="dxa"/>
            <w:gridSpan w:val="3"/>
            <w:tcBorders>
              <w:right w:val="single" w:color="000000" w:sz="6" w:space="0"/>
            </w:tcBorders>
            <w:vAlign w:val="top"/>
          </w:tcPr>
          <w:p w14:paraId="746641D3">
            <w:pPr>
              <w:pStyle w:val="22"/>
              <w:spacing w:before="144" w:line="219" w:lineRule="auto"/>
              <w:ind w:left="246"/>
              <w:jc w:val="center"/>
              <w:rPr>
                <w:color w:val="auto"/>
              </w:rPr>
            </w:pPr>
            <w:r>
              <w:rPr>
                <w:rFonts w:hint="eastAsia"/>
                <w:color w:val="auto"/>
                <w:spacing w:val="-1"/>
              </w:rPr>
              <w:t>乐昌市乐城镇练塘路旁原乐昌市建筑材料厂二车间</w:t>
            </w:r>
          </w:p>
        </w:tc>
      </w:tr>
      <w:tr w14:paraId="6E0C7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750" w:type="dxa"/>
            <w:tcBorders>
              <w:left w:val="single" w:color="000000" w:sz="6" w:space="0"/>
            </w:tcBorders>
            <w:vAlign w:val="top"/>
          </w:tcPr>
          <w:p w14:paraId="7CB18B33">
            <w:pPr>
              <w:pStyle w:val="22"/>
              <w:spacing w:before="146" w:line="220" w:lineRule="auto"/>
              <w:ind w:left="392"/>
              <w:rPr>
                <w:color w:val="auto"/>
              </w:rPr>
            </w:pPr>
            <w:r>
              <w:rPr>
                <w:b/>
                <w:bCs/>
                <w:color w:val="auto"/>
                <w:spacing w:val="-5"/>
              </w:rPr>
              <w:t>地理坐标</w:t>
            </w:r>
          </w:p>
        </w:tc>
        <w:tc>
          <w:tcPr>
            <w:tcW w:w="7260" w:type="dxa"/>
            <w:gridSpan w:val="3"/>
            <w:tcBorders>
              <w:right w:val="single" w:color="000000" w:sz="6" w:space="0"/>
            </w:tcBorders>
            <w:vAlign w:val="top"/>
          </w:tcPr>
          <w:p w14:paraId="4FEE7D6D">
            <w:pPr>
              <w:pStyle w:val="22"/>
              <w:spacing w:before="146" w:line="220" w:lineRule="auto"/>
              <w:ind w:left="17"/>
              <w:jc w:val="center"/>
              <w:rPr>
                <w:color w:val="auto"/>
              </w:rPr>
            </w:pPr>
            <w:r>
              <w:rPr>
                <w:color w:val="auto"/>
                <w:spacing w:val="-4"/>
              </w:rPr>
              <w:t>（</w:t>
            </w:r>
            <w:r>
              <w:rPr>
                <w:rFonts w:ascii="Times New Roman" w:hAnsi="Times New Roman" w:eastAsia="Times New Roman" w:cs="Times New Roman"/>
                <w:color w:val="auto"/>
                <w:spacing w:val="16"/>
                <w:u w:val="single" w:color="auto"/>
              </w:rPr>
              <w:t xml:space="preserve">  </w:t>
            </w:r>
            <w:r>
              <w:rPr>
                <w:rFonts w:ascii="Times New Roman" w:hAnsi="Times New Roman" w:eastAsia="Times New Roman" w:cs="Times New Roman"/>
                <w:color w:val="auto"/>
                <w:spacing w:val="-4"/>
                <w:u w:val="single" w:color="auto"/>
              </w:rPr>
              <w:t xml:space="preserve">113 </w:t>
            </w:r>
            <w:r>
              <w:rPr>
                <w:color w:val="auto"/>
                <w:spacing w:val="-4"/>
              </w:rPr>
              <w:t>度</w:t>
            </w:r>
            <w:r>
              <w:rPr>
                <w:rFonts w:ascii="Times New Roman" w:hAnsi="Times New Roman" w:eastAsia="Times New Roman" w:cs="Times New Roman"/>
                <w:color w:val="auto"/>
                <w:spacing w:val="-4"/>
                <w:u w:val="single" w:color="auto"/>
              </w:rPr>
              <w:t xml:space="preserve">  </w:t>
            </w:r>
            <w:r>
              <w:rPr>
                <w:rFonts w:hint="eastAsia" w:ascii="Times New Roman" w:hAnsi="Times New Roman" w:cs="Times New Roman"/>
                <w:color w:val="auto"/>
                <w:spacing w:val="-4"/>
                <w:u w:val="single" w:color="auto"/>
                <w:lang w:val="en-US" w:eastAsia="zh-CN"/>
              </w:rPr>
              <w:t>22</w:t>
            </w:r>
            <w:r>
              <w:rPr>
                <w:rFonts w:ascii="Times New Roman" w:hAnsi="Times New Roman" w:eastAsia="Times New Roman" w:cs="Times New Roman"/>
                <w:color w:val="auto"/>
                <w:spacing w:val="-4"/>
                <w:u w:val="single" w:color="auto"/>
              </w:rPr>
              <w:t xml:space="preserve">  </w:t>
            </w:r>
            <w:r>
              <w:rPr>
                <w:color w:val="auto"/>
                <w:spacing w:val="-4"/>
              </w:rPr>
              <w:t>分</w:t>
            </w:r>
            <w:r>
              <w:rPr>
                <w:rFonts w:ascii="Times New Roman" w:hAnsi="Times New Roman" w:eastAsia="Times New Roman" w:cs="Times New Roman"/>
                <w:color w:val="auto"/>
                <w:spacing w:val="6"/>
                <w:u w:val="single" w:color="auto"/>
              </w:rPr>
              <w:t xml:space="preserve">  </w:t>
            </w:r>
            <w:r>
              <w:rPr>
                <w:rFonts w:hint="eastAsia" w:ascii="Times New Roman" w:hAnsi="Times New Roman" w:eastAsia="Times New Roman" w:cs="Times New Roman"/>
                <w:color w:val="auto"/>
                <w:spacing w:val="-4"/>
                <w:u w:val="single" w:color="auto"/>
              </w:rPr>
              <w:t>3.612</w:t>
            </w:r>
            <w:r>
              <w:rPr>
                <w:rFonts w:ascii="Times New Roman" w:hAnsi="Times New Roman" w:eastAsia="Times New Roman" w:cs="Times New Roman"/>
                <w:color w:val="auto"/>
                <w:spacing w:val="8"/>
                <w:u w:val="single" w:color="auto"/>
              </w:rPr>
              <w:t xml:space="preserve"> </w:t>
            </w:r>
            <w:r>
              <w:rPr>
                <w:color w:val="auto"/>
                <w:spacing w:val="-4"/>
              </w:rPr>
              <w:t>秒，</w:t>
            </w:r>
            <w:r>
              <w:rPr>
                <w:rFonts w:ascii="Times New Roman" w:hAnsi="Times New Roman" w:eastAsia="Times New Roman" w:cs="Times New Roman"/>
                <w:color w:val="auto"/>
                <w:spacing w:val="3"/>
                <w:u w:val="single" w:color="auto"/>
              </w:rPr>
              <w:t xml:space="preserve">  </w:t>
            </w:r>
            <w:r>
              <w:rPr>
                <w:rFonts w:ascii="Times New Roman" w:hAnsi="Times New Roman" w:eastAsia="Times New Roman" w:cs="Times New Roman"/>
                <w:color w:val="auto"/>
                <w:spacing w:val="-4"/>
                <w:u w:val="single" w:color="auto"/>
              </w:rPr>
              <w:t>25</w:t>
            </w:r>
            <w:r>
              <w:rPr>
                <w:rFonts w:ascii="Times New Roman" w:hAnsi="Times New Roman" w:eastAsia="Times New Roman" w:cs="Times New Roman"/>
                <w:color w:val="auto"/>
                <w:spacing w:val="4"/>
                <w:u w:val="single" w:color="auto"/>
              </w:rPr>
              <w:t xml:space="preserve">  </w:t>
            </w:r>
            <w:r>
              <w:rPr>
                <w:color w:val="auto"/>
                <w:spacing w:val="-4"/>
              </w:rPr>
              <w:t>度</w:t>
            </w:r>
            <w:r>
              <w:rPr>
                <w:rFonts w:ascii="Times New Roman" w:hAnsi="Times New Roman" w:eastAsia="Times New Roman" w:cs="Times New Roman"/>
                <w:color w:val="auto"/>
                <w:spacing w:val="-4"/>
                <w:u w:val="single" w:color="auto"/>
              </w:rPr>
              <w:t xml:space="preserve">   </w:t>
            </w:r>
            <w:r>
              <w:rPr>
                <w:rFonts w:hint="eastAsia" w:ascii="Times New Roman" w:hAnsi="Times New Roman" w:cs="Times New Roman"/>
                <w:color w:val="auto"/>
                <w:spacing w:val="-4"/>
                <w:u w:val="single" w:color="auto"/>
                <w:lang w:val="en-US" w:eastAsia="zh-CN"/>
              </w:rPr>
              <w:t>7</w:t>
            </w:r>
            <w:r>
              <w:rPr>
                <w:rFonts w:ascii="Times New Roman" w:hAnsi="Times New Roman" w:eastAsia="Times New Roman" w:cs="Times New Roman"/>
                <w:color w:val="auto"/>
                <w:spacing w:val="-4"/>
                <w:u w:val="single" w:color="auto"/>
              </w:rPr>
              <w:t xml:space="preserve">  </w:t>
            </w:r>
            <w:r>
              <w:rPr>
                <w:color w:val="auto"/>
                <w:spacing w:val="-4"/>
              </w:rPr>
              <w:t>分</w:t>
            </w:r>
            <w:r>
              <w:rPr>
                <w:rFonts w:ascii="Times New Roman" w:hAnsi="Times New Roman" w:eastAsia="Times New Roman" w:cs="Times New Roman"/>
                <w:color w:val="auto"/>
                <w:spacing w:val="-4"/>
                <w:u w:val="single" w:color="auto"/>
              </w:rPr>
              <w:t xml:space="preserve">  </w:t>
            </w:r>
            <w:r>
              <w:rPr>
                <w:rFonts w:hint="eastAsia" w:ascii="Times New Roman" w:hAnsi="Times New Roman" w:cs="Times New Roman"/>
                <w:color w:val="auto"/>
                <w:spacing w:val="-4"/>
                <w:u w:val="single" w:color="auto"/>
                <w:lang w:val="en-US" w:eastAsia="zh-CN"/>
              </w:rPr>
              <w:t>55.001</w:t>
            </w:r>
            <w:r>
              <w:rPr>
                <w:rFonts w:ascii="Times New Roman" w:hAnsi="Times New Roman" w:eastAsia="Times New Roman" w:cs="Times New Roman"/>
                <w:color w:val="auto"/>
                <w:spacing w:val="4"/>
                <w:u w:val="single" w:color="auto"/>
              </w:rPr>
              <w:t xml:space="preserve">  </w:t>
            </w:r>
            <w:r>
              <w:rPr>
                <w:color w:val="auto"/>
                <w:spacing w:val="-4"/>
              </w:rPr>
              <w:t>秒）</w:t>
            </w:r>
          </w:p>
        </w:tc>
      </w:tr>
      <w:tr w14:paraId="5B068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1750" w:type="dxa"/>
            <w:tcBorders>
              <w:left w:val="single" w:color="000000" w:sz="6" w:space="0"/>
            </w:tcBorders>
            <w:vAlign w:val="center"/>
          </w:tcPr>
          <w:p w14:paraId="043DFF50">
            <w:pPr>
              <w:pStyle w:val="22"/>
              <w:spacing w:before="57" w:line="221" w:lineRule="auto"/>
              <w:ind w:left="396" w:right="394" w:firstLine="19"/>
              <w:jc w:val="center"/>
              <w:rPr>
                <w:rFonts w:hint="default" w:ascii="Times New Roman" w:hAnsi="Times New Roman" w:cs="Times New Roman"/>
                <w:color w:val="auto"/>
              </w:rPr>
            </w:pPr>
            <w:r>
              <w:rPr>
                <w:rFonts w:hint="default" w:ascii="Times New Roman" w:hAnsi="Times New Roman" w:cs="Times New Roman"/>
                <w:b/>
                <w:bCs/>
                <w:color w:val="auto"/>
                <w:spacing w:val="-11"/>
              </w:rPr>
              <w:t>国民经济</w:t>
            </w:r>
            <w:r>
              <w:rPr>
                <w:rFonts w:hint="default" w:ascii="Times New Roman" w:hAnsi="Times New Roman" w:cs="Times New Roman"/>
                <w:color w:val="auto"/>
                <w:spacing w:val="2"/>
              </w:rPr>
              <w:t xml:space="preserve"> </w:t>
            </w:r>
            <w:r>
              <w:rPr>
                <w:rFonts w:hint="default" w:ascii="Times New Roman" w:hAnsi="Times New Roman" w:cs="Times New Roman"/>
                <w:b/>
                <w:bCs/>
                <w:color w:val="auto"/>
                <w:spacing w:val="-6"/>
              </w:rPr>
              <w:t>行业类别</w:t>
            </w:r>
          </w:p>
        </w:tc>
        <w:tc>
          <w:tcPr>
            <w:tcW w:w="2471" w:type="dxa"/>
            <w:vAlign w:val="center"/>
          </w:tcPr>
          <w:p w14:paraId="2D89A9DA">
            <w:pPr>
              <w:pStyle w:val="22"/>
              <w:spacing w:before="210" w:line="219" w:lineRule="auto"/>
              <w:ind w:left="168"/>
              <w:jc w:val="center"/>
              <w:rPr>
                <w:rFonts w:hint="default" w:ascii="Times New Roman" w:hAnsi="Times New Roman" w:cs="Times New Roman"/>
                <w:color w:val="auto"/>
              </w:rPr>
            </w:pPr>
            <w:r>
              <w:rPr>
                <w:rFonts w:hint="default" w:ascii="Times New Roman" w:hAnsi="Times New Roman" w:eastAsia="Times New Roman" w:cs="Times New Roman"/>
                <w:color w:val="auto"/>
                <w:spacing w:val="-1"/>
              </w:rPr>
              <w:t xml:space="preserve">C3021 </w:t>
            </w:r>
            <w:r>
              <w:rPr>
                <w:rFonts w:hint="default" w:ascii="Times New Roman" w:hAnsi="Times New Roman" w:cs="Times New Roman"/>
                <w:color w:val="auto"/>
                <w:spacing w:val="-1"/>
              </w:rPr>
              <w:t>水泥制品制造</w:t>
            </w:r>
          </w:p>
        </w:tc>
        <w:tc>
          <w:tcPr>
            <w:tcW w:w="1650" w:type="dxa"/>
            <w:vAlign w:val="center"/>
          </w:tcPr>
          <w:p w14:paraId="1977E76C">
            <w:pPr>
              <w:pStyle w:val="22"/>
              <w:spacing w:before="57" w:line="221" w:lineRule="auto"/>
              <w:ind w:left="352" w:right="342"/>
              <w:jc w:val="center"/>
              <w:rPr>
                <w:rFonts w:hint="default" w:ascii="Times New Roman" w:hAnsi="Times New Roman" w:cs="Times New Roman"/>
                <w:color w:val="auto"/>
              </w:rPr>
            </w:pPr>
            <w:r>
              <w:rPr>
                <w:rFonts w:hint="default" w:ascii="Times New Roman" w:hAnsi="Times New Roman" w:cs="Times New Roman"/>
                <w:b/>
                <w:bCs/>
                <w:color w:val="auto"/>
                <w:spacing w:val="-5"/>
              </w:rPr>
              <w:t>建设项目</w:t>
            </w:r>
            <w:r>
              <w:rPr>
                <w:rFonts w:hint="default" w:ascii="Times New Roman" w:hAnsi="Times New Roman" w:cs="Times New Roman"/>
                <w:color w:val="auto"/>
              </w:rPr>
              <w:t xml:space="preserve"> </w:t>
            </w:r>
            <w:r>
              <w:rPr>
                <w:rFonts w:hint="default" w:ascii="Times New Roman" w:hAnsi="Times New Roman" w:cs="Times New Roman"/>
                <w:b/>
                <w:bCs/>
                <w:color w:val="auto"/>
                <w:spacing w:val="-6"/>
              </w:rPr>
              <w:t>行业类别</w:t>
            </w:r>
          </w:p>
        </w:tc>
        <w:tc>
          <w:tcPr>
            <w:tcW w:w="3139" w:type="dxa"/>
            <w:tcBorders>
              <w:right w:val="single" w:color="000000" w:sz="6" w:space="0"/>
            </w:tcBorders>
            <w:vAlign w:val="center"/>
          </w:tcPr>
          <w:p w14:paraId="6EEA48F7">
            <w:pPr>
              <w:pStyle w:val="22"/>
              <w:spacing w:before="57" w:line="221" w:lineRule="auto"/>
              <w:ind w:left="137" w:right="108" w:hanging="17"/>
              <w:jc w:val="center"/>
              <w:rPr>
                <w:rFonts w:hint="default" w:ascii="Times New Roman" w:hAnsi="Times New Roman" w:eastAsia="Times New Roman" w:cs="Times New Roman"/>
                <w:color w:val="auto"/>
              </w:rPr>
            </w:pPr>
            <w:r>
              <w:rPr>
                <w:rFonts w:hint="default" w:ascii="Times New Roman" w:hAnsi="Times New Roman" w:eastAsia="Times New Roman" w:cs="Times New Roman"/>
                <w:color w:val="auto"/>
                <w:spacing w:val="-3"/>
                <w:highlight w:val="none"/>
              </w:rPr>
              <w:t xml:space="preserve">55 </w:t>
            </w:r>
            <w:r>
              <w:rPr>
                <w:rFonts w:hint="default" w:ascii="Times New Roman" w:hAnsi="Times New Roman" w:cs="Times New Roman"/>
                <w:color w:val="auto"/>
                <w:spacing w:val="-3"/>
                <w:highlight w:val="none"/>
              </w:rPr>
              <w:t>石膏、水泥制品及类似制</w:t>
            </w:r>
            <w:r>
              <w:rPr>
                <w:rFonts w:hint="default" w:ascii="Times New Roman" w:hAnsi="Times New Roman" w:cs="Times New Roman"/>
                <w:color w:val="auto"/>
                <w:highlight w:val="none"/>
              </w:rPr>
              <w:t xml:space="preserve"> </w:t>
            </w:r>
            <w:r>
              <w:rPr>
                <w:rFonts w:hint="default" w:ascii="Times New Roman" w:hAnsi="Times New Roman" w:cs="Times New Roman"/>
                <w:color w:val="auto"/>
                <w:spacing w:val="-7"/>
                <w:highlight w:val="none"/>
              </w:rPr>
              <w:t>品制造</w:t>
            </w:r>
            <w:r>
              <w:rPr>
                <w:rFonts w:hint="default" w:ascii="Times New Roman" w:hAnsi="Times New Roman" w:cs="Times New Roman"/>
                <w:color w:val="auto"/>
                <w:spacing w:val="-49"/>
                <w:highlight w:val="none"/>
              </w:rPr>
              <w:t xml:space="preserve"> </w:t>
            </w:r>
            <w:r>
              <w:rPr>
                <w:rFonts w:hint="default" w:ascii="Times New Roman" w:hAnsi="Times New Roman" w:eastAsia="Times New Roman" w:cs="Times New Roman"/>
                <w:color w:val="auto"/>
                <w:spacing w:val="-7"/>
                <w:highlight w:val="none"/>
              </w:rPr>
              <w:t>302</w:t>
            </w:r>
          </w:p>
        </w:tc>
      </w:tr>
      <w:tr w14:paraId="64BCD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1750" w:type="dxa"/>
            <w:tcBorders>
              <w:left w:val="single" w:color="000000" w:sz="6" w:space="0"/>
            </w:tcBorders>
            <w:vAlign w:val="top"/>
          </w:tcPr>
          <w:p w14:paraId="6DD0CFAD">
            <w:pPr>
              <w:spacing w:line="442" w:lineRule="auto"/>
              <w:rPr>
                <w:rFonts w:ascii="Arial"/>
                <w:color w:val="auto"/>
                <w:sz w:val="21"/>
              </w:rPr>
            </w:pPr>
          </w:p>
          <w:p w14:paraId="4EAF75A0">
            <w:pPr>
              <w:pStyle w:val="22"/>
              <w:spacing w:before="78" w:line="220" w:lineRule="auto"/>
              <w:ind w:left="395"/>
              <w:rPr>
                <w:color w:val="auto"/>
              </w:rPr>
            </w:pPr>
            <w:r>
              <w:rPr>
                <w:b/>
                <w:bCs/>
                <w:color w:val="auto"/>
                <w:spacing w:val="-5"/>
              </w:rPr>
              <w:t>建设性质</w:t>
            </w:r>
          </w:p>
        </w:tc>
        <w:tc>
          <w:tcPr>
            <w:tcW w:w="2471" w:type="dxa"/>
            <w:vAlign w:val="top"/>
          </w:tcPr>
          <w:p w14:paraId="0ADFC52E">
            <w:pPr>
              <w:pStyle w:val="22"/>
              <w:spacing w:before="56" w:line="230" w:lineRule="auto"/>
              <w:ind w:left="135" w:right="704"/>
              <w:rPr>
                <w:color w:val="auto"/>
              </w:rPr>
            </w:pPr>
            <w:r>
              <w:rPr>
                <w:rFonts w:hint="eastAsia"/>
                <w:color w:val="auto"/>
                <w:spacing w:val="-8"/>
                <w:lang w:eastAsia="zh-CN"/>
              </w:rPr>
              <w:t>☑</w:t>
            </w:r>
            <w:r>
              <w:rPr>
                <w:color w:val="auto"/>
                <w:spacing w:val="-8"/>
              </w:rPr>
              <w:t>新建（迁建）</w:t>
            </w:r>
            <w:r>
              <w:rPr>
                <w:color w:val="auto"/>
              </w:rPr>
              <w:t xml:space="preserve"> </w:t>
            </w:r>
            <w:r>
              <w:rPr>
                <w:color w:val="auto"/>
                <w:spacing w:val="-12"/>
              </w:rPr>
              <w:t>□改建</w:t>
            </w:r>
          </w:p>
          <w:p w14:paraId="33CBA847">
            <w:pPr>
              <w:pStyle w:val="22"/>
              <w:spacing w:before="24" w:line="220" w:lineRule="auto"/>
              <w:ind w:left="120"/>
              <w:rPr>
                <w:color w:val="auto"/>
              </w:rPr>
            </w:pPr>
            <w:r>
              <w:rPr>
                <w:rFonts w:hint="eastAsia" w:ascii="MS Gothic" w:hAnsi="MS Gothic" w:cs="MS Gothic"/>
                <w:color w:val="auto"/>
                <w:spacing w:val="-7"/>
                <w:lang w:eastAsia="zh-CN"/>
              </w:rPr>
              <w:t>□</w:t>
            </w:r>
            <w:r>
              <w:rPr>
                <w:color w:val="auto"/>
                <w:spacing w:val="-7"/>
              </w:rPr>
              <w:t>扩建</w:t>
            </w:r>
          </w:p>
          <w:p w14:paraId="5A1294C6">
            <w:pPr>
              <w:pStyle w:val="22"/>
              <w:spacing w:before="25" w:line="203" w:lineRule="auto"/>
              <w:ind w:left="135"/>
              <w:rPr>
                <w:color w:val="auto"/>
              </w:rPr>
            </w:pPr>
            <w:r>
              <w:rPr>
                <w:color w:val="auto"/>
                <w:spacing w:val="-7"/>
              </w:rPr>
              <w:t>□技术改造</w:t>
            </w:r>
          </w:p>
        </w:tc>
        <w:tc>
          <w:tcPr>
            <w:tcW w:w="1650" w:type="dxa"/>
            <w:vAlign w:val="top"/>
          </w:tcPr>
          <w:p w14:paraId="2B766C95">
            <w:pPr>
              <w:spacing w:line="289" w:lineRule="auto"/>
              <w:rPr>
                <w:rFonts w:ascii="Arial"/>
                <w:color w:val="auto"/>
                <w:sz w:val="21"/>
              </w:rPr>
            </w:pPr>
          </w:p>
          <w:p w14:paraId="7505B9BA">
            <w:pPr>
              <w:pStyle w:val="22"/>
              <w:spacing w:before="78" w:line="229" w:lineRule="auto"/>
              <w:ind w:left="380" w:right="342" w:hanging="28"/>
              <w:rPr>
                <w:color w:val="auto"/>
              </w:rPr>
            </w:pPr>
            <w:r>
              <w:rPr>
                <w:b/>
                <w:bCs/>
                <w:color w:val="auto"/>
                <w:spacing w:val="-5"/>
              </w:rPr>
              <w:t>建设项目</w:t>
            </w:r>
            <w:r>
              <w:rPr>
                <w:color w:val="auto"/>
              </w:rPr>
              <w:t xml:space="preserve"> </w:t>
            </w:r>
            <w:r>
              <w:rPr>
                <w:b/>
                <w:bCs/>
                <w:color w:val="auto"/>
                <w:spacing w:val="-13"/>
              </w:rPr>
              <w:t>申报情形</w:t>
            </w:r>
          </w:p>
        </w:tc>
        <w:tc>
          <w:tcPr>
            <w:tcW w:w="3139" w:type="dxa"/>
            <w:tcBorders>
              <w:right w:val="single" w:color="000000" w:sz="6" w:space="0"/>
            </w:tcBorders>
            <w:vAlign w:val="top"/>
          </w:tcPr>
          <w:p w14:paraId="5764953E">
            <w:pPr>
              <w:pStyle w:val="22"/>
              <w:spacing w:before="58" w:line="219" w:lineRule="auto"/>
              <w:ind w:left="127"/>
              <w:rPr>
                <w:color w:val="auto"/>
              </w:rPr>
            </w:pPr>
            <w:r>
              <w:rPr>
                <w:rFonts w:ascii="MS Gothic" w:hAnsi="MS Gothic" w:eastAsia="MS Gothic" w:cs="MS Gothic"/>
                <w:color w:val="auto"/>
                <w:spacing w:val="-3"/>
              </w:rPr>
              <w:t>☑</w:t>
            </w:r>
            <w:r>
              <w:rPr>
                <w:color w:val="auto"/>
                <w:spacing w:val="-3"/>
              </w:rPr>
              <w:t>首次申报项目</w:t>
            </w:r>
          </w:p>
          <w:p w14:paraId="4654E148">
            <w:pPr>
              <w:pStyle w:val="22"/>
              <w:spacing w:before="27" w:line="219" w:lineRule="auto"/>
              <w:ind w:left="142"/>
              <w:rPr>
                <w:color w:val="auto"/>
              </w:rPr>
            </w:pPr>
            <w:r>
              <w:rPr>
                <w:color w:val="auto"/>
                <w:spacing w:val="-3"/>
              </w:rPr>
              <w:t>□不予批准后再次申报项目</w:t>
            </w:r>
          </w:p>
          <w:p w14:paraId="61B19440">
            <w:pPr>
              <w:pStyle w:val="22"/>
              <w:spacing w:before="24" w:line="219" w:lineRule="auto"/>
              <w:ind w:left="142"/>
              <w:rPr>
                <w:color w:val="auto"/>
              </w:rPr>
            </w:pPr>
            <w:r>
              <w:rPr>
                <w:color w:val="auto"/>
                <w:spacing w:val="-4"/>
              </w:rPr>
              <w:t>□超五年重新审核项目</w:t>
            </w:r>
          </w:p>
          <w:p w14:paraId="02C05F38">
            <w:pPr>
              <w:pStyle w:val="22"/>
              <w:spacing w:before="26" w:line="203" w:lineRule="auto"/>
              <w:ind w:left="142"/>
              <w:rPr>
                <w:color w:val="auto"/>
              </w:rPr>
            </w:pPr>
            <w:r>
              <w:rPr>
                <w:color w:val="auto"/>
                <w:spacing w:val="-4"/>
              </w:rPr>
              <w:t>□重大变动重新报批项目</w:t>
            </w:r>
          </w:p>
        </w:tc>
      </w:tr>
      <w:tr w14:paraId="150D4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50" w:type="dxa"/>
            <w:tcBorders>
              <w:left w:val="single" w:color="000000" w:sz="6" w:space="0"/>
            </w:tcBorders>
            <w:vAlign w:val="top"/>
          </w:tcPr>
          <w:p w14:paraId="08D26141">
            <w:pPr>
              <w:pStyle w:val="22"/>
              <w:spacing w:before="197" w:line="230" w:lineRule="auto"/>
              <w:ind w:left="275" w:right="17" w:hanging="251"/>
              <w:rPr>
                <w:color w:val="auto"/>
              </w:rPr>
            </w:pPr>
            <w:r>
              <w:rPr>
                <w:b/>
                <w:bCs/>
                <w:color w:val="auto"/>
                <w:spacing w:val="-9"/>
              </w:rPr>
              <w:t>项目审批（核准</w:t>
            </w:r>
            <w:r>
              <w:rPr>
                <w:rFonts w:ascii="Times New Roman" w:hAnsi="Times New Roman" w:eastAsia="Times New Roman" w:cs="Times New Roman"/>
                <w:b/>
                <w:bCs/>
                <w:color w:val="auto"/>
                <w:spacing w:val="-9"/>
              </w:rPr>
              <w:t>/</w:t>
            </w:r>
            <w:r>
              <w:rPr>
                <w:rFonts w:ascii="Times New Roman" w:hAnsi="Times New Roman" w:eastAsia="Times New Roman" w:cs="Times New Roman"/>
                <w:b/>
                <w:bCs/>
                <w:color w:val="auto"/>
                <w:spacing w:val="4"/>
              </w:rPr>
              <w:t xml:space="preserve"> </w:t>
            </w:r>
            <w:r>
              <w:rPr>
                <w:b/>
                <w:bCs/>
                <w:color w:val="auto"/>
                <w:spacing w:val="-5"/>
              </w:rPr>
              <w:t>备案）部门</w:t>
            </w:r>
          </w:p>
          <w:p w14:paraId="18F1E0F2">
            <w:pPr>
              <w:pStyle w:val="22"/>
              <w:spacing w:before="24" w:line="220" w:lineRule="auto"/>
              <w:ind w:left="403"/>
              <w:rPr>
                <w:color w:val="auto"/>
              </w:rPr>
            </w:pPr>
            <w:r>
              <w:rPr>
                <w:b/>
                <w:bCs/>
                <w:color w:val="auto"/>
                <w:spacing w:val="-8"/>
              </w:rPr>
              <w:t>（选填）</w:t>
            </w:r>
          </w:p>
        </w:tc>
        <w:tc>
          <w:tcPr>
            <w:tcW w:w="2471" w:type="dxa"/>
            <w:vAlign w:val="top"/>
          </w:tcPr>
          <w:p w14:paraId="3CA4CF5D">
            <w:pPr>
              <w:spacing w:line="430" w:lineRule="auto"/>
              <w:rPr>
                <w:rFonts w:ascii="Arial"/>
                <w:color w:val="auto"/>
                <w:sz w:val="21"/>
              </w:rPr>
            </w:pPr>
          </w:p>
          <w:p w14:paraId="10B5CD52">
            <w:pPr>
              <w:pStyle w:val="22"/>
              <w:spacing w:before="78" w:line="219" w:lineRule="auto"/>
              <w:ind w:left="166"/>
              <w:jc w:val="center"/>
              <w:rPr>
                <w:rFonts w:hint="default" w:eastAsia="宋体"/>
                <w:color w:val="auto"/>
                <w:lang w:val="en-US" w:eastAsia="zh-CN"/>
              </w:rPr>
            </w:pPr>
            <w:r>
              <w:rPr>
                <w:rFonts w:hint="eastAsia"/>
                <w:color w:val="auto"/>
                <w:spacing w:val="-2"/>
                <w:lang w:val="en-US" w:eastAsia="zh-CN"/>
              </w:rPr>
              <w:t>乐昌市发展和改革局</w:t>
            </w:r>
          </w:p>
        </w:tc>
        <w:tc>
          <w:tcPr>
            <w:tcW w:w="1650" w:type="dxa"/>
            <w:vAlign w:val="top"/>
          </w:tcPr>
          <w:p w14:paraId="17718064">
            <w:pPr>
              <w:pStyle w:val="22"/>
              <w:spacing w:before="198" w:line="220" w:lineRule="auto"/>
              <w:ind w:left="15"/>
              <w:rPr>
                <w:color w:val="auto"/>
              </w:rPr>
            </w:pPr>
            <w:r>
              <w:rPr>
                <w:b/>
                <w:bCs/>
                <w:color w:val="auto"/>
                <w:spacing w:val="-11"/>
              </w:rPr>
              <w:t>项目审批（核准</w:t>
            </w:r>
          </w:p>
          <w:p w14:paraId="4D1C8A44">
            <w:pPr>
              <w:pStyle w:val="22"/>
              <w:spacing w:before="26" w:line="220" w:lineRule="auto"/>
              <w:ind w:left="187"/>
              <w:rPr>
                <w:color w:val="auto"/>
              </w:rPr>
            </w:pPr>
            <w:r>
              <w:rPr>
                <w:rFonts w:ascii="Times New Roman" w:hAnsi="Times New Roman" w:eastAsia="Times New Roman" w:cs="Times New Roman"/>
                <w:b/>
                <w:bCs/>
                <w:color w:val="auto"/>
                <w:spacing w:val="-2"/>
              </w:rPr>
              <w:t>/</w:t>
            </w:r>
            <w:r>
              <w:rPr>
                <w:b/>
                <w:bCs/>
                <w:color w:val="auto"/>
                <w:spacing w:val="-2"/>
              </w:rPr>
              <w:t>备案）文号</w:t>
            </w:r>
          </w:p>
          <w:p w14:paraId="2AAE3CB1">
            <w:pPr>
              <w:pStyle w:val="22"/>
              <w:spacing w:before="23" w:line="220" w:lineRule="auto"/>
              <w:ind w:left="361"/>
              <w:rPr>
                <w:color w:val="auto"/>
              </w:rPr>
            </w:pPr>
            <w:r>
              <w:rPr>
                <w:b/>
                <w:bCs/>
                <w:color w:val="auto"/>
                <w:spacing w:val="-8"/>
              </w:rPr>
              <w:t>（选填）</w:t>
            </w:r>
          </w:p>
        </w:tc>
        <w:tc>
          <w:tcPr>
            <w:tcW w:w="3139" w:type="dxa"/>
            <w:tcBorders>
              <w:right w:val="single" w:color="000000" w:sz="6" w:space="0"/>
            </w:tcBorders>
            <w:vAlign w:val="top"/>
          </w:tcPr>
          <w:p w14:paraId="60B7360C">
            <w:pPr>
              <w:rPr>
                <w:rFonts w:ascii="Arial"/>
                <w:color w:val="auto"/>
                <w:sz w:val="21"/>
              </w:rPr>
            </w:pPr>
          </w:p>
          <w:p w14:paraId="14EAF02C">
            <w:pPr>
              <w:rPr>
                <w:rFonts w:ascii="Arial"/>
                <w:color w:val="auto"/>
                <w:sz w:val="21"/>
              </w:rPr>
            </w:pPr>
          </w:p>
          <w:p w14:paraId="231407CB">
            <w:pPr>
              <w:spacing w:before="69" w:line="188" w:lineRule="auto"/>
              <w:ind w:left="210"/>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pacing w:val="-1"/>
                <w:sz w:val="24"/>
                <w:szCs w:val="24"/>
                <w:lang w:val="en-US" w:eastAsia="zh-CN"/>
              </w:rPr>
              <w:t>2606-440281-04-01-843841</w:t>
            </w:r>
          </w:p>
        </w:tc>
      </w:tr>
      <w:tr w14:paraId="74CE0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1750" w:type="dxa"/>
            <w:tcBorders>
              <w:left w:val="single" w:color="000000" w:sz="6" w:space="0"/>
            </w:tcBorders>
            <w:vAlign w:val="top"/>
          </w:tcPr>
          <w:p w14:paraId="5A54F6E5">
            <w:pPr>
              <w:spacing w:line="272" w:lineRule="auto"/>
              <w:rPr>
                <w:rFonts w:ascii="Arial"/>
                <w:color w:val="auto"/>
                <w:sz w:val="21"/>
              </w:rPr>
            </w:pPr>
          </w:p>
          <w:p w14:paraId="05FA5654">
            <w:pPr>
              <w:pStyle w:val="22"/>
              <w:spacing w:before="78" w:line="220" w:lineRule="auto"/>
              <w:ind w:left="38"/>
              <w:rPr>
                <w:color w:val="auto"/>
              </w:rPr>
            </w:pPr>
            <w:r>
              <w:rPr>
                <w:b/>
                <w:bCs/>
                <w:color w:val="auto"/>
                <w:spacing w:val="-5"/>
              </w:rPr>
              <w:t>总投资（万元）</w:t>
            </w:r>
          </w:p>
        </w:tc>
        <w:tc>
          <w:tcPr>
            <w:tcW w:w="2471" w:type="dxa"/>
            <w:vAlign w:val="top"/>
          </w:tcPr>
          <w:p w14:paraId="000C04E4">
            <w:pPr>
              <w:spacing w:line="322" w:lineRule="auto"/>
              <w:rPr>
                <w:rFonts w:ascii="Arial"/>
                <w:color w:val="auto"/>
                <w:sz w:val="21"/>
              </w:rPr>
            </w:pPr>
          </w:p>
          <w:p w14:paraId="1713E71F">
            <w:pPr>
              <w:spacing w:before="69" w:line="188" w:lineRule="auto"/>
              <w:ind w:left="1055"/>
              <w:rPr>
                <w:rFonts w:ascii="Times New Roman" w:hAnsi="Times New Roman" w:eastAsia="Times New Roman" w:cs="Times New Roman"/>
                <w:color w:val="auto"/>
                <w:sz w:val="24"/>
                <w:szCs w:val="24"/>
              </w:rPr>
            </w:pPr>
            <w:r>
              <w:rPr>
                <w:rFonts w:hint="eastAsia" w:ascii="Times New Roman" w:hAnsi="Times New Roman" w:eastAsia="宋体" w:cs="Times New Roman"/>
                <w:color w:val="auto"/>
                <w:spacing w:val="-2"/>
                <w:sz w:val="24"/>
                <w:szCs w:val="24"/>
                <w:lang w:val="en-US" w:eastAsia="zh-CN"/>
              </w:rPr>
              <w:t>3</w:t>
            </w:r>
            <w:r>
              <w:rPr>
                <w:rFonts w:ascii="Times New Roman" w:hAnsi="Times New Roman" w:eastAsia="Times New Roman" w:cs="Times New Roman"/>
                <w:color w:val="auto"/>
                <w:spacing w:val="-2"/>
                <w:sz w:val="24"/>
                <w:szCs w:val="24"/>
              </w:rPr>
              <w:t>00</w:t>
            </w:r>
          </w:p>
        </w:tc>
        <w:tc>
          <w:tcPr>
            <w:tcW w:w="1650" w:type="dxa"/>
            <w:vAlign w:val="top"/>
          </w:tcPr>
          <w:p w14:paraId="6E8659D6">
            <w:pPr>
              <w:pStyle w:val="22"/>
              <w:spacing w:before="195" w:line="230" w:lineRule="auto"/>
              <w:ind w:left="360" w:right="342" w:hanging="11"/>
              <w:rPr>
                <w:color w:val="auto"/>
              </w:rPr>
            </w:pPr>
            <w:r>
              <w:rPr>
                <w:b/>
                <w:bCs/>
                <w:color w:val="auto"/>
                <w:spacing w:val="-5"/>
              </w:rPr>
              <w:t>环保投资</w:t>
            </w:r>
            <w:r>
              <w:rPr>
                <w:color w:val="auto"/>
                <w:spacing w:val="1"/>
              </w:rPr>
              <w:t xml:space="preserve"> </w:t>
            </w:r>
            <w:r>
              <w:rPr>
                <w:b/>
                <w:bCs/>
                <w:color w:val="auto"/>
                <w:spacing w:val="-8"/>
              </w:rPr>
              <w:t>（万元）</w:t>
            </w:r>
          </w:p>
        </w:tc>
        <w:tc>
          <w:tcPr>
            <w:tcW w:w="3139" w:type="dxa"/>
            <w:tcBorders>
              <w:right w:val="single" w:color="000000" w:sz="6" w:space="0"/>
            </w:tcBorders>
            <w:vAlign w:val="top"/>
          </w:tcPr>
          <w:p w14:paraId="5F6EB959">
            <w:pPr>
              <w:spacing w:line="322" w:lineRule="auto"/>
              <w:rPr>
                <w:rFonts w:ascii="Arial"/>
                <w:color w:val="auto"/>
                <w:sz w:val="21"/>
              </w:rPr>
            </w:pPr>
          </w:p>
          <w:p w14:paraId="336B270B">
            <w:pPr>
              <w:spacing w:before="69" w:line="188" w:lineRule="auto"/>
              <w:ind w:left="1471"/>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pacing w:val="-15"/>
                <w:sz w:val="24"/>
                <w:szCs w:val="24"/>
                <w:lang w:val="en-US" w:eastAsia="zh-CN"/>
              </w:rPr>
              <w:t>20</w:t>
            </w:r>
          </w:p>
        </w:tc>
      </w:tr>
      <w:tr w14:paraId="08A91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1750" w:type="dxa"/>
            <w:tcBorders>
              <w:left w:val="single" w:color="000000" w:sz="6" w:space="0"/>
            </w:tcBorders>
            <w:vAlign w:val="top"/>
          </w:tcPr>
          <w:p w14:paraId="67CA8EC9">
            <w:pPr>
              <w:pStyle w:val="22"/>
              <w:spacing w:before="153" w:line="220" w:lineRule="auto"/>
              <w:ind w:right="32"/>
              <w:jc w:val="right"/>
              <w:rPr>
                <w:color w:val="auto"/>
              </w:rPr>
            </w:pPr>
            <w:r>
              <w:rPr>
                <w:b/>
                <w:bCs/>
                <w:color w:val="auto"/>
                <w:spacing w:val="-4"/>
              </w:rPr>
              <w:t>环保投资占比</w:t>
            </w:r>
          </w:p>
          <w:p w14:paraId="22225203">
            <w:pPr>
              <w:pStyle w:val="22"/>
              <w:spacing w:before="25" w:line="232" w:lineRule="auto"/>
              <w:ind w:left="526"/>
              <w:rPr>
                <w:color w:val="auto"/>
              </w:rPr>
            </w:pPr>
            <w:r>
              <w:rPr>
                <w:b/>
                <w:bCs/>
                <w:color w:val="auto"/>
                <w:spacing w:val="-9"/>
              </w:rPr>
              <w:t>（</w:t>
            </w:r>
            <w:r>
              <w:rPr>
                <w:rFonts w:ascii="Times New Roman" w:hAnsi="Times New Roman" w:eastAsia="Times New Roman" w:cs="Times New Roman"/>
                <w:b/>
                <w:bCs/>
                <w:color w:val="auto"/>
                <w:spacing w:val="-9"/>
              </w:rPr>
              <w:t>%</w:t>
            </w:r>
            <w:r>
              <w:rPr>
                <w:b/>
                <w:bCs/>
                <w:color w:val="auto"/>
                <w:spacing w:val="-9"/>
              </w:rPr>
              <w:t>）</w:t>
            </w:r>
          </w:p>
        </w:tc>
        <w:tc>
          <w:tcPr>
            <w:tcW w:w="2471" w:type="dxa"/>
            <w:vAlign w:val="top"/>
          </w:tcPr>
          <w:p w14:paraId="37C07F91">
            <w:pPr>
              <w:spacing w:line="284" w:lineRule="auto"/>
              <w:rPr>
                <w:rFonts w:ascii="Arial"/>
                <w:color w:val="auto"/>
                <w:sz w:val="21"/>
              </w:rPr>
            </w:pPr>
          </w:p>
          <w:p w14:paraId="74365985">
            <w:pPr>
              <w:spacing w:before="69" w:line="185" w:lineRule="auto"/>
              <w:ind w:left="1181"/>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6.67</w:t>
            </w:r>
          </w:p>
        </w:tc>
        <w:tc>
          <w:tcPr>
            <w:tcW w:w="1650" w:type="dxa"/>
            <w:vAlign w:val="top"/>
          </w:tcPr>
          <w:p w14:paraId="63D7E80E">
            <w:pPr>
              <w:pStyle w:val="22"/>
              <w:spacing w:before="309" w:line="220" w:lineRule="auto"/>
              <w:ind w:left="349"/>
              <w:rPr>
                <w:color w:val="auto"/>
              </w:rPr>
            </w:pPr>
            <w:r>
              <w:rPr>
                <w:b/>
                <w:bCs/>
                <w:color w:val="auto"/>
                <w:spacing w:val="-5"/>
              </w:rPr>
              <w:t>施工工期</w:t>
            </w:r>
          </w:p>
        </w:tc>
        <w:tc>
          <w:tcPr>
            <w:tcW w:w="3139" w:type="dxa"/>
            <w:tcBorders>
              <w:right w:val="single" w:color="000000" w:sz="6" w:space="0"/>
            </w:tcBorders>
            <w:vAlign w:val="top"/>
          </w:tcPr>
          <w:p w14:paraId="77BC4D5B">
            <w:pPr>
              <w:pStyle w:val="22"/>
              <w:spacing w:before="310" w:line="219" w:lineRule="auto"/>
              <w:ind w:left="1262"/>
              <w:rPr>
                <w:color w:val="auto"/>
              </w:rPr>
            </w:pPr>
            <w:r>
              <w:rPr>
                <w:rFonts w:ascii="Times New Roman" w:hAnsi="Times New Roman" w:eastAsia="Times New Roman" w:cs="Times New Roman"/>
                <w:color w:val="auto"/>
                <w:spacing w:val="-13"/>
              </w:rPr>
              <w:t>1</w:t>
            </w:r>
            <w:r>
              <w:rPr>
                <w:rFonts w:ascii="Times New Roman" w:hAnsi="Times New Roman" w:eastAsia="Times New Roman" w:cs="Times New Roman"/>
                <w:color w:val="auto"/>
                <w:spacing w:val="9"/>
              </w:rPr>
              <w:t xml:space="preserve"> </w:t>
            </w:r>
            <w:r>
              <w:rPr>
                <w:color w:val="auto"/>
                <w:spacing w:val="-13"/>
              </w:rPr>
              <w:t>个月</w:t>
            </w:r>
          </w:p>
        </w:tc>
      </w:tr>
      <w:tr w14:paraId="0E7DF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750" w:type="dxa"/>
            <w:tcBorders>
              <w:left w:val="single" w:color="000000" w:sz="6" w:space="0"/>
            </w:tcBorders>
            <w:vAlign w:val="center"/>
          </w:tcPr>
          <w:p w14:paraId="4971581C">
            <w:pPr>
              <w:spacing w:line="245" w:lineRule="auto"/>
              <w:jc w:val="center"/>
              <w:rPr>
                <w:rFonts w:ascii="Arial"/>
                <w:color w:val="auto"/>
                <w:sz w:val="21"/>
              </w:rPr>
            </w:pPr>
          </w:p>
          <w:p w14:paraId="4B03E500">
            <w:pPr>
              <w:pStyle w:val="22"/>
              <w:spacing w:before="78" w:line="220" w:lineRule="auto"/>
              <w:ind w:left="156"/>
              <w:jc w:val="center"/>
              <w:rPr>
                <w:color w:val="auto"/>
              </w:rPr>
            </w:pPr>
            <w:r>
              <w:rPr>
                <w:b/>
                <w:bCs/>
                <w:color w:val="auto"/>
                <w:spacing w:val="-4"/>
              </w:rPr>
              <w:t>是否开工建设</w:t>
            </w:r>
          </w:p>
        </w:tc>
        <w:tc>
          <w:tcPr>
            <w:tcW w:w="2471" w:type="dxa"/>
            <w:vAlign w:val="top"/>
          </w:tcPr>
          <w:p w14:paraId="482C1D73">
            <w:pPr>
              <w:pStyle w:val="22"/>
              <w:spacing w:before="169" w:line="220" w:lineRule="auto"/>
              <w:ind w:left="120"/>
              <w:rPr>
                <w:color w:val="auto"/>
              </w:rPr>
            </w:pPr>
            <w:r>
              <w:rPr>
                <w:rFonts w:hint="eastAsia" w:ascii="MS Gothic" w:hAnsi="MS Gothic" w:eastAsia="宋体" w:cs="MS Gothic"/>
                <w:color w:val="auto"/>
                <w:spacing w:val="-10"/>
                <w:lang w:eastAsia="zh-CN"/>
              </w:rPr>
              <w:t>□</w:t>
            </w:r>
            <w:r>
              <w:rPr>
                <w:color w:val="auto"/>
                <w:spacing w:val="-10"/>
              </w:rPr>
              <w:t>否</w:t>
            </w:r>
          </w:p>
          <w:p w14:paraId="3C65D2E9">
            <w:pPr>
              <w:pStyle w:val="22"/>
              <w:spacing w:before="23" w:line="223" w:lineRule="auto"/>
              <w:ind w:left="135"/>
              <w:rPr>
                <w:color w:val="auto"/>
              </w:rPr>
            </w:pPr>
            <w:r>
              <w:rPr>
                <w:rFonts w:hint="eastAsia"/>
                <w:color w:val="auto"/>
                <w:spacing w:val="-12"/>
                <w:lang w:eastAsia="zh-CN"/>
              </w:rPr>
              <w:t>☑</w:t>
            </w:r>
            <w:r>
              <w:rPr>
                <w:color w:val="auto"/>
                <w:spacing w:val="-12"/>
              </w:rPr>
              <w:t>是：</w:t>
            </w:r>
            <w:r>
              <w:rPr>
                <w:color w:val="auto"/>
                <w:u w:val="single" w:color="auto"/>
              </w:rPr>
              <w:t xml:space="preserve"> </w:t>
            </w:r>
            <w:r>
              <w:rPr>
                <w:rFonts w:hint="eastAsia"/>
                <w:color w:val="auto"/>
                <w:u w:val="single" w:color="auto"/>
                <w:lang w:val="en-US" w:eastAsia="zh-CN"/>
              </w:rPr>
              <w:t>项目已建成，属于</w:t>
            </w:r>
            <w:r>
              <w:rPr>
                <w:rFonts w:hint="eastAsia"/>
                <w:color w:val="auto"/>
                <w:u w:val="single" w:color="auto"/>
                <w:lang w:eastAsia="zh-CN"/>
              </w:rPr>
              <w:t>“</w:t>
            </w:r>
            <w:r>
              <w:rPr>
                <w:rFonts w:hint="eastAsia"/>
                <w:color w:val="auto"/>
                <w:u w:val="single" w:color="auto"/>
                <w:lang w:val="en-US" w:eastAsia="zh-CN"/>
              </w:rPr>
              <w:t>未批先建</w:t>
            </w:r>
            <w:r>
              <w:rPr>
                <w:rFonts w:hint="eastAsia"/>
                <w:color w:val="auto"/>
                <w:u w:val="single" w:color="auto"/>
                <w:lang w:eastAsia="zh-CN"/>
              </w:rPr>
              <w:t>”，</w:t>
            </w:r>
            <w:r>
              <w:rPr>
                <w:rFonts w:hint="eastAsia"/>
                <w:color w:val="auto"/>
                <w:u w:val="single" w:color="auto"/>
                <w:lang w:val="en-US" w:eastAsia="zh-CN"/>
              </w:rPr>
              <w:t>韶关市生态环境局</w:t>
            </w:r>
            <w:r>
              <w:rPr>
                <w:rFonts w:hint="default" w:ascii="Times New Roman" w:hAnsi="Times New Roman" w:cs="Times New Roman"/>
                <w:color w:val="auto"/>
                <w:u w:val="single" w:color="auto"/>
                <w:lang w:val="en-US" w:eastAsia="zh-CN"/>
              </w:rPr>
              <w:t>2026年4月14日下发了《责令改正违法行为决定书》韶环（乐昌）责改决[2026]5</w:t>
            </w:r>
            <w:r>
              <w:rPr>
                <w:rFonts w:hint="eastAsia"/>
                <w:color w:val="auto"/>
                <w:u w:val="single" w:color="auto"/>
                <w:lang w:val="en-US" w:eastAsia="zh-CN"/>
              </w:rPr>
              <w:t>号</w:t>
            </w:r>
            <w:r>
              <w:rPr>
                <w:color w:val="auto"/>
                <w:u w:val="single" w:color="auto"/>
              </w:rPr>
              <w:t xml:space="preserve">            </w:t>
            </w:r>
          </w:p>
        </w:tc>
        <w:tc>
          <w:tcPr>
            <w:tcW w:w="1650" w:type="dxa"/>
            <w:vAlign w:val="center"/>
          </w:tcPr>
          <w:p w14:paraId="584D5308">
            <w:pPr>
              <w:pStyle w:val="22"/>
              <w:spacing w:before="169" w:line="229" w:lineRule="auto"/>
              <w:ind w:left="242" w:right="144" w:hanging="95"/>
              <w:jc w:val="center"/>
              <w:rPr>
                <w:color w:val="auto"/>
              </w:rPr>
            </w:pPr>
            <w:r>
              <w:rPr>
                <w:b/>
                <w:bCs/>
                <w:color w:val="auto"/>
                <w:spacing w:val="-18"/>
              </w:rPr>
              <w:t>用地（用海）</w:t>
            </w:r>
            <w:r>
              <w:rPr>
                <w:color w:val="auto"/>
                <w:spacing w:val="4"/>
              </w:rPr>
              <w:t xml:space="preserve"> </w:t>
            </w:r>
            <w:r>
              <w:rPr>
                <w:b/>
                <w:bCs/>
                <w:color w:val="auto"/>
                <w:spacing w:val="-10"/>
              </w:rPr>
              <w:t>面积（</w:t>
            </w:r>
            <w:r>
              <w:rPr>
                <w:rFonts w:ascii="Times New Roman" w:hAnsi="Times New Roman" w:eastAsia="Times New Roman" w:cs="Times New Roman"/>
                <w:b/>
                <w:bCs/>
                <w:color w:val="auto"/>
                <w:spacing w:val="-10"/>
              </w:rPr>
              <w:t>m</w:t>
            </w:r>
            <w:r>
              <w:rPr>
                <w:rFonts w:ascii="Times New Roman" w:hAnsi="Times New Roman" w:eastAsia="Times New Roman" w:cs="Times New Roman"/>
                <w:b/>
                <w:bCs/>
                <w:color w:val="auto"/>
                <w:spacing w:val="-10"/>
                <w:position w:val="7"/>
                <w:sz w:val="15"/>
                <w:szCs w:val="15"/>
              </w:rPr>
              <w:t>2</w:t>
            </w:r>
            <w:r>
              <w:rPr>
                <w:b/>
                <w:bCs/>
                <w:color w:val="auto"/>
                <w:spacing w:val="-10"/>
              </w:rPr>
              <w:t>）</w:t>
            </w:r>
          </w:p>
        </w:tc>
        <w:tc>
          <w:tcPr>
            <w:tcW w:w="3139" w:type="dxa"/>
            <w:tcBorders>
              <w:right w:val="single" w:color="000000" w:sz="6" w:space="0"/>
            </w:tcBorders>
            <w:vAlign w:val="center"/>
          </w:tcPr>
          <w:p w14:paraId="6FFBB84A">
            <w:pPr>
              <w:spacing w:line="296" w:lineRule="auto"/>
              <w:jc w:val="center"/>
              <w:rPr>
                <w:rFonts w:ascii="Arial"/>
                <w:color w:val="auto"/>
                <w:sz w:val="21"/>
              </w:rPr>
            </w:pPr>
          </w:p>
          <w:p w14:paraId="5D24466B">
            <w:pPr>
              <w:spacing w:before="69" w:line="188"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pacing w:val="-4"/>
                <w:sz w:val="24"/>
                <w:szCs w:val="24"/>
                <w:lang w:val="en-US" w:eastAsia="zh-CN"/>
              </w:rPr>
              <w:t>12</w:t>
            </w:r>
            <w:r>
              <w:rPr>
                <w:rFonts w:ascii="Times New Roman" w:hAnsi="Times New Roman" w:eastAsia="Times New Roman" w:cs="Times New Roman"/>
                <w:color w:val="auto"/>
                <w:spacing w:val="-4"/>
                <w:sz w:val="24"/>
                <w:szCs w:val="24"/>
              </w:rPr>
              <w:t>00</w:t>
            </w:r>
            <w:r>
              <w:rPr>
                <w:rFonts w:hint="eastAsia" w:ascii="Times New Roman" w:hAnsi="Times New Roman" w:eastAsia="宋体" w:cs="Times New Roman"/>
                <w:color w:val="auto"/>
                <w:spacing w:val="-4"/>
                <w:sz w:val="24"/>
                <w:szCs w:val="24"/>
                <w:lang w:val="en-US" w:eastAsia="zh-CN"/>
              </w:rPr>
              <w:t>0</w:t>
            </w:r>
          </w:p>
        </w:tc>
      </w:tr>
      <w:tr w14:paraId="0429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750" w:type="dxa"/>
            <w:tcBorders>
              <w:left w:val="single" w:color="000000" w:sz="6" w:space="0"/>
            </w:tcBorders>
            <w:vAlign w:val="top"/>
          </w:tcPr>
          <w:p w14:paraId="7677E33B">
            <w:pPr>
              <w:pStyle w:val="22"/>
              <w:keepNext w:val="0"/>
              <w:keepLines w:val="0"/>
              <w:pageBreakBefore w:val="0"/>
              <w:widowControl/>
              <w:kinsoku w:val="0"/>
              <w:wordWrap/>
              <w:overflowPunct/>
              <w:topLinePunct w:val="0"/>
              <w:autoSpaceDE w:val="0"/>
              <w:autoSpaceDN w:val="0"/>
              <w:bidi w:val="0"/>
              <w:adjustRightInd w:val="0"/>
              <w:snapToGrid w:val="0"/>
              <w:spacing w:line="229" w:lineRule="auto"/>
              <w:ind w:left="635" w:right="152" w:hanging="482"/>
              <w:textAlignment w:val="baseline"/>
              <w:rPr>
                <w:color w:val="auto"/>
              </w:rPr>
            </w:pPr>
            <w:r>
              <w:rPr>
                <w:b/>
                <w:bCs/>
                <w:color w:val="auto"/>
                <w:spacing w:val="-4"/>
              </w:rPr>
              <w:t>专项评价设置</w:t>
            </w:r>
            <w:r>
              <w:rPr>
                <w:color w:val="auto"/>
                <w:spacing w:val="2"/>
              </w:rPr>
              <w:t xml:space="preserve"> </w:t>
            </w:r>
            <w:r>
              <w:rPr>
                <w:b/>
                <w:bCs/>
                <w:color w:val="auto"/>
                <w:spacing w:val="-8"/>
              </w:rPr>
              <w:t>情况</w:t>
            </w:r>
          </w:p>
        </w:tc>
        <w:tc>
          <w:tcPr>
            <w:tcW w:w="7260" w:type="dxa"/>
            <w:gridSpan w:val="3"/>
            <w:tcBorders>
              <w:right w:val="single" w:color="000000" w:sz="6" w:space="0"/>
            </w:tcBorders>
            <w:vAlign w:val="top"/>
          </w:tcPr>
          <w:p w14:paraId="42CD3203">
            <w:pPr>
              <w:pStyle w:val="22"/>
              <w:keepNext w:val="0"/>
              <w:keepLines w:val="0"/>
              <w:pageBreakBefore w:val="0"/>
              <w:widowControl/>
              <w:kinsoku w:val="0"/>
              <w:wordWrap/>
              <w:overflowPunct/>
              <w:topLinePunct w:val="0"/>
              <w:autoSpaceDE w:val="0"/>
              <w:autoSpaceDN w:val="0"/>
              <w:bidi w:val="0"/>
              <w:adjustRightInd w:val="0"/>
              <w:snapToGrid w:val="0"/>
              <w:spacing w:line="220" w:lineRule="auto"/>
              <w:ind w:left="3514"/>
              <w:textAlignment w:val="baseline"/>
              <w:rPr>
                <w:color w:val="auto"/>
              </w:rPr>
            </w:pPr>
            <w:r>
              <w:rPr>
                <w:color w:val="auto"/>
              </w:rPr>
              <w:t>无</w:t>
            </w:r>
          </w:p>
        </w:tc>
      </w:tr>
      <w:tr w14:paraId="55D40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750" w:type="dxa"/>
            <w:tcBorders>
              <w:left w:val="single" w:color="000000" w:sz="6" w:space="0"/>
            </w:tcBorders>
            <w:vAlign w:val="center"/>
          </w:tcPr>
          <w:p w14:paraId="6D763A1C">
            <w:pPr>
              <w:pStyle w:val="22"/>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color w:val="auto"/>
              </w:rPr>
            </w:pPr>
            <w:r>
              <w:rPr>
                <w:b/>
                <w:bCs/>
                <w:color w:val="auto"/>
                <w:spacing w:val="-5"/>
              </w:rPr>
              <w:t>规划情况</w:t>
            </w:r>
          </w:p>
        </w:tc>
        <w:tc>
          <w:tcPr>
            <w:tcW w:w="7260" w:type="dxa"/>
            <w:gridSpan w:val="3"/>
            <w:tcBorders>
              <w:right w:val="single" w:color="000000" w:sz="6" w:space="0"/>
            </w:tcBorders>
            <w:vAlign w:val="top"/>
          </w:tcPr>
          <w:p w14:paraId="1F5CB4E6">
            <w:pPr>
              <w:pStyle w:val="22"/>
              <w:keepNext w:val="0"/>
              <w:keepLines w:val="0"/>
              <w:pageBreakBefore w:val="0"/>
              <w:widowControl/>
              <w:kinsoku w:val="0"/>
              <w:wordWrap/>
              <w:overflowPunct/>
              <w:topLinePunct w:val="0"/>
              <w:autoSpaceDE w:val="0"/>
              <w:autoSpaceDN w:val="0"/>
              <w:bidi w:val="0"/>
              <w:adjustRightInd w:val="0"/>
              <w:snapToGrid w:val="0"/>
              <w:spacing w:line="220" w:lineRule="auto"/>
              <w:ind w:left="3514"/>
              <w:textAlignment w:val="baseline"/>
              <w:rPr>
                <w:color w:val="auto"/>
              </w:rPr>
            </w:pPr>
            <w:r>
              <w:rPr>
                <w:color w:val="auto"/>
              </w:rPr>
              <w:t>无</w:t>
            </w:r>
          </w:p>
        </w:tc>
      </w:tr>
      <w:tr w14:paraId="1FA32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50" w:type="dxa"/>
            <w:tcBorders>
              <w:left w:val="single" w:color="000000" w:sz="6" w:space="0"/>
            </w:tcBorders>
            <w:vAlign w:val="top"/>
          </w:tcPr>
          <w:p w14:paraId="70308C40">
            <w:pPr>
              <w:pStyle w:val="22"/>
              <w:keepNext w:val="0"/>
              <w:keepLines w:val="0"/>
              <w:pageBreakBefore w:val="0"/>
              <w:widowControl/>
              <w:kinsoku w:val="0"/>
              <w:wordWrap/>
              <w:overflowPunct/>
              <w:topLinePunct w:val="0"/>
              <w:autoSpaceDE w:val="0"/>
              <w:autoSpaceDN w:val="0"/>
              <w:bidi w:val="0"/>
              <w:adjustRightInd w:val="0"/>
              <w:snapToGrid w:val="0"/>
              <w:spacing w:line="229" w:lineRule="auto"/>
              <w:ind w:left="391" w:right="152" w:hanging="238"/>
              <w:textAlignment w:val="baseline"/>
              <w:rPr>
                <w:color w:val="auto"/>
              </w:rPr>
            </w:pPr>
            <w:r>
              <w:rPr>
                <w:b/>
                <w:bCs/>
                <w:color w:val="auto"/>
                <w:spacing w:val="-4"/>
              </w:rPr>
              <w:t>规划环境影响</w:t>
            </w:r>
            <w:r>
              <w:rPr>
                <w:color w:val="auto"/>
                <w:spacing w:val="2"/>
              </w:rPr>
              <w:t xml:space="preserve"> </w:t>
            </w:r>
            <w:r>
              <w:rPr>
                <w:b/>
                <w:bCs/>
                <w:color w:val="auto"/>
                <w:spacing w:val="-5"/>
              </w:rPr>
              <w:t>评价情况</w:t>
            </w:r>
          </w:p>
        </w:tc>
        <w:tc>
          <w:tcPr>
            <w:tcW w:w="7260" w:type="dxa"/>
            <w:gridSpan w:val="3"/>
            <w:tcBorders>
              <w:right w:val="single" w:color="000000" w:sz="6" w:space="0"/>
            </w:tcBorders>
            <w:vAlign w:val="top"/>
          </w:tcPr>
          <w:p w14:paraId="2CD8DE94">
            <w:pPr>
              <w:keepNext w:val="0"/>
              <w:keepLines w:val="0"/>
              <w:pageBreakBefore w:val="0"/>
              <w:widowControl/>
              <w:kinsoku w:val="0"/>
              <w:wordWrap/>
              <w:overflowPunct/>
              <w:topLinePunct w:val="0"/>
              <w:autoSpaceDE w:val="0"/>
              <w:autoSpaceDN w:val="0"/>
              <w:bidi w:val="0"/>
              <w:adjustRightInd w:val="0"/>
              <w:snapToGrid w:val="0"/>
              <w:spacing w:line="265" w:lineRule="auto"/>
              <w:textAlignment w:val="baseline"/>
              <w:rPr>
                <w:rFonts w:ascii="Arial"/>
                <w:color w:val="auto"/>
                <w:sz w:val="21"/>
              </w:rPr>
            </w:pPr>
          </w:p>
          <w:p w14:paraId="26AA0EEC">
            <w:pPr>
              <w:pStyle w:val="22"/>
              <w:keepNext w:val="0"/>
              <w:keepLines w:val="0"/>
              <w:pageBreakBefore w:val="0"/>
              <w:widowControl/>
              <w:kinsoku w:val="0"/>
              <w:wordWrap/>
              <w:overflowPunct/>
              <w:topLinePunct w:val="0"/>
              <w:autoSpaceDE w:val="0"/>
              <w:autoSpaceDN w:val="0"/>
              <w:bidi w:val="0"/>
              <w:adjustRightInd w:val="0"/>
              <w:snapToGrid w:val="0"/>
              <w:spacing w:line="220" w:lineRule="auto"/>
              <w:ind w:left="3514"/>
              <w:textAlignment w:val="baseline"/>
              <w:rPr>
                <w:color w:val="auto"/>
              </w:rPr>
            </w:pPr>
            <w:r>
              <w:rPr>
                <w:color w:val="auto"/>
              </w:rPr>
              <w:t>无</w:t>
            </w:r>
          </w:p>
        </w:tc>
      </w:tr>
      <w:tr w14:paraId="523A0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1750" w:type="dxa"/>
            <w:tcBorders>
              <w:left w:val="single" w:color="000000" w:sz="6" w:space="0"/>
              <w:bottom w:val="single" w:color="000000" w:sz="6" w:space="0"/>
            </w:tcBorders>
            <w:vAlign w:val="top"/>
          </w:tcPr>
          <w:p w14:paraId="7C302EFF">
            <w:pPr>
              <w:pStyle w:val="22"/>
              <w:keepNext w:val="0"/>
              <w:keepLines w:val="0"/>
              <w:pageBreakBefore w:val="0"/>
              <w:widowControl/>
              <w:kinsoku w:val="0"/>
              <w:wordWrap/>
              <w:overflowPunct/>
              <w:topLinePunct w:val="0"/>
              <w:autoSpaceDE w:val="0"/>
              <w:autoSpaceDN w:val="0"/>
              <w:bidi w:val="0"/>
              <w:adjustRightInd w:val="0"/>
              <w:snapToGrid w:val="0"/>
              <w:spacing w:line="221" w:lineRule="auto"/>
              <w:ind w:left="153"/>
              <w:textAlignment w:val="baseline"/>
              <w:rPr>
                <w:color w:val="auto"/>
              </w:rPr>
            </w:pPr>
            <w:r>
              <w:rPr>
                <w:b/>
                <w:bCs/>
                <w:color w:val="auto"/>
                <w:spacing w:val="-4"/>
              </w:rPr>
              <w:t>规划及规划环</w:t>
            </w:r>
          </w:p>
          <w:p w14:paraId="1E8E41ED">
            <w:pPr>
              <w:pStyle w:val="22"/>
              <w:keepNext w:val="0"/>
              <w:keepLines w:val="0"/>
              <w:pageBreakBefore w:val="0"/>
              <w:widowControl/>
              <w:kinsoku w:val="0"/>
              <w:wordWrap/>
              <w:overflowPunct/>
              <w:topLinePunct w:val="0"/>
              <w:autoSpaceDE w:val="0"/>
              <w:autoSpaceDN w:val="0"/>
              <w:bidi w:val="0"/>
              <w:adjustRightInd w:val="0"/>
              <w:snapToGrid w:val="0"/>
              <w:spacing w:line="218" w:lineRule="auto"/>
              <w:ind w:left="153"/>
              <w:textAlignment w:val="baseline"/>
              <w:rPr>
                <w:color w:val="auto"/>
              </w:rPr>
            </w:pPr>
            <w:r>
              <w:rPr>
                <w:b/>
                <w:bCs/>
                <w:color w:val="auto"/>
                <w:spacing w:val="-4"/>
              </w:rPr>
              <w:t>境影响评价符</w:t>
            </w:r>
          </w:p>
          <w:p w14:paraId="46475402">
            <w:pPr>
              <w:pStyle w:val="22"/>
              <w:keepNext w:val="0"/>
              <w:keepLines w:val="0"/>
              <w:pageBreakBefore w:val="0"/>
              <w:widowControl/>
              <w:kinsoku w:val="0"/>
              <w:wordWrap/>
              <w:overflowPunct/>
              <w:topLinePunct w:val="0"/>
              <w:autoSpaceDE w:val="0"/>
              <w:autoSpaceDN w:val="0"/>
              <w:bidi w:val="0"/>
              <w:adjustRightInd w:val="0"/>
              <w:snapToGrid w:val="0"/>
              <w:spacing w:line="220" w:lineRule="auto"/>
              <w:ind w:left="393"/>
              <w:textAlignment w:val="baseline"/>
              <w:rPr>
                <w:color w:val="auto"/>
              </w:rPr>
            </w:pPr>
            <w:r>
              <w:rPr>
                <w:b/>
                <w:bCs/>
                <w:color w:val="auto"/>
                <w:spacing w:val="-5"/>
              </w:rPr>
              <w:t>合性分析</w:t>
            </w:r>
          </w:p>
        </w:tc>
        <w:tc>
          <w:tcPr>
            <w:tcW w:w="7260" w:type="dxa"/>
            <w:gridSpan w:val="3"/>
            <w:tcBorders>
              <w:bottom w:val="single" w:color="000000" w:sz="6" w:space="0"/>
              <w:right w:val="single" w:color="000000" w:sz="6" w:space="0"/>
            </w:tcBorders>
            <w:vAlign w:val="top"/>
          </w:tcPr>
          <w:p w14:paraId="6465D86F">
            <w:pPr>
              <w:keepNext w:val="0"/>
              <w:keepLines w:val="0"/>
              <w:pageBreakBefore w:val="0"/>
              <w:widowControl/>
              <w:kinsoku w:val="0"/>
              <w:wordWrap/>
              <w:overflowPunct/>
              <w:topLinePunct w:val="0"/>
              <w:autoSpaceDE w:val="0"/>
              <w:autoSpaceDN w:val="0"/>
              <w:bidi w:val="0"/>
              <w:adjustRightInd w:val="0"/>
              <w:snapToGrid w:val="0"/>
              <w:spacing w:line="320" w:lineRule="auto"/>
              <w:textAlignment w:val="baseline"/>
              <w:rPr>
                <w:rFonts w:ascii="Arial"/>
                <w:color w:val="auto"/>
                <w:sz w:val="21"/>
              </w:rPr>
            </w:pPr>
          </w:p>
          <w:p w14:paraId="01ADD9B4">
            <w:pPr>
              <w:pStyle w:val="22"/>
              <w:keepNext w:val="0"/>
              <w:keepLines w:val="0"/>
              <w:pageBreakBefore w:val="0"/>
              <w:widowControl/>
              <w:kinsoku w:val="0"/>
              <w:wordWrap/>
              <w:overflowPunct/>
              <w:topLinePunct w:val="0"/>
              <w:autoSpaceDE w:val="0"/>
              <w:autoSpaceDN w:val="0"/>
              <w:bidi w:val="0"/>
              <w:adjustRightInd w:val="0"/>
              <w:snapToGrid w:val="0"/>
              <w:spacing w:line="220" w:lineRule="auto"/>
              <w:ind w:left="3514"/>
              <w:textAlignment w:val="baseline"/>
              <w:rPr>
                <w:color w:val="auto"/>
              </w:rPr>
            </w:pPr>
            <w:r>
              <w:rPr>
                <w:color w:val="auto"/>
              </w:rPr>
              <w:t>无</w:t>
            </w:r>
          </w:p>
        </w:tc>
      </w:tr>
    </w:tbl>
    <w:p w14:paraId="422D26D1">
      <w:pPr>
        <w:pStyle w:val="6"/>
        <w:rPr>
          <w:color w:val="auto"/>
        </w:rPr>
      </w:pPr>
    </w:p>
    <w:p w14:paraId="2B554C7B">
      <w:pPr>
        <w:rPr>
          <w:color w:val="auto"/>
        </w:rPr>
        <w:sectPr>
          <w:footerReference r:id="rId6" w:type="default"/>
          <w:pgSz w:w="11906" w:h="16839"/>
          <w:pgMar w:top="1431" w:right="1440" w:bottom="1446" w:left="1440" w:header="0" w:footer="1284" w:gutter="0"/>
          <w:pgNumType w:fmt="numberInDash" w:start="1"/>
          <w:cols w:space="720" w:num="1"/>
        </w:sectPr>
      </w:pPr>
    </w:p>
    <w:p w14:paraId="5A5CFA2B">
      <w:pPr>
        <w:spacing w:before="28"/>
        <w:rPr>
          <w:color w:val="auto"/>
        </w:rPr>
      </w:pPr>
    </w:p>
    <w:tbl>
      <w:tblPr>
        <w:tblStyle w:val="21"/>
        <w:tblW w:w="901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6"/>
        <w:gridCol w:w="8234"/>
      </w:tblGrid>
      <w:tr w14:paraId="6DC9F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67" w:hRule="atLeast"/>
        </w:trPr>
        <w:tc>
          <w:tcPr>
            <w:tcW w:w="776" w:type="dxa"/>
            <w:tcBorders>
              <w:right w:val="single" w:color="000000" w:sz="2" w:space="0"/>
            </w:tcBorders>
            <w:textDirection w:val="tbRlV"/>
            <w:vAlign w:val="top"/>
          </w:tcPr>
          <w:p w14:paraId="090FF4FF">
            <w:pPr>
              <w:pStyle w:val="22"/>
              <w:spacing w:before="267" w:line="360" w:lineRule="auto"/>
              <w:ind w:left="5521"/>
              <w:rPr>
                <w:color w:val="auto"/>
              </w:rPr>
            </w:pPr>
            <w:r>
              <w:rPr>
                <w:color w:val="auto"/>
                <w:spacing w:val="3"/>
              </w:rPr>
              <w:t>其他符合性分析</w:t>
            </w:r>
          </w:p>
        </w:tc>
        <w:tc>
          <w:tcPr>
            <w:tcW w:w="8234" w:type="dxa"/>
            <w:tcBorders>
              <w:left w:val="single" w:color="000000" w:sz="2" w:space="0"/>
            </w:tcBorders>
            <w:vAlign w:val="top"/>
          </w:tcPr>
          <w:p w14:paraId="775750B6">
            <w:pPr>
              <w:pStyle w:val="22"/>
              <w:spacing w:before="160" w:line="219" w:lineRule="auto"/>
              <w:ind w:left="595"/>
              <w:rPr>
                <w:color w:val="auto"/>
              </w:rPr>
            </w:pPr>
            <w:r>
              <w:rPr>
                <w:rFonts w:ascii="Times New Roman" w:hAnsi="Times New Roman" w:eastAsia="Times New Roman" w:cs="Times New Roman"/>
                <w:b/>
                <w:bCs/>
                <w:color w:val="auto"/>
                <w:spacing w:val="-4"/>
              </w:rPr>
              <w:t>1.</w:t>
            </w:r>
            <w:r>
              <w:rPr>
                <w:b/>
                <w:bCs/>
                <w:color w:val="auto"/>
                <w:spacing w:val="-4"/>
              </w:rPr>
              <w:t>产业政策相符性</w:t>
            </w:r>
          </w:p>
          <w:p w14:paraId="7662651E">
            <w:pPr>
              <w:pStyle w:val="22"/>
              <w:spacing w:before="181" w:line="360" w:lineRule="auto"/>
              <w:ind w:left="107" w:right="101" w:firstLine="492"/>
              <w:rPr>
                <w:color w:val="auto"/>
                <w:spacing w:val="-1"/>
              </w:rPr>
            </w:pPr>
            <w:r>
              <w:rPr>
                <w:color w:val="auto"/>
                <w:spacing w:val="-1"/>
              </w:rPr>
              <w:t>（</w:t>
            </w:r>
            <w:r>
              <w:rPr>
                <w:rFonts w:ascii="Times New Roman" w:hAnsi="Times New Roman" w:eastAsia="Times New Roman" w:cs="Times New Roman"/>
                <w:color w:val="auto"/>
                <w:spacing w:val="-1"/>
              </w:rPr>
              <w:t>1</w:t>
            </w:r>
            <w:r>
              <w:rPr>
                <w:color w:val="auto"/>
                <w:spacing w:val="-1"/>
              </w:rPr>
              <w:t>）本项目为商品混凝土制造，据查不属于国家《产业</w:t>
            </w:r>
            <w:r>
              <w:rPr>
                <w:color w:val="auto"/>
                <w:spacing w:val="-2"/>
              </w:rPr>
              <w:t>结构调整指导目</w:t>
            </w:r>
            <w:r>
              <w:rPr>
                <w:color w:val="auto"/>
              </w:rPr>
              <w:t xml:space="preserve"> 录》（</w:t>
            </w:r>
            <w:r>
              <w:rPr>
                <w:rFonts w:ascii="Times New Roman" w:hAnsi="Times New Roman" w:eastAsia="Times New Roman" w:cs="Times New Roman"/>
                <w:color w:val="auto"/>
              </w:rPr>
              <w:t>2024</w:t>
            </w:r>
            <w:r>
              <w:rPr>
                <w:color w:val="auto"/>
              </w:rPr>
              <w:t>年本）中限制类和淘汰类项目</w:t>
            </w:r>
            <w:r>
              <w:rPr>
                <w:rFonts w:hint="eastAsia"/>
                <w:color w:val="auto"/>
                <w:lang w:eastAsia="zh-CN"/>
              </w:rPr>
              <w:t>；</w:t>
            </w:r>
            <w:r>
              <w:rPr>
                <w:color w:val="auto"/>
              </w:rPr>
              <w:t>未列入《</w:t>
            </w:r>
            <w:r>
              <w:rPr>
                <w:color w:val="auto"/>
                <w:spacing w:val="-1"/>
              </w:rPr>
              <w:t>广东省国家重点生态功</w:t>
            </w:r>
            <w:r>
              <w:rPr>
                <w:color w:val="auto"/>
              </w:rPr>
              <w:t xml:space="preserve">  </w:t>
            </w:r>
            <w:r>
              <w:rPr>
                <w:color w:val="auto"/>
                <w:spacing w:val="-1"/>
              </w:rPr>
              <w:t>能区产业准入负面清单（试行）》（粤发改规划〔</w:t>
            </w:r>
            <w:r>
              <w:rPr>
                <w:rFonts w:ascii="Times New Roman" w:hAnsi="Times New Roman" w:eastAsia="Times New Roman" w:cs="Times New Roman"/>
                <w:color w:val="auto"/>
                <w:spacing w:val="-1"/>
              </w:rPr>
              <w:t>2017</w:t>
            </w:r>
            <w:r>
              <w:rPr>
                <w:color w:val="auto"/>
                <w:spacing w:val="-1"/>
              </w:rPr>
              <w:t>〕</w:t>
            </w:r>
            <w:r>
              <w:rPr>
                <w:rFonts w:ascii="Times New Roman" w:hAnsi="Times New Roman" w:eastAsia="Times New Roman" w:cs="Times New Roman"/>
                <w:color w:val="auto"/>
                <w:spacing w:val="-1"/>
              </w:rPr>
              <w:t>331</w:t>
            </w:r>
            <w:r>
              <w:rPr>
                <w:color w:val="auto"/>
                <w:spacing w:val="-1"/>
              </w:rPr>
              <w:t>号）中乐昌市产</w:t>
            </w:r>
            <w:r>
              <w:rPr>
                <w:color w:val="auto"/>
                <w:spacing w:val="10"/>
              </w:rPr>
              <w:t xml:space="preserve"> </w:t>
            </w:r>
            <w:r>
              <w:rPr>
                <w:color w:val="auto"/>
                <w:spacing w:val="-4"/>
              </w:rPr>
              <w:t>业准入负面清单的限制类或禁止类项目；不涉及《市场准入负面清单》（</w:t>
            </w:r>
            <w:r>
              <w:rPr>
                <w:rFonts w:ascii="Times New Roman" w:hAnsi="Times New Roman" w:eastAsia="Times New Roman" w:cs="Times New Roman"/>
                <w:color w:val="auto"/>
                <w:spacing w:val="-4"/>
              </w:rPr>
              <w:t>2</w:t>
            </w:r>
            <w:r>
              <w:rPr>
                <w:rFonts w:ascii="Times New Roman" w:hAnsi="Times New Roman" w:eastAsia="Times New Roman" w:cs="Times New Roman"/>
                <w:color w:val="auto"/>
                <w:spacing w:val="-5"/>
              </w:rPr>
              <w:t>02</w:t>
            </w:r>
            <w:r>
              <w:rPr>
                <w:rFonts w:hint="eastAsia" w:ascii="Times New Roman" w:hAnsi="Times New Roman" w:cs="Times New Roman"/>
                <w:color w:val="auto"/>
                <w:spacing w:val="-5"/>
                <w:lang w:val="en-US" w:eastAsia="zh-CN"/>
              </w:rPr>
              <w:t>5</w:t>
            </w:r>
            <w:r>
              <w:rPr>
                <w:color w:val="auto"/>
                <w:spacing w:val="-1"/>
              </w:rPr>
              <w:t>年版）中的禁止或许可准入事项。</w:t>
            </w:r>
          </w:p>
          <w:p w14:paraId="435D026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08" w:right="102" w:firstLine="493"/>
              <w:textAlignment w:val="baseline"/>
              <w:rPr>
                <w:rFonts w:hint="default" w:ascii="Times New Roman" w:hAnsi="Times New Roman" w:eastAsia="宋体" w:cs="Times New Roman"/>
                <w:color w:val="auto"/>
                <w:spacing w:val="-1"/>
                <w:lang w:val="en-US" w:eastAsia="zh-CN"/>
              </w:rPr>
            </w:pPr>
            <w:r>
              <w:rPr>
                <w:rFonts w:hint="default" w:ascii="Times New Roman" w:hAnsi="Times New Roman" w:cs="Times New Roman"/>
                <w:color w:val="auto"/>
                <w:spacing w:val="-1"/>
                <w:lang w:eastAsia="zh-CN"/>
              </w:rPr>
              <w:t>（</w:t>
            </w:r>
            <w:r>
              <w:rPr>
                <w:rFonts w:hint="default" w:ascii="Times New Roman" w:hAnsi="Times New Roman" w:cs="Times New Roman"/>
                <w:color w:val="auto"/>
                <w:spacing w:val="-1"/>
                <w:lang w:val="en-US" w:eastAsia="zh-CN"/>
              </w:rPr>
              <w:t>2</w:t>
            </w:r>
            <w:r>
              <w:rPr>
                <w:rFonts w:hint="default" w:ascii="Times New Roman" w:hAnsi="Times New Roman" w:cs="Times New Roman"/>
                <w:color w:val="auto"/>
                <w:spacing w:val="-1"/>
                <w:lang w:eastAsia="zh-CN"/>
              </w:rPr>
              <w:t>）</w:t>
            </w:r>
            <w:r>
              <w:rPr>
                <w:rFonts w:hint="default" w:ascii="Times New Roman" w:hAnsi="Times New Roman" w:cs="Times New Roman"/>
                <w:color w:val="auto"/>
                <w:spacing w:val="-1"/>
              </w:rPr>
              <w:t>本项目为商品混凝土制造，</w:t>
            </w:r>
            <w:r>
              <w:rPr>
                <w:rFonts w:hint="default" w:ascii="Times New Roman" w:hAnsi="Times New Roman" w:cs="Times New Roman"/>
                <w:color w:val="auto"/>
                <w:spacing w:val="-1"/>
                <w:lang w:val="en-US" w:eastAsia="zh-CN"/>
              </w:rPr>
              <w:t>经查询《建材行业淘汰</w:t>
            </w:r>
            <w:r>
              <w:rPr>
                <w:rFonts w:hint="eastAsia" w:ascii="Times New Roman" w:hAnsi="Times New Roman" w:cs="Times New Roman"/>
                <w:color w:val="auto"/>
                <w:spacing w:val="-1"/>
                <w:lang w:val="en-US" w:eastAsia="zh-CN"/>
              </w:rPr>
              <w:t>落</w:t>
            </w:r>
            <w:r>
              <w:rPr>
                <w:rFonts w:hint="default" w:ascii="Times New Roman" w:hAnsi="Times New Roman" w:cs="Times New Roman"/>
                <w:color w:val="auto"/>
                <w:spacing w:val="-1"/>
                <w:lang w:val="en-US" w:eastAsia="zh-CN"/>
              </w:rPr>
              <w:t>后</w:t>
            </w:r>
            <w:r>
              <w:rPr>
                <w:rFonts w:hint="eastAsia" w:ascii="Times New Roman" w:hAnsi="Times New Roman" w:cs="Times New Roman"/>
                <w:color w:val="auto"/>
                <w:spacing w:val="-1"/>
                <w:lang w:val="en-US" w:eastAsia="zh-CN"/>
              </w:rPr>
              <w:t>产能</w:t>
            </w:r>
            <w:r>
              <w:rPr>
                <w:rFonts w:hint="default" w:ascii="Times New Roman" w:hAnsi="Times New Roman" w:cs="Times New Roman"/>
                <w:color w:val="auto"/>
                <w:spacing w:val="-1"/>
                <w:lang w:val="en-US" w:eastAsia="zh-CN"/>
              </w:rPr>
              <w:t>指导目录（2019版）》中相关内容，不属于其中规定的淘汰类项目。</w:t>
            </w:r>
          </w:p>
          <w:p w14:paraId="56F291F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08" w:right="40" w:firstLine="493"/>
              <w:textAlignment w:val="baseline"/>
              <w:rPr>
                <w:color w:val="auto"/>
              </w:rPr>
            </w:pPr>
            <w:r>
              <w:rPr>
                <w:color w:val="auto"/>
                <w:spacing w:val="-1"/>
              </w:rPr>
              <w:t>（</w:t>
            </w:r>
            <w:r>
              <w:rPr>
                <w:rFonts w:hint="eastAsia" w:ascii="Times New Roman" w:hAnsi="Times New Roman" w:eastAsia="宋体" w:cs="Times New Roman"/>
                <w:color w:val="auto"/>
                <w:spacing w:val="-1"/>
                <w:lang w:val="en-US" w:eastAsia="zh-CN"/>
              </w:rPr>
              <w:t>3</w:t>
            </w:r>
            <w:r>
              <w:rPr>
                <w:color w:val="auto"/>
                <w:spacing w:val="-1"/>
              </w:rPr>
              <w:t>）本项目为商品混凝土制造，属于建材类项目。根据</w:t>
            </w:r>
            <w:r>
              <w:rPr>
                <w:color w:val="auto"/>
                <w:spacing w:val="-2"/>
              </w:rPr>
              <w:t>生态环境部《关</w:t>
            </w:r>
            <w:r>
              <w:rPr>
                <w:color w:val="auto"/>
              </w:rPr>
              <w:t xml:space="preserve"> </w:t>
            </w:r>
            <w:r>
              <w:rPr>
                <w:color w:val="auto"/>
                <w:spacing w:val="10"/>
              </w:rPr>
              <w:t>于加强高耗能、高排放建设项目生态环境源头防</w:t>
            </w:r>
            <w:r>
              <w:rPr>
                <w:color w:val="auto"/>
                <w:spacing w:val="9"/>
              </w:rPr>
              <w:t>控的指导意见》</w:t>
            </w:r>
            <w:r>
              <w:rPr>
                <w:color w:val="auto"/>
                <w:spacing w:val="-98"/>
              </w:rPr>
              <w:t xml:space="preserve"> </w:t>
            </w:r>
            <w:r>
              <w:rPr>
                <w:color w:val="auto"/>
                <w:spacing w:val="9"/>
              </w:rPr>
              <w:t>（环环评</w:t>
            </w:r>
            <w:r>
              <w:rPr>
                <w:color w:val="auto"/>
              </w:rPr>
              <w:t xml:space="preserve"> </w:t>
            </w:r>
            <w:r>
              <w:rPr>
                <w:color w:val="auto"/>
                <w:spacing w:val="2"/>
              </w:rPr>
              <w:t>〔</w:t>
            </w:r>
            <w:r>
              <w:rPr>
                <w:rFonts w:ascii="Times New Roman" w:hAnsi="Times New Roman" w:eastAsia="Times New Roman" w:cs="Times New Roman"/>
                <w:color w:val="auto"/>
                <w:spacing w:val="2"/>
              </w:rPr>
              <w:t>2021</w:t>
            </w:r>
            <w:r>
              <w:rPr>
                <w:color w:val="auto"/>
                <w:spacing w:val="2"/>
              </w:rPr>
              <w:t>〕</w:t>
            </w:r>
            <w:r>
              <w:rPr>
                <w:rFonts w:ascii="Times New Roman" w:hAnsi="Times New Roman" w:eastAsia="Times New Roman" w:cs="Times New Roman"/>
                <w:color w:val="auto"/>
                <w:spacing w:val="2"/>
              </w:rPr>
              <w:t>45</w:t>
            </w:r>
            <w:r>
              <w:rPr>
                <w:color w:val="auto"/>
                <w:spacing w:val="2"/>
              </w:rPr>
              <w:t>号</w:t>
            </w:r>
            <w:r>
              <w:rPr>
                <w:color w:val="auto"/>
                <w:spacing w:val="12"/>
              </w:rPr>
              <w:t>），</w:t>
            </w:r>
            <w:r>
              <w:rPr>
                <w:color w:val="auto"/>
                <w:spacing w:val="2"/>
              </w:rPr>
              <w:t>坚决遏制高耗能、高排放项目盲目发展，推动绿色转型和</w:t>
            </w:r>
            <w:r>
              <w:rPr>
                <w:color w:val="auto"/>
                <w:spacing w:val="1"/>
              </w:rPr>
              <w:t xml:space="preserve"> </w:t>
            </w:r>
            <w:r>
              <w:rPr>
                <w:color w:val="auto"/>
                <w:spacing w:val="2"/>
              </w:rPr>
              <w:t>高质量发展。按《广东省坚决遏制“两高</w:t>
            </w:r>
            <w:r>
              <w:rPr>
                <w:color w:val="auto"/>
                <w:spacing w:val="-83"/>
              </w:rPr>
              <w:t xml:space="preserve"> </w:t>
            </w:r>
            <w:r>
              <w:rPr>
                <w:color w:val="auto"/>
                <w:spacing w:val="2"/>
              </w:rPr>
              <w:t>”项目</w:t>
            </w:r>
            <w:r>
              <w:rPr>
                <w:color w:val="auto"/>
                <w:spacing w:val="1"/>
              </w:rPr>
              <w:t>盲目发展的实施方案》（粤</w:t>
            </w:r>
            <w:r>
              <w:rPr>
                <w:color w:val="auto"/>
              </w:rPr>
              <w:t xml:space="preserve"> </w:t>
            </w:r>
            <w:r>
              <w:rPr>
                <w:color w:val="auto"/>
                <w:spacing w:val="1"/>
              </w:rPr>
              <w:t>发改能源〔</w:t>
            </w:r>
            <w:r>
              <w:rPr>
                <w:rFonts w:ascii="Times New Roman" w:hAnsi="Times New Roman" w:eastAsia="Times New Roman" w:cs="Times New Roman"/>
                <w:color w:val="auto"/>
                <w:spacing w:val="1"/>
              </w:rPr>
              <w:t>2021</w:t>
            </w:r>
            <w:r>
              <w:rPr>
                <w:color w:val="auto"/>
                <w:spacing w:val="1"/>
              </w:rPr>
              <w:t>〕</w:t>
            </w:r>
            <w:r>
              <w:rPr>
                <w:rFonts w:ascii="Times New Roman" w:hAnsi="Times New Roman" w:eastAsia="Times New Roman" w:cs="Times New Roman"/>
                <w:color w:val="auto"/>
                <w:spacing w:val="1"/>
              </w:rPr>
              <w:t>368</w:t>
            </w:r>
            <w:r>
              <w:rPr>
                <w:color w:val="auto"/>
                <w:spacing w:val="1"/>
              </w:rPr>
              <w:t>号</w:t>
            </w:r>
            <w:r>
              <w:rPr>
                <w:color w:val="auto"/>
                <w:spacing w:val="11"/>
              </w:rPr>
              <w:t>），</w:t>
            </w:r>
            <w:r>
              <w:rPr>
                <w:color w:val="auto"/>
                <w:spacing w:val="1"/>
              </w:rPr>
              <w:t>“两高</w:t>
            </w:r>
            <w:r>
              <w:rPr>
                <w:color w:val="auto"/>
                <w:spacing w:val="-84"/>
              </w:rPr>
              <w:t xml:space="preserve"> </w:t>
            </w:r>
            <w:r>
              <w:rPr>
                <w:color w:val="auto"/>
                <w:spacing w:val="1"/>
              </w:rPr>
              <w:t>”项目范围暂定为年综合能源消费量</w:t>
            </w:r>
            <w:r>
              <w:rPr>
                <w:rFonts w:ascii="Times New Roman" w:hAnsi="Times New Roman" w:eastAsia="Times New Roman" w:cs="Times New Roman"/>
                <w:color w:val="auto"/>
                <w:spacing w:val="1"/>
              </w:rPr>
              <w:t>1</w:t>
            </w:r>
            <w:r>
              <w:rPr>
                <w:color w:val="auto"/>
                <w:spacing w:val="1"/>
              </w:rPr>
              <w:t>万</w:t>
            </w:r>
            <w:r>
              <w:rPr>
                <w:color w:val="auto"/>
              </w:rPr>
              <w:t xml:space="preserve"> </w:t>
            </w:r>
            <w:r>
              <w:rPr>
                <w:color w:val="auto"/>
                <w:spacing w:val="3"/>
              </w:rPr>
              <w:t>吨标准煤以上的煤电、石化、化工、钢铁、有色金属、建</w:t>
            </w:r>
            <w:r>
              <w:rPr>
                <w:color w:val="auto"/>
                <w:spacing w:val="2"/>
              </w:rPr>
              <w:t>材、煤化工、焦化</w:t>
            </w:r>
            <w:r>
              <w:rPr>
                <w:color w:val="auto"/>
              </w:rPr>
              <w:t xml:space="preserve"> </w:t>
            </w:r>
            <w:r>
              <w:rPr>
                <w:color w:val="auto"/>
                <w:spacing w:val="-2"/>
              </w:rPr>
              <w:t>等</w:t>
            </w:r>
            <w:r>
              <w:rPr>
                <w:rFonts w:ascii="Times New Roman" w:hAnsi="Times New Roman" w:eastAsia="Times New Roman" w:cs="Times New Roman"/>
                <w:color w:val="auto"/>
                <w:spacing w:val="-2"/>
              </w:rPr>
              <w:t>8</w:t>
            </w:r>
            <w:r>
              <w:rPr>
                <w:color w:val="auto"/>
                <w:spacing w:val="-2"/>
              </w:rPr>
              <w:t>个行业的项目，对上述行业的项目纳入“两高</w:t>
            </w:r>
            <w:r>
              <w:rPr>
                <w:color w:val="auto"/>
                <w:spacing w:val="-79"/>
              </w:rPr>
              <w:t xml:space="preserve"> </w:t>
            </w:r>
            <w:r>
              <w:rPr>
                <w:color w:val="auto"/>
                <w:spacing w:val="-2"/>
              </w:rPr>
              <w:t>”项目管理台账，后续国家</w:t>
            </w:r>
            <w:r>
              <w:rPr>
                <w:color w:val="auto"/>
              </w:rPr>
              <w:t xml:space="preserve"> </w:t>
            </w:r>
            <w:r>
              <w:rPr>
                <w:color w:val="auto"/>
                <w:spacing w:val="3"/>
              </w:rPr>
              <w:t>对“两高</w:t>
            </w:r>
            <w:r>
              <w:rPr>
                <w:color w:val="auto"/>
                <w:spacing w:val="-85"/>
              </w:rPr>
              <w:t xml:space="preserve"> </w:t>
            </w:r>
            <w:r>
              <w:rPr>
                <w:color w:val="auto"/>
                <w:spacing w:val="3"/>
              </w:rPr>
              <w:t>”项目范围如有明确规定，从其规</w:t>
            </w:r>
            <w:r>
              <w:rPr>
                <w:color w:val="auto"/>
                <w:spacing w:val="2"/>
              </w:rPr>
              <w:t>定。根据建设单位提供的资料，</w:t>
            </w:r>
            <w:r>
              <w:rPr>
                <w:color w:val="auto"/>
              </w:rPr>
              <w:t xml:space="preserve"> </w:t>
            </w:r>
            <w:r>
              <w:rPr>
                <w:color w:val="auto"/>
                <w:spacing w:val="-9"/>
              </w:rPr>
              <w:t>本项目设计产</w:t>
            </w:r>
            <w:r>
              <w:rPr>
                <w:rFonts w:ascii="宋体" w:hAnsi="宋体" w:eastAsia="宋体" w:cs="宋体"/>
                <w:color w:val="auto"/>
                <w:spacing w:val="3"/>
              </w:rPr>
              <w:t>能</w:t>
            </w:r>
            <w:r>
              <w:rPr>
                <w:rFonts w:hint="default" w:ascii="Times New Roman" w:hAnsi="Times New Roman" w:eastAsia="宋体" w:cs="Times New Roman"/>
                <w:color w:val="auto"/>
                <w:spacing w:val="3"/>
                <w:lang w:val="en-US" w:eastAsia="zh-CN"/>
              </w:rPr>
              <w:t>5</w:t>
            </w:r>
            <w:r>
              <w:rPr>
                <w:rFonts w:ascii="宋体" w:hAnsi="宋体" w:eastAsia="宋体" w:cs="宋体"/>
                <w:color w:val="auto"/>
                <w:spacing w:val="3"/>
              </w:rPr>
              <w:t>万</w:t>
            </w:r>
            <w:r>
              <w:rPr>
                <w:rFonts w:hint="default" w:ascii="Times New Roman" w:hAnsi="Times New Roman" w:eastAsia="宋体" w:cs="Times New Roman"/>
                <w:color w:val="auto"/>
                <w:spacing w:val="3"/>
              </w:rPr>
              <w:t>m</w:t>
            </w:r>
            <w:r>
              <w:rPr>
                <w:rFonts w:hint="default" w:ascii="Times New Roman" w:hAnsi="Times New Roman" w:eastAsia="宋体" w:cs="Times New Roman"/>
                <w:color w:val="auto"/>
                <w:spacing w:val="3"/>
                <w:vertAlign w:val="superscript"/>
              </w:rPr>
              <w:t>3</w:t>
            </w:r>
            <w:r>
              <w:rPr>
                <w:rFonts w:hint="default" w:ascii="Times New Roman" w:hAnsi="Times New Roman" w:eastAsia="宋体" w:cs="Times New Roman"/>
                <w:color w:val="auto"/>
                <w:spacing w:val="3"/>
              </w:rPr>
              <w:t>/a</w:t>
            </w:r>
            <w:r>
              <w:rPr>
                <w:rFonts w:ascii="宋体" w:hAnsi="宋体" w:eastAsia="宋体" w:cs="宋体"/>
                <w:color w:val="auto"/>
                <w:spacing w:val="3"/>
              </w:rPr>
              <w:t>，</w:t>
            </w:r>
            <w:r>
              <w:rPr>
                <w:color w:val="auto"/>
                <w:spacing w:val="-9"/>
              </w:rPr>
              <w:t>用能主要为电，</w:t>
            </w:r>
            <w:r>
              <w:rPr>
                <w:rFonts w:hint="eastAsia"/>
                <w:color w:val="auto"/>
                <w:spacing w:val="-9"/>
                <w:lang w:val="en-US" w:eastAsia="zh-CN"/>
              </w:rPr>
              <w:t>全年用电量为</w:t>
            </w:r>
            <w:r>
              <w:rPr>
                <w:rFonts w:hint="default" w:ascii="Times New Roman" w:hAnsi="Times New Roman" w:cs="Times New Roman"/>
                <w:color w:val="auto"/>
                <w:spacing w:val="-9"/>
                <w:lang w:val="en-US" w:eastAsia="zh-CN"/>
              </w:rPr>
              <w:t>50</w:t>
            </w:r>
            <w:r>
              <w:rPr>
                <w:rFonts w:hint="eastAsia"/>
                <w:color w:val="auto"/>
                <w:spacing w:val="-9"/>
                <w:lang w:val="en-US" w:eastAsia="zh-CN"/>
              </w:rPr>
              <w:t>万</w:t>
            </w:r>
            <w:r>
              <w:rPr>
                <w:rFonts w:hint="default" w:ascii="Times New Roman" w:hAnsi="Times New Roman" w:cs="Times New Roman"/>
                <w:color w:val="auto"/>
                <w:spacing w:val="-9"/>
                <w:lang w:val="en-US" w:eastAsia="zh-CN"/>
              </w:rPr>
              <w:t>kWh</w:t>
            </w:r>
            <w:r>
              <w:rPr>
                <w:color w:val="auto"/>
                <w:spacing w:val="-9"/>
              </w:rPr>
              <w:t>，</w:t>
            </w:r>
            <w:r>
              <w:rPr>
                <w:color w:val="auto"/>
              </w:rPr>
              <w:t>折标煤仅</w:t>
            </w:r>
            <w:r>
              <w:rPr>
                <w:rFonts w:hint="eastAsia" w:ascii="Times New Roman" w:hAnsi="Times New Roman" w:cs="Times New Roman"/>
                <w:color w:val="auto"/>
                <w:lang w:val="en-US" w:eastAsia="zh-CN"/>
              </w:rPr>
              <w:t>61.45</w:t>
            </w:r>
            <w:r>
              <w:rPr>
                <w:color w:val="auto"/>
              </w:rPr>
              <w:t>吨标准煤</w:t>
            </w:r>
            <w:r>
              <w:rPr>
                <w:color w:val="auto"/>
                <w:spacing w:val="-1"/>
              </w:rPr>
              <w:t>，故不属于纳入“两高</w:t>
            </w:r>
            <w:r>
              <w:rPr>
                <w:color w:val="auto"/>
                <w:spacing w:val="-88"/>
              </w:rPr>
              <w:t xml:space="preserve"> </w:t>
            </w:r>
            <w:r>
              <w:rPr>
                <w:color w:val="auto"/>
                <w:spacing w:val="-1"/>
              </w:rPr>
              <w:t>”项目管理台账的项目。</w:t>
            </w:r>
          </w:p>
          <w:p w14:paraId="4EF1AB9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91"/>
              <w:textAlignment w:val="baseline"/>
              <w:rPr>
                <w:color w:val="auto"/>
              </w:rPr>
            </w:pPr>
            <w:r>
              <w:rPr>
                <w:color w:val="auto"/>
                <w:spacing w:val="-1"/>
              </w:rPr>
              <w:t>综上所述，本项目符合国家及地方的相关产业政策。</w:t>
            </w:r>
          </w:p>
          <w:p w14:paraId="415B593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84"/>
              <w:textAlignment w:val="baseline"/>
              <w:rPr>
                <w:color w:val="auto"/>
              </w:rPr>
            </w:pPr>
            <w:r>
              <w:rPr>
                <w:rFonts w:ascii="Times New Roman" w:hAnsi="Times New Roman" w:eastAsia="Times New Roman" w:cs="Times New Roman"/>
                <w:b/>
                <w:bCs/>
                <w:color w:val="auto"/>
                <w:spacing w:val="-2"/>
              </w:rPr>
              <w:t>2.</w:t>
            </w:r>
            <w:r>
              <w:rPr>
                <w:b/>
                <w:bCs/>
                <w:color w:val="auto"/>
                <w:spacing w:val="-2"/>
              </w:rPr>
              <w:t>选址合理性</w:t>
            </w:r>
          </w:p>
          <w:p w14:paraId="3DECA202">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60" w:firstLine="480" w:firstLineChars="200"/>
              <w:textAlignment w:val="baseline"/>
              <w:rPr>
                <w:rFonts w:hint="default"/>
                <w:color w:val="auto"/>
                <w:spacing w:val="-1"/>
                <w:lang w:val="en-US" w:eastAsia="zh-CN"/>
              </w:rPr>
            </w:pPr>
            <w:r>
              <w:rPr>
                <w:color w:val="auto"/>
              </w:rPr>
              <w:t>项目位于</w:t>
            </w:r>
            <w:r>
              <w:rPr>
                <w:rFonts w:hint="eastAsia"/>
                <w:color w:val="auto"/>
              </w:rPr>
              <w:t>乐昌市乐城镇练塘路旁原乐昌市建筑材料厂二车间</w:t>
            </w:r>
            <w:r>
              <w:rPr>
                <w:color w:val="auto"/>
              </w:rPr>
              <w:t>，</w:t>
            </w:r>
            <w:r>
              <w:rPr>
                <w:color w:val="auto"/>
                <w:spacing w:val="-1"/>
              </w:rPr>
              <w:t>地理位置见附图</w:t>
            </w:r>
            <w:r>
              <w:rPr>
                <w:rFonts w:hint="default" w:ascii="Times New Roman" w:hAnsi="Times New Roman" w:cs="Times New Roman"/>
                <w:color w:val="auto"/>
                <w:spacing w:val="-30"/>
                <w:lang w:val="en-US" w:eastAsia="zh-CN"/>
              </w:rPr>
              <w:t>1</w:t>
            </w:r>
            <w:r>
              <w:rPr>
                <w:rFonts w:hint="eastAsia" w:ascii="Times New Roman" w:hAnsi="Times New Roman" w:cs="Times New Roman"/>
                <w:color w:val="auto"/>
                <w:spacing w:val="-30"/>
                <w:lang w:val="en-US" w:eastAsia="zh-CN"/>
              </w:rPr>
              <w:t>，</w:t>
            </w:r>
            <w:r>
              <w:rPr>
                <w:color w:val="auto"/>
                <w:spacing w:val="-1"/>
              </w:rPr>
              <w:t>地块</w:t>
            </w:r>
            <w:r>
              <w:rPr>
                <w:rFonts w:hint="default" w:ascii="Times New Roman" w:hAnsi="Times New Roman" w:cs="Times New Roman"/>
                <w:color w:val="auto"/>
                <w:spacing w:val="-1"/>
              </w:rPr>
              <w:t>地类为工业用地，</w:t>
            </w:r>
            <w:r>
              <w:rPr>
                <w:rFonts w:hint="default" w:ascii="Times New Roman" w:hAnsi="Times New Roman" w:cs="Times New Roman"/>
                <w:color w:val="auto"/>
              </w:rPr>
              <w:t>乐昌市建筑材料厂</w:t>
            </w:r>
            <w:r>
              <w:rPr>
                <w:rFonts w:hint="default" w:ascii="Times New Roman" w:hAnsi="Times New Roman" w:cs="Times New Roman"/>
                <w:color w:val="auto"/>
                <w:lang w:val="en-US" w:eastAsia="zh-CN"/>
              </w:rPr>
              <w:t>总用地面积约10万m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，用地产权证见附件1</w:t>
            </w:r>
            <w:r>
              <w:rPr>
                <w:rFonts w:hint="eastAsia"/>
                <w:color w:val="auto"/>
                <w:lang w:val="en-US" w:eastAsia="zh-CN"/>
              </w:rPr>
              <w:t>。本项目利用其中的部分地块（约</w:t>
            </w:r>
            <w:r>
              <w:rPr>
                <w:rFonts w:hint="eastAsia" w:ascii="Times New Roman" w:hAnsi="Times New Roman" w:cs="Times New Roman"/>
                <w:color w:val="auto"/>
                <w:lang w:val="en-US" w:eastAsia="zh-CN"/>
              </w:rPr>
              <w:t>12</w:t>
            </w:r>
            <w:r>
              <w:rPr>
                <w:rFonts w:hint="default" w:ascii="Times New Roman" w:hAnsi="Times New Roman" w:cs="Times New Roman"/>
                <w:color w:val="auto"/>
                <w:lang w:val="en-US" w:eastAsia="zh-CN"/>
              </w:rPr>
              <w:t>000m</w:t>
            </w:r>
            <w:r>
              <w:rPr>
                <w:rFonts w:hint="default" w:ascii="Times New Roman" w:hAnsi="Times New Roman" w:cs="Times New Roman"/>
                <w:color w:val="auto"/>
                <w:vertAlign w:val="superscript"/>
                <w:lang w:val="en-US" w:eastAsia="zh-CN"/>
              </w:rPr>
              <w:t>2</w:t>
            </w:r>
            <w:r>
              <w:rPr>
                <w:rFonts w:hint="eastAsia"/>
                <w:color w:val="auto"/>
                <w:lang w:val="en-US" w:eastAsia="zh-CN"/>
              </w:rPr>
              <w:t>）进行建设，用地</w:t>
            </w:r>
            <w:r>
              <w:rPr>
                <w:color w:val="auto"/>
                <w:spacing w:val="-1"/>
              </w:rPr>
              <w:t>符合</w:t>
            </w:r>
            <w:r>
              <w:rPr>
                <w:rFonts w:hint="eastAsia"/>
                <w:color w:val="auto"/>
                <w:spacing w:val="-1"/>
                <w:lang w:eastAsia="zh-CN"/>
              </w:rPr>
              <w:t>城市总体规划。项目周围没有风景名胜区、自然保护区、</w:t>
            </w:r>
            <w:r>
              <w:rPr>
                <w:rFonts w:hint="eastAsia"/>
                <w:color w:val="auto"/>
                <w:spacing w:val="-1"/>
                <w:lang w:val="en-US" w:eastAsia="zh-CN"/>
              </w:rPr>
              <w:t>饮用水源保护区等环境敏感区。</w:t>
            </w:r>
          </w:p>
          <w:p w14:paraId="4A972BB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90"/>
              <w:textAlignment w:val="baseline"/>
              <w:rPr>
                <w:color w:val="auto"/>
                <w:spacing w:val="-2"/>
              </w:rPr>
            </w:pPr>
            <w:r>
              <w:rPr>
                <w:color w:val="auto"/>
                <w:spacing w:val="-2"/>
              </w:rPr>
              <w:t>可见，本项目选址合理。</w:t>
            </w:r>
          </w:p>
          <w:p w14:paraId="233DCEAF">
            <w:pPr>
              <w:pStyle w:val="22"/>
              <w:keepNext w:val="0"/>
              <w:keepLines w:val="0"/>
              <w:pageBreakBefore w:val="0"/>
              <w:widowControl/>
              <w:kinsoku w:val="0"/>
              <w:wordWrap/>
              <w:overflowPunct/>
              <w:topLinePunct w:val="0"/>
              <w:autoSpaceDE w:val="0"/>
              <w:autoSpaceDN w:val="0"/>
              <w:bidi w:val="0"/>
              <w:adjustRightInd w:val="0"/>
              <w:snapToGrid w:val="0"/>
              <w:spacing w:line="219" w:lineRule="auto"/>
              <w:ind w:left="584"/>
              <w:textAlignment w:val="baseline"/>
              <w:rPr>
                <w:color w:val="auto"/>
              </w:rPr>
            </w:pPr>
            <w:r>
              <w:rPr>
                <w:rFonts w:ascii="Times New Roman" w:hAnsi="Times New Roman" w:eastAsia="Times New Roman" w:cs="Times New Roman"/>
                <w:b/>
                <w:bCs/>
                <w:color w:val="auto"/>
                <w:spacing w:val="-5"/>
              </w:rPr>
              <w:t>3.</w:t>
            </w:r>
            <w:r>
              <w:rPr>
                <w:rFonts w:hint="eastAsia"/>
                <w:b/>
                <w:bCs/>
                <w:color w:val="auto"/>
                <w:spacing w:val="-5"/>
              </w:rPr>
              <w:t>生态环境分区管控符合性分析</w:t>
            </w:r>
          </w:p>
          <w:p w14:paraId="6710D079">
            <w:pPr>
              <w:pStyle w:val="22"/>
              <w:spacing w:before="181" w:line="355" w:lineRule="auto"/>
              <w:ind w:right="101" w:firstLine="464" w:firstLineChars="200"/>
              <w:rPr>
                <w:color w:val="auto"/>
              </w:rPr>
            </w:pPr>
            <w:r>
              <w:rPr>
                <w:color w:val="auto"/>
                <w:spacing w:val="-4"/>
              </w:rPr>
              <w:t>根据广东省人民政府《关于印发广东省</w:t>
            </w:r>
            <w:r>
              <w:rPr>
                <w:rFonts w:ascii="Times New Roman" w:hAnsi="Times New Roman" w:eastAsia="Times New Roman" w:cs="Times New Roman"/>
                <w:color w:val="auto"/>
                <w:spacing w:val="-4"/>
              </w:rPr>
              <w:t>“</w:t>
            </w:r>
            <w:r>
              <w:rPr>
                <w:color w:val="auto"/>
                <w:spacing w:val="-4"/>
              </w:rPr>
              <w:t>三线一单</w:t>
            </w:r>
            <w:r>
              <w:rPr>
                <w:rFonts w:ascii="Times New Roman" w:hAnsi="Times New Roman" w:eastAsia="Times New Roman" w:cs="Times New Roman"/>
                <w:color w:val="auto"/>
                <w:spacing w:val="-4"/>
              </w:rPr>
              <w:t>”</w:t>
            </w:r>
            <w:r>
              <w:rPr>
                <w:color w:val="auto"/>
                <w:spacing w:val="-4"/>
              </w:rPr>
              <w:t>生态环境分区管控方案</w:t>
            </w:r>
            <w:r>
              <w:rPr>
                <w:color w:val="auto"/>
                <w:spacing w:val="11"/>
              </w:rPr>
              <w:t xml:space="preserve"> </w:t>
            </w:r>
            <w:r>
              <w:rPr>
                <w:color w:val="auto"/>
                <w:spacing w:val="2"/>
              </w:rPr>
              <w:t>的通知》（粤府〔</w:t>
            </w:r>
            <w:r>
              <w:rPr>
                <w:rFonts w:ascii="Times New Roman" w:hAnsi="Times New Roman" w:eastAsia="Times New Roman" w:cs="Times New Roman"/>
                <w:color w:val="auto"/>
                <w:spacing w:val="2"/>
              </w:rPr>
              <w:t>2020</w:t>
            </w:r>
            <w:r>
              <w:rPr>
                <w:color w:val="auto"/>
                <w:spacing w:val="2"/>
              </w:rPr>
              <w:t>〕</w:t>
            </w:r>
            <w:r>
              <w:rPr>
                <w:rFonts w:ascii="Times New Roman" w:hAnsi="Times New Roman" w:eastAsia="Times New Roman" w:cs="Times New Roman"/>
                <w:color w:val="auto"/>
                <w:spacing w:val="2"/>
              </w:rPr>
              <w:t xml:space="preserve">71 </w:t>
            </w:r>
            <w:r>
              <w:rPr>
                <w:color w:val="auto"/>
                <w:spacing w:val="2"/>
              </w:rPr>
              <w:t>号</w:t>
            </w:r>
            <w:r>
              <w:rPr>
                <w:color w:val="auto"/>
                <w:spacing w:val="8"/>
              </w:rPr>
              <w:t>）</w:t>
            </w:r>
            <w:r>
              <w:rPr>
                <w:rFonts w:hint="eastAsia"/>
                <w:color w:val="auto"/>
                <w:spacing w:val="8"/>
                <w:lang w:eastAsia="zh-CN"/>
              </w:rPr>
              <w:t>、《广东省</w:t>
            </w:r>
            <w:r>
              <w:rPr>
                <w:rFonts w:hint="default" w:ascii="Times New Roman" w:hAnsi="Times New Roman" w:cs="Times New Roman"/>
                <w:color w:val="auto"/>
                <w:spacing w:val="8"/>
                <w:lang w:eastAsia="zh-CN"/>
              </w:rPr>
              <w:t>2023</w:t>
            </w:r>
            <w:r>
              <w:rPr>
                <w:rFonts w:hint="eastAsia"/>
                <w:color w:val="auto"/>
                <w:spacing w:val="8"/>
                <w:lang w:eastAsia="zh-CN"/>
              </w:rPr>
              <w:t>年度生态环境分区管控动态更新成果公告》</w:t>
            </w:r>
            <w:r>
              <w:rPr>
                <w:color w:val="auto"/>
                <w:spacing w:val="8"/>
              </w:rPr>
              <w:t>，</w:t>
            </w:r>
            <w:r>
              <w:rPr>
                <w:color w:val="auto"/>
                <w:spacing w:val="2"/>
              </w:rPr>
              <w:t>从区域布局管控、能源资源利</w:t>
            </w:r>
            <w:r>
              <w:rPr>
                <w:color w:val="auto"/>
                <w:spacing w:val="1"/>
              </w:rPr>
              <w:t xml:space="preserve">用、污染物 </w:t>
            </w:r>
            <w:r>
              <w:rPr>
                <w:color w:val="auto"/>
                <w:spacing w:val="-1"/>
              </w:rPr>
              <w:t>排放管控和环境风险防控等方面明确准入要求，建立</w:t>
            </w:r>
            <w:r>
              <w:rPr>
                <w:rFonts w:ascii="Times New Roman" w:hAnsi="Times New Roman" w:eastAsia="Times New Roman" w:cs="Times New Roman"/>
                <w:color w:val="auto"/>
                <w:spacing w:val="-1"/>
              </w:rPr>
              <w:t>“1+3+N”</w:t>
            </w:r>
            <w:r>
              <w:rPr>
                <w:color w:val="auto"/>
                <w:spacing w:val="-1"/>
              </w:rPr>
              <w:t>三级生态环境准</w:t>
            </w:r>
            <w:r>
              <w:rPr>
                <w:color w:val="auto"/>
                <w:spacing w:val="5"/>
              </w:rPr>
              <w:t xml:space="preserve"> </w:t>
            </w:r>
            <w:r>
              <w:rPr>
                <w:color w:val="auto"/>
                <w:spacing w:val="-1"/>
              </w:rPr>
              <w:t>入清单体系。</w:t>
            </w:r>
            <w:r>
              <w:rPr>
                <w:rFonts w:ascii="Times New Roman" w:hAnsi="Times New Roman" w:eastAsia="Times New Roman" w:cs="Times New Roman"/>
                <w:color w:val="auto"/>
                <w:spacing w:val="-1"/>
              </w:rPr>
              <w:t>“</w:t>
            </w:r>
            <w:r>
              <w:rPr>
                <w:rFonts w:ascii="Times New Roman" w:hAnsi="Times New Roman" w:eastAsia="Times New Roman" w:cs="Times New Roman"/>
                <w:color w:val="auto"/>
                <w:spacing w:val="-32"/>
              </w:rPr>
              <w:t xml:space="preserve"> </w:t>
            </w:r>
            <w:r>
              <w:rPr>
                <w:rFonts w:ascii="Times New Roman" w:hAnsi="Times New Roman" w:eastAsia="Times New Roman" w:cs="Times New Roman"/>
                <w:color w:val="auto"/>
                <w:spacing w:val="-1"/>
              </w:rPr>
              <w:t>1”</w:t>
            </w:r>
            <w:r>
              <w:rPr>
                <w:color w:val="auto"/>
                <w:spacing w:val="-1"/>
              </w:rPr>
              <w:t>为全省总体管控要求，</w:t>
            </w:r>
            <w:r>
              <w:rPr>
                <w:rFonts w:ascii="Times New Roman" w:hAnsi="Times New Roman" w:eastAsia="Times New Roman" w:cs="Times New Roman"/>
                <w:color w:val="auto"/>
                <w:spacing w:val="-1"/>
              </w:rPr>
              <w:t>“3”</w:t>
            </w:r>
            <w:r>
              <w:rPr>
                <w:color w:val="auto"/>
                <w:spacing w:val="-1"/>
              </w:rPr>
              <w:t>为</w:t>
            </w:r>
            <w:r>
              <w:rPr>
                <w:rFonts w:ascii="Times New Roman" w:hAnsi="Times New Roman" w:eastAsia="Times New Roman" w:cs="Times New Roman"/>
                <w:color w:val="auto"/>
                <w:spacing w:val="-1"/>
              </w:rPr>
              <w:t>“</w:t>
            </w:r>
            <w:r>
              <w:rPr>
                <w:color w:val="auto"/>
                <w:spacing w:val="-1"/>
              </w:rPr>
              <w:t>一核一带一区</w:t>
            </w:r>
            <w:r>
              <w:rPr>
                <w:rFonts w:ascii="Times New Roman" w:hAnsi="Times New Roman" w:eastAsia="Times New Roman" w:cs="Times New Roman"/>
                <w:color w:val="auto"/>
                <w:spacing w:val="-1"/>
              </w:rPr>
              <w:t>”</w:t>
            </w:r>
            <w:r>
              <w:rPr>
                <w:color w:val="auto"/>
                <w:spacing w:val="-1"/>
              </w:rPr>
              <w:t>区域管</w:t>
            </w:r>
            <w:r>
              <w:rPr>
                <w:color w:val="auto"/>
                <w:spacing w:val="-2"/>
              </w:rPr>
              <w:t>控要求，</w:t>
            </w:r>
            <w:r>
              <w:rPr>
                <w:color w:val="auto"/>
              </w:rPr>
              <w:t xml:space="preserve"> </w:t>
            </w:r>
            <w:r>
              <w:rPr>
                <w:rFonts w:ascii="Times New Roman" w:hAnsi="Times New Roman" w:eastAsia="Times New Roman" w:cs="Times New Roman"/>
                <w:color w:val="auto"/>
                <w:spacing w:val="2"/>
              </w:rPr>
              <w:t>“N”</w:t>
            </w:r>
            <w:r>
              <w:rPr>
                <w:color w:val="auto"/>
                <w:spacing w:val="2"/>
              </w:rPr>
              <w:t>为</w:t>
            </w:r>
            <w:r>
              <w:rPr>
                <w:color w:val="auto"/>
                <w:spacing w:val="-28"/>
              </w:rPr>
              <w:t xml:space="preserve"> </w:t>
            </w:r>
            <w:r>
              <w:rPr>
                <w:rFonts w:ascii="Times New Roman" w:hAnsi="Times New Roman" w:eastAsia="Times New Roman" w:cs="Times New Roman"/>
                <w:color w:val="auto"/>
                <w:spacing w:val="2"/>
              </w:rPr>
              <w:t xml:space="preserve">1912 </w:t>
            </w:r>
            <w:r>
              <w:rPr>
                <w:color w:val="auto"/>
                <w:spacing w:val="2"/>
              </w:rPr>
              <w:t>个陆域环境管控单元和</w:t>
            </w:r>
            <w:r>
              <w:rPr>
                <w:color w:val="auto"/>
                <w:spacing w:val="-54"/>
              </w:rPr>
              <w:t xml:space="preserve"> </w:t>
            </w:r>
            <w:r>
              <w:rPr>
                <w:rFonts w:ascii="Times New Roman" w:hAnsi="Times New Roman" w:eastAsia="Times New Roman" w:cs="Times New Roman"/>
                <w:color w:val="auto"/>
                <w:spacing w:val="2"/>
              </w:rPr>
              <w:t xml:space="preserve">471 </w:t>
            </w:r>
            <w:r>
              <w:rPr>
                <w:color w:val="auto"/>
                <w:spacing w:val="2"/>
              </w:rPr>
              <w:t>个海域环境管控单元的管控要求。本</w:t>
            </w:r>
            <w:r>
              <w:rPr>
                <w:color w:val="auto"/>
              </w:rPr>
              <w:t xml:space="preserve"> </w:t>
            </w:r>
            <w:r>
              <w:rPr>
                <w:color w:val="auto"/>
                <w:spacing w:val="2"/>
              </w:rPr>
              <w:t>项目与</w:t>
            </w:r>
            <w:r>
              <w:rPr>
                <w:rFonts w:ascii="Times New Roman" w:hAnsi="Times New Roman" w:eastAsia="Times New Roman" w:cs="Times New Roman"/>
                <w:color w:val="auto"/>
                <w:spacing w:val="2"/>
              </w:rPr>
              <w:t>“</w:t>
            </w:r>
            <w:r>
              <w:rPr>
                <w:color w:val="auto"/>
                <w:spacing w:val="2"/>
              </w:rPr>
              <w:t>三线一单</w:t>
            </w:r>
            <w:r>
              <w:rPr>
                <w:rFonts w:ascii="Times New Roman" w:hAnsi="Times New Roman" w:eastAsia="Times New Roman" w:cs="Times New Roman"/>
                <w:color w:val="auto"/>
                <w:spacing w:val="2"/>
              </w:rPr>
              <w:t>”</w:t>
            </w:r>
            <w:r>
              <w:rPr>
                <w:color w:val="auto"/>
                <w:spacing w:val="2"/>
              </w:rPr>
              <w:t>相符性分析如下：</w:t>
            </w:r>
          </w:p>
          <w:p w14:paraId="34467281">
            <w:pPr>
              <w:pStyle w:val="22"/>
              <w:spacing w:before="33" w:line="219" w:lineRule="auto"/>
              <w:ind w:left="600"/>
              <w:rPr>
                <w:color w:val="auto"/>
              </w:rPr>
            </w:pPr>
            <w:r>
              <w:rPr>
                <w:color w:val="auto"/>
                <w:spacing w:val="-1"/>
              </w:rPr>
              <w:t>（</w:t>
            </w:r>
            <w:r>
              <w:rPr>
                <w:rFonts w:ascii="Times New Roman" w:hAnsi="Times New Roman" w:eastAsia="Times New Roman" w:cs="Times New Roman"/>
                <w:color w:val="auto"/>
                <w:spacing w:val="-1"/>
              </w:rPr>
              <w:t>1</w:t>
            </w:r>
            <w:r>
              <w:rPr>
                <w:color w:val="auto"/>
                <w:spacing w:val="-1"/>
              </w:rPr>
              <w:t>）与</w:t>
            </w:r>
            <w:r>
              <w:rPr>
                <w:rFonts w:ascii="Times New Roman" w:hAnsi="Times New Roman" w:eastAsia="Times New Roman" w:cs="Times New Roman"/>
                <w:color w:val="auto"/>
                <w:spacing w:val="-1"/>
              </w:rPr>
              <w:t>“</w:t>
            </w:r>
            <w:r>
              <w:rPr>
                <w:color w:val="auto"/>
                <w:spacing w:val="-1"/>
              </w:rPr>
              <w:t>一核一带一区</w:t>
            </w:r>
            <w:r>
              <w:rPr>
                <w:rFonts w:ascii="Times New Roman" w:hAnsi="Times New Roman" w:eastAsia="Times New Roman" w:cs="Times New Roman"/>
                <w:color w:val="auto"/>
                <w:spacing w:val="-1"/>
              </w:rPr>
              <w:t>”</w:t>
            </w:r>
            <w:r>
              <w:rPr>
                <w:color w:val="auto"/>
                <w:spacing w:val="-1"/>
              </w:rPr>
              <w:t>区域管控要求的相符性分析</w:t>
            </w:r>
          </w:p>
          <w:p w14:paraId="57242207">
            <w:pPr>
              <w:pStyle w:val="22"/>
              <w:spacing w:before="182" w:line="345" w:lineRule="auto"/>
              <w:ind w:left="111" w:right="101" w:firstLine="478"/>
              <w:rPr>
                <w:color w:val="auto"/>
              </w:rPr>
            </w:pPr>
            <w:r>
              <w:rPr>
                <w:color w:val="auto"/>
                <w:spacing w:val="-3"/>
              </w:rPr>
              <w:t>本项目所在区域为</w:t>
            </w:r>
            <w:r>
              <w:rPr>
                <w:rFonts w:ascii="Times New Roman" w:hAnsi="Times New Roman" w:eastAsia="Times New Roman" w:cs="Times New Roman"/>
                <w:color w:val="auto"/>
                <w:spacing w:val="-3"/>
              </w:rPr>
              <w:t>“</w:t>
            </w:r>
            <w:r>
              <w:rPr>
                <w:color w:val="auto"/>
                <w:spacing w:val="-3"/>
              </w:rPr>
              <w:t>一核一带一区</w:t>
            </w:r>
            <w:r>
              <w:rPr>
                <w:rFonts w:ascii="Times New Roman" w:hAnsi="Times New Roman" w:eastAsia="Times New Roman" w:cs="Times New Roman"/>
                <w:color w:val="auto"/>
                <w:spacing w:val="-3"/>
              </w:rPr>
              <w:t>”</w:t>
            </w:r>
            <w:r>
              <w:rPr>
                <w:color w:val="auto"/>
                <w:spacing w:val="-3"/>
              </w:rPr>
              <w:t>中的</w:t>
            </w:r>
            <w:r>
              <w:rPr>
                <w:rFonts w:ascii="Times New Roman" w:hAnsi="Times New Roman" w:eastAsia="Times New Roman" w:cs="Times New Roman"/>
                <w:color w:val="auto"/>
                <w:spacing w:val="-3"/>
              </w:rPr>
              <w:t>“</w:t>
            </w:r>
            <w:r>
              <w:rPr>
                <w:color w:val="auto"/>
                <w:spacing w:val="-3"/>
              </w:rPr>
              <w:t>一区</w:t>
            </w:r>
            <w:r>
              <w:rPr>
                <w:rFonts w:ascii="Times New Roman" w:hAnsi="Times New Roman" w:eastAsia="Times New Roman" w:cs="Times New Roman"/>
                <w:color w:val="auto"/>
                <w:spacing w:val="-3"/>
              </w:rPr>
              <w:t>”</w:t>
            </w:r>
            <w:r>
              <w:rPr>
                <w:rFonts w:ascii="Times New Roman" w:hAnsi="Times New Roman" w:eastAsia="Times New Roman" w:cs="Times New Roman"/>
                <w:color w:val="auto"/>
                <w:spacing w:val="-23"/>
              </w:rPr>
              <w:t xml:space="preserve"> </w:t>
            </w:r>
            <w:r>
              <w:rPr>
                <w:color w:val="auto"/>
                <w:spacing w:val="-3"/>
              </w:rPr>
              <w:t>，即</w:t>
            </w:r>
            <w:r>
              <w:rPr>
                <w:rFonts w:ascii="Times New Roman" w:hAnsi="Times New Roman" w:eastAsia="Times New Roman" w:cs="Times New Roman"/>
                <w:color w:val="auto"/>
                <w:spacing w:val="-3"/>
              </w:rPr>
              <w:t>“</w:t>
            </w:r>
            <w:r>
              <w:rPr>
                <w:color w:val="auto"/>
                <w:spacing w:val="-3"/>
              </w:rPr>
              <w:t>北部生态发展区</w:t>
            </w:r>
            <w:r>
              <w:rPr>
                <w:rFonts w:ascii="Times New Roman" w:hAnsi="Times New Roman" w:eastAsia="Times New Roman" w:cs="Times New Roman"/>
                <w:color w:val="auto"/>
                <w:spacing w:val="-3"/>
              </w:rPr>
              <w:t>”</w:t>
            </w:r>
            <w:r>
              <w:rPr>
                <w:color w:val="auto"/>
                <w:spacing w:val="-3"/>
              </w:rPr>
              <w:t>。北</w:t>
            </w:r>
            <w:r>
              <w:rPr>
                <w:color w:val="auto"/>
              </w:rPr>
              <w:t xml:space="preserve"> </w:t>
            </w:r>
            <w:r>
              <w:rPr>
                <w:color w:val="auto"/>
                <w:spacing w:val="-1"/>
              </w:rPr>
              <w:t>部生态发展区的区域管控要求如下：</w:t>
            </w:r>
          </w:p>
          <w:p w14:paraId="7E8DE8EA">
            <w:pPr>
              <w:pStyle w:val="22"/>
              <w:spacing w:before="38" w:line="356" w:lineRule="auto"/>
              <w:ind w:left="107" w:right="21" w:firstLine="469"/>
              <w:rPr>
                <w:color w:val="auto"/>
              </w:rPr>
            </w:pPr>
            <w:r>
              <w:rPr>
                <w:rFonts w:ascii="Times New Roman" w:hAnsi="Times New Roman" w:eastAsia="Times New Roman" w:cs="Times New Roman"/>
                <w:color w:val="auto"/>
                <w:spacing w:val="-2"/>
              </w:rPr>
              <w:t>——</w:t>
            </w:r>
            <w:r>
              <w:rPr>
                <w:color w:val="auto"/>
                <w:spacing w:val="-2"/>
              </w:rPr>
              <w:t>区域布局管控要求。大力强化生态保护和建设，严格控制开发强度。</w:t>
            </w:r>
            <w:r>
              <w:rPr>
                <w:color w:val="auto"/>
                <w:spacing w:val="8"/>
              </w:rPr>
              <w:t xml:space="preserve"> </w:t>
            </w:r>
            <w:r>
              <w:rPr>
                <w:color w:val="auto"/>
                <w:spacing w:val="3"/>
              </w:rPr>
              <w:t>重点加强南岭山地保护，推进广东南岭国家公园建设，保</w:t>
            </w:r>
            <w:r>
              <w:rPr>
                <w:color w:val="auto"/>
                <w:spacing w:val="2"/>
              </w:rPr>
              <w:t>护生态系统完整性</w:t>
            </w:r>
            <w:r>
              <w:rPr>
                <w:color w:val="auto"/>
              </w:rPr>
              <w:t xml:space="preserve"> </w:t>
            </w:r>
            <w:r>
              <w:rPr>
                <w:color w:val="auto"/>
                <w:spacing w:val="3"/>
              </w:rPr>
              <w:t>与生物多样性，构建和巩固北部生态屏障。引导工业项目</w:t>
            </w:r>
            <w:r>
              <w:rPr>
                <w:color w:val="auto"/>
                <w:spacing w:val="2"/>
              </w:rPr>
              <w:t>科学布局，新建项</w:t>
            </w:r>
            <w:r>
              <w:rPr>
                <w:color w:val="auto"/>
              </w:rPr>
              <w:t xml:space="preserve"> </w:t>
            </w:r>
            <w:r>
              <w:rPr>
                <w:color w:val="auto"/>
                <w:spacing w:val="-2"/>
              </w:rPr>
              <w:t>目原则上入园管理，推动现有工业项目集中进园。推动绿色钢铁、有色金属、</w:t>
            </w:r>
            <w:r>
              <w:rPr>
                <w:color w:val="auto"/>
                <w:spacing w:val="2"/>
              </w:rPr>
              <w:t xml:space="preserve"> </w:t>
            </w:r>
            <w:r>
              <w:rPr>
                <w:color w:val="auto"/>
                <w:spacing w:val="3"/>
              </w:rPr>
              <w:t>建筑材料等先进材料产业集群向规模化、绿色化、高端化</w:t>
            </w:r>
            <w:r>
              <w:rPr>
                <w:color w:val="auto"/>
                <w:spacing w:val="2"/>
              </w:rPr>
              <w:t>转型发展，打造特</w:t>
            </w:r>
            <w:r>
              <w:rPr>
                <w:color w:val="auto"/>
              </w:rPr>
              <w:t xml:space="preserve"> </w:t>
            </w:r>
            <w:r>
              <w:rPr>
                <w:color w:val="auto"/>
                <w:spacing w:val="3"/>
              </w:rPr>
              <w:t>色优势产业集群，积极推动中高时延大数据中心项目布局</w:t>
            </w:r>
            <w:r>
              <w:rPr>
                <w:color w:val="auto"/>
                <w:spacing w:val="2"/>
              </w:rPr>
              <w:t>落地。科学布局现</w:t>
            </w:r>
            <w:r>
              <w:rPr>
                <w:color w:val="auto"/>
              </w:rPr>
              <w:t xml:space="preserve"> </w:t>
            </w:r>
            <w:r>
              <w:rPr>
                <w:color w:val="auto"/>
                <w:spacing w:val="3"/>
              </w:rPr>
              <w:t>代农业产业平台，打造现代农业与食品产业集群。严格控</w:t>
            </w:r>
            <w:r>
              <w:rPr>
                <w:color w:val="auto"/>
                <w:spacing w:val="2"/>
              </w:rPr>
              <w:t>制涉重金属及有毒</w:t>
            </w:r>
            <w:r>
              <w:rPr>
                <w:color w:val="auto"/>
              </w:rPr>
              <w:t xml:space="preserve"> </w:t>
            </w:r>
            <w:r>
              <w:rPr>
                <w:color w:val="auto"/>
                <w:spacing w:val="3"/>
              </w:rPr>
              <w:t>有害污染物排放的项目建设，新建、改建、扩建涉重金属</w:t>
            </w:r>
            <w:r>
              <w:rPr>
                <w:color w:val="auto"/>
                <w:spacing w:val="2"/>
              </w:rPr>
              <w:t>重点行业的项目应</w:t>
            </w:r>
            <w:r>
              <w:rPr>
                <w:color w:val="auto"/>
              </w:rPr>
              <w:t xml:space="preserve"> </w:t>
            </w:r>
            <w:r>
              <w:rPr>
                <w:color w:val="auto"/>
                <w:spacing w:val="-1"/>
              </w:rPr>
              <w:t>明确重金属污染物总量来源。逐步扩大高污染燃料禁燃区范围。</w:t>
            </w:r>
          </w:p>
          <w:p w14:paraId="435AA216">
            <w:pPr>
              <w:pStyle w:val="22"/>
              <w:spacing w:before="31" w:line="353" w:lineRule="auto"/>
              <w:ind w:left="110" w:right="21" w:firstLine="479"/>
              <w:rPr>
                <w:color w:val="auto"/>
              </w:rPr>
            </w:pPr>
            <w:r>
              <w:rPr>
                <w:color w:val="auto"/>
                <w:spacing w:val="4"/>
              </w:rPr>
              <w:t>本项目不涉及自然保护地和生态保护红线，满足区域空间布局的要求。</w:t>
            </w:r>
            <w:r>
              <w:rPr>
                <w:color w:val="auto"/>
              </w:rPr>
              <w:t xml:space="preserve"> </w:t>
            </w:r>
            <w:r>
              <w:rPr>
                <w:color w:val="auto"/>
                <w:spacing w:val="3"/>
              </w:rPr>
              <w:t>项目选址</w:t>
            </w:r>
            <w:r>
              <w:rPr>
                <w:rFonts w:hint="eastAsia"/>
                <w:color w:val="auto"/>
                <w:spacing w:val="3"/>
                <w:lang w:val="en-US" w:eastAsia="zh-CN"/>
              </w:rPr>
              <w:t>处用地性质为工业用地</w:t>
            </w:r>
            <w:r>
              <w:rPr>
                <w:color w:val="auto"/>
                <w:spacing w:val="3"/>
              </w:rPr>
              <w:t>，符合要求</w:t>
            </w:r>
            <w:r>
              <w:rPr>
                <w:color w:val="auto"/>
                <w:spacing w:val="2"/>
              </w:rPr>
              <w:t>。项目运营过程中不</w:t>
            </w:r>
            <w:r>
              <w:rPr>
                <w:color w:val="auto"/>
                <w:spacing w:val="3"/>
              </w:rPr>
              <w:t>涉及有毒有害污染物排放，</w:t>
            </w:r>
            <w:r>
              <w:rPr>
                <w:rFonts w:hint="eastAsia"/>
                <w:color w:val="auto"/>
                <w:spacing w:val="3"/>
                <w:lang w:val="en-US" w:eastAsia="zh-CN"/>
              </w:rPr>
              <w:t>不涉及重金属污染物</w:t>
            </w:r>
            <w:r>
              <w:rPr>
                <w:color w:val="auto"/>
                <w:spacing w:val="2"/>
              </w:rPr>
              <w:t>排放，建设单位采取</w:t>
            </w:r>
            <w:r>
              <w:rPr>
                <w:color w:val="auto"/>
                <w:spacing w:val="-2"/>
              </w:rPr>
              <w:t>各项措施，减少污染物的排放，项目的布局和建设满足区域布局管控要求。</w:t>
            </w:r>
          </w:p>
          <w:p w14:paraId="406C3B6D">
            <w:pPr>
              <w:pStyle w:val="22"/>
              <w:keepNext w:val="0"/>
              <w:keepLines w:val="0"/>
              <w:pageBreakBefore w:val="0"/>
              <w:widowControl/>
              <w:kinsoku w:val="0"/>
              <w:wordWrap/>
              <w:overflowPunct/>
              <w:topLinePunct w:val="0"/>
              <w:autoSpaceDE w:val="0"/>
              <w:autoSpaceDN w:val="0"/>
              <w:bidi w:val="0"/>
              <w:adjustRightInd w:val="0"/>
              <w:snapToGrid w:val="0"/>
              <w:spacing w:line="348" w:lineRule="auto"/>
              <w:ind w:left="108" w:right="102" w:firstLine="492" w:firstLineChars="200"/>
              <w:textAlignment w:val="baseline"/>
              <w:rPr>
                <w:color w:val="auto"/>
              </w:rPr>
            </w:pPr>
            <w:r>
              <w:rPr>
                <w:rFonts w:ascii="Times New Roman" w:hAnsi="Times New Roman" w:eastAsia="Times New Roman" w:cs="Times New Roman"/>
                <w:color w:val="auto"/>
                <w:spacing w:val="3"/>
              </w:rPr>
              <w:t>——</w:t>
            </w:r>
            <w:r>
              <w:rPr>
                <w:color w:val="auto"/>
                <w:spacing w:val="3"/>
              </w:rPr>
              <w:t>能源资源利用要求。进一步优化调整能源结构，鼓励使用天然气及</w:t>
            </w:r>
            <w:r>
              <w:rPr>
                <w:color w:val="auto"/>
                <w:spacing w:val="8"/>
              </w:rPr>
              <w:t xml:space="preserve"> </w:t>
            </w:r>
            <w:r>
              <w:rPr>
                <w:color w:val="auto"/>
                <w:spacing w:val="-6"/>
              </w:rPr>
              <w:t>可再生能源。县级及以上城市建成区，禁止新建每小时</w:t>
            </w:r>
            <w:r>
              <w:rPr>
                <w:color w:val="auto"/>
                <w:spacing w:val="-32"/>
              </w:rPr>
              <w:t xml:space="preserve"> </w:t>
            </w:r>
            <w:r>
              <w:rPr>
                <w:rFonts w:ascii="Times New Roman" w:hAnsi="Times New Roman" w:eastAsia="Times New Roman" w:cs="Times New Roman"/>
                <w:color w:val="auto"/>
                <w:spacing w:val="-6"/>
              </w:rPr>
              <w:t xml:space="preserve">35 </w:t>
            </w:r>
            <w:r>
              <w:rPr>
                <w:color w:val="auto"/>
                <w:spacing w:val="-6"/>
              </w:rPr>
              <w:t>蒸吨以下燃煤锅炉。</w:t>
            </w:r>
            <w:r>
              <w:rPr>
                <w:color w:val="auto"/>
              </w:rPr>
              <w:t xml:space="preserve"> </w:t>
            </w:r>
            <w:r>
              <w:rPr>
                <w:color w:val="auto"/>
                <w:spacing w:val="3"/>
              </w:rPr>
              <w:t>原则上不再新建小水电以及除国家和省规划外的风电</w:t>
            </w:r>
            <w:r>
              <w:rPr>
                <w:color w:val="auto"/>
                <w:spacing w:val="2"/>
              </w:rPr>
              <w:t>项目，对不符合生态环</w:t>
            </w:r>
            <w:r>
              <w:rPr>
                <w:color w:val="auto"/>
              </w:rPr>
              <w:t xml:space="preserve"> </w:t>
            </w:r>
            <w:r>
              <w:rPr>
                <w:color w:val="auto"/>
                <w:spacing w:val="3"/>
              </w:rPr>
              <w:t>境要求的小水电进行清理整改。严格落实东江、北江</w:t>
            </w:r>
            <w:r>
              <w:rPr>
                <w:color w:val="auto"/>
                <w:spacing w:val="2"/>
              </w:rPr>
              <w:t>、韩江流域等重要控制</w:t>
            </w:r>
            <w:r>
              <w:rPr>
                <w:color w:val="auto"/>
              </w:rPr>
              <w:t xml:space="preserve"> 断面生态流量保障目标。推动矿产资源开发合理</w:t>
            </w:r>
            <w:r>
              <w:rPr>
                <w:color w:val="auto"/>
                <w:spacing w:val="-1"/>
              </w:rPr>
              <w:t>布局和节约集约利用，提高</w:t>
            </w:r>
            <w:r>
              <w:rPr>
                <w:color w:val="auto"/>
                <w:spacing w:val="3"/>
              </w:rPr>
              <w:t>矿产资源开发项目准入门槛，严格执行开采总量指标管控</w:t>
            </w:r>
            <w:r>
              <w:rPr>
                <w:color w:val="auto"/>
                <w:spacing w:val="2"/>
              </w:rPr>
              <w:t>，加快淘汰落后采</w:t>
            </w:r>
            <w:r>
              <w:rPr>
                <w:color w:val="auto"/>
              </w:rPr>
              <w:t xml:space="preserve"> </w:t>
            </w:r>
            <w:r>
              <w:rPr>
                <w:color w:val="auto"/>
                <w:spacing w:val="-1"/>
              </w:rPr>
              <w:t>选工艺，提高资源产出率。</w:t>
            </w:r>
          </w:p>
          <w:p w14:paraId="262CFC56">
            <w:pPr>
              <w:pStyle w:val="22"/>
              <w:spacing w:before="32" w:line="219" w:lineRule="auto"/>
              <w:ind w:left="592"/>
              <w:rPr>
                <w:color w:val="auto"/>
              </w:rPr>
            </w:pPr>
            <w:r>
              <w:rPr>
                <w:color w:val="auto"/>
                <w:spacing w:val="-1"/>
              </w:rPr>
              <w:t>项目不涉及燃煤锅炉建设，满足资源利用要求。</w:t>
            </w:r>
          </w:p>
          <w:p w14:paraId="1D336A7D">
            <w:pPr>
              <w:pStyle w:val="22"/>
              <w:spacing w:before="183" w:line="354" w:lineRule="auto"/>
              <w:ind w:left="108" w:right="104" w:firstLine="468"/>
              <w:rPr>
                <w:color w:val="auto"/>
              </w:rPr>
            </w:pPr>
            <w:r>
              <w:rPr>
                <w:rFonts w:ascii="Times New Roman" w:hAnsi="Times New Roman" w:eastAsia="Times New Roman" w:cs="Times New Roman"/>
                <w:color w:val="auto"/>
                <w:spacing w:val="3"/>
              </w:rPr>
              <w:t>——</w:t>
            </w:r>
            <w:r>
              <w:rPr>
                <w:color w:val="auto"/>
                <w:spacing w:val="3"/>
              </w:rPr>
              <w:t>污染物排放管控要求。在可核查、可监管的基础上，新建项目原则</w:t>
            </w:r>
            <w:r>
              <w:rPr>
                <w:color w:val="auto"/>
                <w:spacing w:val="8"/>
              </w:rPr>
              <w:t xml:space="preserve"> </w:t>
            </w:r>
            <w:r>
              <w:rPr>
                <w:color w:val="auto"/>
                <w:spacing w:val="3"/>
              </w:rPr>
              <w:t>上实施氮氧化物和挥发性有机物等量替代。北江流域严</w:t>
            </w:r>
            <w:r>
              <w:rPr>
                <w:color w:val="auto"/>
                <w:spacing w:val="2"/>
              </w:rPr>
              <w:t>格实行重点重金属污</w:t>
            </w:r>
            <w:r>
              <w:rPr>
                <w:color w:val="auto"/>
              </w:rPr>
              <w:t xml:space="preserve"> </w:t>
            </w:r>
            <w:r>
              <w:rPr>
                <w:color w:val="auto"/>
                <w:spacing w:val="3"/>
              </w:rPr>
              <w:t>染物减量替代。加快镇级生活污水处理设施及配套管网</w:t>
            </w:r>
            <w:r>
              <w:rPr>
                <w:color w:val="auto"/>
                <w:spacing w:val="2"/>
              </w:rPr>
              <w:t>建设，因地制宜建设</w:t>
            </w:r>
            <w:r>
              <w:rPr>
                <w:color w:val="auto"/>
              </w:rPr>
              <w:t xml:space="preserve"> </w:t>
            </w:r>
            <w:r>
              <w:rPr>
                <w:color w:val="auto"/>
                <w:spacing w:val="3"/>
              </w:rPr>
              <w:t>农村生活污水处理设施。加强养殖污染防治，推动养殖</w:t>
            </w:r>
            <w:r>
              <w:rPr>
                <w:color w:val="auto"/>
                <w:spacing w:val="2"/>
              </w:rPr>
              <w:t>尾水达标排放或资源</w:t>
            </w:r>
            <w:r>
              <w:rPr>
                <w:color w:val="auto"/>
              </w:rPr>
              <w:t xml:space="preserve"> </w:t>
            </w:r>
            <w:r>
              <w:rPr>
                <w:color w:val="auto"/>
                <w:spacing w:val="-3"/>
              </w:rPr>
              <w:t>化利用。</w:t>
            </w:r>
          </w:p>
          <w:p w14:paraId="79A536C8">
            <w:pPr>
              <w:pStyle w:val="22"/>
              <w:spacing w:before="35" w:line="352" w:lineRule="auto"/>
              <w:ind w:left="111" w:right="101" w:firstLine="477"/>
              <w:jc w:val="both"/>
              <w:rPr>
                <w:color w:val="auto"/>
              </w:rPr>
            </w:pPr>
            <w:r>
              <w:rPr>
                <w:color w:val="auto"/>
                <w:spacing w:val="-4"/>
              </w:rPr>
              <w:t>加快推进钢铁、陶瓷、水泥等重点行业提标改造（或</w:t>
            </w:r>
            <w:r>
              <w:rPr>
                <w:rFonts w:ascii="Times New Roman" w:hAnsi="Times New Roman" w:eastAsia="Times New Roman" w:cs="Times New Roman"/>
                <w:color w:val="auto"/>
                <w:spacing w:val="-4"/>
              </w:rPr>
              <w:t>“</w:t>
            </w:r>
            <w:r>
              <w:rPr>
                <w:color w:val="auto"/>
                <w:spacing w:val="-4"/>
              </w:rPr>
              <w:t>煤改气</w:t>
            </w:r>
            <w:r>
              <w:rPr>
                <w:rFonts w:ascii="Times New Roman" w:hAnsi="Times New Roman" w:eastAsia="Times New Roman" w:cs="Times New Roman"/>
                <w:color w:val="auto"/>
                <w:spacing w:val="-4"/>
              </w:rPr>
              <w:t>”</w:t>
            </w:r>
            <w:r>
              <w:rPr>
                <w:color w:val="auto"/>
                <w:spacing w:val="-4"/>
              </w:rPr>
              <w:t>改造）。加</w:t>
            </w:r>
            <w:r>
              <w:rPr>
                <w:color w:val="auto"/>
                <w:spacing w:val="11"/>
              </w:rPr>
              <w:t xml:space="preserve"> </w:t>
            </w:r>
            <w:r>
              <w:rPr>
                <w:color w:val="auto"/>
                <w:spacing w:val="3"/>
              </w:rPr>
              <w:t>快矿山改造升级，逐步达到绿色矿山建设要求，</w:t>
            </w:r>
            <w:r>
              <w:rPr>
                <w:color w:val="auto"/>
                <w:spacing w:val="2"/>
              </w:rPr>
              <w:t>凡口铅锌矿及其周边、大宝</w:t>
            </w:r>
            <w:r>
              <w:rPr>
                <w:color w:val="auto"/>
              </w:rPr>
              <w:t xml:space="preserve"> </w:t>
            </w:r>
            <w:r>
              <w:rPr>
                <w:color w:val="auto"/>
                <w:spacing w:val="10"/>
              </w:rPr>
              <w:t>山矿及其周边等区域严格执行部分重金属水污染物特别排放限值的相关规</w:t>
            </w:r>
            <w:r>
              <w:rPr>
                <w:color w:val="auto"/>
                <w:spacing w:val="7"/>
              </w:rPr>
              <w:t xml:space="preserve"> </w:t>
            </w:r>
            <w:r>
              <w:rPr>
                <w:color w:val="auto"/>
                <w:spacing w:val="-7"/>
              </w:rPr>
              <w:t>定。</w:t>
            </w:r>
          </w:p>
          <w:p w14:paraId="0866BA73">
            <w:pPr>
              <w:pStyle w:val="22"/>
              <w:spacing w:before="34" w:line="345" w:lineRule="auto"/>
              <w:ind w:left="112" w:right="101" w:firstLine="480"/>
              <w:rPr>
                <w:color w:val="auto"/>
              </w:rPr>
            </w:pPr>
            <w:r>
              <w:rPr>
                <w:color w:val="auto"/>
                <w:spacing w:val="3"/>
              </w:rPr>
              <w:t>项目在建设和运营过程中，不涉及氮氧化物和挥发性有机物</w:t>
            </w:r>
            <w:r>
              <w:rPr>
                <w:color w:val="auto"/>
                <w:spacing w:val="2"/>
              </w:rPr>
              <w:t>的排放，满</w:t>
            </w:r>
            <w:r>
              <w:rPr>
                <w:color w:val="auto"/>
              </w:rPr>
              <w:t xml:space="preserve"> </w:t>
            </w:r>
            <w:r>
              <w:rPr>
                <w:color w:val="auto"/>
                <w:spacing w:val="-2"/>
              </w:rPr>
              <w:t>足区域污染物排放管控要求。</w:t>
            </w:r>
          </w:p>
          <w:p w14:paraId="18192957">
            <w:pPr>
              <w:pStyle w:val="22"/>
              <w:spacing w:before="36" w:line="354" w:lineRule="auto"/>
              <w:ind w:left="110" w:right="104" w:firstLine="466"/>
              <w:rPr>
                <w:color w:val="auto"/>
              </w:rPr>
            </w:pPr>
            <w:r>
              <w:rPr>
                <w:rFonts w:ascii="Times New Roman" w:hAnsi="Times New Roman" w:eastAsia="Times New Roman" w:cs="Times New Roman"/>
                <w:color w:val="auto"/>
                <w:spacing w:val="3"/>
              </w:rPr>
              <w:t>——</w:t>
            </w:r>
            <w:r>
              <w:rPr>
                <w:color w:val="auto"/>
                <w:spacing w:val="3"/>
              </w:rPr>
              <w:t>环境风险防控要求。强化流域上游生态保护与水源涵养功能，建立</w:t>
            </w:r>
            <w:r>
              <w:rPr>
                <w:color w:val="auto"/>
                <w:spacing w:val="8"/>
              </w:rPr>
              <w:t xml:space="preserve"> </w:t>
            </w:r>
            <w:r>
              <w:rPr>
                <w:color w:val="auto"/>
                <w:spacing w:val="3"/>
              </w:rPr>
              <w:t>完善突发环境事件应急管理体系，保障饮用水安全</w:t>
            </w:r>
            <w:r>
              <w:rPr>
                <w:color w:val="auto"/>
                <w:spacing w:val="2"/>
              </w:rPr>
              <w:t>。加快落实受污染农用地</w:t>
            </w:r>
            <w:r>
              <w:rPr>
                <w:color w:val="auto"/>
              </w:rPr>
              <w:t xml:space="preserve"> </w:t>
            </w:r>
            <w:r>
              <w:rPr>
                <w:color w:val="auto"/>
                <w:spacing w:val="3"/>
              </w:rPr>
              <w:t>的安全利用与严格管控措施，防范农产品重金属含</w:t>
            </w:r>
            <w:r>
              <w:rPr>
                <w:color w:val="auto"/>
                <w:spacing w:val="2"/>
              </w:rPr>
              <w:t>量超标风险。加强尾矿库</w:t>
            </w:r>
            <w:r>
              <w:rPr>
                <w:color w:val="auto"/>
              </w:rPr>
              <w:t xml:space="preserve"> </w:t>
            </w:r>
            <w:r>
              <w:rPr>
                <w:color w:val="auto"/>
                <w:spacing w:val="3"/>
              </w:rPr>
              <w:t>的环境风险排查与防范。加强金属矿采选、金属冶</w:t>
            </w:r>
            <w:r>
              <w:rPr>
                <w:color w:val="auto"/>
                <w:spacing w:val="2"/>
              </w:rPr>
              <w:t>炼企业的重金属污染风险</w:t>
            </w:r>
            <w:r>
              <w:rPr>
                <w:color w:val="auto"/>
              </w:rPr>
              <w:t xml:space="preserve"> 防控。强化选矿废水治理设施的升级改造，</w:t>
            </w:r>
            <w:r>
              <w:rPr>
                <w:color w:val="auto"/>
                <w:spacing w:val="-1"/>
              </w:rPr>
              <w:t>选矿废水原则上回用不外排。</w:t>
            </w:r>
          </w:p>
          <w:p w14:paraId="74613E61">
            <w:pPr>
              <w:pStyle w:val="22"/>
              <w:spacing w:before="34" w:line="346" w:lineRule="auto"/>
              <w:ind w:left="128" w:right="101" w:firstLine="464"/>
              <w:rPr>
                <w:color w:val="auto"/>
              </w:rPr>
            </w:pPr>
            <w:r>
              <w:rPr>
                <w:color w:val="auto"/>
                <w:spacing w:val="3"/>
              </w:rPr>
              <w:t>项目配套了各项污染防治措施和风险防范措施，减少了项目</w:t>
            </w:r>
            <w:r>
              <w:rPr>
                <w:color w:val="auto"/>
                <w:spacing w:val="2"/>
              </w:rPr>
              <w:t>运营过程中</w:t>
            </w:r>
            <w:r>
              <w:rPr>
                <w:color w:val="auto"/>
              </w:rPr>
              <w:t xml:space="preserve"> </w:t>
            </w:r>
            <w:r>
              <w:rPr>
                <w:color w:val="auto"/>
                <w:spacing w:val="-1"/>
              </w:rPr>
              <w:t>的影响，项目的运营不会对区域水环境和土壤环境产生不利影</w:t>
            </w:r>
            <w:r>
              <w:rPr>
                <w:color w:val="auto"/>
                <w:spacing w:val="-2"/>
              </w:rPr>
              <w:t>响。</w:t>
            </w:r>
          </w:p>
          <w:p w14:paraId="050BFB95">
            <w:pPr>
              <w:pStyle w:val="22"/>
              <w:spacing w:before="34" w:line="219" w:lineRule="auto"/>
              <w:ind w:left="600"/>
              <w:rPr>
                <w:color w:val="auto"/>
              </w:rPr>
            </w:pPr>
            <w:r>
              <w:rPr>
                <w:color w:val="auto"/>
                <w:spacing w:val="-1"/>
              </w:rPr>
              <w:t>（</w:t>
            </w:r>
            <w:r>
              <w:rPr>
                <w:rFonts w:ascii="Times New Roman" w:hAnsi="Times New Roman" w:eastAsia="Times New Roman" w:cs="Times New Roman"/>
                <w:color w:val="auto"/>
                <w:spacing w:val="-1"/>
              </w:rPr>
              <w:t>2</w:t>
            </w:r>
            <w:r>
              <w:rPr>
                <w:color w:val="auto"/>
                <w:spacing w:val="-1"/>
              </w:rPr>
              <w:t>）与韶关市</w:t>
            </w:r>
            <w:r>
              <w:rPr>
                <w:rFonts w:ascii="Times New Roman" w:hAnsi="Times New Roman" w:eastAsia="Times New Roman" w:cs="Times New Roman"/>
                <w:color w:val="auto"/>
                <w:spacing w:val="-1"/>
              </w:rPr>
              <w:t>“</w:t>
            </w:r>
            <w:r>
              <w:rPr>
                <w:color w:val="auto"/>
                <w:spacing w:val="-1"/>
              </w:rPr>
              <w:t>三线一单</w:t>
            </w:r>
            <w:r>
              <w:rPr>
                <w:rFonts w:ascii="Times New Roman" w:hAnsi="Times New Roman" w:eastAsia="Times New Roman" w:cs="Times New Roman"/>
                <w:color w:val="auto"/>
                <w:spacing w:val="-1"/>
              </w:rPr>
              <w:t>”</w:t>
            </w:r>
            <w:r>
              <w:rPr>
                <w:color w:val="auto"/>
                <w:spacing w:val="-1"/>
              </w:rPr>
              <w:t>生态环境分区管控方案相符性分析</w:t>
            </w:r>
          </w:p>
          <w:p w14:paraId="3D5B6EC3">
            <w:pPr>
              <w:pStyle w:val="22"/>
              <w:spacing w:before="183" w:line="349" w:lineRule="auto"/>
              <w:ind w:left="108" w:right="101" w:firstLine="480"/>
              <w:rPr>
                <w:color w:val="auto"/>
              </w:rPr>
            </w:pPr>
            <w:r>
              <w:rPr>
                <w:color w:val="auto"/>
                <w:spacing w:val="-4"/>
              </w:rPr>
              <w:t>根据《韶关市人民政府关于印发韶关市</w:t>
            </w:r>
            <w:r>
              <w:rPr>
                <w:rFonts w:ascii="Times New Roman" w:hAnsi="Times New Roman" w:eastAsia="Times New Roman" w:cs="Times New Roman"/>
                <w:color w:val="auto"/>
                <w:spacing w:val="-4"/>
              </w:rPr>
              <w:t>“</w:t>
            </w:r>
            <w:r>
              <w:rPr>
                <w:color w:val="auto"/>
                <w:spacing w:val="-4"/>
              </w:rPr>
              <w:t>三线一单</w:t>
            </w:r>
            <w:r>
              <w:rPr>
                <w:rFonts w:ascii="Times New Roman" w:hAnsi="Times New Roman" w:eastAsia="Times New Roman" w:cs="Times New Roman"/>
                <w:color w:val="auto"/>
                <w:spacing w:val="-4"/>
              </w:rPr>
              <w:t>”</w:t>
            </w:r>
            <w:r>
              <w:rPr>
                <w:color w:val="auto"/>
                <w:spacing w:val="-4"/>
              </w:rPr>
              <w:t>生态环境分区管控方案</w:t>
            </w:r>
            <w:r>
              <w:rPr>
                <w:color w:val="auto"/>
                <w:spacing w:val="11"/>
              </w:rPr>
              <w:t xml:space="preserve"> </w:t>
            </w:r>
            <w:r>
              <w:rPr>
                <w:color w:val="auto"/>
                <w:spacing w:val="-1"/>
              </w:rPr>
              <w:t>的通知》（韶府</w:t>
            </w:r>
            <w:r>
              <w:rPr>
                <w:rFonts w:ascii="Times New Roman" w:hAnsi="Times New Roman" w:eastAsia="Times New Roman" w:cs="Times New Roman"/>
                <w:color w:val="auto"/>
                <w:spacing w:val="-1"/>
              </w:rPr>
              <w:t>[2021]10</w:t>
            </w:r>
            <w:r>
              <w:rPr>
                <w:rFonts w:ascii="Times New Roman" w:hAnsi="Times New Roman" w:eastAsia="Times New Roman" w:cs="Times New Roman"/>
                <w:color w:val="auto"/>
                <w:spacing w:val="15"/>
                <w:w w:val="101"/>
              </w:rPr>
              <w:t xml:space="preserve"> </w:t>
            </w:r>
            <w:r>
              <w:rPr>
                <w:color w:val="auto"/>
                <w:spacing w:val="-1"/>
              </w:rPr>
              <w:t>号）以及《韶关市生态环境局关于印发</w:t>
            </w:r>
            <w:r>
              <w:rPr>
                <w:rFonts w:ascii="Times New Roman" w:hAnsi="Times New Roman" w:eastAsia="Times New Roman" w:cs="Times New Roman"/>
                <w:color w:val="auto"/>
                <w:spacing w:val="-1"/>
              </w:rPr>
              <w:t>&lt;</w:t>
            </w:r>
            <w:r>
              <w:rPr>
                <w:color w:val="auto"/>
                <w:spacing w:val="-1"/>
              </w:rPr>
              <w:t>韶关市生态</w:t>
            </w:r>
            <w:r>
              <w:rPr>
                <w:color w:val="auto"/>
              </w:rPr>
              <w:t xml:space="preserve"> </w:t>
            </w:r>
            <w:r>
              <w:rPr>
                <w:color w:val="auto"/>
                <w:spacing w:val="1"/>
              </w:rPr>
              <w:t>环境分区管控动态更新成果</w:t>
            </w:r>
            <w:r>
              <w:rPr>
                <w:rFonts w:ascii="Times New Roman" w:hAnsi="Times New Roman" w:eastAsia="Times New Roman" w:cs="Times New Roman"/>
                <w:color w:val="auto"/>
                <w:spacing w:val="1"/>
              </w:rPr>
              <w:t>&gt;</w:t>
            </w:r>
            <w:r>
              <w:rPr>
                <w:rFonts w:ascii="Times New Roman" w:hAnsi="Times New Roman" w:eastAsia="Times New Roman" w:cs="Times New Roman"/>
                <w:color w:val="auto"/>
                <w:spacing w:val="-26"/>
              </w:rPr>
              <w:t xml:space="preserve"> </w:t>
            </w:r>
            <w:r>
              <w:rPr>
                <w:color w:val="auto"/>
                <w:spacing w:val="1"/>
              </w:rPr>
              <w:t>的通知》（韶环</w:t>
            </w:r>
            <w:r>
              <w:rPr>
                <w:rFonts w:ascii="Times New Roman" w:hAnsi="Times New Roman" w:eastAsia="Times New Roman" w:cs="Times New Roman"/>
                <w:color w:val="auto"/>
                <w:spacing w:val="1"/>
              </w:rPr>
              <w:t>[202</w:t>
            </w:r>
            <w:r>
              <w:rPr>
                <w:rFonts w:ascii="Times New Roman" w:hAnsi="Times New Roman" w:eastAsia="Times New Roman" w:cs="Times New Roman"/>
                <w:color w:val="auto"/>
              </w:rPr>
              <w:t>4]103</w:t>
            </w:r>
            <w:r>
              <w:rPr>
                <w:rFonts w:ascii="Times New Roman" w:hAnsi="Times New Roman" w:eastAsia="Times New Roman" w:cs="Times New Roman"/>
                <w:color w:val="auto"/>
                <w:spacing w:val="17"/>
                <w:w w:val="101"/>
              </w:rPr>
              <w:t xml:space="preserve"> </w:t>
            </w:r>
            <w:r>
              <w:rPr>
                <w:color w:val="auto"/>
              </w:rPr>
              <w:t>号</w:t>
            </w:r>
            <w:r>
              <w:rPr>
                <w:color w:val="auto"/>
                <w:spacing w:val="11"/>
              </w:rPr>
              <w:t>），</w:t>
            </w:r>
            <w:r>
              <w:rPr>
                <w:color w:val="auto"/>
              </w:rPr>
              <w:t xml:space="preserve">韶关市“三线 </w:t>
            </w:r>
            <w:r>
              <w:rPr>
                <w:color w:val="auto"/>
                <w:spacing w:val="-5"/>
              </w:rPr>
              <w:t>一单</w:t>
            </w:r>
            <w:r>
              <w:rPr>
                <w:color w:val="auto"/>
                <w:spacing w:val="-86"/>
              </w:rPr>
              <w:t xml:space="preserve"> </w:t>
            </w:r>
            <w:r>
              <w:rPr>
                <w:color w:val="auto"/>
                <w:spacing w:val="-5"/>
              </w:rPr>
              <w:t>”管控要求为：</w:t>
            </w:r>
          </w:p>
          <w:p w14:paraId="409F026D">
            <w:pPr>
              <w:pStyle w:val="22"/>
              <w:spacing w:before="51" w:line="219" w:lineRule="auto"/>
              <w:ind w:left="577"/>
              <w:rPr>
                <w:color w:val="auto"/>
              </w:rPr>
            </w:pPr>
            <w:r>
              <w:rPr>
                <w:rFonts w:ascii="Times New Roman" w:hAnsi="Times New Roman" w:eastAsia="Times New Roman" w:cs="Times New Roman"/>
                <w:b/>
                <w:bCs/>
                <w:color w:val="auto"/>
                <w:spacing w:val="-2"/>
              </w:rPr>
              <w:t>——</w:t>
            </w:r>
            <w:r>
              <w:rPr>
                <w:b/>
                <w:bCs/>
                <w:color w:val="auto"/>
                <w:spacing w:val="-2"/>
              </w:rPr>
              <w:t>区域布局管控要求</w:t>
            </w:r>
          </w:p>
          <w:p w14:paraId="2978610C">
            <w:pPr>
              <w:pStyle w:val="22"/>
              <w:spacing w:before="157" w:line="356" w:lineRule="auto"/>
              <w:ind w:right="40" w:firstLine="468" w:firstLineChars="200"/>
              <w:jc w:val="both"/>
              <w:rPr>
                <w:color w:val="auto"/>
              </w:rPr>
            </w:pPr>
            <w:r>
              <w:rPr>
                <w:color w:val="auto"/>
                <w:spacing w:val="-3"/>
              </w:rPr>
              <w:t>强化生态保护和建设。重点加强南岭山地保护，有效推进国家公园建设</w:t>
            </w:r>
            <w:r>
              <w:rPr>
                <w:rFonts w:hint="eastAsia"/>
                <w:color w:val="auto"/>
                <w:spacing w:val="-3"/>
                <w:lang w:val="en-US" w:eastAsia="zh-CN"/>
              </w:rPr>
              <w:t>保</w:t>
            </w:r>
            <w:r>
              <w:rPr>
                <w:color w:val="auto"/>
                <w:spacing w:val="3"/>
              </w:rPr>
              <w:t>护生态系统完整性与生物多样性，构建和巩固北部</w:t>
            </w:r>
            <w:r>
              <w:rPr>
                <w:color w:val="auto"/>
                <w:spacing w:val="2"/>
              </w:rPr>
              <w:t>生态屏障。</w:t>
            </w:r>
            <w:r>
              <w:rPr>
                <w:rFonts w:hint="eastAsia"/>
                <w:color w:val="auto"/>
                <w:spacing w:val="2"/>
              </w:rPr>
              <w:t>生态保护红线内自然保护地核心保护区外，禁止开发性、生产性建设活动，在符合法律法规的前提下，仅允许对生态功能不造成破坏的有限人为活动；生态保护红线内自然保护区、风景名胜区、饮用水水源保护区等区域，依照法律法规执行。上述允许的有限人为活动之外，确需占用生态保护红线的国家重大项目，按照有关规定办理用地审批。</w:t>
            </w:r>
            <w:r>
              <w:rPr>
                <w:color w:val="auto"/>
                <w:spacing w:val="-2"/>
              </w:rPr>
              <w:t>一般生态空</w:t>
            </w:r>
            <w:r>
              <w:rPr>
                <w:color w:val="auto"/>
                <w:spacing w:val="-3"/>
              </w:rPr>
              <w:t>间内，可开</w:t>
            </w:r>
            <w:r>
              <w:rPr>
                <w:color w:val="auto"/>
              </w:rPr>
              <w:t xml:space="preserve"> </w:t>
            </w:r>
            <w:r>
              <w:rPr>
                <w:color w:val="auto"/>
                <w:spacing w:val="3"/>
              </w:rPr>
              <w:t>展生态保护红线内允许的活动；在不影响主导生态功能的前</w:t>
            </w:r>
            <w:r>
              <w:rPr>
                <w:color w:val="auto"/>
                <w:spacing w:val="2"/>
              </w:rPr>
              <w:t>提下，还可开展</w:t>
            </w:r>
            <w:r>
              <w:rPr>
                <w:color w:val="auto"/>
              </w:rPr>
              <w:t xml:space="preserve"> </w:t>
            </w:r>
            <w:r>
              <w:rPr>
                <w:color w:val="auto"/>
                <w:spacing w:val="3"/>
              </w:rPr>
              <w:t>国家和省规定不纳入环评管理的项目建设，以及生态旅游、</w:t>
            </w:r>
            <w:r>
              <w:rPr>
                <w:color w:val="auto"/>
                <w:spacing w:val="2"/>
              </w:rPr>
              <w:t>畜禽养殖、基础</w:t>
            </w:r>
            <w:r>
              <w:rPr>
                <w:color w:val="auto"/>
              </w:rPr>
              <w:t xml:space="preserve"> </w:t>
            </w:r>
            <w:r>
              <w:rPr>
                <w:color w:val="auto"/>
                <w:spacing w:val="3"/>
              </w:rPr>
              <w:t>设施建设、村庄建设等人为活动。一般生态空间内的人工商</w:t>
            </w:r>
            <w:r>
              <w:rPr>
                <w:color w:val="auto"/>
                <w:spacing w:val="2"/>
              </w:rPr>
              <w:t>品林，允许依法</w:t>
            </w:r>
            <w:r>
              <w:rPr>
                <w:color w:val="auto"/>
              </w:rPr>
              <w:t xml:space="preserve"> </w:t>
            </w:r>
            <w:r>
              <w:rPr>
                <w:color w:val="auto"/>
                <w:spacing w:val="-1"/>
              </w:rPr>
              <w:t>进行抚育采伐、择伐和树种更新等经营活动。</w:t>
            </w:r>
          </w:p>
          <w:p w14:paraId="02D58C4D">
            <w:pPr>
              <w:pStyle w:val="22"/>
              <w:spacing w:before="40" w:line="354" w:lineRule="auto"/>
              <w:ind w:left="107" w:right="101" w:firstLine="483"/>
              <w:jc w:val="both"/>
              <w:rPr>
                <w:color w:val="auto"/>
              </w:rPr>
            </w:pPr>
            <w:r>
              <w:rPr>
                <w:color w:val="auto"/>
                <w:spacing w:val="3"/>
              </w:rPr>
              <w:t>扎实推进新型工业化。重点打造先进材料、先进装备制造</w:t>
            </w:r>
            <w:r>
              <w:rPr>
                <w:color w:val="auto"/>
                <w:spacing w:val="2"/>
              </w:rPr>
              <w:t>、现代轻工业</w:t>
            </w:r>
            <w:r>
              <w:rPr>
                <w:color w:val="auto"/>
              </w:rPr>
              <w:t xml:space="preserve"> </w:t>
            </w:r>
            <w:r>
              <w:rPr>
                <w:color w:val="auto"/>
                <w:spacing w:val="3"/>
              </w:rPr>
              <w:t>三大战略性支柱产业集群，培育发展电子信息制造、生物</w:t>
            </w:r>
            <w:r>
              <w:rPr>
                <w:color w:val="auto"/>
                <w:spacing w:val="2"/>
              </w:rPr>
              <w:t>医药与健康、大数</w:t>
            </w:r>
            <w:r>
              <w:rPr>
                <w:color w:val="auto"/>
              </w:rPr>
              <w:t xml:space="preserve"> </w:t>
            </w:r>
            <w:r>
              <w:rPr>
                <w:color w:val="auto"/>
                <w:spacing w:val="3"/>
              </w:rPr>
              <w:t>据及软件信息服务三大战略性新兴产业，引导绿色钢铁、</w:t>
            </w:r>
            <w:r>
              <w:rPr>
                <w:color w:val="auto"/>
                <w:spacing w:val="2"/>
              </w:rPr>
              <w:t>有色金属、建筑材</w:t>
            </w:r>
            <w:r>
              <w:rPr>
                <w:color w:val="auto"/>
              </w:rPr>
              <w:t xml:space="preserve"> </w:t>
            </w:r>
            <w:r>
              <w:rPr>
                <w:color w:val="auto"/>
                <w:spacing w:val="3"/>
              </w:rPr>
              <w:t>料等先进材料产业集群向规模化、绿色化、高端化转型发</w:t>
            </w:r>
            <w:r>
              <w:rPr>
                <w:color w:val="auto"/>
                <w:spacing w:val="2"/>
              </w:rPr>
              <w:t>展，推进韶钢、韶</w:t>
            </w:r>
            <w:r>
              <w:rPr>
                <w:color w:val="auto"/>
              </w:rPr>
              <w:t xml:space="preserve"> </w:t>
            </w:r>
            <w:r>
              <w:rPr>
                <w:color w:val="auto"/>
                <w:spacing w:val="-3"/>
              </w:rPr>
              <w:t>冶等</w:t>
            </w:r>
            <w:r>
              <w:rPr>
                <w:rFonts w:ascii="Times New Roman" w:hAnsi="Times New Roman" w:eastAsia="Times New Roman" w:cs="Times New Roman"/>
                <w:color w:val="auto"/>
                <w:spacing w:val="-3"/>
              </w:rPr>
              <w:t>“</w:t>
            </w:r>
            <w:r>
              <w:rPr>
                <w:color w:val="auto"/>
                <w:spacing w:val="-3"/>
              </w:rPr>
              <w:t>厂区变园区、产区变城区</w:t>
            </w:r>
            <w:r>
              <w:rPr>
                <w:rFonts w:ascii="Times New Roman" w:hAnsi="Times New Roman" w:eastAsia="Times New Roman" w:cs="Times New Roman"/>
                <w:color w:val="auto"/>
                <w:spacing w:val="-3"/>
              </w:rPr>
              <w:t>”</w:t>
            </w:r>
            <w:r>
              <w:rPr>
                <w:color w:val="auto"/>
                <w:spacing w:val="-3"/>
              </w:rPr>
              <w:t>工作，加快</w:t>
            </w:r>
            <w:r>
              <w:rPr>
                <w:color w:val="auto"/>
                <w:spacing w:val="-4"/>
              </w:rPr>
              <w:t>绿色化改造、智能化升级。加快融</w:t>
            </w:r>
            <w:r>
              <w:rPr>
                <w:color w:val="auto"/>
              </w:rPr>
              <w:t xml:space="preserve"> 入</w:t>
            </w:r>
            <w:r>
              <w:rPr>
                <w:rFonts w:ascii="Times New Roman" w:hAnsi="Times New Roman" w:eastAsia="Times New Roman" w:cs="Times New Roman"/>
                <w:color w:val="auto"/>
              </w:rPr>
              <w:t>“</w:t>
            </w:r>
            <w:r>
              <w:rPr>
                <w:color w:val="auto"/>
              </w:rPr>
              <w:t>双区</w:t>
            </w:r>
            <w:r>
              <w:rPr>
                <w:rFonts w:ascii="Times New Roman" w:hAnsi="Times New Roman" w:eastAsia="Times New Roman" w:cs="Times New Roman"/>
                <w:color w:val="auto"/>
              </w:rPr>
              <w:t xml:space="preserve">”  </w:t>
            </w:r>
            <w:r>
              <w:rPr>
                <w:color w:val="auto"/>
              </w:rPr>
              <w:t>建设，构建生态产业体系，打造全国产</w:t>
            </w:r>
            <w:r>
              <w:rPr>
                <w:color w:val="auto"/>
                <w:spacing w:val="-1"/>
              </w:rPr>
              <w:t>业转型升级示范区。</w:t>
            </w:r>
          </w:p>
          <w:p w14:paraId="1C71CC9F">
            <w:pPr>
              <w:pStyle w:val="22"/>
              <w:spacing w:before="36" w:line="350" w:lineRule="auto"/>
              <w:ind w:left="108" w:right="104" w:firstLine="480"/>
              <w:jc w:val="both"/>
              <w:rPr>
                <w:color w:val="auto"/>
              </w:rPr>
            </w:pPr>
            <w:r>
              <w:rPr>
                <w:color w:val="auto"/>
                <w:spacing w:val="3"/>
              </w:rPr>
              <w:t>着力推进新型城镇化。高水平建设中心城区，集中力量推动县域</w:t>
            </w:r>
            <w:r>
              <w:rPr>
                <w:color w:val="auto"/>
                <w:spacing w:val="2"/>
              </w:rPr>
              <w:t>、镇域</w:t>
            </w:r>
            <w:r>
              <w:rPr>
                <w:color w:val="auto"/>
              </w:rPr>
              <w:t xml:space="preserve"> </w:t>
            </w:r>
            <w:r>
              <w:rPr>
                <w:color w:val="auto"/>
                <w:spacing w:val="3"/>
              </w:rPr>
              <w:t>高质量发展，因地制宜完善城乡环境保护基础设施建设</w:t>
            </w:r>
            <w:r>
              <w:rPr>
                <w:color w:val="auto"/>
                <w:spacing w:val="2"/>
              </w:rPr>
              <w:t>，以城带乡，以乡促</w:t>
            </w:r>
            <w:r>
              <w:rPr>
                <w:color w:val="auto"/>
              </w:rPr>
              <w:t xml:space="preserve"> </w:t>
            </w:r>
            <w:r>
              <w:rPr>
                <w:color w:val="auto"/>
                <w:spacing w:val="-1"/>
              </w:rPr>
              <w:t>城，推动产业集聚集约发展。</w:t>
            </w:r>
          </w:p>
          <w:p w14:paraId="5B747A89">
            <w:pPr>
              <w:pStyle w:val="22"/>
              <w:spacing w:before="34" w:line="350" w:lineRule="auto"/>
              <w:ind w:left="108" w:right="104" w:firstLine="480"/>
              <w:rPr>
                <w:color w:val="auto"/>
              </w:rPr>
            </w:pPr>
            <w:r>
              <w:rPr>
                <w:color w:val="auto"/>
                <w:spacing w:val="3"/>
              </w:rPr>
              <w:t>积极促进农业现代化。推进省级现代农业产业园建设，打造现代</w:t>
            </w:r>
            <w:r>
              <w:rPr>
                <w:color w:val="auto"/>
                <w:spacing w:val="2"/>
              </w:rPr>
              <w:t>农业与</w:t>
            </w:r>
            <w:r>
              <w:rPr>
                <w:color w:val="auto"/>
              </w:rPr>
              <w:t xml:space="preserve"> </w:t>
            </w:r>
            <w:r>
              <w:rPr>
                <w:color w:val="auto"/>
                <w:spacing w:val="3"/>
              </w:rPr>
              <w:t>食品产业集群。稳步发展生态农业，打造生态农业品牌</w:t>
            </w:r>
            <w:r>
              <w:rPr>
                <w:color w:val="auto"/>
                <w:spacing w:val="2"/>
              </w:rPr>
              <w:t>。推广资源利用节约</w:t>
            </w:r>
            <w:r>
              <w:rPr>
                <w:color w:val="auto"/>
              </w:rPr>
              <w:t xml:space="preserve"> </w:t>
            </w:r>
            <w:r>
              <w:rPr>
                <w:color w:val="auto"/>
                <w:spacing w:val="-1"/>
              </w:rPr>
              <w:t>化、生产过程清洁化、废弃物利用资源化等生态循环农业模式。</w:t>
            </w:r>
          </w:p>
          <w:p w14:paraId="33537E02">
            <w:pPr>
              <w:pStyle w:val="22"/>
              <w:spacing w:before="36" w:line="350" w:lineRule="auto"/>
              <w:ind w:left="107" w:right="104" w:firstLine="480"/>
              <w:rPr>
                <w:color w:val="auto"/>
              </w:rPr>
            </w:pPr>
            <w:r>
              <w:rPr>
                <w:color w:val="auto"/>
                <w:spacing w:val="3"/>
              </w:rPr>
              <w:t>努力实现资源资产价值化。合理开发矿产资源，建设绿色矿山。</w:t>
            </w:r>
            <w:r>
              <w:rPr>
                <w:color w:val="auto"/>
                <w:spacing w:val="2"/>
              </w:rPr>
              <w:t>推进内</w:t>
            </w:r>
            <w:r>
              <w:rPr>
                <w:color w:val="auto"/>
              </w:rPr>
              <w:t xml:space="preserve"> </w:t>
            </w:r>
            <w:r>
              <w:rPr>
                <w:color w:val="auto"/>
                <w:spacing w:val="3"/>
              </w:rPr>
              <w:t>河绿色港航建设。促进旅游产业转型升级，推出一批精品</w:t>
            </w:r>
            <w:r>
              <w:rPr>
                <w:color w:val="auto"/>
                <w:spacing w:val="2"/>
              </w:rPr>
              <w:t>旅游线路，打造生</w:t>
            </w:r>
            <w:r>
              <w:rPr>
                <w:color w:val="auto"/>
              </w:rPr>
              <w:t xml:space="preserve"> </w:t>
            </w:r>
            <w:r>
              <w:rPr>
                <w:color w:val="auto"/>
                <w:spacing w:val="-1"/>
              </w:rPr>
              <w:t>态、研学、红色、康养和文化等旅游品牌，推进全域旅游发展。</w:t>
            </w:r>
          </w:p>
          <w:p w14:paraId="03865F25">
            <w:pPr>
              <w:pStyle w:val="22"/>
              <w:keepNext w:val="0"/>
              <w:keepLines w:val="0"/>
              <w:pageBreakBefore w:val="0"/>
              <w:widowControl/>
              <w:kinsoku w:val="0"/>
              <w:wordWrap/>
              <w:overflowPunct/>
              <w:topLinePunct w:val="0"/>
              <w:autoSpaceDE w:val="0"/>
              <w:autoSpaceDN w:val="0"/>
              <w:bidi w:val="0"/>
              <w:adjustRightInd w:val="0"/>
              <w:snapToGrid w:val="0"/>
              <w:spacing w:line="351" w:lineRule="auto"/>
              <w:ind w:left="108" w:right="102" w:firstLine="492" w:firstLineChars="200"/>
              <w:jc w:val="both"/>
              <w:textAlignment w:val="baseline"/>
              <w:rPr>
                <w:color w:val="auto"/>
              </w:rPr>
            </w:pPr>
            <w:r>
              <w:rPr>
                <w:color w:val="auto"/>
                <w:spacing w:val="3"/>
              </w:rPr>
              <w:t>严格控制涉重金属和高污染高能耗项目建设。新建、扩建石化</w:t>
            </w:r>
            <w:r>
              <w:rPr>
                <w:color w:val="auto"/>
                <w:spacing w:val="2"/>
              </w:rPr>
              <w:t>、化工、</w:t>
            </w:r>
            <w:r>
              <w:rPr>
                <w:color w:val="auto"/>
              </w:rPr>
              <w:t xml:space="preserve"> </w:t>
            </w:r>
            <w:r>
              <w:rPr>
                <w:color w:val="auto"/>
                <w:spacing w:val="3"/>
              </w:rPr>
              <w:t>焦化、有色金属冶炼、平板玻璃项目应布设在依法合规设</w:t>
            </w:r>
            <w:r>
              <w:rPr>
                <w:color w:val="auto"/>
                <w:spacing w:val="2"/>
              </w:rPr>
              <w:t>立并经规划环评的</w:t>
            </w:r>
            <w:r>
              <w:rPr>
                <w:color w:val="auto"/>
              </w:rPr>
              <w:t xml:space="preserve"> </w:t>
            </w:r>
            <w:r>
              <w:rPr>
                <w:color w:val="auto"/>
                <w:spacing w:val="3"/>
              </w:rPr>
              <w:t>产业园区。严格控制水污染严重地区和水源保护敏感区域</w:t>
            </w:r>
            <w:r>
              <w:rPr>
                <w:color w:val="auto"/>
                <w:spacing w:val="2"/>
              </w:rPr>
              <w:t>高耗水、高污染行</w:t>
            </w:r>
            <w:r>
              <w:rPr>
                <w:color w:val="auto"/>
              </w:rPr>
              <w:t xml:space="preserve"> </w:t>
            </w:r>
            <w:r>
              <w:rPr>
                <w:color w:val="auto"/>
                <w:spacing w:val="3"/>
              </w:rPr>
              <w:t>业发展。新丰县东南部（丰城街道、梅坑镇、黄磜镇、马</w:t>
            </w:r>
            <w:r>
              <w:rPr>
                <w:color w:val="auto"/>
                <w:spacing w:val="2"/>
              </w:rPr>
              <w:t>头镇）严控水污染</w:t>
            </w:r>
            <w:r>
              <w:rPr>
                <w:color w:val="auto"/>
              </w:rPr>
              <w:t xml:space="preserve"> 项目建设，新建、改建、扩建涉水建设项目实行主要</w:t>
            </w:r>
            <w:r>
              <w:rPr>
                <w:color w:val="auto"/>
                <w:spacing w:val="-1"/>
              </w:rPr>
              <w:t>污染物和特征污染物排</w:t>
            </w:r>
            <w:r>
              <w:rPr>
                <w:color w:val="auto"/>
                <w:spacing w:val="3"/>
              </w:rPr>
              <w:t>放减量替代。环境空气质量一类功能区实施严格保护，</w:t>
            </w:r>
            <w:r>
              <w:rPr>
                <w:color w:val="auto"/>
                <w:spacing w:val="2"/>
              </w:rPr>
              <w:t>禁止新建、扩建排放</w:t>
            </w:r>
            <w:r>
              <w:rPr>
                <w:color w:val="auto"/>
              </w:rPr>
              <w:t xml:space="preserve"> </w:t>
            </w:r>
            <w:r>
              <w:rPr>
                <w:color w:val="auto"/>
                <w:spacing w:val="3"/>
              </w:rPr>
              <w:t>大气污染物的工业项目（国家和省规定不纳入环评管理</w:t>
            </w:r>
            <w:r>
              <w:rPr>
                <w:color w:val="auto"/>
                <w:spacing w:val="2"/>
              </w:rPr>
              <w:t>的项目除外）。逐步</w:t>
            </w:r>
            <w:r>
              <w:rPr>
                <w:color w:val="auto"/>
              </w:rPr>
              <w:t xml:space="preserve"> </w:t>
            </w:r>
            <w:r>
              <w:rPr>
                <w:color w:val="auto"/>
                <w:spacing w:val="-1"/>
              </w:rPr>
              <w:t>扩大高污染燃料禁燃区范围。</w:t>
            </w:r>
          </w:p>
          <w:p w14:paraId="650812C1">
            <w:pPr>
              <w:pStyle w:val="22"/>
              <w:spacing w:before="33" w:line="353" w:lineRule="auto"/>
              <w:ind w:left="106" w:right="104" w:firstLine="485"/>
              <w:rPr>
                <w:color w:val="auto"/>
              </w:rPr>
            </w:pPr>
            <w:r>
              <w:rPr>
                <w:rFonts w:hint="eastAsia"/>
                <w:color w:val="auto"/>
                <w:spacing w:val="3"/>
                <w:lang w:val="en-US" w:eastAsia="zh-CN"/>
              </w:rPr>
              <w:t>本</w:t>
            </w:r>
            <w:r>
              <w:rPr>
                <w:color w:val="auto"/>
                <w:spacing w:val="3"/>
              </w:rPr>
              <w:t>项目</w:t>
            </w:r>
            <w:r>
              <w:rPr>
                <w:rFonts w:hint="eastAsia"/>
                <w:color w:val="auto"/>
                <w:spacing w:val="3"/>
                <w:lang w:val="en-US" w:eastAsia="zh-CN"/>
              </w:rPr>
              <w:t>选址</w:t>
            </w:r>
            <w:r>
              <w:rPr>
                <w:color w:val="auto"/>
                <w:spacing w:val="3"/>
              </w:rPr>
              <w:t>不涉及自然保护地和生态保护红线，满足区域空间</w:t>
            </w:r>
            <w:r>
              <w:rPr>
                <w:color w:val="auto"/>
                <w:spacing w:val="2"/>
              </w:rPr>
              <w:t>布局的要求。项</w:t>
            </w:r>
            <w:r>
              <w:rPr>
                <w:color w:val="auto"/>
                <w:spacing w:val="3"/>
              </w:rPr>
              <w:t>目不属于需要集中入园项目。项目运营过程中不涉及有毒有</w:t>
            </w:r>
            <w:r>
              <w:rPr>
                <w:color w:val="auto"/>
                <w:spacing w:val="2"/>
              </w:rPr>
              <w:t>害污染物排放，</w:t>
            </w:r>
            <w:r>
              <w:rPr>
                <w:color w:val="auto"/>
                <w:spacing w:val="3"/>
              </w:rPr>
              <w:t>仅有少量颗粒物排放，建设单位已采取了各项措施，减少了</w:t>
            </w:r>
            <w:r>
              <w:rPr>
                <w:color w:val="auto"/>
                <w:spacing w:val="2"/>
              </w:rPr>
              <w:t>污染物的排放，</w:t>
            </w:r>
            <w:r>
              <w:rPr>
                <w:color w:val="auto"/>
                <w:spacing w:val="-1"/>
              </w:rPr>
              <w:t>项目的布局和建设满足区域布局管控要求。</w:t>
            </w:r>
          </w:p>
          <w:p w14:paraId="0BBF70F0">
            <w:pPr>
              <w:pStyle w:val="22"/>
              <w:spacing w:before="33" w:line="221" w:lineRule="auto"/>
              <w:ind w:left="577"/>
              <w:rPr>
                <w:color w:val="auto"/>
              </w:rPr>
            </w:pPr>
            <w:r>
              <w:rPr>
                <w:rFonts w:ascii="Times New Roman" w:hAnsi="Times New Roman" w:eastAsia="Times New Roman" w:cs="Times New Roman"/>
                <w:b/>
                <w:bCs/>
                <w:color w:val="auto"/>
                <w:spacing w:val="-2"/>
              </w:rPr>
              <w:t>——</w:t>
            </w:r>
            <w:r>
              <w:rPr>
                <w:b/>
                <w:bCs/>
                <w:color w:val="auto"/>
                <w:spacing w:val="-2"/>
              </w:rPr>
              <w:t>能源资源利用要求</w:t>
            </w:r>
          </w:p>
          <w:p w14:paraId="7F23240D">
            <w:pPr>
              <w:pStyle w:val="22"/>
              <w:spacing w:before="177" w:line="356" w:lineRule="auto"/>
              <w:ind w:left="107" w:right="31" w:firstLine="480"/>
              <w:jc w:val="both"/>
              <w:rPr>
                <w:color w:val="auto"/>
              </w:rPr>
            </w:pPr>
            <w:r>
              <w:rPr>
                <w:color w:val="auto"/>
                <w:spacing w:val="3"/>
              </w:rPr>
              <w:t>积极落实国家、省制定的碳达峰碳中和目标任务，制定并落实碳</w:t>
            </w:r>
            <w:r>
              <w:rPr>
                <w:color w:val="auto"/>
                <w:spacing w:val="2"/>
              </w:rPr>
              <w:t>达峰与</w:t>
            </w:r>
            <w:r>
              <w:rPr>
                <w:color w:val="auto"/>
              </w:rPr>
              <w:t xml:space="preserve"> </w:t>
            </w:r>
            <w:r>
              <w:rPr>
                <w:color w:val="auto"/>
                <w:spacing w:val="3"/>
              </w:rPr>
              <w:t>碳减排工作计划、行动方案，综合运用相关政策工具和手</w:t>
            </w:r>
            <w:r>
              <w:rPr>
                <w:color w:val="auto"/>
                <w:spacing w:val="2"/>
              </w:rPr>
              <w:t>段措施，持续推动</w:t>
            </w:r>
            <w:r>
              <w:rPr>
                <w:color w:val="auto"/>
              </w:rPr>
              <w:t xml:space="preserve"> </w:t>
            </w:r>
            <w:r>
              <w:rPr>
                <w:color w:val="auto"/>
                <w:spacing w:val="3"/>
              </w:rPr>
              <w:t>实施。进一步优化调整能源结构，发展以光伏全产业链为</w:t>
            </w:r>
            <w:r>
              <w:rPr>
                <w:color w:val="auto"/>
                <w:spacing w:val="2"/>
              </w:rPr>
              <w:t>龙头的风光氢等多</w:t>
            </w:r>
            <w:r>
              <w:rPr>
                <w:color w:val="auto"/>
              </w:rPr>
              <w:t xml:space="preserve"> </w:t>
            </w:r>
            <w:r>
              <w:rPr>
                <w:color w:val="auto"/>
                <w:spacing w:val="3"/>
              </w:rPr>
              <w:t>元化可再生清洁能源产业，提高可再生能源发电装机占比</w:t>
            </w:r>
            <w:r>
              <w:rPr>
                <w:color w:val="auto"/>
                <w:spacing w:val="2"/>
              </w:rPr>
              <w:t>，推动电力</w:t>
            </w:r>
            <w:r>
              <w:rPr>
                <w:rFonts w:hint="eastAsia"/>
                <w:color w:val="auto"/>
                <w:spacing w:val="2"/>
                <w:lang w:eastAsia="zh-CN"/>
              </w:rPr>
              <w:t>源网荷储一体化</w:t>
            </w:r>
            <w:r>
              <w:rPr>
                <w:color w:val="auto"/>
                <w:spacing w:val="-1"/>
              </w:rPr>
              <w:t>和多能互补。实行能源消费强度与消费</w:t>
            </w:r>
            <w:r>
              <w:rPr>
                <w:color w:val="auto"/>
                <w:spacing w:val="-2"/>
              </w:rPr>
              <w:t>总量</w:t>
            </w:r>
            <w:r>
              <w:rPr>
                <w:rFonts w:ascii="Times New Roman" w:hAnsi="Times New Roman" w:eastAsia="Times New Roman" w:cs="Times New Roman"/>
                <w:color w:val="auto"/>
                <w:spacing w:val="-2"/>
              </w:rPr>
              <w:t>“</w:t>
            </w:r>
            <w:r>
              <w:rPr>
                <w:color w:val="auto"/>
                <w:spacing w:val="-2"/>
              </w:rPr>
              <w:t>双控</w:t>
            </w:r>
            <w:r>
              <w:rPr>
                <w:rFonts w:ascii="Times New Roman" w:hAnsi="Times New Roman" w:eastAsia="Times New Roman" w:cs="Times New Roman"/>
                <w:color w:val="auto"/>
                <w:spacing w:val="-2"/>
              </w:rPr>
              <w:t>”</w:t>
            </w:r>
            <w:r>
              <w:rPr>
                <w:color w:val="auto"/>
                <w:spacing w:val="-2"/>
              </w:rPr>
              <w:t>制度。抓好电力、</w:t>
            </w:r>
            <w:r>
              <w:rPr>
                <w:color w:val="auto"/>
              </w:rPr>
              <w:t xml:space="preserve"> </w:t>
            </w:r>
            <w:r>
              <w:rPr>
                <w:color w:val="auto"/>
                <w:spacing w:val="-3"/>
              </w:rPr>
              <w:t>建材、冶炼等重点耗能行业的节能降耗工作，推动单位</w:t>
            </w:r>
            <w:r>
              <w:rPr>
                <w:color w:val="auto"/>
                <w:spacing w:val="-39"/>
              </w:rPr>
              <w:t xml:space="preserve"> </w:t>
            </w:r>
            <w:r>
              <w:rPr>
                <w:rFonts w:ascii="Times New Roman" w:hAnsi="Times New Roman" w:eastAsia="Times New Roman" w:cs="Times New Roman"/>
                <w:color w:val="auto"/>
                <w:spacing w:val="-3"/>
              </w:rPr>
              <w:t xml:space="preserve">GDP  </w:t>
            </w:r>
            <w:r>
              <w:rPr>
                <w:color w:val="auto"/>
                <w:spacing w:val="-3"/>
              </w:rPr>
              <w:t>能源消耗、单位</w:t>
            </w:r>
            <w:r>
              <w:rPr>
                <w:color w:val="auto"/>
              </w:rPr>
              <w:t xml:space="preserve"> </w:t>
            </w:r>
            <w:r>
              <w:rPr>
                <w:rFonts w:ascii="Times New Roman" w:hAnsi="Times New Roman" w:eastAsia="Times New Roman" w:cs="Times New Roman"/>
                <w:color w:val="auto"/>
                <w:spacing w:val="-1"/>
              </w:rPr>
              <w:t xml:space="preserve">GDP  </w:t>
            </w:r>
            <w:r>
              <w:rPr>
                <w:color w:val="auto"/>
                <w:spacing w:val="-1"/>
              </w:rPr>
              <w:t>二氧化碳排放持续下降。鼓励使用天然气及可再生能源，县级及以上城</w:t>
            </w:r>
            <w:r>
              <w:rPr>
                <w:color w:val="auto"/>
                <w:spacing w:val="9"/>
              </w:rPr>
              <w:t xml:space="preserve"> </w:t>
            </w:r>
            <w:r>
              <w:rPr>
                <w:color w:val="auto"/>
                <w:spacing w:val="-1"/>
              </w:rPr>
              <w:t>市建成区，禁止新建每小时</w:t>
            </w:r>
            <w:r>
              <w:rPr>
                <w:color w:val="auto"/>
                <w:spacing w:val="-46"/>
              </w:rPr>
              <w:t xml:space="preserve"> </w:t>
            </w:r>
            <w:r>
              <w:rPr>
                <w:rFonts w:ascii="Times New Roman" w:hAnsi="Times New Roman" w:eastAsia="Times New Roman" w:cs="Times New Roman"/>
                <w:color w:val="auto"/>
                <w:spacing w:val="-1"/>
              </w:rPr>
              <w:t xml:space="preserve">35 </w:t>
            </w:r>
            <w:r>
              <w:rPr>
                <w:color w:val="auto"/>
                <w:spacing w:val="-1"/>
              </w:rPr>
              <w:t>蒸吨以下燃煤锅炉。</w:t>
            </w:r>
          </w:p>
          <w:p w14:paraId="21CAC03F">
            <w:pPr>
              <w:pStyle w:val="22"/>
              <w:spacing w:before="36" w:line="350" w:lineRule="auto"/>
              <w:ind w:left="108" w:right="104" w:firstLine="485"/>
              <w:jc w:val="both"/>
              <w:rPr>
                <w:color w:val="auto"/>
              </w:rPr>
            </w:pPr>
            <w:r>
              <w:rPr>
                <w:color w:val="auto"/>
                <w:spacing w:val="3"/>
              </w:rPr>
              <w:t>原则上不再新建小水电以及除国家和省规划外的风</w:t>
            </w:r>
            <w:r>
              <w:rPr>
                <w:color w:val="auto"/>
                <w:spacing w:val="2"/>
              </w:rPr>
              <w:t>电项目，对不符合生</w:t>
            </w:r>
            <w:r>
              <w:rPr>
                <w:color w:val="auto"/>
              </w:rPr>
              <w:t xml:space="preserve"> </w:t>
            </w:r>
            <w:r>
              <w:rPr>
                <w:color w:val="auto"/>
                <w:spacing w:val="3"/>
              </w:rPr>
              <w:t>态环境要求的小水电进行清理整改。严格落实东江、北</w:t>
            </w:r>
            <w:r>
              <w:rPr>
                <w:color w:val="auto"/>
                <w:spacing w:val="2"/>
              </w:rPr>
              <w:t>江流域等重要控制断</w:t>
            </w:r>
            <w:r>
              <w:rPr>
                <w:color w:val="auto"/>
              </w:rPr>
              <w:t xml:space="preserve"> 面生态流量保障目标。加强城市节水，提高水</w:t>
            </w:r>
            <w:r>
              <w:rPr>
                <w:color w:val="auto"/>
                <w:spacing w:val="-1"/>
              </w:rPr>
              <w:t>资源的利用效率和效益。</w:t>
            </w:r>
          </w:p>
          <w:p w14:paraId="6A79F832">
            <w:pPr>
              <w:pStyle w:val="22"/>
              <w:spacing w:before="32" w:line="353" w:lineRule="auto"/>
              <w:ind w:left="107" w:right="104" w:firstLine="481"/>
              <w:jc w:val="both"/>
              <w:rPr>
                <w:color w:val="auto"/>
              </w:rPr>
            </w:pPr>
            <w:r>
              <w:rPr>
                <w:color w:val="auto"/>
                <w:spacing w:val="3"/>
              </w:rPr>
              <w:t>严格矿产资源开发准入管理，从严控制矿产资源开发总量和综</w:t>
            </w:r>
            <w:r>
              <w:rPr>
                <w:color w:val="auto"/>
                <w:spacing w:val="2"/>
              </w:rPr>
              <w:t>合利用标</w:t>
            </w:r>
            <w:r>
              <w:rPr>
                <w:color w:val="auto"/>
              </w:rPr>
              <w:t xml:space="preserve"> </w:t>
            </w:r>
            <w:r>
              <w:rPr>
                <w:color w:val="auto"/>
                <w:spacing w:val="3"/>
              </w:rPr>
              <w:t>准。加强矿产资源规划管理，提高矿产资源开发利用效率</w:t>
            </w:r>
            <w:r>
              <w:rPr>
                <w:color w:val="auto"/>
                <w:spacing w:val="2"/>
              </w:rPr>
              <w:t>，推动矿产资源开</w:t>
            </w:r>
            <w:r>
              <w:rPr>
                <w:color w:val="auto"/>
              </w:rPr>
              <w:t xml:space="preserve"> </w:t>
            </w:r>
            <w:r>
              <w:rPr>
                <w:color w:val="auto"/>
                <w:spacing w:val="3"/>
              </w:rPr>
              <w:t>发合理布局和节约集约利用。推进大宝山、凡口矿等矿山</w:t>
            </w:r>
            <w:r>
              <w:rPr>
                <w:color w:val="auto"/>
                <w:spacing w:val="2"/>
              </w:rPr>
              <w:t>企业转型升级，打</w:t>
            </w:r>
            <w:r>
              <w:rPr>
                <w:color w:val="auto"/>
              </w:rPr>
              <w:t xml:space="preserve"> 造国家级绿色矿山。全市矿山企业在</w:t>
            </w:r>
            <w:r>
              <w:rPr>
                <w:color w:val="auto"/>
                <w:spacing w:val="-55"/>
              </w:rPr>
              <w:t xml:space="preserve"> </w:t>
            </w:r>
            <w:r>
              <w:rPr>
                <w:rFonts w:ascii="Times New Roman" w:hAnsi="Times New Roman" w:eastAsia="Times New Roman" w:cs="Times New Roman"/>
                <w:color w:val="auto"/>
              </w:rPr>
              <w:t>202</w:t>
            </w:r>
            <w:r>
              <w:rPr>
                <w:rFonts w:ascii="Times New Roman" w:hAnsi="Times New Roman" w:eastAsia="Times New Roman" w:cs="Times New Roman"/>
                <w:color w:val="auto"/>
                <w:spacing w:val="-1"/>
              </w:rPr>
              <w:t xml:space="preserve">5 </w:t>
            </w:r>
            <w:r>
              <w:rPr>
                <w:color w:val="auto"/>
                <w:spacing w:val="-1"/>
              </w:rPr>
              <w:t>年前全部达到绿色矿山标准。</w:t>
            </w:r>
          </w:p>
          <w:p w14:paraId="43B76912">
            <w:pPr>
              <w:pStyle w:val="22"/>
              <w:spacing w:before="35" w:line="345" w:lineRule="auto"/>
              <w:ind w:left="108" w:right="263" w:firstLine="480"/>
              <w:rPr>
                <w:color w:val="auto"/>
              </w:rPr>
            </w:pPr>
            <w:r>
              <w:rPr>
                <w:color w:val="auto"/>
                <w:spacing w:val="-2"/>
              </w:rPr>
              <w:t>本项目属于建材类项目，在项目建设过程中，建设单</w:t>
            </w:r>
            <w:r>
              <w:rPr>
                <w:color w:val="auto"/>
                <w:spacing w:val="-3"/>
              </w:rPr>
              <w:t>位采用先进工艺，</w:t>
            </w:r>
            <w:r>
              <w:rPr>
                <w:color w:val="auto"/>
              </w:rPr>
              <w:t xml:space="preserve"> </w:t>
            </w:r>
            <w:r>
              <w:rPr>
                <w:color w:val="auto"/>
                <w:spacing w:val="-1"/>
              </w:rPr>
              <w:t>减少产品生产过程中的能源消耗，满足资源利用要求。</w:t>
            </w:r>
          </w:p>
          <w:p w14:paraId="52D7428A">
            <w:pPr>
              <w:pStyle w:val="22"/>
              <w:spacing w:before="35" w:line="219" w:lineRule="auto"/>
              <w:ind w:left="577"/>
              <w:rPr>
                <w:color w:val="auto"/>
              </w:rPr>
            </w:pPr>
            <w:r>
              <w:rPr>
                <w:rFonts w:ascii="Times New Roman" w:hAnsi="Times New Roman" w:eastAsia="Times New Roman" w:cs="Times New Roman"/>
                <w:b/>
                <w:bCs/>
                <w:color w:val="auto"/>
                <w:spacing w:val="-2"/>
              </w:rPr>
              <w:t>——</w:t>
            </w:r>
            <w:r>
              <w:rPr>
                <w:b/>
                <w:bCs/>
                <w:color w:val="auto"/>
                <w:spacing w:val="-2"/>
              </w:rPr>
              <w:t>污染物排放管控要求</w:t>
            </w:r>
          </w:p>
          <w:p w14:paraId="6C64D383">
            <w:pPr>
              <w:pStyle w:val="22"/>
              <w:spacing w:before="159" w:line="354" w:lineRule="auto"/>
              <w:ind w:left="108" w:right="21" w:firstLine="489" w:firstLineChars="211"/>
              <w:jc w:val="both"/>
              <w:rPr>
                <w:color w:val="auto"/>
              </w:rPr>
            </w:pPr>
            <w:r>
              <w:rPr>
                <w:color w:val="auto"/>
                <w:spacing w:val="-4"/>
              </w:rPr>
              <w:t>深入实施重点污染物总量控制。</w:t>
            </w:r>
            <w:r>
              <w:rPr>
                <w:rFonts w:ascii="Times New Roman" w:hAnsi="Times New Roman" w:eastAsia="Times New Roman" w:cs="Times New Roman"/>
                <w:color w:val="auto"/>
                <w:spacing w:val="-4"/>
              </w:rPr>
              <w:t>“</w:t>
            </w:r>
            <w:r>
              <w:rPr>
                <w:color w:val="auto"/>
                <w:spacing w:val="-4"/>
              </w:rPr>
              <w:t>十四五</w:t>
            </w:r>
            <w:r>
              <w:rPr>
                <w:rFonts w:ascii="Times New Roman" w:hAnsi="Times New Roman" w:eastAsia="Times New Roman" w:cs="Times New Roman"/>
                <w:color w:val="auto"/>
                <w:spacing w:val="-4"/>
              </w:rPr>
              <w:t>”</w:t>
            </w:r>
            <w:r>
              <w:rPr>
                <w:color w:val="auto"/>
                <w:spacing w:val="-4"/>
              </w:rPr>
              <w:t>期间重点污染物排放总量在现有</w:t>
            </w:r>
            <w:r>
              <w:rPr>
                <w:color w:val="auto"/>
                <w:spacing w:val="11"/>
              </w:rPr>
              <w:t xml:space="preserve"> </w:t>
            </w:r>
            <w:r>
              <w:rPr>
                <w:color w:val="auto"/>
              </w:rPr>
              <w:t>基础上持续减少。优化总量分配和调控机制，重点</w:t>
            </w:r>
            <w:r>
              <w:rPr>
                <w:color w:val="auto"/>
                <w:spacing w:val="-1"/>
              </w:rPr>
              <w:t>污染物排放总量指标优先向重点建设项目、重点工业园区、战略性产业集群倾斜。新建</w:t>
            </w:r>
            <w:r>
              <w:rPr>
                <w:rFonts w:ascii="Times New Roman" w:hAnsi="Times New Roman" w:eastAsia="Times New Roman" w:cs="Times New Roman"/>
                <w:color w:val="auto"/>
                <w:spacing w:val="-1"/>
              </w:rPr>
              <w:t>“</w:t>
            </w:r>
            <w:r>
              <w:rPr>
                <w:color w:val="auto"/>
                <w:spacing w:val="-1"/>
              </w:rPr>
              <w:t>两高</w:t>
            </w:r>
            <w:r>
              <w:rPr>
                <w:rFonts w:ascii="Times New Roman" w:hAnsi="Times New Roman" w:eastAsia="Times New Roman" w:cs="Times New Roman"/>
                <w:color w:val="auto"/>
                <w:spacing w:val="-1"/>
              </w:rPr>
              <w:t xml:space="preserve">”  </w:t>
            </w:r>
            <w:r>
              <w:rPr>
                <w:color w:val="auto"/>
                <w:spacing w:val="-1"/>
              </w:rPr>
              <w:t>项目应</w:t>
            </w:r>
            <w:r>
              <w:rPr>
                <w:color w:val="auto"/>
                <w:spacing w:val="8"/>
              </w:rPr>
              <w:t xml:space="preserve"> </w:t>
            </w:r>
            <w:r>
              <w:rPr>
                <w:color w:val="auto"/>
                <w:spacing w:val="3"/>
              </w:rPr>
              <w:t>配套区域主要污染物削减方案，采取有效的主要污染物</w:t>
            </w:r>
            <w:r>
              <w:rPr>
                <w:color w:val="auto"/>
                <w:spacing w:val="2"/>
              </w:rPr>
              <w:t>区域削减措施，腾出</w:t>
            </w:r>
            <w:r>
              <w:rPr>
                <w:color w:val="auto"/>
              </w:rPr>
              <w:t xml:space="preserve"> </w:t>
            </w:r>
            <w:r>
              <w:rPr>
                <w:color w:val="auto"/>
                <w:spacing w:val="11"/>
              </w:rPr>
              <w:t>足够的环境容量。新建项目原则上实施氮氧化物（</w:t>
            </w:r>
            <w:r>
              <w:rPr>
                <w:rFonts w:ascii="Times New Roman" w:hAnsi="Times New Roman" w:eastAsia="Times New Roman" w:cs="Times New Roman"/>
                <w:color w:val="auto"/>
              </w:rPr>
              <w:t>NOx</w:t>
            </w:r>
            <w:r>
              <w:rPr>
                <w:color w:val="auto"/>
                <w:spacing w:val="11"/>
              </w:rPr>
              <w:t>）和挥发性有机物</w:t>
            </w:r>
            <w:r>
              <w:rPr>
                <w:color w:val="auto"/>
                <w:spacing w:val="16"/>
              </w:rPr>
              <w:t xml:space="preserve"> </w:t>
            </w:r>
            <w:r>
              <w:rPr>
                <w:rFonts w:ascii="Times New Roman" w:hAnsi="Times New Roman" w:eastAsia="Times New Roman" w:cs="Times New Roman"/>
                <w:color w:val="auto"/>
                <w:spacing w:val="-3"/>
              </w:rPr>
              <w:t>(VOCs)</w:t>
            </w:r>
            <w:r>
              <w:rPr>
                <w:color w:val="auto"/>
                <w:spacing w:val="-3"/>
              </w:rPr>
              <w:t>等量替代，推动钢铁行业执行大气污染物超低排放标准。新建、改建、</w:t>
            </w:r>
            <w:r>
              <w:rPr>
                <w:color w:val="auto"/>
                <w:spacing w:val="4"/>
              </w:rPr>
              <w:t xml:space="preserve"> </w:t>
            </w:r>
            <w:r>
              <w:rPr>
                <w:color w:val="auto"/>
                <w:spacing w:val="3"/>
              </w:rPr>
              <w:t>扩建造纸、焦化、有色金属、印染、农副食品加工、原</w:t>
            </w:r>
            <w:r>
              <w:rPr>
                <w:color w:val="auto"/>
                <w:spacing w:val="2"/>
              </w:rPr>
              <w:t>料药制造、制革、农</w:t>
            </w:r>
            <w:r>
              <w:rPr>
                <w:color w:val="auto"/>
              </w:rPr>
              <w:t xml:space="preserve"> </w:t>
            </w:r>
            <w:r>
              <w:rPr>
                <w:color w:val="auto"/>
                <w:spacing w:val="-1"/>
              </w:rPr>
              <w:t>药、电镀等行业建设项目实行主要水体污染物排放等量替代。</w:t>
            </w:r>
          </w:p>
          <w:p w14:paraId="2472CE0B">
            <w:pPr>
              <w:pStyle w:val="22"/>
              <w:spacing w:before="43" w:line="352" w:lineRule="auto"/>
              <w:ind w:left="107" w:right="101" w:firstLine="486"/>
              <w:rPr>
                <w:color w:val="auto"/>
              </w:rPr>
            </w:pPr>
            <w:r>
              <w:rPr>
                <w:color w:val="auto"/>
                <w:spacing w:val="1"/>
              </w:rPr>
              <w:t>实施低挥发性有机物</w:t>
            </w:r>
            <w:r>
              <w:rPr>
                <w:rFonts w:ascii="Times New Roman" w:hAnsi="Times New Roman" w:eastAsia="Times New Roman" w:cs="Times New Roman"/>
                <w:color w:val="auto"/>
                <w:spacing w:val="1"/>
              </w:rPr>
              <w:t>(</w:t>
            </w:r>
            <w:r>
              <w:rPr>
                <w:rFonts w:ascii="Times New Roman" w:hAnsi="Times New Roman" w:eastAsia="Times New Roman" w:cs="Times New Roman"/>
                <w:color w:val="auto"/>
              </w:rPr>
              <w:t>VOCs</w:t>
            </w:r>
            <w:r>
              <w:rPr>
                <w:rFonts w:ascii="Times New Roman" w:hAnsi="Times New Roman" w:eastAsia="Times New Roman" w:cs="Times New Roman"/>
                <w:color w:val="auto"/>
                <w:spacing w:val="1"/>
              </w:rPr>
              <w:t>)</w:t>
            </w:r>
            <w:r>
              <w:rPr>
                <w:color w:val="auto"/>
                <w:spacing w:val="1"/>
              </w:rPr>
              <w:t>含量产品源头替代工程。全面加强无组织排</w:t>
            </w:r>
            <w:r>
              <w:rPr>
                <w:color w:val="auto"/>
                <w:spacing w:val="16"/>
              </w:rPr>
              <w:t xml:space="preserve"> </w:t>
            </w:r>
            <w:r>
              <w:rPr>
                <w:color w:val="auto"/>
                <w:spacing w:val="3"/>
              </w:rPr>
              <w:t>放控制，深入实施精细化治理。推进溶剂使用及挥发性有</w:t>
            </w:r>
            <w:r>
              <w:rPr>
                <w:color w:val="auto"/>
                <w:spacing w:val="2"/>
              </w:rPr>
              <w:t>机液体储运销环节</w:t>
            </w:r>
            <w:r>
              <w:rPr>
                <w:color w:val="auto"/>
              </w:rPr>
              <w:t xml:space="preserve"> </w:t>
            </w:r>
            <w:r>
              <w:rPr>
                <w:color w:val="auto"/>
                <w:spacing w:val="3"/>
              </w:rPr>
              <w:t>的减排，全过程实施反应活性物质、有毒有害物质、恶臭物质</w:t>
            </w:r>
            <w:r>
              <w:rPr>
                <w:color w:val="auto"/>
                <w:spacing w:val="2"/>
              </w:rPr>
              <w:t>的协同控制。</w:t>
            </w:r>
            <w:r>
              <w:rPr>
                <w:color w:val="auto"/>
              </w:rPr>
              <w:t xml:space="preserve"> </w:t>
            </w:r>
            <w:r>
              <w:rPr>
                <w:color w:val="auto"/>
                <w:spacing w:val="-1"/>
              </w:rPr>
              <w:t>对</w:t>
            </w:r>
            <w:r>
              <w:rPr>
                <w:color w:val="auto"/>
                <w:spacing w:val="-50"/>
              </w:rPr>
              <w:t xml:space="preserve"> </w:t>
            </w:r>
            <w:r>
              <w:rPr>
                <w:rFonts w:ascii="Times New Roman" w:hAnsi="Times New Roman" w:eastAsia="Times New Roman" w:cs="Times New Roman"/>
                <w:color w:val="auto"/>
                <w:spacing w:val="-1"/>
              </w:rPr>
              <w:t xml:space="preserve">VOCs  </w:t>
            </w:r>
            <w:r>
              <w:rPr>
                <w:color w:val="auto"/>
                <w:spacing w:val="-1"/>
              </w:rPr>
              <w:t>重点企业实施分级和清单化管控，将全面使用低</w:t>
            </w:r>
            <w:r>
              <w:rPr>
                <w:color w:val="auto"/>
                <w:spacing w:val="-58"/>
              </w:rPr>
              <w:t xml:space="preserve"> </w:t>
            </w:r>
            <w:r>
              <w:rPr>
                <w:rFonts w:ascii="Times New Roman" w:hAnsi="Times New Roman" w:eastAsia="Times New Roman" w:cs="Times New Roman"/>
                <w:color w:val="auto"/>
                <w:spacing w:val="-1"/>
              </w:rPr>
              <w:t xml:space="preserve">VOCs  </w:t>
            </w:r>
            <w:r>
              <w:rPr>
                <w:color w:val="auto"/>
                <w:spacing w:val="-1"/>
              </w:rPr>
              <w:t>含量原辅材</w:t>
            </w:r>
            <w:r>
              <w:rPr>
                <w:color w:val="auto"/>
              </w:rPr>
              <w:t xml:space="preserve"> </w:t>
            </w:r>
            <w:r>
              <w:rPr>
                <w:color w:val="auto"/>
                <w:spacing w:val="-1"/>
              </w:rPr>
              <w:t>料的企业纳入正面清单和政府绿色采购清单。</w:t>
            </w:r>
          </w:p>
          <w:p w14:paraId="0B0BECC7">
            <w:pPr>
              <w:pStyle w:val="22"/>
              <w:spacing w:before="42" w:line="355" w:lineRule="auto"/>
              <w:ind w:left="108" w:right="101" w:firstLine="483"/>
              <w:rPr>
                <w:color w:val="auto"/>
              </w:rPr>
            </w:pPr>
            <w:r>
              <w:rPr>
                <w:color w:val="auto"/>
                <w:spacing w:val="3"/>
              </w:rPr>
              <w:t>北江流域实行重金属污染物排放总量控制。新建、改建</w:t>
            </w:r>
            <w:r>
              <w:rPr>
                <w:color w:val="auto"/>
                <w:spacing w:val="2"/>
              </w:rPr>
              <w:t>、扩建的项目严</w:t>
            </w:r>
            <w:r>
              <w:rPr>
                <w:color w:val="auto"/>
              </w:rPr>
              <w:t xml:space="preserve"> 格实行重金属等特征污染物排放减量替代。加强</w:t>
            </w:r>
            <w:r>
              <w:rPr>
                <w:rFonts w:ascii="Times New Roman" w:hAnsi="Times New Roman" w:eastAsia="Times New Roman" w:cs="Times New Roman"/>
                <w:color w:val="auto"/>
              </w:rPr>
              <w:t>“</w:t>
            </w:r>
            <w:r>
              <w:rPr>
                <w:color w:val="auto"/>
              </w:rPr>
              <w:t>三矿两厂</w:t>
            </w:r>
            <w:r>
              <w:rPr>
                <w:rFonts w:ascii="Times New Roman" w:hAnsi="Times New Roman" w:eastAsia="Times New Roman" w:cs="Times New Roman"/>
                <w:color w:val="auto"/>
              </w:rPr>
              <w:t xml:space="preserve">”  </w:t>
            </w:r>
            <w:r>
              <w:rPr>
                <w:color w:val="auto"/>
              </w:rPr>
              <w:t xml:space="preserve">等日常监督，在 </w:t>
            </w:r>
            <w:r>
              <w:rPr>
                <w:color w:val="auto"/>
                <w:spacing w:val="3"/>
              </w:rPr>
              <w:t>重点防控区域内新建、改建、扩建增加重金属污染物排</w:t>
            </w:r>
            <w:r>
              <w:rPr>
                <w:color w:val="auto"/>
                <w:spacing w:val="2"/>
              </w:rPr>
              <w:t>放总量的建设项目应</w:t>
            </w:r>
            <w:r>
              <w:rPr>
                <w:color w:val="auto"/>
              </w:rPr>
              <w:t xml:space="preserve"> </w:t>
            </w:r>
            <w:r>
              <w:rPr>
                <w:color w:val="auto"/>
                <w:spacing w:val="3"/>
              </w:rPr>
              <w:t>通过实施区域削减，实现增产减污。凡口铅锌矿及其周</w:t>
            </w:r>
            <w:r>
              <w:rPr>
                <w:color w:val="auto"/>
                <w:spacing w:val="2"/>
              </w:rPr>
              <w:t>边区域（仁化县董塘</w:t>
            </w:r>
            <w:r>
              <w:rPr>
                <w:color w:val="auto"/>
              </w:rPr>
              <w:t xml:space="preserve"> </w:t>
            </w:r>
            <w:r>
              <w:rPr>
                <w:color w:val="auto"/>
                <w:spacing w:val="3"/>
              </w:rPr>
              <w:t>镇）、大宝山矿及其周边区域（曲江区沙溪镇、翁源县</w:t>
            </w:r>
            <w:r>
              <w:rPr>
                <w:color w:val="auto"/>
                <w:spacing w:val="2"/>
              </w:rPr>
              <w:t>铁龙镇）严格执行部</w:t>
            </w:r>
            <w:r>
              <w:rPr>
                <w:color w:val="auto"/>
              </w:rPr>
              <w:t xml:space="preserve"> </w:t>
            </w:r>
            <w:r>
              <w:rPr>
                <w:color w:val="auto"/>
                <w:spacing w:val="-1"/>
              </w:rPr>
              <w:t>分重金属水污染物特别排放限值的相关规定。</w:t>
            </w:r>
          </w:p>
          <w:p w14:paraId="1BEA7A86">
            <w:pPr>
              <w:pStyle w:val="22"/>
              <w:spacing w:before="31" w:line="354" w:lineRule="auto"/>
              <w:ind w:left="107" w:right="40" w:firstLine="480"/>
              <w:rPr>
                <w:color w:val="auto"/>
              </w:rPr>
            </w:pPr>
            <w:r>
              <w:rPr>
                <w:color w:val="auto"/>
                <w:spacing w:val="-3"/>
              </w:rPr>
              <w:t>饮用水水源保护区全面加强水源涵养，强化源头控制，禁止新建排污口，</w:t>
            </w:r>
            <w:r>
              <w:rPr>
                <w:color w:val="auto"/>
                <w:spacing w:val="10"/>
              </w:rPr>
              <w:t xml:space="preserve"> </w:t>
            </w:r>
            <w:r>
              <w:rPr>
                <w:color w:val="auto"/>
                <w:spacing w:val="3"/>
              </w:rPr>
              <w:t>严格防范水源污染风险，切实保障饮用水安全，一级保护</w:t>
            </w:r>
            <w:r>
              <w:rPr>
                <w:color w:val="auto"/>
                <w:spacing w:val="2"/>
              </w:rPr>
              <w:t>区内禁止新建、改</w:t>
            </w:r>
            <w:r>
              <w:rPr>
                <w:color w:val="auto"/>
              </w:rPr>
              <w:t xml:space="preserve"> </w:t>
            </w:r>
            <w:r>
              <w:rPr>
                <w:color w:val="auto"/>
                <w:spacing w:val="3"/>
              </w:rPr>
              <w:t>建、扩建与供水设施和保护水源无关的建设项目；二级保护区内禁止新建、</w:t>
            </w:r>
            <w:r>
              <w:rPr>
                <w:color w:val="auto"/>
                <w:spacing w:val="18"/>
              </w:rPr>
              <w:t xml:space="preserve"> </w:t>
            </w:r>
            <w:r>
              <w:rPr>
                <w:color w:val="auto"/>
                <w:spacing w:val="3"/>
              </w:rPr>
              <w:t>改建、扩建排放污染物的建设项目。饮用水水源准保护区</w:t>
            </w:r>
            <w:r>
              <w:rPr>
                <w:color w:val="auto"/>
                <w:spacing w:val="2"/>
              </w:rPr>
              <w:t>内禁止新建、扩建</w:t>
            </w:r>
            <w:r>
              <w:rPr>
                <w:color w:val="auto"/>
              </w:rPr>
              <w:t xml:space="preserve"> </w:t>
            </w:r>
            <w:r>
              <w:rPr>
                <w:color w:val="auto"/>
                <w:spacing w:val="-1"/>
              </w:rPr>
              <w:t>对水体污染严重的建设项目。</w:t>
            </w:r>
          </w:p>
          <w:p w14:paraId="0F9BA258">
            <w:pPr>
              <w:pStyle w:val="22"/>
              <w:keepNext w:val="0"/>
              <w:keepLines w:val="0"/>
              <w:pageBreakBefore w:val="0"/>
              <w:widowControl/>
              <w:kinsoku w:val="0"/>
              <w:wordWrap/>
              <w:overflowPunct/>
              <w:topLinePunct w:val="0"/>
              <w:autoSpaceDE w:val="0"/>
              <w:autoSpaceDN w:val="0"/>
              <w:bidi w:val="0"/>
              <w:adjustRightInd w:val="0"/>
              <w:snapToGrid w:val="0"/>
              <w:spacing w:line="351" w:lineRule="auto"/>
              <w:ind w:left="108" w:right="102" w:firstLine="482"/>
              <w:jc w:val="both"/>
              <w:textAlignment w:val="baseline"/>
              <w:rPr>
                <w:color w:val="auto"/>
              </w:rPr>
            </w:pPr>
            <w:r>
              <w:rPr>
                <w:color w:val="auto"/>
                <w:spacing w:val="3"/>
              </w:rPr>
              <w:t>完善污水处理厂配套管网建设，切实提高运行负荷。强化城</w:t>
            </w:r>
            <w:r>
              <w:rPr>
                <w:color w:val="auto"/>
                <w:spacing w:val="2"/>
              </w:rPr>
              <w:t>中村、老旧</w:t>
            </w:r>
            <w:r>
              <w:rPr>
                <w:color w:val="auto"/>
              </w:rPr>
              <w:t xml:space="preserve"> </w:t>
            </w:r>
            <w:r>
              <w:rPr>
                <w:color w:val="auto"/>
                <w:spacing w:val="3"/>
              </w:rPr>
              <w:t>城区和城乡结合部污水截流、收集。现有合流制排水系</w:t>
            </w:r>
            <w:r>
              <w:rPr>
                <w:color w:val="auto"/>
                <w:spacing w:val="2"/>
              </w:rPr>
              <w:t>统应加快实施雨污分</w:t>
            </w:r>
            <w:r>
              <w:rPr>
                <w:color w:val="auto"/>
              </w:rPr>
              <w:t xml:space="preserve"> 流改造，加快镇级生活污水处理设施及配套管网建</w:t>
            </w:r>
            <w:r>
              <w:rPr>
                <w:color w:val="auto"/>
                <w:spacing w:val="-1"/>
              </w:rPr>
              <w:t>设，因地制宜建设农村生</w:t>
            </w:r>
          </w:p>
          <w:p w14:paraId="46C13B34">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25" w:right="102" w:hanging="11"/>
              <w:textAlignment w:val="baseline"/>
              <w:rPr>
                <w:color w:val="auto"/>
              </w:rPr>
            </w:pPr>
            <w:r>
              <w:rPr>
                <w:color w:val="auto"/>
                <w:spacing w:val="-4"/>
              </w:rPr>
              <w:t>活污水处理设施。加强农业面源污染治理，实施种植业</w:t>
            </w:r>
            <w:r>
              <w:rPr>
                <w:rFonts w:ascii="Times New Roman" w:hAnsi="Times New Roman" w:eastAsia="Times New Roman" w:cs="Times New Roman"/>
                <w:color w:val="auto"/>
                <w:spacing w:val="-4"/>
              </w:rPr>
              <w:t>“</w:t>
            </w:r>
            <w:r>
              <w:rPr>
                <w:color w:val="auto"/>
                <w:spacing w:val="-4"/>
              </w:rPr>
              <w:t>肥药双控</w:t>
            </w:r>
            <w:r>
              <w:rPr>
                <w:rFonts w:ascii="Times New Roman" w:hAnsi="Times New Roman" w:eastAsia="Times New Roman" w:cs="Times New Roman"/>
                <w:color w:val="auto"/>
                <w:spacing w:val="-4"/>
              </w:rPr>
              <w:t>”</w:t>
            </w:r>
            <w:r>
              <w:rPr>
                <w:color w:val="auto"/>
                <w:spacing w:val="-4"/>
              </w:rPr>
              <w:t>；严格禁养</w:t>
            </w:r>
            <w:r>
              <w:rPr>
                <w:color w:val="auto"/>
                <w:spacing w:val="15"/>
              </w:rPr>
              <w:t xml:space="preserve"> </w:t>
            </w:r>
            <w:r>
              <w:rPr>
                <w:color w:val="auto"/>
                <w:spacing w:val="-1"/>
              </w:rPr>
              <w:t>区管理，加强养殖污染防治，加强畜禽养殖废弃物资源化利用。</w:t>
            </w:r>
          </w:p>
          <w:p w14:paraId="1F219B46">
            <w:pPr>
              <w:pStyle w:val="22"/>
              <w:spacing w:before="40" w:line="360" w:lineRule="auto"/>
              <w:ind w:left="115" w:firstLine="492" w:firstLineChars="200"/>
              <w:rPr>
                <w:color w:val="auto"/>
              </w:rPr>
            </w:pPr>
            <w:r>
              <w:rPr>
                <w:color w:val="auto"/>
                <w:spacing w:val="3"/>
              </w:rPr>
              <w:t>项目在建设和运营过程中，不涉及氮氧化物、挥发性有</w:t>
            </w:r>
            <w:r>
              <w:rPr>
                <w:color w:val="auto"/>
                <w:spacing w:val="2"/>
              </w:rPr>
              <w:t>机物、重金属</w:t>
            </w:r>
            <w:r>
              <w:rPr>
                <w:rFonts w:hint="eastAsia"/>
                <w:color w:val="auto"/>
                <w:spacing w:val="2"/>
                <w:lang w:val="en-US" w:eastAsia="zh-CN"/>
              </w:rPr>
              <w:t>等</w:t>
            </w:r>
            <w:r>
              <w:rPr>
                <w:color w:val="auto"/>
                <w:spacing w:val="-1"/>
              </w:rPr>
              <w:t>总量控制污染物排放，满足区域的污染物排放管控要求。</w:t>
            </w:r>
          </w:p>
          <w:p w14:paraId="53EB7033">
            <w:pPr>
              <w:pStyle w:val="22"/>
              <w:keepNext w:val="0"/>
              <w:keepLines w:val="0"/>
              <w:pageBreakBefore w:val="0"/>
              <w:widowControl/>
              <w:kinsoku w:val="0"/>
              <w:wordWrap/>
              <w:overflowPunct/>
              <w:topLinePunct w:val="0"/>
              <w:autoSpaceDE w:val="0"/>
              <w:autoSpaceDN w:val="0"/>
              <w:bidi w:val="0"/>
              <w:adjustRightInd w:val="0"/>
              <w:snapToGrid w:val="0"/>
              <w:spacing w:line="221" w:lineRule="auto"/>
              <w:ind w:left="578"/>
              <w:textAlignment w:val="baseline"/>
              <w:rPr>
                <w:color w:val="auto"/>
              </w:rPr>
            </w:pPr>
            <w:r>
              <w:rPr>
                <w:rFonts w:ascii="Times New Roman" w:hAnsi="Times New Roman" w:eastAsia="Times New Roman" w:cs="Times New Roman"/>
                <w:b/>
                <w:bCs/>
                <w:color w:val="auto"/>
                <w:spacing w:val="-2"/>
              </w:rPr>
              <w:t>——</w:t>
            </w:r>
            <w:r>
              <w:rPr>
                <w:b/>
                <w:bCs/>
                <w:color w:val="auto"/>
                <w:spacing w:val="-2"/>
              </w:rPr>
              <w:t>环境风险防控要求</w:t>
            </w:r>
          </w:p>
          <w:p w14:paraId="22B319AA">
            <w:pPr>
              <w:pStyle w:val="22"/>
              <w:spacing w:before="177" w:line="357" w:lineRule="auto"/>
              <w:ind w:left="107" w:right="101" w:firstLine="480"/>
              <w:jc w:val="both"/>
              <w:rPr>
                <w:color w:val="auto"/>
              </w:rPr>
            </w:pPr>
            <w:r>
              <w:rPr>
                <w:color w:val="auto"/>
                <w:spacing w:val="3"/>
              </w:rPr>
              <w:t>加强北江干流、新丰江以及饮用水水源地环境风险防控。严格控</w:t>
            </w:r>
            <w:r>
              <w:rPr>
                <w:color w:val="auto"/>
                <w:spacing w:val="2"/>
              </w:rPr>
              <w:t>制沿岸</w:t>
            </w:r>
            <w:r>
              <w:rPr>
                <w:color w:val="auto"/>
              </w:rPr>
              <w:t xml:space="preserve"> </w:t>
            </w:r>
            <w:r>
              <w:rPr>
                <w:color w:val="auto"/>
                <w:spacing w:val="3"/>
              </w:rPr>
              <w:t>石油加工、化学原料和化学制品制造、有色金属冶炼、纺</w:t>
            </w:r>
            <w:r>
              <w:rPr>
                <w:color w:val="auto"/>
                <w:spacing w:val="2"/>
              </w:rPr>
              <w:t>织印染等项目环境</w:t>
            </w:r>
            <w:r>
              <w:rPr>
                <w:color w:val="auto"/>
              </w:rPr>
              <w:t xml:space="preserve"> </w:t>
            </w:r>
            <w:r>
              <w:rPr>
                <w:color w:val="auto"/>
                <w:spacing w:val="3"/>
              </w:rPr>
              <w:t>风险。强化地表水、地下水和土壤污染风险协同防控，建</w:t>
            </w:r>
            <w:r>
              <w:rPr>
                <w:color w:val="auto"/>
                <w:spacing w:val="2"/>
              </w:rPr>
              <w:t>立完善突发环境事</w:t>
            </w:r>
            <w:r>
              <w:rPr>
                <w:color w:val="auto"/>
              </w:rPr>
              <w:t xml:space="preserve"> </w:t>
            </w:r>
            <w:r>
              <w:rPr>
                <w:color w:val="auto"/>
                <w:spacing w:val="-3"/>
              </w:rPr>
              <w:t>件应急管理体系，全面排查</w:t>
            </w:r>
            <w:r>
              <w:rPr>
                <w:rFonts w:ascii="Times New Roman" w:hAnsi="Times New Roman" w:eastAsia="Times New Roman" w:cs="Times New Roman"/>
                <w:color w:val="auto"/>
                <w:spacing w:val="-3"/>
              </w:rPr>
              <w:t>“</w:t>
            </w:r>
            <w:r>
              <w:rPr>
                <w:color w:val="auto"/>
                <w:spacing w:val="-3"/>
              </w:rPr>
              <w:t>千吨万人</w:t>
            </w:r>
            <w:r>
              <w:rPr>
                <w:rFonts w:ascii="Times New Roman" w:hAnsi="Times New Roman" w:eastAsia="Times New Roman" w:cs="Times New Roman"/>
                <w:color w:val="auto"/>
                <w:spacing w:val="-3"/>
              </w:rPr>
              <w:t>”</w:t>
            </w:r>
            <w:r>
              <w:rPr>
                <w:color w:val="auto"/>
                <w:spacing w:val="-3"/>
              </w:rPr>
              <w:t>以上</w:t>
            </w:r>
            <w:r>
              <w:rPr>
                <w:color w:val="auto"/>
                <w:spacing w:val="-4"/>
              </w:rPr>
              <w:t>集中式饮用水水源地周边环境问题</w:t>
            </w:r>
            <w:r>
              <w:rPr>
                <w:color w:val="auto"/>
              </w:rPr>
              <w:t xml:space="preserve"> </w:t>
            </w:r>
            <w:r>
              <w:rPr>
                <w:color w:val="auto"/>
                <w:spacing w:val="3"/>
              </w:rPr>
              <w:t>并及时开展专项整治，保障饮用水水源地安全。重点加强</w:t>
            </w:r>
            <w:r>
              <w:rPr>
                <w:color w:val="auto"/>
                <w:spacing w:val="2"/>
              </w:rPr>
              <w:t>环境风险分级分类</w:t>
            </w:r>
            <w:r>
              <w:rPr>
                <w:color w:val="auto"/>
              </w:rPr>
              <w:t xml:space="preserve"> </w:t>
            </w:r>
            <w:r>
              <w:rPr>
                <w:color w:val="auto"/>
                <w:spacing w:val="3"/>
              </w:rPr>
              <w:t>管控，建立全市环境风险源在线监控预警系统，强化化工</w:t>
            </w:r>
            <w:r>
              <w:rPr>
                <w:color w:val="auto"/>
                <w:spacing w:val="2"/>
              </w:rPr>
              <w:t>企业、涉重金属行</w:t>
            </w:r>
            <w:r>
              <w:rPr>
                <w:color w:val="auto"/>
              </w:rPr>
              <w:t xml:space="preserve"> </w:t>
            </w:r>
            <w:r>
              <w:rPr>
                <w:color w:val="auto"/>
                <w:spacing w:val="3"/>
              </w:rPr>
              <w:t>业、工业园区和尾矿库等重点环境风险源的环境风险防控</w:t>
            </w:r>
            <w:r>
              <w:rPr>
                <w:color w:val="auto"/>
                <w:spacing w:val="2"/>
              </w:rPr>
              <w:t>。构建企业、园区</w:t>
            </w:r>
            <w:r>
              <w:rPr>
                <w:color w:val="auto"/>
              </w:rPr>
              <w:t xml:space="preserve"> </w:t>
            </w:r>
            <w:r>
              <w:rPr>
                <w:color w:val="auto"/>
                <w:spacing w:val="3"/>
              </w:rPr>
              <w:t>和区域三级环境风险防控联动体系，增强园区风险防控能</w:t>
            </w:r>
            <w:r>
              <w:rPr>
                <w:color w:val="auto"/>
                <w:spacing w:val="2"/>
              </w:rPr>
              <w:t>力。园区管理机构</w:t>
            </w:r>
            <w:r>
              <w:rPr>
                <w:color w:val="auto"/>
              </w:rPr>
              <w:t xml:space="preserve"> </w:t>
            </w:r>
            <w:r>
              <w:rPr>
                <w:color w:val="auto"/>
                <w:spacing w:val="3"/>
              </w:rPr>
              <w:t>应定期开展环境风险评估，编制完善综合环境应急预案并</w:t>
            </w:r>
            <w:r>
              <w:rPr>
                <w:color w:val="auto"/>
                <w:spacing w:val="2"/>
              </w:rPr>
              <w:t>备案，整合应急资</w:t>
            </w:r>
            <w:r>
              <w:rPr>
                <w:color w:val="auto"/>
              </w:rPr>
              <w:t xml:space="preserve"> </w:t>
            </w:r>
            <w:r>
              <w:rPr>
                <w:color w:val="auto"/>
                <w:spacing w:val="3"/>
              </w:rPr>
              <w:t>源，储备环境应急物资及装备，定期组织开展应急演练，</w:t>
            </w:r>
            <w:r>
              <w:rPr>
                <w:color w:val="auto"/>
                <w:spacing w:val="2"/>
              </w:rPr>
              <w:t>全面提升园区突发</w:t>
            </w:r>
            <w:r>
              <w:rPr>
                <w:color w:val="auto"/>
              </w:rPr>
              <w:t xml:space="preserve"> </w:t>
            </w:r>
            <w:r>
              <w:rPr>
                <w:color w:val="auto"/>
                <w:spacing w:val="-1"/>
              </w:rPr>
              <w:t>环境事件应急处理能力。</w:t>
            </w:r>
          </w:p>
          <w:p w14:paraId="33631FB7">
            <w:pPr>
              <w:pStyle w:val="22"/>
              <w:spacing w:before="35" w:line="355" w:lineRule="auto"/>
              <w:ind w:left="108" w:right="21" w:firstLine="482"/>
              <w:rPr>
                <w:color w:val="auto"/>
              </w:rPr>
            </w:pPr>
            <w:r>
              <w:rPr>
                <w:color w:val="auto"/>
                <w:spacing w:val="3"/>
              </w:rPr>
              <w:t>持续推进土壤环境风险管控工作。实行农用地分类分级安</w:t>
            </w:r>
            <w:r>
              <w:rPr>
                <w:color w:val="auto"/>
                <w:spacing w:val="2"/>
              </w:rPr>
              <w:t>全利用，有效</w:t>
            </w:r>
            <w:r>
              <w:rPr>
                <w:color w:val="auto"/>
              </w:rPr>
              <w:t xml:space="preserve"> </w:t>
            </w:r>
            <w:r>
              <w:rPr>
                <w:color w:val="auto"/>
                <w:spacing w:val="3"/>
              </w:rPr>
              <w:t>提升农用地土地资源开发利用率，依法划定特定农作物</w:t>
            </w:r>
            <w:r>
              <w:rPr>
                <w:color w:val="auto"/>
                <w:spacing w:val="2"/>
              </w:rPr>
              <w:t>禁止种植区域，严格</w:t>
            </w:r>
            <w:r>
              <w:rPr>
                <w:color w:val="auto"/>
              </w:rPr>
              <w:t xml:space="preserve"> </w:t>
            </w:r>
            <w:r>
              <w:rPr>
                <w:color w:val="auto"/>
                <w:spacing w:val="3"/>
              </w:rPr>
              <w:t>按照耕地土壤环境质量类别划分成果对耕地实施安全利</w:t>
            </w:r>
            <w:r>
              <w:rPr>
                <w:color w:val="auto"/>
                <w:spacing w:val="2"/>
              </w:rPr>
              <w:t>用，防范农产品重金</w:t>
            </w:r>
            <w:r>
              <w:rPr>
                <w:color w:val="auto"/>
              </w:rPr>
              <w:t xml:space="preserve"> </w:t>
            </w:r>
            <w:r>
              <w:rPr>
                <w:color w:val="auto"/>
                <w:spacing w:val="-2"/>
              </w:rPr>
              <w:t>属含量超标风险。加强建设用地准入管理，规范受污染建设用地地块再开发。</w:t>
            </w:r>
            <w:r>
              <w:rPr>
                <w:color w:val="auto"/>
                <w:spacing w:val="1"/>
              </w:rPr>
              <w:t xml:space="preserve"> </w:t>
            </w:r>
            <w:r>
              <w:rPr>
                <w:color w:val="auto"/>
                <w:spacing w:val="3"/>
              </w:rPr>
              <w:t>加强尾矿库的环境风险排查与防范。加强金属矿采选、</w:t>
            </w:r>
            <w:r>
              <w:rPr>
                <w:color w:val="auto"/>
                <w:spacing w:val="2"/>
              </w:rPr>
              <w:t>金属冶炼企业的重金</w:t>
            </w:r>
            <w:r>
              <w:rPr>
                <w:color w:val="auto"/>
              </w:rPr>
              <w:t xml:space="preserve"> </w:t>
            </w:r>
            <w:r>
              <w:rPr>
                <w:color w:val="auto"/>
                <w:spacing w:val="3"/>
              </w:rPr>
              <w:t>属污染风险防控。强化选矿废水治理设施的升级改造，</w:t>
            </w:r>
            <w:r>
              <w:rPr>
                <w:color w:val="auto"/>
                <w:spacing w:val="2"/>
              </w:rPr>
              <w:t>选矿废水原则上回用</w:t>
            </w:r>
            <w:r>
              <w:rPr>
                <w:color w:val="auto"/>
              </w:rPr>
              <w:t xml:space="preserve"> </w:t>
            </w:r>
            <w:r>
              <w:rPr>
                <w:color w:val="auto"/>
                <w:spacing w:val="-9"/>
              </w:rPr>
              <w:t>不外排。全力避免因各类安全事故（事件）引发的次生环境风险事故（事件）。</w:t>
            </w:r>
          </w:p>
          <w:p w14:paraId="6E6B9092">
            <w:pPr>
              <w:pStyle w:val="22"/>
              <w:spacing w:before="34" w:line="345" w:lineRule="auto"/>
              <w:ind w:left="128" w:right="101" w:firstLine="464"/>
              <w:rPr>
                <w:color w:val="auto"/>
              </w:rPr>
            </w:pPr>
            <w:r>
              <w:rPr>
                <w:color w:val="auto"/>
                <w:spacing w:val="3"/>
              </w:rPr>
              <w:t>项目配套了各项污染防治措施和风险防范措施，减少了项目</w:t>
            </w:r>
            <w:r>
              <w:rPr>
                <w:color w:val="auto"/>
                <w:spacing w:val="2"/>
              </w:rPr>
              <w:t>运营过程中</w:t>
            </w:r>
            <w:r>
              <w:rPr>
                <w:color w:val="auto"/>
              </w:rPr>
              <w:t xml:space="preserve"> </w:t>
            </w:r>
            <w:r>
              <w:rPr>
                <w:color w:val="auto"/>
                <w:spacing w:val="-1"/>
              </w:rPr>
              <w:t>的影响，项目的运营不会对区域水环境和土壤环境产生不利影</w:t>
            </w:r>
            <w:r>
              <w:rPr>
                <w:color w:val="auto"/>
                <w:spacing w:val="-2"/>
              </w:rPr>
              <w:t>响。</w:t>
            </w:r>
          </w:p>
          <w:p w14:paraId="152E8663">
            <w:pPr>
              <w:pStyle w:val="22"/>
              <w:spacing w:before="38" w:line="360" w:lineRule="auto"/>
              <w:ind w:left="600"/>
              <w:rPr>
                <w:color w:val="auto"/>
              </w:rPr>
            </w:pPr>
            <w:r>
              <w:rPr>
                <w:color w:val="auto"/>
                <w:spacing w:val="-2"/>
              </w:rPr>
              <w:t>（</w:t>
            </w:r>
            <w:r>
              <w:rPr>
                <w:rFonts w:ascii="Times New Roman" w:hAnsi="Times New Roman" w:eastAsia="Times New Roman" w:cs="Times New Roman"/>
                <w:color w:val="auto"/>
                <w:spacing w:val="-2"/>
              </w:rPr>
              <w:t>3</w:t>
            </w:r>
            <w:r>
              <w:rPr>
                <w:color w:val="auto"/>
                <w:spacing w:val="-2"/>
              </w:rPr>
              <w:t>）项目环境管控单元管控要求的相符性</w:t>
            </w:r>
          </w:p>
          <w:p w14:paraId="14D0E48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color w:val="auto"/>
                <w:spacing w:val="-1"/>
              </w:rPr>
            </w:pPr>
            <w:r>
              <w:rPr>
                <w:color w:val="auto"/>
                <w:spacing w:val="2"/>
              </w:rPr>
              <w:t>本项目位于</w:t>
            </w:r>
            <w:r>
              <w:rPr>
                <w:rFonts w:hint="eastAsia"/>
                <w:color w:val="auto"/>
                <w:spacing w:val="2"/>
              </w:rPr>
              <w:t>乐昌市乐城镇练塘路旁原乐昌市建筑材料厂二车间</w:t>
            </w:r>
            <w:r>
              <w:rPr>
                <w:color w:val="auto"/>
                <w:spacing w:val="2"/>
              </w:rPr>
              <w:t>，与乐昌市“三线一单</w:t>
            </w:r>
            <w:r>
              <w:rPr>
                <w:color w:val="auto"/>
                <w:spacing w:val="-83"/>
              </w:rPr>
              <w:t xml:space="preserve"> </w:t>
            </w:r>
            <w:r>
              <w:rPr>
                <w:color w:val="auto"/>
                <w:spacing w:val="1"/>
              </w:rPr>
              <w:t>”管控单元位置关系见</w:t>
            </w:r>
            <w:r>
              <w:rPr>
                <w:color w:val="auto"/>
                <w:spacing w:val="-2"/>
              </w:rPr>
              <w:t>附图</w:t>
            </w:r>
            <w:r>
              <w:rPr>
                <w:color w:val="auto"/>
                <w:spacing w:val="-48"/>
              </w:rPr>
              <w:t xml:space="preserve"> </w:t>
            </w:r>
            <w:r>
              <w:rPr>
                <w:rFonts w:ascii="Times New Roman" w:hAnsi="Times New Roman" w:eastAsia="Times New Roman" w:cs="Times New Roman"/>
                <w:color w:val="auto"/>
                <w:spacing w:val="-2"/>
              </w:rPr>
              <w:t>5</w:t>
            </w:r>
            <w:r>
              <w:rPr>
                <w:color w:val="auto"/>
                <w:spacing w:val="-2"/>
              </w:rPr>
              <w:t>，</w:t>
            </w:r>
            <w:r>
              <w:rPr>
                <w:rFonts w:hint="eastAsia"/>
                <w:color w:val="auto"/>
                <w:spacing w:val="-2"/>
                <w:lang w:val="en-US" w:eastAsia="zh-CN"/>
              </w:rPr>
              <w:t>项目所在地涉及</w:t>
            </w:r>
            <w:r>
              <w:rPr>
                <w:rFonts w:hint="eastAsia" w:ascii="Times New Roman" w:hAnsi="Times New Roman" w:eastAsia="Times New Roman" w:cs="Times New Roman"/>
                <w:color w:val="auto"/>
                <w:spacing w:val="-2"/>
              </w:rPr>
              <w:t>ZH44028120001</w:t>
            </w:r>
            <w:r>
              <w:rPr>
                <w:rFonts w:hint="eastAsia" w:ascii="Times New Roman" w:hAnsi="Times New Roman" w:eastAsia="宋体" w:cs="Times New Roman"/>
                <w:color w:val="auto"/>
                <w:spacing w:val="-2"/>
                <w:lang w:eastAsia="zh-CN"/>
              </w:rPr>
              <w:t>（</w:t>
            </w:r>
            <w:r>
              <w:rPr>
                <w:rFonts w:hint="eastAsia" w:ascii="Times New Roman" w:hAnsi="Times New Roman" w:eastAsia="Times New Roman" w:cs="Times New Roman"/>
                <w:color w:val="auto"/>
                <w:spacing w:val="-2"/>
              </w:rPr>
              <w:t>乐昌市乐城街道、长来、北乡镇重点管控单元</w:t>
            </w:r>
            <w:r>
              <w:rPr>
                <w:rFonts w:hint="eastAsia" w:ascii="Times New Roman" w:hAnsi="Times New Roman" w:eastAsia="宋体" w:cs="Times New Roman"/>
                <w:color w:val="auto"/>
                <w:spacing w:val="-2"/>
                <w:lang w:eastAsia="zh-CN"/>
              </w:rPr>
              <w:t>）</w:t>
            </w:r>
            <w:r>
              <w:rPr>
                <w:rFonts w:hint="eastAsia" w:ascii="Times New Roman" w:hAnsi="Times New Roman" w:cs="Times New Roman"/>
                <w:color w:val="auto"/>
                <w:spacing w:val="-2"/>
                <w:lang w:eastAsia="zh-CN"/>
              </w:rPr>
              <w:t>、YS4402813110001（乐昌市生态空间一般管控区）、YS4402813210014（武水韶关市长来-廊田镇控制单元）、YS4402812310002（大气环境高排放重点管控区）</w:t>
            </w:r>
            <w:r>
              <w:rPr>
                <w:color w:val="auto"/>
                <w:spacing w:val="-1"/>
              </w:rPr>
              <w:t>。</w:t>
            </w:r>
          </w:p>
          <w:p w14:paraId="4CD96C9A">
            <w:pPr>
              <w:pStyle w:val="22"/>
              <w:spacing w:before="78" w:line="360" w:lineRule="auto"/>
              <w:ind w:firstLine="464" w:firstLineChars="200"/>
              <w:rPr>
                <w:color w:val="auto"/>
              </w:rPr>
            </w:pPr>
            <w:r>
              <w:rPr>
                <w:rFonts w:ascii="Times New Roman" w:hAnsi="Times New Roman" w:eastAsia="Times New Roman" w:cs="Times New Roman"/>
                <w:b/>
                <w:bCs/>
                <w:color w:val="auto"/>
                <w:spacing w:val="-4"/>
              </w:rPr>
              <w:t>1</w:t>
            </w:r>
            <w:r>
              <w:rPr>
                <w:b/>
                <w:bCs/>
                <w:color w:val="auto"/>
                <w:spacing w:val="-4"/>
              </w:rPr>
              <w:t>）空间布局管控要求</w:t>
            </w:r>
          </w:p>
          <w:p w14:paraId="0DF40217">
            <w:pPr>
              <w:pStyle w:val="22"/>
              <w:spacing w:before="32" w:line="352" w:lineRule="auto"/>
              <w:ind w:right="101" w:firstLine="464" w:firstLineChars="200"/>
              <w:jc w:val="both"/>
              <w:rPr>
                <w:rFonts w:hint="eastAsia" w:ascii="Times New Roman" w:hAnsi="Times New Roman" w:eastAsia="Times New Roman" w:cs="Times New Roman"/>
                <w:color w:val="auto"/>
                <w:spacing w:val="-4"/>
              </w:rPr>
            </w:pPr>
            <w:r>
              <w:rPr>
                <w:rFonts w:hint="eastAsia" w:ascii="Times New Roman" w:hAnsi="Times New Roman" w:eastAsia="Times New Roman" w:cs="Times New Roman"/>
                <w:color w:val="auto"/>
                <w:spacing w:val="-4"/>
              </w:rPr>
              <w:t>1-1.【产业/鼓励引导类】聚焦电子信息、装备制造、先进材料、现代轻工等积极承接珠三角地区产业疏解和优质企业功能性转移，立足现有产业基础打造一批锻铸件、基础零部件、电子零配件等领域专精特新中小企业，紧盯生物医药产业集群培育发展，打造道地药材和岭南特色中药材原料产业基地。</w:t>
            </w:r>
          </w:p>
          <w:p w14:paraId="41EAD267">
            <w:pPr>
              <w:pStyle w:val="22"/>
              <w:spacing w:before="32" w:line="352" w:lineRule="auto"/>
              <w:ind w:right="101" w:firstLine="464" w:firstLineChars="200"/>
              <w:jc w:val="both"/>
              <w:rPr>
                <w:rFonts w:hint="eastAsia" w:ascii="Times New Roman" w:hAnsi="Times New Roman" w:eastAsia="Times New Roman" w:cs="Times New Roman"/>
                <w:color w:val="auto"/>
                <w:spacing w:val="-4"/>
              </w:rPr>
            </w:pPr>
            <w:r>
              <w:rPr>
                <w:rFonts w:hint="eastAsia" w:ascii="Times New Roman" w:hAnsi="Times New Roman" w:eastAsia="Times New Roman" w:cs="Times New Roman"/>
                <w:color w:val="auto"/>
                <w:spacing w:val="-4"/>
              </w:rPr>
              <w:t>1-2.【产业/限制类】严格限制新建除热电联产以外的煤电项目；严格限制新（改、扩）建钢铁、建材（平板玻璃）、焦化、有色、石化等高污染行业项目。</w:t>
            </w:r>
          </w:p>
          <w:p w14:paraId="39042468">
            <w:pPr>
              <w:pStyle w:val="22"/>
              <w:spacing w:before="32" w:line="352" w:lineRule="auto"/>
              <w:ind w:right="101" w:firstLine="464" w:firstLineChars="200"/>
              <w:jc w:val="both"/>
              <w:rPr>
                <w:rFonts w:hint="eastAsia" w:ascii="Times New Roman" w:hAnsi="Times New Roman" w:eastAsia="Times New Roman" w:cs="Times New Roman"/>
                <w:color w:val="auto"/>
                <w:spacing w:val="-4"/>
              </w:rPr>
            </w:pPr>
            <w:r>
              <w:rPr>
                <w:rFonts w:hint="eastAsia" w:ascii="Times New Roman" w:hAnsi="Times New Roman" w:eastAsia="Times New Roman" w:cs="Times New Roman"/>
                <w:color w:val="auto"/>
                <w:spacing w:val="-4"/>
              </w:rPr>
              <w:t>1-3.【大气/禁止类】集中供热管网范围内禁止新建、扩建燃用煤炭、重油、渣油、生物质等分散供热锅炉。县级及以上城市建成区和天然气管网覆盖范围内，禁止新建每小时35 蒸吨以下燃煤锅炉。</w:t>
            </w:r>
          </w:p>
          <w:p w14:paraId="3660C48B">
            <w:pPr>
              <w:pStyle w:val="22"/>
              <w:spacing w:before="32" w:line="352" w:lineRule="auto"/>
              <w:ind w:right="101" w:firstLine="464" w:firstLineChars="200"/>
              <w:jc w:val="both"/>
              <w:rPr>
                <w:rFonts w:hint="eastAsia" w:ascii="Times New Roman" w:hAnsi="Times New Roman" w:eastAsia="Times New Roman" w:cs="Times New Roman"/>
                <w:color w:val="auto"/>
                <w:spacing w:val="-4"/>
              </w:rPr>
            </w:pPr>
            <w:r>
              <w:rPr>
                <w:rFonts w:hint="eastAsia" w:ascii="Times New Roman" w:hAnsi="Times New Roman" w:eastAsia="Times New Roman" w:cs="Times New Roman"/>
                <w:color w:val="auto"/>
                <w:spacing w:val="-4"/>
              </w:rPr>
              <w:t>1-4.【大气/限制类】大气环境受体敏感重点管控区内，严格限制新建产生和排放有毒有害大气污染物的建设项目以及使用溶剂型油墨、涂料、清洗剂、胶黏剂等高挥发性有机物原辅材料项目，鼓励现有该类项目技术改造减少排放或逐步搬迁退出。</w:t>
            </w:r>
          </w:p>
          <w:p w14:paraId="14D2F3BC">
            <w:pPr>
              <w:pStyle w:val="22"/>
              <w:spacing w:before="32" w:line="352" w:lineRule="auto"/>
              <w:ind w:right="101" w:firstLine="464" w:firstLineChars="200"/>
              <w:jc w:val="both"/>
              <w:rPr>
                <w:rFonts w:hint="eastAsia" w:ascii="Times New Roman" w:hAnsi="Times New Roman" w:eastAsia="Times New Roman" w:cs="Times New Roman"/>
                <w:color w:val="auto"/>
                <w:spacing w:val="-4"/>
              </w:rPr>
            </w:pPr>
            <w:r>
              <w:rPr>
                <w:rFonts w:hint="eastAsia" w:ascii="Times New Roman" w:hAnsi="Times New Roman" w:eastAsia="Times New Roman" w:cs="Times New Roman"/>
                <w:color w:val="auto"/>
                <w:spacing w:val="-4"/>
              </w:rPr>
              <w:t>1-5.【大气/限制类】优先选择化石能源替代、原料工艺优化、产业结构升级等源头治理措施，严格控制高耗能、高排放项目建设，引导区内的建材企业不断提高清洁生产水平，减少污染物排放。</w:t>
            </w:r>
          </w:p>
          <w:p w14:paraId="18CD5DC5">
            <w:pPr>
              <w:pStyle w:val="22"/>
              <w:spacing w:before="32" w:line="352" w:lineRule="auto"/>
              <w:ind w:right="101" w:firstLine="464" w:firstLineChars="200"/>
              <w:jc w:val="both"/>
              <w:rPr>
                <w:rFonts w:hint="eastAsia" w:ascii="Times New Roman" w:hAnsi="Times New Roman" w:eastAsia="Times New Roman" w:cs="Times New Roman"/>
                <w:color w:val="auto"/>
                <w:spacing w:val="-4"/>
              </w:rPr>
            </w:pPr>
            <w:r>
              <w:rPr>
                <w:rFonts w:hint="eastAsia" w:ascii="Times New Roman" w:hAnsi="Times New Roman" w:eastAsia="Times New Roman" w:cs="Times New Roman"/>
                <w:color w:val="auto"/>
                <w:spacing w:val="-4"/>
              </w:rPr>
              <w:t>1-6.【水/限制类】严格执行畜禽养殖禁养区管理要求，畜禽养殖禁养区内严禁建设规模化畜禽养殖场和规模化畜禽养殖小区，禁养区外的养殖场应配套污染防治设施。</w:t>
            </w:r>
          </w:p>
          <w:p w14:paraId="6C30A1DF">
            <w:pPr>
              <w:pStyle w:val="22"/>
              <w:spacing w:before="32" w:line="352" w:lineRule="auto"/>
              <w:ind w:right="101" w:firstLine="464" w:firstLineChars="200"/>
              <w:jc w:val="both"/>
              <w:rPr>
                <w:rFonts w:hint="eastAsia" w:ascii="Times New Roman" w:hAnsi="Times New Roman" w:eastAsia="Times New Roman" w:cs="Times New Roman"/>
                <w:color w:val="auto"/>
                <w:spacing w:val="-4"/>
              </w:rPr>
            </w:pPr>
            <w:r>
              <w:rPr>
                <w:rFonts w:hint="eastAsia" w:ascii="Times New Roman" w:hAnsi="Times New Roman" w:eastAsia="Times New Roman" w:cs="Times New Roman"/>
                <w:color w:val="auto"/>
                <w:spacing w:val="-4"/>
              </w:rPr>
              <w:t>1-7.【岸线/限制类】岸线优先保护区内，严格水域岸线用途管制，新建项目一律不得违规占用水域（国家和省的重点项目除外）。严禁破坏生态的岸线利用行为和不符合其功能定位的开发建设活动，严禁围垦湖泊、非法采砂等。</w:t>
            </w:r>
          </w:p>
          <w:p w14:paraId="761CBFDA">
            <w:pPr>
              <w:pStyle w:val="22"/>
              <w:spacing w:before="32" w:line="352" w:lineRule="auto"/>
              <w:ind w:right="101" w:firstLine="464" w:firstLineChars="200"/>
              <w:jc w:val="both"/>
              <w:rPr>
                <w:rFonts w:hint="eastAsia" w:ascii="Times New Roman" w:hAnsi="Times New Roman" w:eastAsia="Times New Roman" w:cs="Times New Roman"/>
                <w:color w:val="auto"/>
                <w:spacing w:val="-4"/>
              </w:rPr>
            </w:pPr>
            <w:r>
              <w:rPr>
                <w:rFonts w:hint="eastAsia" w:ascii="Times New Roman" w:hAnsi="Times New Roman" w:eastAsia="Times New Roman" w:cs="Times New Roman"/>
                <w:color w:val="auto"/>
                <w:spacing w:val="-4"/>
              </w:rPr>
              <w:t>1-8.【土壤/禁止类】禁止在居民区和学校、医院、疗养院、养老院等单位周边新建、改建、扩建可能造成土壤污染的建设项目。</w:t>
            </w:r>
          </w:p>
          <w:p w14:paraId="099E9579">
            <w:pPr>
              <w:pStyle w:val="22"/>
              <w:spacing w:before="32" w:line="352" w:lineRule="auto"/>
              <w:ind w:right="101" w:firstLine="464" w:firstLineChars="200"/>
              <w:jc w:val="both"/>
              <w:rPr>
                <w:rFonts w:hint="eastAsia" w:ascii="Times New Roman" w:hAnsi="Times New Roman" w:eastAsia="Times New Roman" w:cs="Times New Roman"/>
                <w:color w:val="auto"/>
                <w:spacing w:val="-4"/>
              </w:rPr>
            </w:pPr>
            <w:r>
              <w:rPr>
                <w:rFonts w:hint="eastAsia" w:ascii="Times New Roman" w:hAnsi="Times New Roman" w:eastAsia="Times New Roman" w:cs="Times New Roman"/>
                <w:color w:val="auto"/>
                <w:spacing w:val="-4"/>
              </w:rPr>
              <w:t>1-9.【土壤/禁止类】严格控制涉重金属及有毒有害污染物排放的项目建设，新建、改建、扩建涉重金属重点行业的项目应明确重金属污染物总量来源。</w:t>
            </w:r>
          </w:p>
          <w:p w14:paraId="6F130E96">
            <w:pPr>
              <w:pStyle w:val="22"/>
              <w:spacing w:before="32" w:line="352" w:lineRule="auto"/>
              <w:ind w:right="101" w:firstLine="464" w:firstLineChars="200"/>
              <w:jc w:val="both"/>
              <w:rPr>
                <w:color w:val="auto"/>
              </w:rPr>
            </w:pPr>
            <w:r>
              <w:rPr>
                <w:rFonts w:hint="eastAsia" w:ascii="Times New Roman" w:hAnsi="Times New Roman" w:eastAsia="Times New Roman" w:cs="Times New Roman"/>
                <w:color w:val="auto"/>
                <w:spacing w:val="-4"/>
              </w:rPr>
              <w:t>1-10.【矿产/限制类】严格控制矿产资源开采及冶炼过程中产生环境污染和生态破坏。严禁在基本农田保护区、居民集中区等环境敏感地区审批新增有镉、汞、砷、铅、铬5种重金属排放的矿产资源开发利用项目</w:t>
            </w:r>
            <w:r>
              <w:rPr>
                <w:color w:val="auto"/>
                <w:spacing w:val="-6"/>
              </w:rPr>
              <w:t>。</w:t>
            </w:r>
          </w:p>
          <w:p w14:paraId="2E070553">
            <w:pPr>
              <w:pStyle w:val="22"/>
              <w:spacing w:before="37" w:line="346" w:lineRule="auto"/>
              <w:ind w:left="109" w:right="104" w:firstLine="482"/>
              <w:rPr>
                <w:rFonts w:hint="default" w:eastAsia="宋体"/>
                <w:color w:val="auto"/>
                <w:lang w:val="en-US" w:eastAsia="zh-CN"/>
              </w:rPr>
            </w:pPr>
            <w:r>
              <w:rPr>
                <w:color w:val="auto"/>
                <w:spacing w:val="3"/>
              </w:rPr>
              <w:t>项目为建材类项目，在大气环境高排放重点管控区内，</w:t>
            </w:r>
            <w:r>
              <w:rPr>
                <w:color w:val="auto"/>
                <w:spacing w:val="2"/>
              </w:rPr>
              <w:t>不属于受体敏感</w:t>
            </w:r>
            <w:r>
              <w:rPr>
                <w:color w:val="auto"/>
              </w:rPr>
              <w:t xml:space="preserve"> 重点管控区，满足该单元的空间布局要求。</w:t>
            </w:r>
            <w:r>
              <w:rPr>
                <w:rFonts w:hint="eastAsia"/>
                <w:color w:val="auto"/>
                <w:lang w:val="en-US" w:eastAsia="zh-CN"/>
              </w:rPr>
              <w:t>本项目运营期废气污染物主要为颗粒物，经采取有效除尘措施，均可达标排放且排放量较小，不属于高污染高排放项目，项目生产废水经处理后回用，不外排。</w:t>
            </w:r>
            <w:r>
              <w:rPr>
                <w:color w:val="auto"/>
              </w:rPr>
              <w:t>本项</w:t>
            </w:r>
            <w:r>
              <w:rPr>
                <w:color w:val="auto"/>
                <w:spacing w:val="-1"/>
              </w:rPr>
              <w:t>目的能源消耗主要为电能</w:t>
            </w:r>
            <w:r>
              <w:rPr>
                <w:rFonts w:hint="eastAsia"/>
                <w:color w:val="auto"/>
                <w:spacing w:val="-1"/>
                <w:lang w:eastAsia="zh-CN"/>
              </w:rPr>
              <w:t>，</w:t>
            </w:r>
            <w:r>
              <w:rPr>
                <w:color w:val="auto"/>
                <w:spacing w:val="-1"/>
              </w:rPr>
              <w:t>不涉及煤炭、重油、渣油等高污染燃料的使用</w:t>
            </w:r>
            <w:r>
              <w:rPr>
                <w:rFonts w:hint="eastAsia"/>
                <w:color w:val="auto"/>
                <w:spacing w:val="-1"/>
                <w:lang w:eastAsia="zh-CN"/>
              </w:rPr>
              <w:t>，</w:t>
            </w:r>
            <w:r>
              <w:rPr>
                <w:rFonts w:hint="eastAsia"/>
                <w:color w:val="auto"/>
                <w:spacing w:val="-1"/>
                <w:lang w:val="en-US" w:eastAsia="zh-CN"/>
              </w:rPr>
              <w:t>不涉及重金属污染物排放。</w:t>
            </w:r>
          </w:p>
          <w:p w14:paraId="63987B24">
            <w:pPr>
              <w:pStyle w:val="22"/>
              <w:keepNext w:val="0"/>
              <w:keepLines w:val="0"/>
              <w:pageBreakBefore w:val="0"/>
              <w:widowControl/>
              <w:numPr>
                <w:ilvl w:val="0"/>
                <w:numId w:val="1"/>
              </w:numPr>
              <w:kinsoku w:val="0"/>
              <w:wordWrap/>
              <w:overflowPunct/>
              <w:topLinePunct w:val="0"/>
              <w:autoSpaceDE w:val="0"/>
              <w:autoSpaceDN w:val="0"/>
              <w:bidi w:val="0"/>
              <w:adjustRightInd w:val="0"/>
              <w:snapToGrid w:val="0"/>
              <w:spacing w:line="354" w:lineRule="auto"/>
              <w:ind w:right="21" w:firstLine="470" w:firstLineChars="200"/>
              <w:textAlignment w:val="baseline"/>
              <w:rPr>
                <w:rFonts w:hint="default" w:ascii="Times New Roman" w:hAnsi="Times New Roman" w:cs="Times New Roman"/>
                <w:b/>
                <w:bCs/>
                <w:color w:val="auto"/>
                <w:spacing w:val="-3"/>
              </w:rPr>
            </w:pPr>
            <w:r>
              <w:rPr>
                <w:rFonts w:hint="default" w:ascii="Times New Roman" w:hAnsi="Times New Roman" w:cs="Times New Roman"/>
                <w:b/>
                <w:bCs/>
                <w:color w:val="auto"/>
                <w:spacing w:val="-3"/>
              </w:rPr>
              <w:t>资源利用管控要求</w:t>
            </w:r>
          </w:p>
          <w:p w14:paraId="474D9E7D">
            <w:pPr>
              <w:pStyle w:val="22"/>
              <w:keepNext w:val="0"/>
              <w:keepLines w:val="0"/>
              <w:pageBreakBefore w:val="0"/>
              <w:widowControl/>
              <w:kinsoku w:val="0"/>
              <w:wordWrap/>
              <w:overflowPunct/>
              <w:topLinePunct w:val="0"/>
              <w:autoSpaceDE w:val="0"/>
              <w:autoSpaceDN w:val="0"/>
              <w:bidi w:val="0"/>
              <w:adjustRightInd w:val="0"/>
              <w:snapToGrid w:val="0"/>
              <w:spacing w:line="347" w:lineRule="auto"/>
              <w:ind w:right="101" w:firstLine="468" w:firstLineChars="200"/>
              <w:textAlignment w:val="baseline"/>
              <w:rPr>
                <w:rFonts w:hint="eastAsia" w:ascii="Times New Roman" w:hAnsi="Times New Roman" w:eastAsia="Times New Roman" w:cs="Times New Roman"/>
                <w:color w:val="auto"/>
                <w:spacing w:val="-3"/>
              </w:rPr>
            </w:pPr>
            <w:r>
              <w:rPr>
                <w:rFonts w:hint="eastAsia" w:ascii="Times New Roman" w:hAnsi="Times New Roman" w:eastAsia="Times New Roman" w:cs="Times New Roman"/>
                <w:color w:val="auto"/>
                <w:spacing w:val="-3"/>
              </w:rPr>
              <w:t>2-1.【能源/禁止类】城市建成区内，禁止新建每小时35蒸吨以下燃煤锅炉。在禁燃区，禁止新建、改建、扩建使用高污染燃料的锅炉、炉窑或导热油炉等燃烧设施；禁止以任何方式燃烧生活垃圾、废旧建筑模板、废旧家具、工业固体废弃物等各类可燃废物；使用非高污染燃料的锅炉、炉窑或导热油炉等各类在用燃烧设施，可在达到相应大气污染物排放标准并符合大气污染防治、锅炉污染整治工作要求的前提下继续使用；使用高污染燃料的，以及不能达到相应大气污染物排放标准的锅炉、炉窑或导热油炉等各类在用燃烧设施，应在“禁燃区”执行时间前改造使用清洁能源或予以拆除。</w:t>
            </w:r>
          </w:p>
          <w:p w14:paraId="557907E9">
            <w:pPr>
              <w:pStyle w:val="22"/>
              <w:keepNext w:val="0"/>
              <w:keepLines w:val="0"/>
              <w:pageBreakBefore w:val="0"/>
              <w:widowControl/>
              <w:kinsoku w:val="0"/>
              <w:wordWrap/>
              <w:overflowPunct/>
              <w:topLinePunct w:val="0"/>
              <w:autoSpaceDE w:val="0"/>
              <w:autoSpaceDN w:val="0"/>
              <w:bidi w:val="0"/>
              <w:adjustRightInd w:val="0"/>
              <w:snapToGrid w:val="0"/>
              <w:spacing w:line="347" w:lineRule="auto"/>
              <w:ind w:right="101" w:firstLine="468" w:firstLineChars="200"/>
              <w:textAlignment w:val="baseline"/>
              <w:rPr>
                <w:rFonts w:hint="eastAsia" w:ascii="Times New Roman" w:hAnsi="Times New Roman" w:eastAsia="Times New Roman" w:cs="Times New Roman"/>
                <w:color w:val="auto"/>
                <w:spacing w:val="-3"/>
              </w:rPr>
            </w:pPr>
            <w:r>
              <w:rPr>
                <w:rFonts w:hint="eastAsia" w:ascii="Times New Roman" w:hAnsi="Times New Roman" w:eastAsia="Times New Roman" w:cs="Times New Roman"/>
                <w:color w:val="auto"/>
                <w:spacing w:val="-3"/>
              </w:rPr>
              <w:t>2-2.【能源/限制类】原则上不再新建小水电以及除国家和省规划外的风电项目，对不符合生态环境要求的小水电进行清理整改。</w:t>
            </w:r>
          </w:p>
          <w:p w14:paraId="7C3478DF">
            <w:pPr>
              <w:pStyle w:val="22"/>
              <w:keepNext w:val="0"/>
              <w:keepLines w:val="0"/>
              <w:pageBreakBefore w:val="0"/>
              <w:widowControl/>
              <w:kinsoku w:val="0"/>
              <w:wordWrap/>
              <w:overflowPunct/>
              <w:topLinePunct w:val="0"/>
              <w:autoSpaceDE w:val="0"/>
              <w:autoSpaceDN w:val="0"/>
              <w:bidi w:val="0"/>
              <w:adjustRightInd w:val="0"/>
              <w:snapToGrid w:val="0"/>
              <w:spacing w:line="347" w:lineRule="auto"/>
              <w:ind w:right="101" w:firstLine="468" w:firstLineChars="200"/>
              <w:textAlignment w:val="baseline"/>
              <w:rPr>
                <w:rFonts w:hint="eastAsia" w:ascii="Times New Roman" w:hAnsi="Times New Roman" w:eastAsia="Times New Roman" w:cs="Times New Roman"/>
                <w:color w:val="auto"/>
                <w:spacing w:val="-3"/>
              </w:rPr>
            </w:pPr>
            <w:r>
              <w:rPr>
                <w:rFonts w:hint="eastAsia" w:ascii="Times New Roman" w:hAnsi="Times New Roman" w:eastAsia="Times New Roman" w:cs="Times New Roman"/>
                <w:color w:val="auto"/>
                <w:spacing w:val="-3"/>
              </w:rPr>
              <w:t>2-3.【土地资源/综合类】对区内土壤实施分类别、分用途、分阶段治理，管控区域土壤环境风险、严控新增污染、逐步减少存量。</w:t>
            </w:r>
          </w:p>
          <w:p w14:paraId="2B774EFB">
            <w:pPr>
              <w:pStyle w:val="22"/>
              <w:keepNext w:val="0"/>
              <w:keepLines w:val="0"/>
              <w:pageBreakBefore w:val="0"/>
              <w:widowControl/>
              <w:kinsoku w:val="0"/>
              <w:wordWrap/>
              <w:overflowPunct/>
              <w:topLinePunct w:val="0"/>
              <w:autoSpaceDE w:val="0"/>
              <w:autoSpaceDN w:val="0"/>
              <w:bidi w:val="0"/>
              <w:adjustRightInd w:val="0"/>
              <w:snapToGrid w:val="0"/>
              <w:spacing w:line="347" w:lineRule="auto"/>
              <w:ind w:right="101" w:firstLine="468" w:firstLineChars="200"/>
              <w:textAlignment w:val="baseline"/>
              <w:rPr>
                <w:color w:val="auto"/>
              </w:rPr>
            </w:pPr>
            <w:r>
              <w:rPr>
                <w:rFonts w:hint="eastAsia" w:ascii="Times New Roman" w:hAnsi="Times New Roman" w:eastAsia="Times New Roman" w:cs="Times New Roman"/>
                <w:color w:val="auto"/>
                <w:spacing w:val="-3"/>
              </w:rPr>
              <w:t>2-4.【水资源/综合类】严格落实武江控制断面生态流量保障目标</w:t>
            </w:r>
            <w:r>
              <w:rPr>
                <w:color w:val="auto"/>
                <w:spacing w:val="-2"/>
              </w:rPr>
              <w:t>。</w:t>
            </w:r>
          </w:p>
          <w:p w14:paraId="3A176287">
            <w:pPr>
              <w:pStyle w:val="22"/>
              <w:spacing w:before="30" w:line="360" w:lineRule="auto"/>
              <w:ind w:left="589"/>
              <w:rPr>
                <w:color w:val="auto"/>
                <w:spacing w:val="-1"/>
              </w:rPr>
            </w:pPr>
            <w:r>
              <w:rPr>
                <w:color w:val="auto"/>
                <w:spacing w:val="-1"/>
              </w:rPr>
              <w:t>本项目属于建材类项目，</w:t>
            </w:r>
            <w:r>
              <w:rPr>
                <w:rFonts w:hint="eastAsia"/>
                <w:color w:val="auto"/>
                <w:spacing w:val="-1"/>
                <w:lang w:val="en-US" w:eastAsia="zh-CN"/>
              </w:rPr>
              <w:t>不涉及锅炉使用，土地利用符合规划要求，</w:t>
            </w:r>
            <w:r>
              <w:rPr>
                <w:color w:val="auto"/>
                <w:spacing w:val="-1"/>
              </w:rPr>
              <w:t>与</w:t>
            </w:r>
          </w:p>
          <w:p w14:paraId="2132FCE3">
            <w:pPr>
              <w:pStyle w:val="22"/>
              <w:spacing w:before="30" w:line="360" w:lineRule="auto"/>
              <w:rPr>
                <w:color w:val="auto"/>
              </w:rPr>
            </w:pPr>
            <w:r>
              <w:rPr>
                <w:color w:val="auto"/>
                <w:spacing w:val="-1"/>
              </w:rPr>
              <w:t>资源利用管控要求不冲突。</w:t>
            </w:r>
          </w:p>
          <w:p w14:paraId="268AFD7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color w:val="auto"/>
              </w:rPr>
            </w:pPr>
            <w:r>
              <w:rPr>
                <w:rFonts w:ascii="Times New Roman" w:hAnsi="Times New Roman" w:eastAsia="Times New Roman" w:cs="Times New Roman"/>
                <w:b/>
                <w:bCs/>
                <w:color w:val="auto"/>
                <w:spacing w:val="-2"/>
              </w:rPr>
              <w:t>3</w:t>
            </w:r>
            <w:r>
              <w:rPr>
                <w:b/>
                <w:bCs/>
                <w:color w:val="auto"/>
                <w:spacing w:val="-2"/>
              </w:rPr>
              <w:t>）污染物排放管控要求</w:t>
            </w:r>
          </w:p>
          <w:p w14:paraId="413F690E">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textAlignment w:val="baseline"/>
              <w:rPr>
                <w:rFonts w:hint="eastAsia" w:ascii="Times New Roman" w:hAnsi="Times New Roman" w:eastAsia="Times New Roman" w:cs="Times New Roman"/>
                <w:color w:val="auto"/>
                <w:spacing w:val="-3"/>
              </w:rPr>
            </w:pPr>
            <w:r>
              <w:rPr>
                <w:rFonts w:hint="eastAsia" w:ascii="Times New Roman" w:hAnsi="Times New Roman" w:eastAsia="Times New Roman" w:cs="Times New Roman"/>
                <w:color w:val="auto"/>
                <w:spacing w:val="-3"/>
              </w:rPr>
              <w:t>3-1.【水/限制类】新建、改建、扩建增加重金属污染物排放总量的建设项目应通过实施“区域削减”，实现增产减污。铅锌工业废水中总锌、总铅、总镉、总汞、总砷、总镍、总铬执行《铅、锌工业污染物排放标准》（GB 25466-2010）特别排放限值。</w:t>
            </w:r>
          </w:p>
          <w:p w14:paraId="58F0328E">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textAlignment w:val="baseline"/>
              <w:rPr>
                <w:rFonts w:hint="eastAsia" w:ascii="Times New Roman" w:hAnsi="Times New Roman" w:eastAsia="Times New Roman" w:cs="Times New Roman"/>
                <w:color w:val="auto"/>
                <w:spacing w:val="-3"/>
              </w:rPr>
            </w:pPr>
            <w:r>
              <w:rPr>
                <w:rFonts w:hint="eastAsia" w:ascii="Times New Roman" w:hAnsi="Times New Roman" w:eastAsia="Times New Roman" w:cs="Times New Roman"/>
                <w:color w:val="auto"/>
                <w:spacing w:val="-3"/>
              </w:rPr>
              <w:t>3-2.【大气/综合类】新建项目原则上实施氮氧化物和挥发性有机物等量替代。</w:t>
            </w:r>
          </w:p>
          <w:p w14:paraId="395EE00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textAlignment w:val="baseline"/>
              <w:rPr>
                <w:rFonts w:hint="eastAsia" w:ascii="Times New Roman" w:hAnsi="Times New Roman" w:eastAsia="Times New Roman" w:cs="Times New Roman"/>
                <w:color w:val="auto"/>
                <w:spacing w:val="-3"/>
              </w:rPr>
            </w:pPr>
            <w:r>
              <w:rPr>
                <w:rFonts w:hint="eastAsia" w:ascii="Times New Roman" w:hAnsi="Times New Roman" w:eastAsia="Times New Roman" w:cs="Times New Roman"/>
                <w:color w:val="auto"/>
                <w:spacing w:val="-3"/>
              </w:rPr>
              <w:t>3-3.【水/限制类】加强矿山采选企业废水治理设施的建设，强化选矿废水治理设施的升级改造，实现选矿废水回用不外排。</w:t>
            </w:r>
          </w:p>
          <w:p w14:paraId="1BC7289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color w:val="auto"/>
              </w:rPr>
            </w:pPr>
            <w:r>
              <w:rPr>
                <w:color w:val="auto"/>
                <w:spacing w:val="-1"/>
              </w:rPr>
              <w:t>项目</w:t>
            </w:r>
            <w:r>
              <w:rPr>
                <w:rFonts w:hint="eastAsia"/>
                <w:color w:val="auto"/>
                <w:spacing w:val="-1"/>
                <w:lang w:val="en-US" w:eastAsia="zh-CN"/>
              </w:rPr>
              <w:t>运营期无废水外排，废气污染物主要为颗粒物，不涉及氮氧化物、挥发性有机物</w:t>
            </w:r>
            <w:r>
              <w:rPr>
                <w:color w:val="auto"/>
                <w:spacing w:val="-1"/>
              </w:rPr>
              <w:t>。</w:t>
            </w:r>
          </w:p>
          <w:p w14:paraId="3655CA8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textAlignment w:val="baseline"/>
              <w:rPr>
                <w:color w:val="auto"/>
              </w:rPr>
            </w:pPr>
            <w:r>
              <w:rPr>
                <w:rFonts w:ascii="Times New Roman" w:hAnsi="Times New Roman" w:eastAsia="Times New Roman" w:cs="Times New Roman"/>
                <w:b/>
                <w:bCs/>
                <w:color w:val="auto"/>
                <w:spacing w:val="-3"/>
              </w:rPr>
              <w:t>4</w:t>
            </w:r>
            <w:r>
              <w:rPr>
                <w:b/>
                <w:bCs/>
                <w:color w:val="auto"/>
                <w:spacing w:val="-3"/>
              </w:rPr>
              <w:t>）环境风险防控要求</w:t>
            </w:r>
          </w:p>
          <w:p w14:paraId="567C9B6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textAlignment w:val="baseline"/>
              <w:rPr>
                <w:rFonts w:hint="eastAsia" w:ascii="Times New Roman" w:hAnsi="Times New Roman" w:eastAsia="Times New Roman" w:cs="Times New Roman"/>
                <w:color w:val="auto"/>
                <w:spacing w:val="-3"/>
              </w:rPr>
            </w:pPr>
            <w:r>
              <w:rPr>
                <w:rFonts w:hint="eastAsia" w:ascii="Times New Roman" w:hAnsi="Times New Roman" w:eastAsia="Times New Roman" w:cs="Times New Roman"/>
                <w:color w:val="auto"/>
                <w:spacing w:val="-3"/>
              </w:rPr>
              <w:t>4-1.【风险/综合类】推进单元内矿山采选企业尾矿砂的综合利用，加强矿区和尾矿库生态修复，降低重金属污染环境风险。</w:t>
            </w:r>
          </w:p>
          <w:p w14:paraId="791071A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textAlignment w:val="baseline"/>
              <w:rPr>
                <w:rFonts w:hint="eastAsia" w:ascii="Times New Roman" w:hAnsi="Times New Roman" w:eastAsia="Times New Roman" w:cs="Times New Roman"/>
                <w:color w:val="auto"/>
                <w:spacing w:val="-3"/>
              </w:rPr>
            </w:pPr>
            <w:r>
              <w:rPr>
                <w:rFonts w:hint="eastAsia" w:ascii="Times New Roman" w:hAnsi="Times New Roman" w:eastAsia="Times New Roman" w:cs="Times New Roman"/>
                <w:color w:val="auto"/>
                <w:spacing w:val="-3"/>
              </w:rPr>
              <w:t>4-2.【风险/综合类】有水环境污染风险的企事业单位，应当制定有关水污染事故的应急方案，做好应急准备，并定期进行演练，做好突发水污染事故应急处置和事后恢复等工作。有水环境污染风险的企事业单位，生产、储存危险化学品的企事业单位，应当采取措施，防止在应急处置过程中产生的消防废水、废液直接排入水体。</w:t>
            </w:r>
          </w:p>
          <w:p w14:paraId="7D363A1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color w:val="auto"/>
                <w:spacing w:val="2"/>
                <w:lang w:val="en-US" w:eastAsia="zh-CN"/>
              </w:rPr>
            </w:pPr>
            <w:r>
              <w:rPr>
                <w:color w:val="auto"/>
                <w:spacing w:val="3"/>
              </w:rPr>
              <w:t>项目配套了各项污染</w:t>
            </w:r>
            <w:r>
              <w:rPr>
                <w:rFonts w:hint="eastAsia"/>
                <w:color w:val="auto"/>
                <w:spacing w:val="3"/>
                <w:lang w:val="en-US" w:eastAsia="zh-CN"/>
              </w:rPr>
              <w:t>治理设施</w:t>
            </w:r>
            <w:r>
              <w:rPr>
                <w:color w:val="auto"/>
                <w:spacing w:val="2"/>
              </w:rPr>
              <w:t>，</w:t>
            </w:r>
            <w:r>
              <w:rPr>
                <w:rFonts w:hint="eastAsia"/>
                <w:color w:val="auto"/>
                <w:spacing w:val="2"/>
                <w:lang w:val="en-US" w:eastAsia="zh-CN"/>
              </w:rPr>
              <w:t>落实有效风险防范措施，编制突发环境事件应急预案，总体环境风险可控。</w:t>
            </w:r>
          </w:p>
          <w:p w14:paraId="48ADCD09">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62" w:firstLineChars="200"/>
              <w:textAlignment w:val="baseline"/>
              <w:rPr>
                <w:rFonts w:hint="default" w:ascii="Times New Roman" w:hAnsi="Times New Roman" w:cs="Times New Roman"/>
                <w:color w:val="auto"/>
              </w:rPr>
            </w:pPr>
            <w:r>
              <w:rPr>
                <w:rFonts w:hint="eastAsia" w:ascii="Times New Roman" w:hAnsi="Times New Roman" w:eastAsia="宋体" w:cs="Times New Roman"/>
                <w:b/>
                <w:bCs/>
                <w:color w:val="auto"/>
                <w:spacing w:val="-5"/>
                <w:lang w:val="en-US" w:eastAsia="zh-CN"/>
              </w:rPr>
              <w:t>4.</w:t>
            </w:r>
            <w:r>
              <w:rPr>
                <w:rFonts w:hint="default" w:ascii="Times New Roman" w:hAnsi="Times New Roman" w:eastAsia="宋体" w:cs="Times New Roman"/>
                <w:b/>
                <w:bCs/>
                <w:color w:val="auto"/>
                <w:spacing w:val="-5"/>
                <w:lang w:val="en-US" w:eastAsia="zh-CN"/>
              </w:rPr>
              <w:t>与《&lt;预拌混凝土绿色生产及管理技术规程&gt;广东省实施细则》（DBJ</w:t>
            </w:r>
            <w:r>
              <w:rPr>
                <w:rFonts w:hint="eastAsia" w:ascii="Times New Roman" w:hAnsi="Times New Roman" w:eastAsia="宋体" w:cs="Times New Roman"/>
                <w:b/>
                <w:bCs/>
                <w:color w:val="auto"/>
                <w:spacing w:val="-5"/>
                <w:lang w:val="en-US" w:eastAsia="zh-CN"/>
              </w:rPr>
              <w:t>/</w:t>
            </w:r>
            <w:r>
              <w:rPr>
                <w:rFonts w:hint="default" w:ascii="Times New Roman" w:hAnsi="Times New Roman" w:eastAsia="宋体" w:cs="Times New Roman"/>
                <w:b/>
                <w:bCs/>
                <w:color w:val="auto"/>
                <w:spacing w:val="-5"/>
                <w:lang w:val="en-US" w:eastAsia="zh-CN"/>
              </w:rPr>
              <w:t>T 15-117-2016）的相符性分析</w:t>
            </w:r>
          </w:p>
          <w:p w14:paraId="3872EC9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imes New Roman" w:hAnsi="Times New Roman" w:cs="Times New Roman"/>
                <w:b/>
                <w:bCs/>
                <w:color w:val="auto"/>
                <w:lang w:val="en-US" w:eastAsia="zh-CN"/>
              </w:rPr>
            </w:pPr>
            <w:r>
              <w:rPr>
                <w:rFonts w:hint="eastAsia"/>
                <w:color w:val="auto"/>
                <w:lang w:val="en-US" w:eastAsia="zh-CN"/>
              </w:rPr>
              <w:t xml:space="preserve">             </w:t>
            </w:r>
            <w:r>
              <w:rPr>
                <w:rFonts w:hint="default" w:ascii="Times New Roman" w:hAnsi="Times New Roman" w:cs="Times New Roman"/>
                <w:b/>
                <w:bCs/>
                <w:color w:val="auto"/>
                <w:lang w:val="en-US" w:eastAsia="zh-CN"/>
              </w:rPr>
              <w:t>表1-1</w:t>
            </w:r>
            <w:r>
              <w:rPr>
                <w:rFonts w:hint="eastAsia" w:ascii="Times New Roman" w:hAnsi="Times New Roman" w:cs="Times New Roman"/>
                <w:b/>
                <w:bCs/>
                <w:color w:val="auto"/>
                <w:lang w:val="en-US" w:eastAsia="zh-CN"/>
              </w:rPr>
              <w:t xml:space="preserve"> 本项目与DBJ/T 15-117-2016相符性分析</w:t>
            </w:r>
          </w:p>
          <w:tbl>
            <w:tblPr>
              <w:tblStyle w:val="18"/>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415"/>
              <w:gridCol w:w="3361"/>
              <w:gridCol w:w="2607"/>
              <w:gridCol w:w="898"/>
            </w:tblGrid>
            <w:tr w14:paraId="207B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52" w:type="dxa"/>
                  <w:noWrap/>
                  <w:vAlign w:val="center"/>
                </w:tcPr>
                <w:p w14:paraId="046FE08A">
                  <w:pPr>
                    <w:pStyle w:val="23"/>
                    <w:adjustRightInd w:val="0"/>
                    <w:snapToGrid w:val="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项目</w:t>
                  </w:r>
                </w:p>
              </w:tc>
              <w:tc>
                <w:tcPr>
                  <w:tcW w:w="3776" w:type="dxa"/>
                  <w:gridSpan w:val="2"/>
                  <w:noWrap/>
                  <w:vAlign w:val="center"/>
                </w:tcPr>
                <w:p w14:paraId="52697295">
                  <w:pPr>
                    <w:pStyle w:val="23"/>
                    <w:adjustRightInd w:val="0"/>
                    <w:snapToGrid w:val="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（DBJ/T 15-117-2016）要求</w:t>
                  </w:r>
                </w:p>
              </w:tc>
              <w:tc>
                <w:tcPr>
                  <w:tcW w:w="2607" w:type="dxa"/>
                  <w:noWrap w:val="0"/>
                  <w:vAlign w:val="center"/>
                </w:tcPr>
                <w:p w14:paraId="17C8A7E4">
                  <w:pPr>
                    <w:pStyle w:val="23"/>
                    <w:adjustRightInd w:val="0"/>
                    <w:snapToGrid w:val="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本项目</w:t>
                  </w:r>
                </w:p>
              </w:tc>
              <w:tc>
                <w:tcPr>
                  <w:tcW w:w="898" w:type="dxa"/>
                  <w:noWrap w:val="0"/>
                  <w:vAlign w:val="center"/>
                </w:tcPr>
                <w:p w14:paraId="1C7058AB">
                  <w:pPr>
                    <w:pStyle w:val="23"/>
                    <w:adjustRightInd w:val="0"/>
                    <w:snapToGrid w:val="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相符性</w:t>
                  </w:r>
                </w:p>
              </w:tc>
            </w:tr>
            <w:tr w14:paraId="5F69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restart"/>
                  <w:noWrap w:val="0"/>
                  <w:vAlign w:val="center"/>
                </w:tcPr>
                <w:p w14:paraId="79FB5911">
                  <w:pPr>
                    <w:widowControl/>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厂区要求</w:t>
                  </w:r>
                </w:p>
              </w:tc>
              <w:tc>
                <w:tcPr>
                  <w:tcW w:w="3776" w:type="dxa"/>
                  <w:gridSpan w:val="2"/>
                  <w:noWrap/>
                  <w:vAlign w:val="center"/>
                </w:tcPr>
                <w:p w14:paraId="0DF6ADD1">
                  <w:pPr>
                    <w:autoSpaceDE w:val="0"/>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厂区功能分区应合理，生产区、办公区和生活区应分区布置，宜采取相应的隔离措施，减少相互影响。</w:t>
                  </w:r>
                </w:p>
              </w:tc>
              <w:tc>
                <w:tcPr>
                  <w:tcW w:w="2607" w:type="dxa"/>
                  <w:noWrap w:val="0"/>
                  <w:vAlign w:val="center"/>
                </w:tcPr>
                <w:p w14:paraId="5E91B8AF">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项目厂区</w:t>
                  </w:r>
                  <w:r>
                    <w:rPr>
                      <w:rFonts w:hint="default" w:ascii="Times New Roman" w:hAnsi="Times New Roman" w:eastAsia="宋体" w:cs="Times New Roman"/>
                      <w:color w:val="auto"/>
                      <w:sz w:val="21"/>
                      <w:szCs w:val="21"/>
                    </w:rPr>
                    <w:t>功能分区</w:t>
                  </w:r>
                  <w:r>
                    <w:rPr>
                      <w:rFonts w:hint="eastAsia" w:ascii="Times New Roman" w:hAnsi="Times New Roman" w:eastAsia="宋体" w:cs="Times New Roman"/>
                      <w:color w:val="auto"/>
                      <w:sz w:val="21"/>
                      <w:szCs w:val="21"/>
                      <w:lang w:val="en-US" w:eastAsia="zh-CN"/>
                    </w:rPr>
                    <w:t>合理，</w:t>
                  </w:r>
                  <w:r>
                    <w:rPr>
                      <w:rFonts w:hint="default" w:ascii="Times New Roman" w:hAnsi="Times New Roman" w:eastAsia="宋体" w:cs="Times New Roman"/>
                      <w:color w:val="auto"/>
                      <w:sz w:val="21"/>
                      <w:szCs w:val="21"/>
                    </w:rPr>
                    <w:t>生产区、办公区分区布置</w:t>
                  </w:r>
                </w:p>
              </w:tc>
              <w:tc>
                <w:tcPr>
                  <w:tcW w:w="898" w:type="dxa"/>
                  <w:noWrap w:val="0"/>
                  <w:vAlign w:val="center"/>
                </w:tcPr>
                <w:p w14:paraId="1913E9BC">
                  <w:pPr>
                    <w:pStyle w:val="23"/>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3702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0"/>
                  <w:vAlign w:val="center"/>
                </w:tcPr>
                <w:p w14:paraId="69A67D18">
                  <w:pPr>
                    <w:widowControl/>
                    <w:adjustRightInd w:val="0"/>
                    <w:snapToGrid w:val="0"/>
                    <w:jc w:val="center"/>
                    <w:rPr>
                      <w:rFonts w:hint="default" w:ascii="Times New Roman" w:hAnsi="Times New Roman" w:eastAsia="宋体" w:cs="Times New Roman"/>
                      <w:color w:val="auto"/>
                      <w:sz w:val="21"/>
                      <w:szCs w:val="21"/>
                    </w:rPr>
                  </w:pPr>
                </w:p>
              </w:tc>
              <w:tc>
                <w:tcPr>
                  <w:tcW w:w="3776" w:type="dxa"/>
                  <w:gridSpan w:val="2"/>
                  <w:noWrap/>
                  <w:vAlign w:val="center"/>
                </w:tcPr>
                <w:p w14:paraId="49E226C8">
                  <w:pPr>
                    <w:autoSpaceDE w:val="0"/>
                    <w:adjustRightInd w:val="0"/>
                    <w:snapToGrid w:val="0"/>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厂界噪声应达到《工业企业厂界环境噪声排放标准》GB 12348 要求</w:t>
                  </w:r>
                  <w:r>
                    <w:rPr>
                      <w:rFonts w:hint="eastAsia" w:ascii="Times New Roman" w:hAnsi="Times New Roman" w:eastAsia="宋体" w:cs="Times New Roman"/>
                      <w:color w:val="auto"/>
                      <w:sz w:val="21"/>
                      <w:szCs w:val="21"/>
                      <w:lang w:eastAsia="zh-CN"/>
                    </w:rPr>
                    <w:t>。</w:t>
                  </w:r>
                </w:p>
              </w:tc>
              <w:tc>
                <w:tcPr>
                  <w:tcW w:w="2607" w:type="dxa"/>
                  <w:noWrap w:val="0"/>
                  <w:vAlign w:val="center"/>
                </w:tcPr>
                <w:p w14:paraId="635AEC5E">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根据预测分析，厂界噪声可达到</w:t>
                  </w:r>
                  <w:r>
                    <w:rPr>
                      <w:rFonts w:hint="default" w:ascii="Times New Roman" w:hAnsi="Times New Roman" w:eastAsia="宋体" w:cs="Times New Roman"/>
                      <w:color w:val="auto"/>
                      <w:sz w:val="21"/>
                      <w:szCs w:val="21"/>
                    </w:rPr>
                    <w:t>GB 12348 要求</w:t>
                  </w:r>
                  <w:r>
                    <w:rPr>
                      <w:rFonts w:hint="eastAsia" w:ascii="Times New Roman" w:hAnsi="Times New Roman" w:eastAsia="宋体" w:cs="Times New Roman"/>
                      <w:color w:val="auto"/>
                      <w:sz w:val="21"/>
                      <w:szCs w:val="21"/>
                      <w:lang w:eastAsia="zh-CN"/>
                    </w:rPr>
                    <w:t>。</w:t>
                  </w:r>
                </w:p>
              </w:tc>
              <w:tc>
                <w:tcPr>
                  <w:tcW w:w="898" w:type="dxa"/>
                  <w:noWrap w:val="0"/>
                  <w:vAlign w:val="center"/>
                </w:tcPr>
                <w:p w14:paraId="6E204BD1">
                  <w:pPr>
                    <w:pStyle w:val="23"/>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424C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0"/>
                  <w:vAlign w:val="center"/>
                </w:tcPr>
                <w:p w14:paraId="6DFD7BEE">
                  <w:pPr>
                    <w:widowControl/>
                    <w:adjustRightInd w:val="0"/>
                    <w:snapToGrid w:val="0"/>
                    <w:jc w:val="center"/>
                    <w:rPr>
                      <w:rFonts w:hint="default" w:ascii="Times New Roman" w:hAnsi="Times New Roman" w:eastAsia="宋体" w:cs="Times New Roman"/>
                      <w:color w:val="auto"/>
                      <w:sz w:val="21"/>
                      <w:szCs w:val="21"/>
                    </w:rPr>
                  </w:pPr>
                </w:p>
              </w:tc>
              <w:tc>
                <w:tcPr>
                  <w:tcW w:w="3776" w:type="dxa"/>
                  <w:gridSpan w:val="2"/>
                  <w:noWrap/>
                  <w:vAlign w:val="center"/>
                </w:tcPr>
                <w:p w14:paraId="467A3195">
                  <w:pPr>
                    <w:autoSpaceDE w:val="0"/>
                    <w:adjustRightInd w:val="0"/>
                    <w:snapToGrid w:val="0"/>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厂区内道路及生产区地面应硬化，功能应满足生产和运输要求，且应保持清洁，车辆行驶时应无明显可见扬尘，未硬化的空地应进行绿化。厂区整体绿化面积不低于10%，宜进行天面和立面的绿化。生活区地面宜采用透水铺装</w:t>
                  </w:r>
                  <w:r>
                    <w:rPr>
                      <w:rFonts w:hint="eastAsia" w:ascii="Times New Roman" w:hAnsi="Times New Roman" w:eastAsia="宋体" w:cs="Times New Roman"/>
                      <w:color w:val="auto"/>
                      <w:sz w:val="21"/>
                      <w:szCs w:val="21"/>
                      <w:lang w:eastAsia="zh-CN"/>
                    </w:rPr>
                    <w:t>。</w:t>
                  </w:r>
                </w:p>
              </w:tc>
              <w:tc>
                <w:tcPr>
                  <w:tcW w:w="2607" w:type="dxa"/>
                  <w:noWrap w:val="0"/>
                  <w:vAlign w:val="center"/>
                </w:tcPr>
                <w:p w14:paraId="4954BF87">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项目对厂内道路及生产区地面硬化，满足</w:t>
                  </w:r>
                  <w:r>
                    <w:rPr>
                      <w:rFonts w:hint="default" w:ascii="Times New Roman" w:hAnsi="Times New Roman" w:eastAsia="宋体" w:cs="Times New Roman"/>
                      <w:color w:val="auto"/>
                      <w:sz w:val="21"/>
                      <w:szCs w:val="21"/>
                    </w:rPr>
                    <w:t>生产和运输要求</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厂内保持清洁，无明显扬尘，</w:t>
                  </w:r>
                  <w:r>
                    <w:rPr>
                      <w:rFonts w:hint="default" w:ascii="Times New Roman" w:hAnsi="Times New Roman" w:eastAsia="宋体" w:cs="Times New Roman"/>
                      <w:color w:val="auto"/>
                      <w:sz w:val="21"/>
                      <w:szCs w:val="21"/>
                    </w:rPr>
                    <w:t>未硬化的空地进行绿化</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厂区整体绿化面积不低于10%</w:t>
                  </w:r>
                  <w:r>
                    <w:rPr>
                      <w:rFonts w:hint="eastAsia" w:ascii="Times New Roman" w:hAnsi="Times New Roman" w:eastAsia="宋体" w:cs="Times New Roman"/>
                      <w:color w:val="auto"/>
                      <w:sz w:val="21"/>
                      <w:szCs w:val="21"/>
                      <w:lang w:eastAsia="zh-CN"/>
                    </w:rPr>
                    <w:t>。</w:t>
                  </w:r>
                </w:p>
              </w:tc>
              <w:tc>
                <w:tcPr>
                  <w:tcW w:w="898" w:type="dxa"/>
                  <w:noWrap w:val="0"/>
                  <w:vAlign w:val="center"/>
                </w:tcPr>
                <w:p w14:paraId="43F5FA5B">
                  <w:pPr>
                    <w:pStyle w:val="23"/>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035A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0"/>
                  <w:vAlign w:val="center"/>
                </w:tcPr>
                <w:p w14:paraId="0B267E2F">
                  <w:pPr>
                    <w:widowControl/>
                    <w:adjustRightInd w:val="0"/>
                    <w:snapToGrid w:val="0"/>
                    <w:jc w:val="left"/>
                    <w:rPr>
                      <w:rFonts w:hint="default" w:ascii="Times New Roman" w:hAnsi="Times New Roman" w:eastAsia="宋体" w:cs="Times New Roman"/>
                      <w:color w:val="auto"/>
                      <w:sz w:val="21"/>
                      <w:szCs w:val="21"/>
                    </w:rPr>
                  </w:pPr>
                </w:p>
              </w:tc>
              <w:tc>
                <w:tcPr>
                  <w:tcW w:w="3776" w:type="dxa"/>
                  <w:gridSpan w:val="2"/>
                  <w:noWrap/>
                  <w:vAlign w:val="center"/>
                </w:tcPr>
                <w:p w14:paraId="40B32A1F">
                  <w:pPr>
                    <w:autoSpaceDE w:val="0"/>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厂区应合理设置排水管网，宜建立雨水收集系统并有效利用。</w:t>
                  </w:r>
                </w:p>
              </w:tc>
              <w:tc>
                <w:tcPr>
                  <w:tcW w:w="2607" w:type="dxa"/>
                  <w:noWrap w:val="0"/>
                  <w:vAlign w:val="center"/>
                </w:tcPr>
                <w:p w14:paraId="384B1388">
                  <w:pPr>
                    <w:pStyle w:val="23"/>
                    <w:adjustRightInd w:val="0"/>
                    <w:snapToGrid w:val="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项目厂区合理设置排水管网，建立雨水收集系统，初期雨水进行收集利用。</w:t>
                  </w:r>
                </w:p>
              </w:tc>
              <w:tc>
                <w:tcPr>
                  <w:tcW w:w="898" w:type="dxa"/>
                  <w:noWrap w:val="0"/>
                  <w:vAlign w:val="center"/>
                </w:tcPr>
                <w:p w14:paraId="19549ED3">
                  <w:pPr>
                    <w:pStyle w:val="23"/>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26D7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0"/>
                  <w:vAlign w:val="center"/>
                </w:tcPr>
                <w:p w14:paraId="155A205B">
                  <w:pPr>
                    <w:widowControl/>
                    <w:adjustRightInd w:val="0"/>
                    <w:snapToGrid w:val="0"/>
                    <w:jc w:val="left"/>
                    <w:rPr>
                      <w:rFonts w:hint="default" w:ascii="Times New Roman" w:hAnsi="Times New Roman" w:eastAsia="宋体" w:cs="Times New Roman"/>
                      <w:color w:val="auto"/>
                      <w:sz w:val="21"/>
                      <w:szCs w:val="21"/>
                    </w:rPr>
                  </w:pPr>
                </w:p>
              </w:tc>
              <w:tc>
                <w:tcPr>
                  <w:tcW w:w="3776" w:type="dxa"/>
                  <w:gridSpan w:val="2"/>
                  <w:noWrap/>
                  <w:vAlign w:val="center"/>
                </w:tcPr>
                <w:p w14:paraId="1AB649A7">
                  <w:pPr>
                    <w:autoSpaceDE w:val="0"/>
                    <w:adjustRightInd w:val="0"/>
                    <w:snapToGrid w:val="0"/>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厂区应配备相应的废弃油类等无法回收利用的废物收集设施，并应委托专业公司定期处置</w:t>
                  </w:r>
                  <w:r>
                    <w:rPr>
                      <w:rFonts w:hint="eastAsia" w:ascii="Times New Roman" w:hAnsi="Times New Roman" w:eastAsia="宋体" w:cs="Times New Roman"/>
                      <w:color w:val="auto"/>
                      <w:sz w:val="21"/>
                      <w:szCs w:val="21"/>
                      <w:lang w:eastAsia="zh-CN"/>
                    </w:rPr>
                    <w:t>。</w:t>
                  </w:r>
                </w:p>
              </w:tc>
              <w:tc>
                <w:tcPr>
                  <w:tcW w:w="2607" w:type="dxa"/>
                  <w:noWrap w:val="0"/>
                  <w:vAlign w:val="center"/>
                </w:tcPr>
                <w:p w14:paraId="68429588">
                  <w:pPr>
                    <w:pStyle w:val="23"/>
                    <w:adjustRightInd w:val="0"/>
                    <w:snapToGrid w:val="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项目产生的废机油暂存危废间，委托有资质单位定期处置。</w:t>
                  </w:r>
                </w:p>
              </w:tc>
              <w:tc>
                <w:tcPr>
                  <w:tcW w:w="898" w:type="dxa"/>
                  <w:noWrap w:val="0"/>
                  <w:vAlign w:val="center"/>
                </w:tcPr>
                <w:p w14:paraId="2C98315F">
                  <w:pPr>
                    <w:pStyle w:val="23"/>
                    <w:adjustRightInd w:val="0"/>
                    <w:snapToGrid w:val="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4FDE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0"/>
                  <w:vAlign w:val="center"/>
                </w:tcPr>
                <w:p w14:paraId="566F0740">
                  <w:pPr>
                    <w:widowControl/>
                    <w:adjustRightInd w:val="0"/>
                    <w:snapToGrid w:val="0"/>
                    <w:jc w:val="left"/>
                    <w:rPr>
                      <w:rFonts w:hint="default" w:ascii="Times New Roman" w:hAnsi="Times New Roman" w:eastAsia="宋体" w:cs="Times New Roman"/>
                      <w:color w:val="auto"/>
                      <w:sz w:val="21"/>
                      <w:szCs w:val="21"/>
                    </w:rPr>
                  </w:pPr>
                </w:p>
              </w:tc>
              <w:tc>
                <w:tcPr>
                  <w:tcW w:w="3776" w:type="dxa"/>
                  <w:gridSpan w:val="2"/>
                  <w:noWrap/>
                  <w:vAlign w:val="center"/>
                </w:tcPr>
                <w:p w14:paraId="6EFA5146">
                  <w:pPr>
                    <w:autoSpaceDE w:val="0"/>
                    <w:adjustRightInd w:val="0"/>
                    <w:snapToGrid w:val="0"/>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厂区应有污染物排放点平面图，并设置环保标识</w:t>
                  </w:r>
                  <w:r>
                    <w:rPr>
                      <w:rFonts w:hint="eastAsia" w:ascii="Times New Roman" w:hAnsi="Times New Roman" w:eastAsia="宋体" w:cs="Times New Roman"/>
                      <w:color w:val="auto"/>
                      <w:sz w:val="21"/>
                      <w:szCs w:val="21"/>
                      <w:lang w:eastAsia="zh-CN"/>
                    </w:rPr>
                    <w:t>。</w:t>
                  </w:r>
                </w:p>
              </w:tc>
              <w:tc>
                <w:tcPr>
                  <w:tcW w:w="2607" w:type="dxa"/>
                  <w:noWrap w:val="0"/>
                  <w:vAlign w:val="center"/>
                </w:tcPr>
                <w:p w14:paraId="30735090">
                  <w:pPr>
                    <w:pStyle w:val="23"/>
                    <w:adjustRightInd w:val="0"/>
                    <w:snapToGrid w:val="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厂区设置</w:t>
                  </w:r>
                  <w:r>
                    <w:rPr>
                      <w:rFonts w:hint="default" w:ascii="Times New Roman" w:hAnsi="Times New Roman" w:eastAsia="宋体" w:cs="Times New Roman"/>
                      <w:color w:val="auto"/>
                      <w:sz w:val="21"/>
                      <w:szCs w:val="21"/>
                    </w:rPr>
                    <w:t>污染物排放点平面图</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环保标识。</w:t>
                  </w:r>
                </w:p>
              </w:tc>
              <w:tc>
                <w:tcPr>
                  <w:tcW w:w="898" w:type="dxa"/>
                  <w:noWrap w:val="0"/>
                  <w:vAlign w:val="center"/>
                </w:tcPr>
                <w:p w14:paraId="6E8A6668">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7993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0"/>
                  <w:vAlign w:val="center"/>
                </w:tcPr>
                <w:p w14:paraId="214EDD59">
                  <w:pPr>
                    <w:widowControl/>
                    <w:adjustRightInd w:val="0"/>
                    <w:snapToGrid w:val="0"/>
                    <w:jc w:val="left"/>
                    <w:rPr>
                      <w:rFonts w:hint="default" w:ascii="Times New Roman" w:hAnsi="Times New Roman" w:eastAsia="宋体" w:cs="Times New Roman"/>
                      <w:color w:val="auto"/>
                      <w:sz w:val="21"/>
                      <w:szCs w:val="21"/>
                    </w:rPr>
                  </w:pPr>
                </w:p>
              </w:tc>
              <w:tc>
                <w:tcPr>
                  <w:tcW w:w="3776" w:type="dxa"/>
                  <w:gridSpan w:val="2"/>
                  <w:noWrap/>
                  <w:vAlign w:val="center"/>
                </w:tcPr>
                <w:p w14:paraId="5A3FB6FB">
                  <w:pPr>
                    <w:autoSpaceDE w:val="0"/>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厂区内应设置交通安全警示标识，保证人流、物流顺畅，宜设置循环行车路线</w:t>
                  </w:r>
                </w:p>
              </w:tc>
              <w:tc>
                <w:tcPr>
                  <w:tcW w:w="2607" w:type="dxa"/>
                  <w:noWrap w:val="0"/>
                  <w:vAlign w:val="center"/>
                </w:tcPr>
                <w:p w14:paraId="6587395D">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厂区</w:t>
                  </w:r>
                  <w:r>
                    <w:rPr>
                      <w:rFonts w:hint="default" w:ascii="Times New Roman" w:hAnsi="Times New Roman" w:eastAsia="宋体" w:cs="Times New Roman"/>
                      <w:color w:val="auto"/>
                      <w:sz w:val="21"/>
                      <w:szCs w:val="21"/>
                    </w:rPr>
                    <w:t>设置交通安全警示标识</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保证人流、物流顺畅</w:t>
                  </w:r>
                </w:p>
              </w:tc>
              <w:tc>
                <w:tcPr>
                  <w:tcW w:w="898" w:type="dxa"/>
                  <w:noWrap w:val="0"/>
                  <w:vAlign w:val="center"/>
                </w:tcPr>
                <w:p w14:paraId="3981DD7B">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6FA1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restart"/>
                  <w:noWrap/>
                  <w:vAlign w:val="center"/>
                </w:tcPr>
                <w:p w14:paraId="67678FA2">
                  <w:pPr>
                    <w:pStyle w:val="23"/>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设备设施</w:t>
                  </w:r>
                </w:p>
              </w:tc>
              <w:tc>
                <w:tcPr>
                  <w:tcW w:w="415" w:type="dxa"/>
                  <w:vMerge w:val="restart"/>
                  <w:noWrap/>
                  <w:vAlign w:val="center"/>
                </w:tcPr>
                <w:p w14:paraId="7D659300">
                  <w:pPr>
                    <w:autoSpaceDE w:val="0"/>
                    <w:adjustRightInd w:val="0"/>
                    <w:snapToGrid w:val="0"/>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color w:val="auto"/>
                      <w:sz w:val="21"/>
                      <w:szCs w:val="21"/>
                      <w:lang w:val="en-US" w:eastAsia="zh-CN"/>
                    </w:rPr>
                    <w:t>一般规定</w:t>
                  </w:r>
                </w:p>
              </w:tc>
              <w:tc>
                <w:tcPr>
                  <w:tcW w:w="3361" w:type="dxa"/>
                  <w:noWrap w:val="0"/>
                  <w:vAlign w:val="center"/>
                </w:tcPr>
                <w:p w14:paraId="378FAEB6">
                  <w:pPr>
                    <w:autoSpaceDE w:val="0"/>
                    <w:adjustRightInd w:val="0"/>
                    <w:snapToGrid w:val="0"/>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预拌混凝土搅拌站用设备设施应符合《预拌混凝土绿色5.1.1生产及管理技术规程》JGJ/T328</w:t>
                  </w:r>
                  <w:r>
                    <w:rPr>
                      <w:rFonts w:hint="eastAsia" w:ascii="宋体" w:hAnsi="宋体" w:eastAsia="宋体" w:cs="宋体"/>
                      <w:bCs/>
                      <w:color w:val="auto"/>
                      <w:sz w:val="21"/>
                      <w:szCs w:val="21"/>
                    </w:rPr>
                    <w:t>－</w:t>
                  </w:r>
                  <w:r>
                    <w:rPr>
                      <w:rFonts w:hint="default" w:ascii="Times New Roman" w:hAnsi="Times New Roman" w:eastAsia="宋体" w:cs="Times New Roman"/>
                      <w:bCs/>
                      <w:color w:val="auto"/>
                      <w:sz w:val="21"/>
                      <w:szCs w:val="21"/>
                    </w:rPr>
                    <w:t>2014第4.0.1条的规定。宜选用技术先进、低噪声、低能耗、低排放的搅拌、运输设备。产生噪声较大的设备设施，宜远离办公区、生活区和周边住宅区。</w:t>
                  </w:r>
                </w:p>
              </w:tc>
              <w:tc>
                <w:tcPr>
                  <w:tcW w:w="2607" w:type="dxa"/>
                  <w:noWrap w:val="0"/>
                  <w:vAlign w:val="center"/>
                </w:tcPr>
                <w:p w14:paraId="3C74A388">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项目选用的生产设备符合</w:t>
                  </w:r>
                  <w:r>
                    <w:rPr>
                      <w:rFonts w:hint="default" w:ascii="Times New Roman" w:hAnsi="Times New Roman" w:eastAsia="宋体" w:cs="Times New Roman"/>
                      <w:bCs/>
                      <w:color w:val="auto"/>
                      <w:sz w:val="21"/>
                      <w:szCs w:val="21"/>
                    </w:rPr>
                    <w:t>JGJ/T328</w:t>
                  </w:r>
                  <w:r>
                    <w:rPr>
                      <w:rFonts w:hint="eastAsia" w:ascii="宋体" w:hAnsi="宋体" w:eastAsia="宋体" w:cs="宋体"/>
                      <w:bCs/>
                      <w:color w:val="auto"/>
                      <w:sz w:val="21"/>
                      <w:szCs w:val="21"/>
                    </w:rPr>
                    <w:t>－</w:t>
                  </w:r>
                  <w:r>
                    <w:rPr>
                      <w:rFonts w:hint="default" w:ascii="Times New Roman" w:hAnsi="Times New Roman" w:eastAsia="宋体" w:cs="Times New Roman"/>
                      <w:bCs/>
                      <w:color w:val="auto"/>
                      <w:sz w:val="21"/>
                      <w:szCs w:val="21"/>
                    </w:rPr>
                    <w:t>2014第4.0.1条的规定</w:t>
                  </w:r>
                  <w:r>
                    <w:rPr>
                      <w:rFonts w:hint="eastAsia" w:ascii="Times New Roman" w:hAnsi="Times New Roman" w:eastAsia="宋体" w:cs="Times New Roman"/>
                      <w:bCs/>
                      <w:color w:val="auto"/>
                      <w:sz w:val="21"/>
                      <w:szCs w:val="21"/>
                      <w:lang w:eastAsia="zh-CN"/>
                    </w:rPr>
                    <w:t>，</w:t>
                  </w:r>
                  <w:r>
                    <w:rPr>
                      <w:rFonts w:hint="eastAsia" w:ascii="Times New Roman" w:hAnsi="Times New Roman" w:eastAsia="宋体" w:cs="Times New Roman"/>
                      <w:bCs/>
                      <w:color w:val="auto"/>
                      <w:sz w:val="21"/>
                      <w:szCs w:val="21"/>
                      <w:lang w:val="en-US" w:eastAsia="zh-CN"/>
                    </w:rPr>
                    <w:t>合理布置设备布局，高噪声设备</w:t>
                  </w:r>
                  <w:r>
                    <w:rPr>
                      <w:rFonts w:hint="default" w:ascii="Times New Roman" w:hAnsi="Times New Roman" w:eastAsia="宋体" w:cs="Times New Roman"/>
                      <w:bCs/>
                      <w:color w:val="auto"/>
                      <w:sz w:val="21"/>
                      <w:szCs w:val="21"/>
                    </w:rPr>
                    <w:t>远离办公区、周边住宅区</w:t>
                  </w:r>
                  <w:r>
                    <w:rPr>
                      <w:rFonts w:hint="eastAsia" w:ascii="Times New Roman" w:hAnsi="Times New Roman" w:eastAsia="宋体" w:cs="Times New Roman"/>
                      <w:bCs/>
                      <w:color w:val="auto"/>
                      <w:sz w:val="21"/>
                      <w:szCs w:val="21"/>
                      <w:lang w:eastAsia="zh-CN"/>
                    </w:rPr>
                    <w:t>。</w:t>
                  </w:r>
                </w:p>
              </w:tc>
              <w:tc>
                <w:tcPr>
                  <w:tcW w:w="898" w:type="dxa"/>
                  <w:noWrap w:val="0"/>
                  <w:vAlign w:val="center"/>
                </w:tcPr>
                <w:p w14:paraId="012AA64F">
                  <w:pPr>
                    <w:pStyle w:val="23"/>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73D9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652" w:type="dxa"/>
                  <w:vMerge w:val="continue"/>
                  <w:noWrap/>
                  <w:vAlign w:val="center"/>
                </w:tcPr>
                <w:p w14:paraId="1E43F43B">
                  <w:pPr>
                    <w:pStyle w:val="23"/>
                    <w:adjustRightInd w:val="0"/>
                    <w:snapToGrid w:val="0"/>
                    <w:rPr>
                      <w:rFonts w:hint="default" w:ascii="Times New Roman" w:hAnsi="Times New Roman" w:eastAsia="宋体" w:cs="Times New Roman"/>
                      <w:color w:val="auto"/>
                      <w:sz w:val="21"/>
                      <w:szCs w:val="21"/>
                    </w:rPr>
                  </w:pPr>
                </w:p>
              </w:tc>
              <w:tc>
                <w:tcPr>
                  <w:tcW w:w="415" w:type="dxa"/>
                  <w:vMerge w:val="continue"/>
                  <w:noWrap/>
                  <w:vAlign w:val="center"/>
                </w:tcPr>
                <w:p w14:paraId="28859438">
                  <w:pPr>
                    <w:autoSpaceDE w:val="0"/>
                    <w:adjustRightInd w:val="0"/>
                    <w:snapToGrid w:val="0"/>
                    <w:rPr>
                      <w:rFonts w:hint="default" w:ascii="Times New Roman" w:hAnsi="Times New Roman" w:eastAsia="宋体" w:cs="Times New Roman"/>
                      <w:color w:val="auto"/>
                      <w:sz w:val="21"/>
                      <w:szCs w:val="21"/>
                    </w:rPr>
                  </w:pPr>
                </w:p>
              </w:tc>
              <w:tc>
                <w:tcPr>
                  <w:tcW w:w="3361" w:type="dxa"/>
                  <w:noWrap w:val="0"/>
                  <w:vAlign w:val="center"/>
                </w:tcPr>
                <w:p w14:paraId="68404A8B">
                  <w:pPr>
                    <w:autoSpaceDE w:val="0"/>
                    <w:adjustRightInd w:val="0"/>
                    <w:snapToGrid w:val="0"/>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预拌混凝土搅拌站的生产、运输、环保等设施设备应按主管部门的规定登记备案</w:t>
                  </w:r>
                  <w:r>
                    <w:rPr>
                      <w:rFonts w:hint="eastAsia" w:ascii="Times New Roman" w:hAnsi="Times New Roman" w:eastAsia="宋体" w:cs="Times New Roman"/>
                      <w:bCs/>
                      <w:color w:val="auto"/>
                      <w:sz w:val="21"/>
                      <w:szCs w:val="21"/>
                      <w:lang w:eastAsia="zh-CN"/>
                    </w:rPr>
                    <w:t>。</w:t>
                  </w:r>
                </w:p>
              </w:tc>
              <w:tc>
                <w:tcPr>
                  <w:tcW w:w="2607" w:type="dxa"/>
                  <w:noWrap w:val="0"/>
                  <w:vAlign w:val="center"/>
                </w:tcPr>
                <w:p w14:paraId="352C9A61">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w:t>
                  </w:r>
                  <w:r>
                    <w:rPr>
                      <w:rFonts w:hint="default" w:ascii="Times New Roman" w:hAnsi="Times New Roman" w:eastAsia="宋体" w:cs="Times New Roman"/>
                      <w:bCs/>
                      <w:color w:val="auto"/>
                      <w:sz w:val="21"/>
                      <w:szCs w:val="21"/>
                    </w:rPr>
                    <w:t>生产、运输、环保等设施设备按主管部门的规定登记备案</w:t>
                  </w:r>
                  <w:r>
                    <w:rPr>
                      <w:rFonts w:hint="eastAsia" w:ascii="Times New Roman" w:hAnsi="Times New Roman" w:eastAsia="宋体" w:cs="Times New Roman"/>
                      <w:bCs/>
                      <w:color w:val="auto"/>
                      <w:sz w:val="21"/>
                      <w:szCs w:val="21"/>
                      <w:lang w:eastAsia="zh-CN"/>
                    </w:rPr>
                    <w:t>。</w:t>
                  </w:r>
                </w:p>
              </w:tc>
              <w:tc>
                <w:tcPr>
                  <w:tcW w:w="898" w:type="dxa"/>
                  <w:noWrap w:val="0"/>
                  <w:vAlign w:val="center"/>
                </w:tcPr>
                <w:p w14:paraId="0EB5796E">
                  <w:pPr>
                    <w:pStyle w:val="23"/>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71E6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652" w:type="dxa"/>
                  <w:vMerge w:val="continue"/>
                  <w:noWrap/>
                  <w:vAlign w:val="center"/>
                </w:tcPr>
                <w:p w14:paraId="63DBEC2E">
                  <w:pPr>
                    <w:pStyle w:val="23"/>
                    <w:adjustRightInd w:val="0"/>
                    <w:snapToGrid w:val="0"/>
                    <w:rPr>
                      <w:color w:val="auto"/>
                    </w:rPr>
                  </w:pPr>
                </w:p>
              </w:tc>
              <w:tc>
                <w:tcPr>
                  <w:tcW w:w="415" w:type="dxa"/>
                  <w:vMerge w:val="continue"/>
                  <w:noWrap/>
                  <w:vAlign w:val="center"/>
                </w:tcPr>
                <w:p w14:paraId="02C7DC6A">
                  <w:pPr>
                    <w:pStyle w:val="23"/>
                    <w:adjustRightInd w:val="0"/>
                    <w:snapToGrid w:val="0"/>
                    <w:rPr>
                      <w:color w:val="auto"/>
                    </w:rPr>
                  </w:pPr>
                </w:p>
              </w:tc>
              <w:tc>
                <w:tcPr>
                  <w:tcW w:w="3361" w:type="dxa"/>
                  <w:noWrap w:val="0"/>
                  <w:vAlign w:val="center"/>
                </w:tcPr>
                <w:p w14:paraId="004983A1">
                  <w:pPr>
                    <w:pStyle w:val="23"/>
                    <w:adjustRightInd w:val="0"/>
                    <w:snapToGrid w:val="0"/>
                    <w:jc w:val="left"/>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预拌混凝土搅拌站应建立设施设备技术档案，集尘、降噪、污水处理等环保设施和生产设备应定期进行检查维护和记录，确保正常运行</w:t>
                  </w:r>
                  <w:r>
                    <w:rPr>
                      <w:rFonts w:hint="eastAsia" w:ascii="Times New Roman" w:hAnsi="Times New Roman" w:eastAsia="宋体" w:cs="Times New Roman"/>
                      <w:bCs/>
                      <w:color w:val="auto"/>
                      <w:sz w:val="21"/>
                      <w:szCs w:val="21"/>
                      <w:lang w:eastAsia="zh-CN"/>
                    </w:rPr>
                    <w:t>。</w:t>
                  </w:r>
                </w:p>
              </w:tc>
              <w:tc>
                <w:tcPr>
                  <w:tcW w:w="2607" w:type="dxa"/>
                  <w:noWrap w:val="0"/>
                  <w:vAlign w:val="center"/>
                </w:tcPr>
                <w:p w14:paraId="57050B23">
                  <w:pPr>
                    <w:pStyle w:val="23"/>
                    <w:adjustRightInd w:val="0"/>
                    <w:snapToGrid w:val="0"/>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项目建立</w:t>
                  </w:r>
                  <w:r>
                    <w:rPr>
                      <w:rFonts w:hint="default" w:ascii="Times New Roman" w:hAnsi="Times New Roman" w:eastAsia="宋体" w:cs="Times New Roman"/>
                      <w:bCs/>
                      <w:color w:val="auto"/>
                      <w:sz w:val="21"/>
                      <w:szCs w:val="21"/>
                    </w:rPr>
                    <w:t>设施设备技术档案，集尘、降噪、污水处理等环保设施和生产设备定期进行检查维护和记录，确保正常运行</w:t>
                  </w:r>
                  <w:r>
                    <w:rPr>
                      <w:rFonts w:hint="eastAsia" w:ascii="Times New Roman" w:hAnsi="Times New Roman" w:eastAsia="宋体" w:cs="Times New Roman"/>
                      <w:bCs/>
                      <w:color w:val="auto"/>
                      <w:sz w:val="21"/>
                      <w:szCs w:val="21"/>
                      <w:lang w:eastAsia="zh-CN"/>
                    </w:rPr>
                    <w:t>。</w:t>
                  </w:r>
                </w:p>
              </w:tc>
              <w:tc>
                <w:tcPr>
                  <w:tcW w:w="898" w:type="dxa"/>
                  <w:noWrap w:val="0"/>
                  <w:vAlign w:val="center"/>
                </w:tcPr>
                <w:p w14:paraId="7B079C2C">
                  <w:pPr>
                    <w:pStyle w:val="23"/>
                    <w:adjustRightInd w:val="0"/>
                    <w:snapToGrid w:val="0"/>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符合</w:t>
                  </w:r>
                </w:p>
              </w:tc>
            </w:tr>
            <w:tr w14:paraId="5EA1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652" w:type="dxa"/>
                  <w:vMerge w:val="continue"/>
                  <w:noWrap/>
                  <w:vAlign w:val="center"/>
                </w:tcPr>
                <w:p w14:paraId="2037E487">
                  <w:pPr>
                    <w:pStyle w:val="23"/>
                    <w:adjustRightInd w:val="0"/>
                    <w:snapToGrid w:val="0"/>
                    <w:rPr>
                      <w:rFonts w:hint="default" w:ascii="Times New Roman" w:hAnsi="Times New Roman" w:eastAsia="宋体" w:cs="Times New Roman"/>
                      <w:bCs/>
                      <w:color w:val="auto"/>
                      <w:sz w:val="21"/>
                      <w:szCs w:val="21"/>
                    </w:rPr>
                  </w:pPr>
                </w:p>
              </w:tc>
              <w:tc>
                <w:tcPr>
                  <w:tcW w:w="415" w:type="dxa"/>
                  <w:vMerge w:val="continue"/>
                  <w:noWrap/>
                  <w:vAlign w:val="center"/>
                </w:tcPr>
                <w:p w14:paraId="2F08EE0F">
                  <w:pPr>
                    <w:pStyle w:val="23"/>
                    <w:adjustRightInd w:val="0"/>
                    <w:snapToGrid w:val="0"/>
                    <w:rPr>
                      <w:rFonts w:hint="default" w:ascii="Times New Roman" w:hAnsi="Times New Roman" w:eastAsia="宋体" w:cs="Times New Roman"/>
                      <w:bCs/>
                      <w:color w:val="auto"/>
                      <w:sz w:val="21"/>
                      <w:szCs w:val="21"/>
                    </w:rPr>
                  </w:pPr>
                </w:p>
              </w:tc>
              <w:tc>
                <w:tcPr>
                  <w:tcW w:w="3361" w:type="dxa"/>
                  <w:noWrap w:val="0"/>
                  <w:vAlign w:val="center"/>
                </w:tcPr>
                <w:p w14:paraId="41F34C16">
                  <w:pPr>
                    <w:pStyle w:val="23"/>
                    <w:adjustRightInd w:val="0"/>
                    <w:snapToGrid w:val="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预拌混凝土搅拌站应建立生产废水处置系统，当生产废水用作混凝土拌合用水时应符合《预拌混凝土绿色生产及管理技术规程》JGJ/T 328一2014第5.2.3条规定。</w:t>
                  </w:r>
                </w:p>
              </w:tc>
              <w:tc>
                <w:tcPr>
                  <w:tcW w:w="2607" w:type="dxa"/>
                  <w:noWrap w:val="0"/>
                  <w:vAlign w:val="center"/>
                </w:tcPr>
                <w:p w14:paraId="46602F38">
                  <w:pPr>
                    <w:pStyle w:val="23"/>
                    <w:adjustRightInd w:val="0"/>
                    <w:snapToGrid w:val="0"/>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项目设置“沉淀+过滤罐+板框压滤”废水处理系统，生产废水经处理后回用于生产，不外排。</w:t>
                  </w:r>
                </w:p>
              </w:tc>
              <w:tc>
                <w:tcPr>
                  <w:tcW w:w="898" w:type="dxa"/>
                  <w:noWrap w:val="0"/>
                  <w:vAlign w:val="center"/>
                </w:tcPr>
                <w:p w14:paraId="24358758">
                  <w:pPr>
                    <w:pStyle w:val="23"/>
                    <w:adjustRightInd w:val="0"/>
                    <w:snapToGrid w:val="0"/>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符合</w:t>
                  </w:r>
                </w:p>
              </w:tc>
            </w:tr>
            <w:tr w14:paraId="5ECA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652" w:type="dxa"/>
                  <w:vMerge w:val="continue"/>
                  <w:noWrap/>
                  <w:vAlign w:val="center"/>
                </w:tcPr>
                <w:p w14:paraId="45065A9C">
                  <w:pPr>
                    <w:pStyle w:val="23"/>
                    <w:adjustRightInd w:val="0"/>
                    <w:snapToGrid w:val="0"/>
                    <w:rPr>
                      <w:rFonts w:hint="default" w:ascii="Times New Roman" w:hAnsi="Times New Roman" w:eastAsia="宋体" w:cs="Times New Roman"/>
                      <w:bCs/>
                      <w:color w:val="auto"/>
                      <w:sz w:val="21"/>
                      <w:szCs w:val="21"/>
                    </w:rPr>
                  </w:pPr>
                </w:p>
              </w:tc>
              <w:tc>
                <w:tcPr>
                  <w:tcW w:w="415" w:type="dxa"/>
                  <w:vMerge w:val="continue"/>
                  <w:noWrap/>
                  <w:vAlign w:val="center"/>
                </w:tcPr>
                <w:p w14:paraId="3FE1DF44">
                  <w:pPr>
                    <w:pStyle w:val="23"/>
                    <w:adjustRightInd w:val="0"/>
                    <w:snapToGrid w:val="0"/>
                    <w:rPr>
                      <w:rFonts w:hint="default" w:ascii="Times New Roman" w:hAnsi="Times New Roman" w:eastAsia="宋体" w:cs="Times New Roman"/>
                      <w:bCs/>
                      <w:color w:val="auto"/>
                      <w:sz w:val="21"/>
                      <w:szCs w:val="21"/>
                    </w:rPr>
                  </w:pPr>
                </w:p>
              </w:tc>
              <w:tc>
                <w:tcPr>
                  <w:tcW w:w="3361" w:type="dxa"/>
                  <w:noWrap w:val="0"/>
                  <w:vAlign w:val="center"/>
                </w:tcPr>
                <w:p w14:paraId="07475916">
                  <w:pPr>
                    <w:pStyle w:val="23"/>
                    <w:adjustRightInd w:val="0"/>
                    <w:snapToGrid w:val="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预拌混凝土搅拌站应建立混凝土拌合物回收再利用设施，设施应满足生产过程中混凝土拌合物的回收、分离和再利用。对分离出来的砂、石做到100%的回收利用</w:t>
                  </w:r>
                </w:p>
              </w:tc>
              <w:tc>
                <w:tcPr>
                  <w:tcW w:w="2607" w:type="dxa"/>
                  <w:noWrap w:val="0"/>
                  <w:vAlign w:val="center"/>
                </w:tcPr>
                <w:p w14:paraId="6E9BC5BB">
                  <w:pPr>
                    <w:pStyle w:val="23"/>
                    <w:adjustRightInd w:val="0"/>
                    <w:snapToGrid w:val="0"/>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项目对设备清洗、混凝土运输车辆清洗过程 产生的砂、石进行回收外售综合利用</w:t>
                  </w:r>
                </w:p>
              </w:tc>
              <w:tc>
                <w:tcPr>
                  <w:tcW w:w="898" w:type="dxa"/>
                  <w:noWrap w:val="0"/>
                  <w:vAlign w:val="center"/>
                </w:tcPr>
                <w:p w14:paraId="0948B7B0">
                  <w:pPr>
                    <w:pStyle w:val="23"/>
                    <w:adjustRightInd w:val="0"/>
                    <w:snapToGrid w:val="0"/>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符合</w:t>
                  </w:r>
                </w:p>
              </w:tc>
            </w:tr>
            <w:tr w14:paraId="25A0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ign w:val="center"/>
                </w:tcPr>
                <w:p w14:paraId="3A0329D6">
                  <w:pPr>
                    <w:pStyle w:val="23"/>
                    <w:adjustRightInd w:val="0"/>
                    <w:snapToGrid w:val="0"/>
                    <w:rPr>
                      <w:rFonts w:hint="default" w:ascii="Times New Roman" w:hAnsi="Times New Roman" w:eastAsia="宋体" w:cs="Times New Roman"/>
                      <w:color w:val="auto"/>
                      <w:sz w:val="21"/>
                      <w:szCs w:val="21"/>
                    </w:rPr>
                  </w:pPr>
                </w:p>
              </w:tc>
              <w:tc>
                <w:tcPr>
                  <w:tcW w:w="415" w:type="dxa"/>
                  <w:vMerge w:val="restart"/>
                  <w:noWrap/>
                  <w:vAlign w:val="center"/>
                </w:tcPr>
                <w:p w14:paraId="6830FE35">
                  <w:pPr>
                    <w:autoSpaceDE w:val="0"/>
                    <w:adjustRightInd w:val="0"/>
                    <w:snapToGrid w:val="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搅拌楼</w:t>
                  </w:r>
                </w:p>
              </w:tc>
              <w:tc>
                <w:tcPr>
                  <w:tcW w:w="3361" w:type="dxa"/>
                  <w:noWrap w:val="0"/>
                  <w:vAlign w:val="center"/>
                </w:tcPr>
                <w:p w14:paraId="57F9CBC6">
                  <w:pPr>
                    <w:autoSpaceDE w:val="0"/>
                    <w:adjustRightInd w:val="0"/>
                    <w:snapToGrid w:val="0"/>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搅拌楼应合理布置，宜根据对噪声、粉尘的控制要求采用整体封闭方式。维护结构应能满足正常使用要求，确保封闭持续有效。</w:t>
                  </w:r>
                </w:p>
              </w:tc>
              <w:tc>
                <w:tcPr>
                  <w:tcW w:w="2607" w:type="dxa"/>
                  <w:noWrap w:val="0"/>
                  <w:vAlign w:val="center"/>
                </w:tcPr>
                <w:p w14:paraId="52D13801">
                  <w:pPr>
                    <w:pStyle w:val="23"/>
                    <w:adjustRightInd w:val="0"/>
                    <w:snapToGrid w:val="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项目合理布置搅拌楼，搅拌楼进行整体封闭。</w:t>
                  </w:r>
                </w:p>
              </w:tc>
              <w:tc>
                <w:tcPr>
                  <w:tcW w:w="898" w:type="dxa"/>
                  <w:noWrap w:val="0"/>
                  <w:vAlign w:val="center"/>
                </w:tcPr>
                <w:p w14:paraId="3093784F">
                  <w:pPr>
                    <w:pStyle w:val="23"/>
                    <w:adjustRightInd w:val="0"/>
                    <w:snapToGrid w:val="0"/>
                    <w:rPr>
                      <w:rFonts w:hint="default" w:ascii="Times New Roman" w:hAnsi="Times New Roman" w:eastAsia="宋体" w:cs="Times New Roman"/>
                      <w:color w:val="auto"/>
                      <w:sz w:val="21"/>
                      <w:szCs w:val="21"/>
                    </w:rPr>
                  </w:pPr>
                  <w:r>
                    <w:rPr>
                      <w:rFonts w:hint="eastAsia" w:ascii="Times New Roman" w:hAnsi="Times New Roman" w:eastAsia="宋体" w:cs="Times New Roman"/>
                      <w:bCs/>
                      <w:color w:val="auto"/>
                      <w:sz w:val="21"/>
                      <w:szCs w:val="21"/>
                      <w:lang w:val="en-US" w:eastAsia="zh-CN"/>
                    </w:rPr>
                    <w:t>符合</w:t>
                  </w:r>
                </w:p>
              </w:tc>
            </w:tr>
            <w:tr w14:paraId="453D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ign w:val="center"/>
                </w:tcPr>
                <w:p w14:paraId="3152989B">
                  <w:pPr>
                    <w:pStyle w:val="23"/>
                    <w:adjustRightInd w:val="0"/>
                    <w:snapToGrid w:val="0"/>
                    <w:rPr>
                      <w:rFonts w:hint="default" w:ascii="Times New Roman" w:hAnsi="Times New Roman" w:eastAsia="宋体" w:cs="Times New Roman"/>
                      <w:color w:val="auto"/>
                      <w:sz w:val="21"/>
                      <w:szCs w:val="21"/>
                    </w:rPr>
                  </w:pPr>
                </w:p>
              </w:tc>
              <w:tc>
                <w:tcPr>
                  <w:tcW w:w="415" w:type="dxa"/>
                  <w:vMerge w:val="continue"/>
                  <w:noWrap/>
                  <w:vAlign w:val="center"/>
                </w:tcPr>
                <w:p w14:paraId="57B38072">
                  <w:pPr>
                    <w:autoSpaceDE w:val="0"/>
                    <w:adjustRightInd w:val="0"/>
                    <w:snapToGrid w:val="0"/>
                    <w:rPr>
                      <w:rFonts w:hint="default" w:ascii="Times New Roman" w:hAnsi="Times New Roman" w:eastAsia="宋体" w:cs="Times New Roman"/>
                      <w:color w:val="auto"/>
                      <w:sz w:val="21"/>
                      <w:szCs w:val="21"/>
                    </w:rPr>
                  </w:pPr>
                </w:p>
              </w:tc>
              <w:tc>
                <w:tcPr>
                  <w:tcW w:w="3361" w:type="dxa"/>
                  <w:noWrap w:val="0"/>
                  <w:vAlign w:val="center"/>
                </w:tcPr>
                <w:p w14:paraId="6B287665">
                  <w:pPr>
                    <w:autoSpaceDE w:val="0"/>
                    <w:adjustRightInd w:val="0"/>
                    <w:snapToGrid w:val="0"/>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搅拌楼应在产生生产性粉尘的位置安装除尘装置，并应定期保养调试，保持其正常使用</w:t>
                  </w:r>
                  <w:r>
                    <w:rPr>
                      <w:rFonts w:hint="eastAsia" w:ascii="Times New Roman" w:hAnsi="Times New Roman" w:eastAsia="宋体" w:cs="Times New Roman"/>
                      <w:bCs/>
                      <w:color w:val="auto"/>
                      <w:sz w:val="21"/>
                      <w:szCs w:val="21"/>
                      <w:lang w:eastAsia="zh-CN"/>
                    </w:rPr>
                    <w:t>。</w:t>
                  </w:r>
                </w:p>
              </w:tc>
              <w:tc>
                <w:tcPr>
                  <w:tcW w:w="2607" w:type="dxa"/>
                  <w:noWrap w:val="0"/>
                  <w:vAlign w:val="center"/>
                </w:tcPr>
                <w:p w14:paraId="3F4D83A6">
                  <w:pPr>
                    <w:pStyle w:val="23"/>
                    <w:adjustRightInd w:val="0"/>
                    <w:snapToGrid w:val="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项目搅拌楼设置布袋除尘器，对生产性粉尘进行处理。</w:t>
                  </w:r>
                </w:p>
              </w:tc>
              <w:tc>
                <w:tcPr>
                  <w:tcW w:w="898" w:type="dxa"/>
                  <w:noWrap w:val="0"/>
                  <w:vAlign w:val="center"/>
                </w:tcPr>
                <w:p w14:paraId="61D652F3">
                  <w:pPr>
                    <w:pStyle w:val="23"/>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5D5D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ign w:val="center"/>
                </w:tcPr>
                <w:p w14:paraId="25264231">
                  <w:pPr>
                    <w:pStyle w:val="23"/>
                    <w:adjustRightInd w:val="0"/>
                    <w:snapToGrid w:val="0"/>
                    <w:rPr>
                      <w:rFonts w:hint="default" w:ascii="Times New Roman" w:hAnsi="Times New Roman" w:eastAsia="宋体" w:cs="Times New Roman"/>
                      <w:color w:val="auto"/>
                      <w:sz w:val="21"/>
                      <w:szCs w:val="21"/>
                    </w:rPr>
                  </w:pPr>
                </w:p>
              </w:tc>
              <w:tc>
                <w:tcPr>
                  <w:tcW w:w="415" w:type="dxa"/>
                  <w:vMerge w:val="restart"/>
                  <w:noWrap/>
                  <w:vAlign w:val="center"/>
                </w:tcPr>
                <w:p w14:paraId="46532C55">
                  <w:pPr>
                    <w:autoSpaceDE w:val="0"/>
                    <w:adjustRightInd w:val="0"/>
                    <w:snapToGrid w:val="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骨料堆场</w:t>
                  </w:r>
                </w:p>
              </w:tc>
              <w:tc>
                <w:tcPr>
                  <w:tcW w:w="3361" w:type="dxa"/>
                  <w:noWrap w:val="0"/>
                  <w:vAlign w:val="center"/>
                </w:tcPr>
                <w:p w14:paraId="0C7A9EAA">
                  <w:pPr>
                    <w:autoSpaceDE w:val="0"/>
                    <w:adjustRightInd w:val="0"/>
                    <w:snapToGrid w:val="0"/>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骨料堆场宜封闭、标明边界。所有装卸料行为应在边界内完成</w:t>
                  </w:r>
                  <w:r>
                    <w:rPr>
                      <w:rFonts w:hint="eastAsia" w:ascii="Times New Roman" w:hAnsi="Times New Roman" w:eastAsia="宋体" w:cs="Times New Roman"/>
                      <w:bCs/>
                      <w:color w:val="auto"/>
                      <w:sz w:val="21"/>
                      <w:szCs w:val="21"/>
                      <w:lang w:eastAsia="zh-CN"/>
                    </w:rPr>
                    <w:t>。</w:t>
                  </w:r>
                </w:p>
              </w:tc>
              <w:tc>
                <w:tcPr>
                  <w:tcW w:w="2607" w:type="dxa"/>
                  <w:noWrap w:val="0"/>
                  <w:vAlign w:val="center"/>
                </w:tcPr>
                <w:p w14:paraId="59E5D7D6">
                  <w:pPr>
                    <w:pStyle w:val="23"/>
                    <w:adjustRightInd w:val="0"/>
                    <w:snapToGrid w:val="0"/>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项目堆场堆置的砂石骨料经水洗加工后，湿度较大，产生的扬尘不大，</w:t>
                  </w:r>
                  <w:r>
                    <w:rPr>
                      <w:rFonts w:hint="eastAsia" w:ascii="Times New Roman" w:hAnsi="Times New Roman" w:eastAsia="宋体" w:cs="Times New Roman"/>
                      <w:color w:val="auto"/>
                      <w:sz w:val="21"/>
                      <w:szCs w:val="21"/>
                      <w:lang w:val="en-US" w:eastAsia="zh-CN"/>
                    </w:rPr>
                    <w:t>并</w:t>
                  </w:r>
                  <w:r>
                    <w:rPr>
                      <w:rFonts w:hint="default" w:ascii="Times New Roman" w:hAnsi="Times New Roman" w:eastAsia="宋体" w:cs="Times New Roman"/>
                      <w:color w:val="auto"/>
                      <w:sz w:val="21"/>
                      <w:szCs w:val="21"/>
                    </w:rPr>
                    <w:t>通过设置喷雾降尘减少扬尘</w:t>
                  </w:r>
                </w:p>
              </w:tc>
              <w:tc>
                <w:tcPr>
                  <w:tcW w:w="898" w:type="dxa"/>
                  <w:noWrap w:val="0"/>
                  <w:vAlign w:val="center"/>
                </w:tcPr>
                <w:p w14:paraId="17405ED4">
                  <w:pPr>
                    <w:pStyle w:val="23"/>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201D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ign w:val="center"/>
                </w:tcPr>
                <w:p w14:paraId="018B8595">
                  <w:pPr>
                    <w:pStyle w:val="23"/>
                    <w:adjustRightInd w:val="0"/>
                    <w:snapToGrid w:val="0"/>
                    <w:rPr>
                      <w:rFonts w:hint="default" w:ascii="Times New Roman" w:hAnsi="Times New Roman" w:eastAsia="宋体" w:cs="Times New Roman"/>
                      <w:color w:val="auto"/>
                      <w:sz w:val="21"/>
                      <w:szCs w:val="21"/>
                    </w:rPr>
                  </w:pPr>
                </w:p>
              </w:tc>
              <w:tc>
                <w:tcPr>
                  <w:tcW w:w="415" w:type="dxa"/>
                  <w:vMerge w:val="continue"/>
                  <w:noWrap/>
                  <w:vAlign w:val="center"/>
                </w:tcPr>
                <w:p w14:paraId="4A467AF9">
                  <w:pPr>
                    <w:autoSpaceDE w:val="0"/>
                    <w:adjustRightInd w:val="0"/>
                    <w:snapToGrid w:val="0"/>
                    <w:rPr>
                      <w:rFonts w:hint="default" w:ascii="Times New Roman" w:hAnsi="Times New Roman" w:eastAsia="宋体" w:cs="Times New Roman"/>
                      <w:color w:val="auto"/>
                      <w:sz w:val="21"/>
                      <w:szCs w:val="21"/>
                    </w:rPr>
                  </w:pPr>
                </w:p>
              </w:tc>
              <w:tc>
                <w:tcPr>
                  <w:tcW w:w="3361" w:type="dxa"/>
                  <w:noWrap w:val="0"/>
                  <w:vAlign w:val="center"/>
                </w:tcPr>
                <w:p w14:paraId="22F9FC84">
                  <w:pPr>
                    <w:autoSpaceDE w:val="0"/>
                    <w:adjustRightInd w:val="0"/>
                    <w:snapToGrid w:val="0"/>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骨料堆场地面应硬化，应设置排水沟，保持排水通畅</w:t>
                  </w:r>
                </w:p>
              </w:tc>
              <w:tc>
                <w:tcPr>
                  <w:tcW w:w="2607" w:type="dxa"/>
                  <w:noWrap w:val="0"/>
                  <w:vAlign w:val="center"/>
                </w:tcPr>
                <w:p w14:paraId="6822EF6F">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w:t>
                  </w:r>
                  <w:r>
                    <w:rPr>
                      <w:rFonts w:hint="default" w:ascii="Times New Roman" w:hAnsi="Times New Roman" w:eastAsia="宋体" w:cs="Times New Roman"/>
                      <w:bCs/>
                      <w:color w:val="auto"/>
                      <w:sz w:val="21"/>
                      <w:szCs w:val="21"/>
                    </w:rPr>
                    <w:t>骨料堆场地面硬化，设置排水沟，</w:t>
                  </w:r>
                  <w:r>
                    <w:rPr>
                      <w:rFonts w:hint="eastAsia" w:ascii="Times New Roman" w:hAnsi="Times New Roman" w:eastAsia="宋体" w:cs="Times New Roman"/>
                      <w:bCs/>
                      <w:color w:val="auto"/>
                      <w:sz w:val="21"/>
                      <w:szCs w:val="21"/>
                      <w:lang w:val="en-US" w:eastAsia="zh-CN"/>
                    </w:rPr>
                    <w:t>并</w:t>
                  </w:r>
                  <w:r>
                    <w:rPr>
                      <w:rFonts w:hint="default" w:ascii="Times New Roman" w:hAnsi="Times New Roman" w:eastAsia="宋体" w:cs="Times New Roman"/>
                      <w:bCs/>
                      <w:color w:val="auto"/>
                      <w:sz w:val="21"/>
                      <w:szCs w:val="21"/>
                    </w:rPr>
                    <w:t>保持排水通畅</w:t>
                  </w:r>
                </w:p>
              </w:tc>
              <w:tc>
                <w:tcPr>
                  <w:tcW w:w="898" w:type="dxa"/>
                  <w:noWrap w:val="0"/>
                  <w:vAlign w:val="center"/>
                </w:tcPr>
                <w:p w14:paraId="667A47BC">
                  <w:pPr>
                    <w:pStyle w:val="23"/>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72AF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ign w:val="center"/>
                </w:tcPr>
                <w:p w14:paraId="090D5E45">
                  <w:pPr>
                    <w:pStyle w:val="23"/>
                    <w:adjustRightInd w:val="0"/>
                    <w:snapToGrid w:val="0"/>
                    <w:rPr>
                      <w:rFonts w:hint="default" w:ascii="Times New Roman" w:hAnsi="Times New Roman" w:eastAsia="宋体" w:cs="Times New Roman"/>
                      <w:color w:val="auto"/>
                      <w:sz w:val="21"/>
                      <w:szCs w:val="21"/>
                    </w:rPr>
                  </w:pPr>
                </w:p>
              </w:tc>
              <w:tc>
                <w:tcPr>
                  <w:tcW w:w="415" w:type="dxa"/>
                  <w:vMerge w:val="continue"/>
                  <w:noWrap/>
                  <w:vAlign w:val="center"/>
                </w:tcPr>
                <w:p w14:paraId="42A58828">
                  <w:pPr>
                    <w:autoSpaceDE w:val="0"/>
                    <w:adjustRightInd w:val="0"/>
                    <w:snapToGrid w:val="0"/>
                    <w:rPr>
                      <w:rFonts w:hint="default" w:ascii="Times New Roman" w:hAnsi="Times New Roman" w:eastAsia="宋体" w:cs="Times New Roman"/>
                      <w:color w:val="auto"/>
                      <w:sz w:val="21"/>
                      <w:szCs w:val="21"/>
                    </w:rPr>
                  </w:pPr>
                </w:p>
              </w:tc>
              <w:tc>
                <w:tcPr>
                  <w:tcW w:w="3361" w:type="dxa"/>
                  <w:noWrap w:val="0"/>
                  <w:vAlign w:val="center"/>
                </w:tcPr>
                <w:p w14:paraId="74037236">
                  <w:pPr>
                    <w:autoSpaceDE w:val="0"/>
                    <w:adjustRightInd w:val="0"/>
                    <w:snapToGrid w:val="0"/>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骨料堆场料仓间应采用实体墙进行分隔，实体墙的长度和高度应保证避免混仓</w:t>
                  </w:r>
                  <w:r>
                    <w:rPr>
                      <w:rFonts w:hint="eastAsia" w:ascii="Times New Roman" w:hAnsi="Times New Roman" w:eastAsia="宋体" w:cs="Times New Roman"/>
                      <w:bCs/>
                      <w:color w:val="auto"/>
                      <w:sz w:val="21"/>
                      <w:szCs w:val="21"/>
                      <w:lang w:eastAsia="zh-CN"/>
                    </w:rPr>
                    <w:t>。</w:t>
                  </w:r>
                </w:p>
              </w:tc>
              <w:tc>
                <w:tcPr>
                  <w:tcW w:w="2607" w:type="dxa"/>
                  <w:noWrap w:val="0"/>
                  <w:vAlign w:val="center"/>
                </w:tcPr>
                <w:p w14:paraId="0BD1BC93">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本项目骨料分开堆放，可</w:t>
                  </w:r>
                  <w:r>
                    <w:rPr>
                      <w:rFonts w:hint="default" w:ascii="Times New Roman" w:hAnsi="Times New Roman" w:eastAsia="宋体" w:cs="Times New Roman"/>
                      <w:bCs/>
                      <w:color w:val="auto"/>
                      <w:sz w:val="21"/>
                      <w:szCs w:val="21"/>
                    </w:rPr>
                    <w:t>保证避免混仓</w:t>
                  </w:r>
                  <w:r>
                    <w:rPr>
                      <w:rFonts w:hint="eastAsia" w:ascii="Times New Roman" w:hAnsi="Times New Roman" w:eastAsia="宋体" w:cs="Times New Roman"/>
                      <w:bCs/>
                      <w:color w:val="auto"/>
                      <w:sz w:val="21"/>
                      <w:szCs w:val="21"/>
                      <w:lang w:eastAsia="zh-CN"/>
                    </w:rPr>
                    <w:t>。</w:t>
                  </w:r>
                </w:p>
              </w:tc>
              <w:tc>
                <w:tcPr>
                  <w:tcW w:w="898" w:type="dxa"/>
                  <w:noWrap w:val="0"/>
                  <w:vAlign w:val="center"/>
                </w:tcPr>
                <w:p w14:paraId="15E8EC95">
                  <w:pPr>
                    <w:pStyle w:val="23"/>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64D6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ign w:val="center"/>
                </w:tcPr>
                <w:p w14:paraId="1C62A9EA">
                  <w:pPr>
                    <w:pStyle w:val="23"/>
                    <w:adjustRightInd w:val="0"/>
                    <w:snapToGrid w:val="0"/>
                    <w:rPr>
                      <w:rFonts w:hint="default" w:ascii="Times New Roman" w:hAnsi="Times New Roman" w:eastAsia="宋体" w:cs="Times New Roman"/>
                      <w:color w:val="auto"/>
                      <w:sz w:val="21"/>
                      <w:szCs w:val="21"/>
                    </w:rPr>
                  </w:pPr>
                </w:p>
              </w:tc>
              <w:tc>
                <w:tcPr>
                  <w:tcW w:w="415" w:type="dxa"/>
                  <w:vMerge w:val="continue"/>
                  <w:noWrap/>
                  <w:vAlign w:val="center"/>
                </w:tcPr>
                <w:p w14:paraId="314334B1">
                  <w:pPr>
                    <w:autoSpaceDE w:val="0"/>
                    <w:adjustRightInd w:val="0"/>
                    <w:snapToGrid w:val="0"/>
                    <w:rPr>
                      <w:rFonts w:hint="default" w:ascii="Times New Roman" w:hAnsi="Times New Roman" w:eastAsia="宋体" w:cs="Times New Roman"/>
                      <w:color w:val="auto"/>
                      <w:sz w:val="21"/>
                      <w:szCs w:val="21"/>
                    </w:rPr>
                  </w:pPr>
                </w:p>
              </w:tc>
              <w:tc>
                <w:tcPr>
                  <w:tcW w:w="3361" w:type="dxa"/>
                  <w:noWrap w:val="0"/>
                  <w:vAlign w:val="center"/>
                </w:tcPr>
                <w:p w14:paraId="61FF4375">
                  <w:pPr>
                    <w:autoSpaceDE w:val="0"/>
                    <w:adjustRightInd w:val="0"/>
                    <w:snapToGrid w:val="0"/>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骨料堆场与上料、配料设施宜一起封闭，其高度应能满足装卸料、配料的要求，并配备降尘喷淋装置</w:t>
                  </w:r>
                  <w:r>
                    <w:rPr>
                      <w:rFonts w:hint="eastAsia" w:ascii="Times New Roman" w:hAnsi="Times New Roman" w:eastAsia="宋体" w:cs="Times New Roman"/>
                      <w:bCs/>
                      <w:color w:val="auto"/>
                      <w:sz w:val="21"/>
                      <w:szCs w:val="21"/>
                      <w:lang w:eastAsia="zh-CN"/>
                    </w:rPr>
                    <w:t>。</w:t>
                  </w:r>
                </w:p>
              </w:tc>
              <w:tc>
                <w:tcPr>
                  <w:tcW w:w="2607" w:type="dxa"/>
                  <w:noWrap w:val="0"/>
                  <w:vAlign w:val="center"/>
                </w:tcPr>
                <w:p w14:paraId="43B37877">
                  <w:pPr>
                    <w:pStyle w:val="23"/>
                    <w:adjustRightInd w:val="0"/>
                    <w:snapToGrid w:val="0"/>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项目堆场堆置的砂石骨料经水洗加工后，湿度较大，产生的扬尘不大，</w:t>
                  </w:r>
                  <w:r>
                    <w:rPr>
                      <w:rFonts w:hint="eastAsia" w:ascii="Times New Roman" w:hAnsi="Times New Roman" w:eastAsia="宋体" w:cs="Times New Roman"/>
                      <w:color w:val="auto"/>
                      <w:sz w:val="21"/>
                      <w:szCs w:val="21"/>
                      <w:lang w:val="en-US" w:eastAsia="zh-CN"/>
                    </w:rPr>
                    <w:t>并</w:t>
                  </w:r>
                  <w:r>
                    <w:rPr>
                      <w:rFonts w:hint="default" w:ascii="Times New Roman" w:hAnsi="Times New Roman" w:eastAsia="宋体" w:cs="Times New Roman"/>
                      <w:color w:val="auto"/>
                      <w:sz w:val="21"/>
                      <w:szCs w:val="21"/>
                    </w:rPr>
                    <w:t>通过设置喷雾降尘减少扬尘</w:t>
                  </w:r>
                </w:p>
              </w:tc>
              <w:tc>
                <w:tcPr>
                  <w:tcW w:w="898" w:type="dxa"/>
                  <w:noWrap w:val="0"/>
                  <w:vAlign w:val="center"/>
                </w:tcPr>
                <w:p w14:paraId="60F41B4E">
                  <w:pPr>
                    <w:pStyle w:val="23"/>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7882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ign w:val="center"/>
                </w:tcPr>
                <w:p w14:paraId="70327CE4">
                  <w:pPr>
                    <w:pStyle w:val="23"/>
                    <w:adjustRightInd w:val="0"/>
                    <w:snapToGrid w:val="0"/>
                    <w:rPr>
                      <w:rFonts w:hint="default" w:ascii="Times New Roman" w:hAnsi="Times New Roman" w:eastAsia="宋体" w:cs="Times New Roman"/>
                      <w:color w:val="auto"/>
                      <w:sz w:val="21"/>
                      <w:szCs w:val="21"/>
                    </w:rPr>
                  </w:pPr>
                </w:p>
              </w:tc>
              <w:tc>
                <w:tcPr>
                  <w:tcW w:w="415" w:type="dxa"/>
                  <w:vMerge w:val="restart"/>
                  <w:noWrap/>
                  <w:vAlign w:val="center"/>
                </w:tcPr>
                <w:p w14:paraId="13F13204">
                  <w:pPr>
                    <w:autoSpaceDE w:val="0"/>
                    <w:adjustRightInd w:val="0"/>
                    <w:snapToGrid w:val="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材料输送</w:t>
                  </w:r>
                </w:p>
              </w:tc>
              <w:tc>
                <w:tcPr>
                  <w:tcW w:w="3361" w:type="dxa"/>
                  <w:noWrap w:val="0"/>
                  <w:vAlign w:val="center"/>
                </w:tcPr>
                <w:p w14:paraId="7DE2E902">
                  <w:pPr>
                    <w:autoSpaceDE w:val="0"/>
                    <w:adjustRightInd w:val="0"/>
                    <w:snapToGrid w:val="0"/>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搅拌楼生产工艺流程中的原材料上料输送设备应实施封闭。</w:t>
                  </w:r>
                </w:p>
              </w:tc>
              <w:tc>
                <w:tcPr>
                  <w:tcW w:w="2607" w:type="dxa"/>
                  <w:noWrap w:val="0"/>
                  <w:vAlign w:val="center"/>
                </w:tcPr>
                <w:p w14:paraId="0EEB96A5">
                  <w:pPr>
                    <w:pStyle w:val="23"/>
                    <w:adjustRightInd w:val="0"/>
                    <w:snapToGrid w:val="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项目对</w:t>
                  </w:r>
                  <w:r>
                    <w:rPr>
                      <w:rFonts w:hint="default" w:ascii="Times New Roman" w:hAnsi="Times New Roman" w:eastAsia="宋体" w:cs="Times New Roman"/>
                      <w:bCs/>
                      <w:color w:val="auto"/>
                      <w:sz w:val="21"/>
                      <w:szCs w:val="21"/>
                    </w:rPr>
                    <w:t>原材料上料输送设备</w:t>
                  </w:r>
                  <w:r>
                    <w:rPr>
                      <w:rFonts w:hint="eastAsia" w:ascii="Times New Roman" w:hAnsi="Times New Roman" w:eastAsia="宋体" w:cs="Times New Roman"/>
                      <w:bCs/>
                      <w:color w:val="auto"/>
                      <w:sz w:val="21"/>
                      <w:szCs w:val="21"/>
                      <w:lang w:val="en-US" w:eastAsia="zh-CN"/>
                    </w:rPr>
                    <w:t>进行封闭。</w:t>
                  </w:r>
                </w:p>
              </w:tc>
              <w:tc>
                <w:tcPr>
                  <w:tcW w:w="898" w:type="dxa"/>
                  <w:noWrap w:val="0"/>
                  <w:vAlign w:val="center"/>
                </w:tcPr>
                <w:p w14:paraId="037F8B1C">
                  <w:pPr>
                    <w:pStyle w:val="23"/>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1922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ign w:val="center"/>
                </w:tcPr>
                <w:p w14:paraId="22029AC8">
                  <w:pPr>
                    <w:pStyle w:val="23"/>
                    <w:adjustRightInd w:val="0"/>
                    <w:snapToGrid w:val="0"/>
                    <w:rPr>
                      <w:rFonts w:hint="default" w:ascii="Times New Roman" w:hAnsi="Times New Roman" w:eastAsia="宋体" w:cs="Times New Roman"/>
                      <w:color w:val="auto"/>
                      <w:sz w:val="21"/>
                      <w:szCs w:val="21"/>
                    </w:rPr>
                  </w:pPr>
                </w:p>
              </w:tc>
              <w:tc>
                <w:tcPr>
                  <w:tcW w:w="415" w:type="dxa"/>
                  <w:vMerge w:val="continue"/>
                  <w:noWrap/>
                  <w:vAlign w:val="center"/>
                </w:tcPr>
                <w:p w14:paraId="39B13FD4">
                  <w:pPr>
                    <w:autoSpaceDE w:val="0"/>
                    <w:adjustRightInd w:val="0"/>
                    <w:snapToGrid w:val="0"/>
                    <w:rPr>
                      <w:rFonts w:hint="eastAsia" w:ascii="Times New Roman" w:hAnsi="Times New Roman" w:eastAsia="宋体" w:cs="Times New Roman"/>
                      <w:color w:val="auto"/>
                      <w:sz w:val="21"/>
                      <w:szCs w:val="21"/>
                      <w:lang w:val="en-US" w:eastAsia="zh-CN"/>
                    </w:rPr>
                  </w:pPr>
                </w:p>
              </w:tc>
              <w:tc>
                <w:tcPr>
                  <w:tcW w:w="3361" w:type="dxa"/>
                  <w:noWrap w:val="0"/>
                  <w:vAlign w:val="center"/>
                </w:tcPr>
                <w:p w14:paraId="07A24BB8">
                  <w:pPr>
                    <w:autoSpaceDE w:val="0"/>
                    <w:adjustRightInd w:val="0"/>
                    <w:snapToGrid w:val="0"/>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骨料装卸配料作业，宜采用传输带输送或低噪声装载设备。</w:t>
                  </w:r>
                </w:p>
              </w:tc>
              <w:tc>
                <w:tcPr>
                  <w:tcW w:w="2607" w:type="dxa"/>
                  <w:noWrap w:val="0"/>
                  <w:vAlign w:val="center"/>
                </w:tcPr>
                <w:p w14:paraId="0F7906C2">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w:t>
                  </w:r>
                  <w:r>
                    <w:rPr>
                      <w:rFonts w:hint="default" w:ascii="Times New Roman" w:hAnsi="Times New Roman" w:eastAsia="宋体" w:cs="Times New Roman"/>
                      <w:bCs/>
                      <w:color w:val="auto"/>
                      <w:sz w:val="21"/>
                      <w:szCs w:val="21"/>
                    </w:rPr>
                    <w:t>装卸配料作业</w:t>
                  </w:r>
                  <w:r>
                    <w:rPr>
                      <w:rFonts w:hint="eastAsia" w:ascii="Times New Roman" w:hAnsi="Times New Roman" w:eastAsia="宋体" w:cs="Times New Roman"/>
                      <w:color w:val="auto"/>
                      <w:sz w:val="21"/>
                      <w:szCs w:val="21"/>
                      <w:lang w:val="en-US" w:eastAsia="zh-CN"/>
                    </w:rPr>
                    <w:t>采用</w:t>
                  </w:r>
                  <w:r>
                    <w:rPr>
                      <w:rFonts w:hint="default" w:ascii="Times New Roman" w:hAnsi="Times New Roman" w:eastAsia="宋体" w:cs="Times New Roman"/>
                      <w:bCs/>
                      <w:color w:val="auto"/>
                      <w:sz w:val="21"/>
                      <w:szCs w:val="21"/>
                    </w:rPr>
                    <w:t>传输带输送</w:t>
                  </w:r>
                  <w:r>
                    <w:rPr>
                      <w:rFonts w:hint="eastAsia" w:ascii="Times New Roman" w:hAnsi="Times New Roman" w:eastAsia="宋体" w:cs="Times New Roman"/>
                      <w:bCs/>
                      <w:color w:val="auto"/>
                      <w:sz w:val="21"/>
                      <w:szCs w:val="21"/>
                      <w:lang w:eastAsia="zh-CN"/>
                    </w:rPr>
                    <w:t>。</w:t>
                  </w:r>
                </w:p>
              </w:tc>
              <w:tc>
                <w:tcPr>
                  <w:tcW w:w="898" w:type="dxa"/>
                  <w:noWrap w:val="0"/>
                  <w:vAlign w:val="center"/>
                </w:tcPr>
                <w:p w14:paraId="5FFF65BE">
                  <w:pPr>
                    <w:pStyle w:val="23"/>
                    <w:adjustRightInd w:val="0"/>
                    <w:snapToGrid w:val="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7F45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ign w:val="center"/>
                </w:tcPr>
                <w:p w14:paraId="65B1699B">
                  <w:pPr>
                    <w:pStyle w:val="23"/>
                    <w:adjustRightInd w:val="0"/>
                    <w:snapToGrid w:val="0"/>
                    <w:rPr>
                      <w:rFonts w:hint="default" w:ascii="Times New Roman" w:hAnsi="Times New Roman" w:eastAsia="宋体" w:cs="Times New Roman"/>
                      <w:color w:val="auto"/>
                      <w:sz w:val="21"/>
                      <w:szCs w:val="21"/>
                    </w:rPr>
                  </w:pPr>
                </w:p>
              </w:tc>
              <w:tc>
                <w:tcPr>
                  <w:tcW w:w="415" w:type="dxa"/>
                  <w:vMerge w:val="restart"/>
                  <w:noWrap/>
                  <w:vAlign w:val="center"/>
                </w:tcPr>
                <w:p w14:paraId="4D633736">
                  <w:pPr>
                    <w:autoSpaceDE w:val="0"/>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生产废水和废浆处理</w:t>
                  </w:r>
                </w:p>
              </w:tc>
              <w:tc>
                <w:tcPr>
                  <w:tcW w:w="3361" w:type="dxa"/>
                  <w:noWrap w:val="0"/>
                  <w:vAlign w:val="center"/>
                </w:tcPr>
                <w:p w14:paraId="33EF82BD">
                  <w:pPr>
                    <w:autoSpaceDE w:val="0"/>
                    <w:adjustRightInd w:val="0"/>
                    <w:snapToGrid w:val="0"/>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厂区内应建立专门的管网系统收集生产废水，并配备生产废水处理设施设备</w:t>
                  </w:r>
                </w:p>
              </w:tc>
              <w:tc>
                <w:tcPr>
                  <w:tcW w:w="2607" w:type="dxa"/>
                  <w:noWrap w:val="0"/>
                  <w:vAlign w:val="center"/>
                </w:tcPr>
                <w:p w14:paraId="27632F1C">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项目设置</w:t>
                  </w:r>
                  <w:r>
                    <w:rPr>
                      <w:rFonts w:hint="default" w:ascii="Times New Roman" w:hAnsi="Times New Roman" w:eastAsia="宋体" w:cs="Times New Roman"/>
                      <w:bCs/>
                      <w:color w:val="auto"/>
                      <w:sz w:val="21"/>
                      <w:szCs w:val="21"/>
                    </w:rPr>
                    <w:t>专门的管网系统收集生产废水</w:t>
                  </w:r>
                  <w:r>
                    <w:rPr>
                      <w:rFonts w:hint="eastAsia"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rPr>
                    <w:t>并配备生产废水处理设施</w:t>
                  </w:r>
                  <w:r>
                    <w:rPr>
                      <w:rFonts w:hint="eastAsia" w:ascii="Times New Roman" w:hAnsi="Times New Roman" w:eastAsia="宋体" w:cs="Times New Roman"/>
                      <w:bCs/>
                      <w:color w:val="auto"/>
                      <w:sz w:val="21"/>
                      <w:szCs w:val="21"/>
                      <w:lang w:eastAsia="zh-CN"/>
                    </w:rPr>
                    <w:t>。</w:t>
                  </w:r>
                </w:p>
              </w:tc>
              <w:tc>
                <w:tcPr>
                  <w:tcW w:w="898" w:type="dxa"/>
                  <w:noWrap w:val="0"/>
                  <w:vAlign w:val="center"/>
                </w:tcPr>
                <w:p w14:paraId="44921E1E">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1497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ign w:val="center"/>
                </w:tcPr>
                <w:p w14:paraId="38DA2088">
                  <w:pPr>
                    <w:pStyle w:val="23"/>
                    <w:adjustRightInd w:val="0"/>
                    <w:snapToGrid w:val="0"/>
                    <w:rPr>
                      <w:rFonts w:hint="default" w:ascii="Times New Roman" w:hAnsi="Times New Roman" w:eastAsia="宋体" w:cs="Times New Roman"/>
                      <w:color w:val="auto"/>
                      <w:sz w:val="21"/>
                      <w:szCs w:val="21"/>
                    </w:rPr>
                  </w:pPr>
                </w:p>
              </w:tc>
              <w:tc>
                <w:tcPr>
                  <w:tcW w:w="415" w:type="dxa"/>
                  <w:vMerge w:val="continue"/>
                  <w:noWrap/>
                  <w:vAlign w:val="center"/>
                </w:tcPr>
                <w:p w14:paraId="48FD7970">
                  <w:pPr>
                    <w:autoSpaceDE w:val="0"/>
                    <w:adjustRightInd w:val="0"/>
                    <w:snapToGrid w:val="0"/>
                    <w:rPr>
                      <w:rFonts w:hint="eastAsia" w:ascii="Times New Roman" w:hAnsi="Times New Roman" w:eastAsia="宋体" w:cs="Times New Roman"/>
                      <w:color w:val="auto"/>
                      <w:sz w:val="21"/>
                      <w:szCs w:val="21"/>
                      <w:lang w:val="en-US" w:eastAsia="zh-CN"/>
                    </w:rPr>
                  </w:pPr>
                </w:p>
              </w:tc>
              <w:tc>
                <w:tcPr>
                  <w:tcW w:w="3361" w:type="dxa"/>
                  <w:noWrap w:val="0"/>
                  <w:vAlign w:val="center"/>
                </w:tcPr>
                <w:p w14:paraId="7B146F72">
                  <w:pPr>
                    <w:autoSpaceDE w:val="0"/>
                    <w:adjustRightInd w:val="0"/>
                    <w:snapToGrid w:val="0"/>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预拌混凝土搅拌站应配备处理废弃新拌混凝土的砂石分离机，产生的废水和废浆应通过专用管道进入生产废水处置系统。处理后的固体应做消纳利用</w:t>
                  </w:r>
                  <w:r>
                    <w:rPr>
                      <w:rFonts w:hint="eastAsia" w:ascii="Times New Roman" w:hAnsi="Times New Roman" w:eastAsia="宋体" w:cs="Times New Roman"/>
                      <w:bCs/>
                      <w:color w:val="auto"/>
                      <w:sz w:val="21"/>
                      <w:szCs w:val="21"/>
                      <w:lang w:eastAsia="zh-CN"/>
                    </w:rPr>
                    <w:t>。</w:t>
                  </w:r>
                </w:p>
              </w:tc>
              <w:tc>
                <w:tcPr>
                  <w:tcW w:w="2607" w:type="dxa"/>
                  <w:noWrap w:val="0"/>
                  <w:vAlign w:val="center"/>
                </w:tcPr>
                <w:p w14:paraId="475B60D3">
                  <w:pPr>
                    <w:pStyle w:val="23"/>
                    <w:adjustRightInd w:val="0"/>
                    <w:snapToGrid w:val="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项目设置废水收集处理系统，处理后的固废外售相关单位综合利用。</w:t>
                  </w:r>
                </w:p>
              </w:tc>
              <w:tc>
                <w:tcPr>
                  <w:tcW w:w="898" w:type="dxa"/>
                  <w:noWrap w:val="0"/>
                  <w:vAlign w:val="center"/>
                </w:tcPr>
                <w:p w14:paraId="591B130A">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789D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ign w:val="center"/>
                </w:tcPr>
                <w:p w14:paraId="355C7A48">
                  <w:pPr>
                    <w:pStyle w:val="23"/>
                    <w:adjustRightInd w:val="0"/>
                    <w:snapToGrid w:val="0"/>
                    <w:rPr>
                      <w:rFonts w:hint="default" w:ascii="Times New Roman" w:hAnsi="Times New Roman" w:eastAsia="宋体" w:cs="Times New Roman"/>
                      <w:color w:val="auto"/>
                      <w:sz w:val="21"/>
                      <w:szCs w:val="21"/>
                    </w:rPr>
                  </w:pPr>
                </w:p>
              </w:tc>
              <w:tc>
                <w:tcPr>
                  <w:tcW w:w="415" w:type="dxa"/>
                  <w:vMerge w:val="restart"/>
                  <w:noWrap/>
                  <w:vAlign w:val="center"/>
                </w:tcPr>
                <w:p w14:paraId="4AED56A0">
                  <w:pPr>
                    <w:autoSpaceDE w:val="0"/>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废弃混凝土利用</w:t>
                  </w:r>
                </w:p>
              </w:tc>
              <w:tc>
                <w:tcPr>
                  <w:tcW w:w="3361" w:type="dxa"/>
                  <w:noWrap w:val="0"/>
                  <w:vAlign w:val="center"/>
                </w:tcPr>
                <w:p w14:paraId="1D0D3FBB">
                  <w:pPr>
                    <w:autoSpaceDE w:val="0"/>
                    <w:adjustRightInd w:val="0"/>
                    <w:snapToGrid w:val="0"/>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使用废弃硬化混凝土生产的再生骨料其性能应符合《混凝土和砂浆用再生细骨料》GB/T25176及《混凝土用再生粗骨料》GB/T25177的规定。</w:t>
                  </w:r>
                </w:p>
              </w:tc>
              <w:tc>
                <w:tcPr>
                  <w:tcW w:w="2607" w:type="dxa"/>
                  <w:noWrap w:val="0"/>
                  <w:vAlign w:val="center"/>
                </w:tcPr>
                <w:p w14:paraId="669C147E">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本项目不使用</w:t>
                  </w:r>
                  <w:r>
                    <w:rPr>
                      <w:rFonts w:hint="default" w:ascii="Times New Roman" w:hAnsi="Times New Roman" w:eastAsia="宋体" w:cs="Times New Roman"/>
                      <w:bCs/>
                      <w:color w:val="auto"/>
                      <w:sz w:val="21"/>
                      <w:szCs w:val="21"/>
                    </w:rPr>
                    <w:t>废弃硬化混凝土生产的再生骨料</w:t>
                  </w:r>
                  <w:r>
                    <w:rPr>
                      <w:rFonts w:hint="eastAsia" w:ascii="Times New Roman" w:hAnsi="Times New Roman" w:eastAsia="宋体" w:cs="Times New Roman"/>
                      <w:bCs/>
                      <w:color w:val="auto"/>
                      <w:sz w:val="21"/>
                      <w:szCs w:val="21"/>
                      <w:lang w:eastAsia="zh-CN"/>
                    </w:rPr>
                    <w:t>。</w:t>
                  </w:r>
                </w:p>
              </w:tc>
              <w:tc>
                <w:tcPr>
                  <w:tcW w:w="898" w:type="dxa"/>
                  <w:noWrap w:val="0"/>
                  <w:vAlign w:val="center"/>
                </w:tcPr>
                <w:p w14:paraId="18BE4FE3">
                  <w:pPr>
                    <w:pStyle w:val="23"/>
                    <w:adjustRightInd w:val="0"/>
                    <w:snapToGrid w:val="0"/>
                    <w:rPr>
                      <w:rFonts w:hint="default" w:ascii="Times New Roman" w:hAnsi="Times New Roman" w:eastAsia="宋体" w:cs="Times New Roman"/>
                      <w:color w:val="auto"/>
                      <w:sz w:val="21"/>
                      <w:szCs w:val="21"/>
                    </w:rPr>
                  </w:pPr>
                </w:p>
              </w:tc>
            </w:tr>
            <w:tr w14:paraId="4277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2" w:type="dxa"/>
                  <w:vMerge w:val="continue"/>
                  <w:noWrap/>
                  <w:vAlign w:val="center"/>
                </w:tcPr>
                <w:p w14:paraId="4D057E9A">
                  <w:pPr>
                    <w:pStyle w:val="23"/>
                    <w:adjustRightInd w:val="0"/>
                    <w:snapToGrid w:val="0"/>
                    <w:rPr>
                      <w:rFonts w:hint="default" w:ascii="Times New Roman" w:hAnsi="Times New Roman" w:eastAsia="宋体" w:cs="Times New Roman"/>
                      <w:color w:val="auto"/>
                      <w:sz w:val="21"/>
                      <w:szCs w:val="21"/>
                    </w:rPr>
                  </w:pPr>
                </w:p>
              </w:tc>
              <w:tc>
                <w:tcPr>
                  <w:tcW w:w="415" w:type="dxa"/>
                  <w:vMerge w:val="continue"/>
                  <w:noWrap/>
                  <w:vAlign w:val="center"/>
                </w:tcPr>
                <w:p w14:paraId="2FB2110A">
                  <w:pPr>
                    <w:autoSpaceDE w:val="0"/>
                    <w:adjustRightInd w:val="0"/>
                    <w:snapToGrid w:val="0"/>
                    <w:rPr>
                      <w:rFonts w:hint="eastAsia" w:ascii="Times New Roman" w:hAnsi="Times New Roman" w:eastAsia="宋体" w:cs="Times New Roman"/>
                      <w:color w:val="auto"/>
                      <w:sz w:val="21"/>
                      <w:szCs w:val="21"/>
                      <w:lang w:val="en-US" w:eastAsia="zh-CN"/>
                    </w:rPr>
                  </w:pPr>
                </w:p>
              </w:tc>
              <w:tc>
                <w:tcPr>
                  <w:tcW w:w="3361" w:type="dxa"/>
                  <w:noWrap w:val="0"/>
                  <w:vAlign w:val="center"/>
                </w:tcPr>
                <w:p w14:paraId="164701F5">
                  <w:pPr>
                    <w:autoSpaceDE w:val="0"/>
                    <w:adjustRightInd w:val="0"/>
                    <w:snapToGrid w:val="0"/>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预拌混凝土搅拌站宜配备小型骨料破碎、预制构件制作及养护设备</w:t>
                  </w:r>
                </w:p>
              </w:tc>
              <w:tc>
                <w:tcPr>
                  <w:tcW w:w="2607" w:type="dxa"/>
                  <w:noWrap w:val="0"/>
                  <w:vAlign w:val="center"/>
                </w:tcPr>
                <w:p w14:paraId="2E4E89C0">
                  <w:pPr>
                    <w:pStyle w:val="23"/>
                    <w:adjustRightInd w:val="0"/>
                    <w:snapToGrid w:val="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项目设置有破碎机设备。</w:t>
                  </w:r>
                </w:p>
              </w:tc>
              <w:tc>
                <w:tcPr>
                  <w:tcW w:w="898" w:type="dxa"/>
                  <w:noWrap w:val="0"/>
                  <w:vAlign w:val="center"/>
                </w:tcPr>
                <w:p w14:paraId="3B092D02">
                  <w:pPr>
                    <w:pStyle w:val="23"/>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28A6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restart"/>
                  <w:noWrap w:val="0"/>
                  <w:vAlign w:val="center"/>
                </w:tcPr>
                <w:p w14:paraId="20898EBB">
                  <w:pPr>
                    <w:widowControl/>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生产管理及控制要求</w:t>
                  </w:r>
                </w:p>
              </w:tc>
              <w:tc>
                <w:tcPr>
                  <w:tcW w:w="415" w:type="dxa"/>
                  <w:vMerge w:val="restart"/>
                  <w:noWrap/>
                  <w:vAlign w:val="center"/>
                </w:tcPr>
                <w:p w14:paraId="7FE98C7C">
                  <w:pPr>
                    <w:pStyle w:val="23"/>
                    <w:adjustRightInd w:val="0"/>
                    <w:snapToGrid w:val="0"/>
                    <w:jc w:val="left"/>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一般规定</w:t>
                  </w:r>
                </w:p>
              </w:tc>
              <w:tc>
                <w:tcPr>
                  <w:tcW w:w="3361" w:type="dxa"/>
                  <w:noWrap w:val="0"/>
                  <w:vAlign w:val="center"/>
                </w:tcPr>
                <w:p w14:paraId="68D8A741">
                  <w:pPr>
                    <w:pStyle w:val="23"/>
                    <w:adjustRightInd w:val="0"/>
                    <w:snapToGrid w:val="0"/>
                    <w:jc w:val="left"/>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预拌混凝土搅拌站宜采用ERP管理系统进行生产管理和</w:t>
                  </w:r>
                  <w:r>
                    <w:rPr>
                      <w:rFonts w:hint="eastAsia" w:ascii="Times New Roman" w:hAnsi="Times New Roman" w:eastAsia="宋体" w:cs="Times New Roman"/>
                      <w:color w:val="auto"/>
                      <w:sz w:val="21"/>
                      <w:szCs w:val="21"/>
                      <w:lang w:val="en-US" w:eastAsia="zh-CN"/>
                    </w:rPr>
                    <w:t>控制。</w:t>
                  </w:r>
                </w:p>
              </w:tc>
              <w:tc>
                <w:tcPr>
                  <w:tcW w:w="2607" w:type="dxa"/>
                  <w:noWrap w:val="0"/>
                  <w:vAlign w:val="center"/>
                </w:tcPr>
                <w:p w14:paraId="32D6841E">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w:t>
                  </w:r>
                  <w:r>
                    <w:rPr>
                      <w:rFonts w:hint="default" w:ascii="Times New Roman" w:hAnsi="Times New Roman" w:eastAsia="宋体" w:cs="Times New Roman"/>
                      <w:color w:val="auto"/>
                      <w:sz w:val="21"/>
                      <w:szCs w:val="21"/>
                    </w:rPr>
                    <w:t>采用ERP管理系统进行生产管理和</w:t>
                  </w:r>
                  <w:r>
                    <w:rPr>
                      <w:rFonts w:hint="eastAsia" w:ascii="Times New Roman" w:hAnsi="Times New Roman" w:eastAsia="宋体" w:cs="Times New Roman"/>
                      <w:color w:val="auto"/>
                      <w:sz w:val="21"/>
                      <w:szCs w:val="21"/>
                      <w:lang w:val="en-US" w:eastAsia="zh-CN"/>
                    </w:rPr>
                    <w:t>控制。</w:t>
                  </w:r>
                </w:p>
              </w:tc>
              <w:tc>
                <w:tcPr>
                  <w:tcW w:w="898" w:type="dxa"/>
                  <w:noWrap w:val="0"/>
                  <w:vAlign w:val="center"/>
                </w:tcPr>
                <w:p w14:paraId="58E9F164">
                  <w:pPr>
                    <w:pStyle w:val="23"/>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3722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0"/>
                  <w:vAlign w:val="center"/>
                </w:tcPr>
                <w:p w14:paraId="21883D78">
                  <w:pPr>
                    <w:widowControl/>
                    <w:adjustRightInd w:val="0"/>
                    <w:snapToGrid w:val="0"/>
                    <w:jc w:val="center"/>
                    <w:rPr>
                      <w:rFonts w:hint="default" w:ascii="Times New Roman" w:hAnsi="Times New Roman" w:eastAsia="宋体" w:cs="Times New Roman"/>
                      <w:color w:val="auto"/>
                      <w:sz w:val="21"/>
                      <w:szCs w:val="21"/>
                    </w:rPr>
                  </w:pPr>
                </w:p>
              </w:tc>
              <w:tc>
                <w:tcPr>
                  <w:tcW w:w="415" w:type="dxa"/>
                  <w:vMerge w:val="continue"/>
                  <w:noWrap/>
                  <w:vAlign w:val="center"/>
                </w:tcPr>
                <w:p w14:paraId="7D758328">
                  <w:pPr>
                    <w:pStyle w:val="23"/>
                    <w:adjustRightInd w:val="0"/>
                    <w:snapToGrid w:val="0"/>
                    <w:jc w:val="left"/>
                    <w:rPr>
                      <w:rFonts w:hint="default" w:ascii="Times New Roman" w:hAnsi="Times New Roman" w:eastAsia="宋体" w:cs="Times New Roman"/>
                      <w:color w:val="auto"/>
                      <w:sz w:val="21"/>
                      <w:szCs w:val="21"/>
                    </w:rPr>
                  </w:pPr>
                </w:p>
              </w:tc>
              <w:tc>
                <w:tcPr>
                  <w:tcW w:w="3361" w:type="dxa"/>
                  <w:noWrap w:val="0"/>
                  <w:vAlign w:val="center"/>
                </w:tcPr>
                <w:p w14:paraId="126AD1D8">
                  <w:pPr>
                    <w:pStyle w:val="23"/>
                    <w:adjustRightInd w:val="0"/>
                    <w:snapToGrid w:val="0"/>
                    <w:jc w:val="left"/>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预拌混凝土搅拌站应对生产过程严格管理，建立管理台账，详细记录任务下达、执行、客户反馈等情况及相关信息</w:t>
                  </w:r>
                  <w:r>
                    <w:rPr>
                      <w:rFonts w:hint="eastAsia" w:ascii="Times New Roman" w:hAnsi="Times New Roman" w:eastAsia="宋体" w:cs="Times New Roman"/>
                      <w:color w:val="auto"/>
                      <w:sz w:val="21"/>
                      <w:szCs w:val="21"/>
                      <w:lang w:eastAsia="zh-CN"/>
                    </w:rPr>
                    <w:t>。</w:t>
                  </w:r>
                </w:p>
              </w:tc>
              <w:tc>
                <w:tcPr>
                  <w:tcW w:w="2607" w:type="dxa"/>
                  <w:noWrap w:val="0"/>
                  <w:vAlign w:val="center"/>
                </w:tcPr>
                <w:p w14:paraId="22CA3CE5">
                  <w:pPr>
                    <w:pStyle w:val="23"/>
                    <w:adjustRightInd w:val="0"/>
                    <w:snapToGrid w:val="0"/>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项目</w:t>
                  </w:r>
                  <w:r>
                    <w:rPr>
                      <w:rFonts w:hint="default" w:ascii="Times New Roman" w:hAnsi="Times New Roman" w:eastAsia="宋体" w:cs="Times New Roman"/>
                      <w:color w:val="auto"/>
                      <w:sz w:val="21"/>
                      <w:szCs w:val="21"/>
                    </w:rPr>
                    <w:t>对生产过程严格管理，建立管理台账，详细记录任务下达、执行、客户反馈等情况及相关信息</w:t>
                  </w:r>
                  <w:r>
                    <w:rPr>
                      <w:rFonts w:hint="eastAsia" w:ascii="Times New Roman" w:hAnsi="Times New Roman" w:eastAsia="宋体" w:cs="Times New Roman"/>
                      <w:color w:val="auto"/>
                      <w:sz w:val="21"/>
                      <w:szCs w:val="21"/>
                      <w:lang w:eastAsia="zh-CN"/>
                    </w:rPr>
                    <w:t>。</w:t>
                  </w:r>
                </w:p>
              </w:tc>
              <w:tc>
                <w:tcPr>
                  <w:tcW w:w="898" w:type="dxa"/>
                  <w:noWrap w:val="0"/>
                  <w:vAlign w:val="center"/>
                </w:tcPr>
                <w:p w14:paraId="108D6B6C">
                  <w:pPr>
                    <w:pStyle w:val="23"/>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6511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0"/>
                  <w:vAlign w:val="center"/>
                </w:tcPr>
                <w:p w14:paraId="0EA143C7">
                  <w:pPr>
                    <w:widowControl/>
                    <w:adjustRightInd w:val="0"/>
                    <w:snapToGrid w:val="0"/>
                    <w:jc w:val="center"/>
                    <w:rPr>
                      <w:rFonts w:hint="default" w:ascii="Times New Roman" w:hAnsi="Times New Roman" w:eastAsia="宋体" w:cs="Times New Roman"/>
                      <w:color w:val="auto"/>
                      <w:sz w:val="21"/>
                      <w:szCs w:val="21"/>
                    </w:rPr>
                  </w:pPr>
                </w:p>
              </w:tc>
              <w:tc>
                <w:tcPr>
                  <w:tcW w:w="415" w:type="dxa"/>
                  <w:vMerge w:val="continue"/>
                  <w:noWrap/>
                  <w:vAlign w:val="center"/>
                </w:tcPr>
                <w:p w14:paraId="1FF314DE">
                  <w:pPr>
                    <w:pStyle w:val="23"/>
                    <w:adjustRightInd w:val="0"/>
                    <w:snapToGrid w:val="0"/>
                    <w:jc w:val="left"/>
                    <w:rPr>
                      <w:rFonts w:hint="default" w:ascii="Times New Roman" w:hAnsi="Times New Roman" w:eastAsia="宋体" w:cs="Times New Roman"/>
                      <w:color w:val="auto"/>
                      <w:sz w:val="21"/>
                      <w:szCs w:val="21"/>
                    </w:rPr>
                  </w:pPr>
                </w:p>
              </w:tc>
              <w:tc>
                <w:tcPr>
                  <w:tcW w:w="3361" w:type="dxa"/>
                  <w:noWrap w:val="0"/>
                  <w:vAlign w:val="center"/>
                </w:tcPr>
                <w:p w14:paraId="4CC7B900">
                  <w:pPr>
                    <w:pStyle w:val="23"/>
                    <w:adjustRightInd w:val="0"/>
                    <w:snapToGrid w:val="0"/>
                    <w:jc w:val="left"/>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预拌混凝土搅拌站宜定期对生产中的单位产品综合能耗进行统计和控制，并建立能耗责任制</w:t>
                  </w:r>
                  <w:r>
                    <w:rPr>
                      <w:rFonts w:hint="eastAsia" w:ascii="Times New Roman" w:hAnsi="Times New Roman" w:eastAsia="宋体" w:cs="Times New Roman"/>
                      <w:color w:val="auto"/>
                      <w:sz w:val="21"/>
                      <w:szCs w:val="21"/>
                      <w:lang w:eastAsia="zh-CN"/>
                    </w:rPr>
                    <w:t>。</w:t>
                  </w:r>
                </w:p>
              </w:tc>
              <w:tc>
                <w:tcPr>
                  <w:tcW w:w="2607" w:type="dxa"/>
                  <w:noWrap w:val="0"/>
                  <w:vAlign w:val="center"/>
                </w:tcPr>
                <w:p w14:paraId="6333E7C1">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w:t>
                  </w:r>
                  <w:r>
                    <w:rPr>
                      <w:rFonts w:hint="default" w:ascii="Times New Roman" w:hAnsi="Times New Roman" w:eastAsia="宋体" w:cs="Times New Roman"/>
                      <w:color w:val="auto"/>
                      <w:sz w:val="21"/>
                      <w:szCs w:val="21"/>
                    </w:rPr>
                    <w:t>定期对生产中的单位产品综合能耗进行统计和控制，并建立能耗责任制</w:t>
                  </w:r>
                </w:p>
              </w:tc>
              <w:tc>
                <w:tcPr>
                  <w:tcW w:w="898" w:type="dxa"/>
                  <w:noWrap w:val="0"/>
                  <w:vAlign w:val="center"/>
                </w:tcPr>
                <w:p w14:paraId="4BF7B918">
                  <w:pPr>
                    <w:pStyle w:val="23"/>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525E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Merge w:val="continue"/>
                  <w:noWrap w:val="0"/>
                  <w:vAlign w:val="center"/>
                </w:tcPr>
                <w:p w14:paraId="13292CA4">
                  <w:pPr>
                    <w:widowControl/>
                    <w:adjustRightInd w:val="0"/>
                    <w:snapToGrid w:val="0"/>
                    <w:jc w:val="center"/>
                    <w:rPr>
                      <w:rFonts w:hint="default" w:ascii="Times New Roman" w:hAnsi="Times New Roman" w:eastAsia="宋体" w:cs="Times New Roman"/>
                      <w:color w:val="auto"/>
                      <w:sz w:val="21"/>
                      <w:szCs w:val="21"/>
                    </w:rPr>
                  </w:pPr>
                </w:p>
              </w:tc>
              <w:tc>
                <w:tcPr>
                  <w:tcW w:w="415" w:type="dxa"/>
                  <w:vMerge w:val="continue"/>
                  <w:noWrap/>
                  <w:vAlign w:val="center"/>
                </w:tcPr>
                <w:p w14:paraId="04333AAD">
                  <w:pPr>
                    <w:pStyle w:val="23"/>
                    <w:adjustRightInd w:val="0"/>
                    <w:snapToGrid w:val="0"/>
                    <w:jc w:val="left"/>
                    <w:rPr>
                      <w:rFonts w:hint="default" w:ascii="Times New Roman" w:hAnsi="Times New Roman" w:eastAsia="宋体" w:cs="Times New Roman"/>
                      <w:color w:val="auto"/>
                      <w:sz w:val="21"/>
                      <w:szCs w:val="21"/>
                    </w:rPr>
                  </w:pPr>
                </w:p>
              </w:tc>
              <w:tc>
                <w:tcPr>
                  <w:tcW w:w="3361" w:type="dxa"/>
                  <w:noWrap w:val="0"/>
                  <w:vAlign w:val="center"/>
                </w:tcPr>
                <w:p w14:paraId="18BCA746">
                  <w:pPr>
                    <w:pStyle w:val="23"/>
                    <w:adjustRightInd w:val="0"/>
                    <w:snapToGrid w:val="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预拌混凝土搅拌站应建立绿色生产档案制度</w:t>
                  </w:r>
                </w:p>
              </w:tc>
              <w:tc>
                <w:tcPr>
                  <w:tcW w:w="2607" w:type="dxa"/>
                  <w:noWrap w:val="0"/>
                  <w:vAlign w:val="center"/>
                </w:tcPr>
                <w:p w14:paraId="31B44D2D">
                  <w:pPr>
                    <w:pStyle w:val="23"/>
                    <w:adjustRightInd w:val="0"/>
                    <w:snapToGrid w:val="0"/>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项目建成后将建立</w:t>
                  </w:r>
                  <w:r>
                    <w:rPr>
                      <w:rFonts w:hint="default" w:ascii="Times New Roman" w:hAnsi="Times New Roman" w:eastAsia="宋体" w:cs="Times New Roman"/>
                      <w:color w:val="auto"/>
                      <w:sz w:val="21"/>
                      <w:szCs w:val="21"/>
                    </w:rPr>
                    <w:t>绿色生产档案制度</w:t>
                  </w:r>
                  <w:r>
                    <w:rPr>
                      <w:rFonts w:hint="eastAsia" w:ascii="Times New Roman" w:hAnsi="Times New Roman" w:eastAsia="宋体" w:cs="Times New Roman"/>
                      <w:color w:val="auto"/>
                      <w:sz w:val="21"/>
                      <w:szCs w:val="21"/>
                      <w:lang w:eastAsia="zh-CN"/>
                    </w:rPr>
                    <w:t>。</w:t>
                  </w:r>
                </w:p>
              </w:tc>
              <w:tc>
                <w:tcPr>
                  <w:tcW w:w="898" w:type="dxa"/>
                  <w:noWrap w:val="0"/>
                  <w:vAlign w:val="center"/>
                </w:tcPr>
                <w:p w14:paraId="2786DD63">
                  <w:pPr>
                    <w:pStyle w:val="23"/>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5254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0"/>
                  <w:vAlign w:val="center"/>
                </w:tcPr>
                <w:p w14:paraId="2BA76346">
                  <w:pPr>
                    <w:widowControl/>
                    <w:adjustRightInd w:val="0"/>
                    <w:snapToGrid w:val="0"/>
                    <w:jc w:val="center"/>
                    <w:rPr>
                      <w:rFonts w:hint="default" w:ascii="Times New Roman" w:hAnsi="Times New Roman" w:eastAsia="宋体" w:cs="Times New Roman"/>
                      <w:color w:val="auto"/>
                      <w:sz w:val="21"/>
                      <w:szCs w:val="21"/>
                    </w:rPr>
                  </w:pPr>
                </w:p>
              </w:tc>
              <w:tc>
                <w:tcPr>
                  <w:tcW w:w="415" w:type="dxa"/>
                  <w:vMerge w:val="restart"/>
                  <w:noWrap/>
                  <w:vAlign w:val="center"/>
                </w:tcPr>
                <w:p w14:paraId="7E5C45F6">
                  <w:pPr>
                    <w:pStyle w:val="23"/>
                    <w:adjustRightInd w:val="0"/>
                    <w:snapToGrid w:val="0"/>
                    <w:jc w:val="lef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原材料管理</w:t>
                  </w:r>
                </w:p>
              </w:tc>
              <w:tc>
                <w:tcPr>
                  <w:tcW w:w="3361" w:type="dxa"/>
                  <w:noWrap w:val="0"/>
                  <w:vAlign w:val="center"/>
                </w:tcPr>
                <w:p w14:paraId="6028E93D">
                  <w:pPr>
                    <w:pStyle w:val="23"/>
                    <w:adjustRightInd w:val="0"/>
                    <w:snapToGrid w:val="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预拌混凝土用原材料应分仓管理，标识清晰。</w:t>
                  </w:r>
                </w:p>
              </w:tc>
              <w:tc>
                <w:tcPr>
                  <w:tcW w:w="2607" w:type="dxa"/>
                  <w:noWrap w:val="0"/>
                  <w:vAlign w:val="center"/>
                </w:tcPr>
                <w:p w14:paraId="132BD227">
                  <w:pPr>
                    <w:pStyle w:val="23"/>
                    <w:adjustRightInd w:val="0"/>
                    <w:snapToGrid w:val="0"/>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项目对</w:t>
                  </w:r>
                  <w:r>
                    <w:rPr>
                      <w:rFonts w:hint="default" w:ascii="Times New Roman" w:hAnsi="Times New Roman" w:eastAsia="宋体" w:cs="Times New Roman"/>
                      <w:color w:val="auto"/>
                      <w:sz w:val="21"/>
                      <w:szCs w:val="21"/>
                    </w:rPr>
                    <w:t>原材料</w:t>
                  </w:r>
                  <w:r>
                    <w:rPr>
                      <w:rFonts w:hint="eastAsia" w:ascii="Times New Roman" w:hAnsi="Times New Roman" w:eastAsia="宋体" w:cs="Times New Roman"/>
                      <w:color w:val="auto"/>
                      <w:sz w:val="21"/>
                      <w:szCs w:val="21"/>
                      <w:lang w:val="en-US" w:eastAsia="zh-CN"/>
                    </w:rPr>
                    <w:t>进行</w:t>
                  </w:r>
                  <w:r>
                    <w:rPr>
                      <w:rFonts w:hint="default" w:ascii="Times New Roman" w:hAnsi="Times New Roman" w:eastAsia="宋体" w:cs="Times New Roman"/>
                      <w:color w:val="auto"/>
                      <w:sz w:val="21"/>
                      <w:szCs w:val="21"/>
                    </w:rPr>
                    <w:t>分仓管理，标识清晰</w:t>
                  </w:r>
                  <w:r>
                    <w:rPr>
                      <w:rFonts w:hint="eastAsia" w:ascii="Times New Roman" w:hAnsi="Times New Roman" w:eastAsia="宋体" w:cs="Times New Roman"/>
                      <w:color w:val="auto"/>
                      <w:sz w:val="21"/>
                      <w:szCs w:val="21"/>
                      <w:lang w:eastAsia="zh-CN"/>
                    </w:rPr>
                    <w:t>。</w:t>
                  </w:r>
                </w:p>
              </w:tc>
              <w:tc>
                <w:tcPr>
                  <w:tcW w:w="898" w:type="dxa"/>
                  <w:noWrap w:val="0"/>
                  <w:vAlign w:val="center"/>
                </w:tcPr>
                <w:p w14:paraId="2228B795">
                  <w:pPr>
                    <w:pStyle w:val="23"/>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0F87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0"/>
                  <w:vAlign w:val="center"/>
                </w:tcPr>
                <w:p w14:paraId="7C2BB9F2">
                  <w:pPr>
                    <w:widowControl/>
                    <w:adjustRightInd w:val="0"/>
                    <w:snapToGrid w:val="0"/>
                    <w:jc w:val="center"/>
                    <w:rPr>
                      <w:rFonts w:hint="default" w:ascii="Times New Roman" w:hAnsi="Times New Roman" w:eastAsia="宋体" w:cs="Times New Roman"/>
                      <w:color w:val="auto"/>
                      <w:sz w:val="21"/>
                      <w:szCs w:val="21"/>
                    </w:rPr>
                  </w:pPr>
                </w:p>
              </w:tc>
              <w:tc>
                <w:tcPr>
                  <w:tcW w:w="415" w:type="dxa"/>
                  <w:vMerge w:val="continue"/>
                  <w:noWrap/>
                  <w:vAlign w:val="center"/>
                </w:tcPr>
                <w:p w14:paraId="1F5964BC">
                  <w:pPr>
                    <w:pStyle w:val="23"/>
                    <w:adjustRightInd w:val="0"/>
                    <w:snapToGrid w:val="0"/>
                    <w:jc w:val="left"/>
                    <w:rPr>
                      <w:rFonts w:hint="default" w:ascii="Times New Roman" w:hAnsi="Times New Roman" w:eastAsia="宋体" w:cs="Times New Roman"/>
                      <w:color w:val="auto"/>
                      <w:sz w:val="21"/>
                      <w:szCs w:val="21"/>
                    </w:rPr>
                  </w:pPr>
                </w:p>
              </w:tc>
              <w:tc>
                <w:tcPr>
                  <w:tcW w:w="3361" w:type="dxa"/>
                  <w:noWrap w:val="0"/>
                  <w:vAlign w:val="center"/>
                </w:tcPr>
                <w:p w14:paraId="2BF91657">
                  <w:pPr>
                    <w:pStyle w:val="23"/>
                    <w:adjustRightInd w:val="0"/>
                    <w:snapToGrid w:val="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预拌混凝土用水泥、掺合料等大宗粉料应使用散装产品，扬尘点应设立除尘设施</w:t>
                  </w:r>
                </w:p>
              </w:tc>
              <w:tc>
                <w:tcPr>
                  <w:tcW w:w="2607" w:type="dxa"/>
                  <w:noWrap w:val="0"/>
                  <w:vAlign w:val="center"/>
                </w:tcPr>
                <w:p w14:paraId="1E20E401">
                  <w:pPr>
                    <w:pStyle w:val="23"/>
                    <w:adjustRightInd w:val="0"/>
                    <w:snapToGrid w:val="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项目水泥、粉煤储存于粉料仓内，配置布袋除尘器</w:t>
                  </w:r>
                </w:p>
              </w:tc>
              <w:tc>
                <w:tcPr>
                  <w:tcW w:w="898" w:type="dxa"/>
                  <w:noWrap w:val="0"/>
                  <w:vAlign w:val="center"/>
                </w:tcPr>
                <w:p w14:paraId="321EFFE9">
                  <w:pPr>
                    <w:pStyle w:val="23"/>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4B98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0"/>
                  <w:vAlign w:val="center"/>
                </w:tcPr>
                <w:p w14:paraId="7F69F200">
                  <w:pPr>
                    <w:widowControl/>
                    <w:adjustRightInd w:val="0"/>
                    <w:snapToGrid w:val="0"/>
                    <w:jc w:val="center"/>
                    <w:rPr>
                      <w:rFonts w:hint="default" w:ascii="Times New Roman" w:hAnsi="Times New Roman" w:eastAsia="宋体" w:cs="Times New Roman"/>
                      <w:color w:val="auto"/>
                      <w:sz w:val="21"/>
                      <w:szCs w:val="21"/>
                    </w:rPr>
                  </w:pPr>
                </w:p>
              </w:tc>
              <w:tc>
                <w:tcPr>
                  <w:tcW w:w="415" w:type="dxa"/>
                  <w:vMerge w:val="continue"/>
                  <w:noWrap/>
                  <w:vAlign w:val="center"/>
                </w:tcPr>
                <w:p w14:paraId="0C8E8F6D">
                  <w:pPr>
                    <w:pStyle w:val="23"/>
                    <w:adjustRightInd w:val="0"/>
                    <w:snapToGrid w:val="0"/>
                    <w:jc w:val="left"/>
                    <w:rPr>
                      <w:rFonts w:hint="default" w:ascii="Times New Roman" w:hAnsi="Times New Roman" w:eastAsia="宋体" w:cs="Times New Roman"/>
                      <w:color w:val="auto"/>
                      <w:sz w:val="21"/>
                      <w:szCs w:val="21"/>
                    </w:rPr>
                  </w:pPr>
                </w:p>
              </w:tc>
              <w:tc>
                <w:tcPr>
                  <w:tcW w:w="3361" w:type="dxa"/>
                  <w:noWrap w:val="0"/>
                  <w:vAlign w:val="center"/>
                </w:tcPr>
                <w:p w14:paraId="587F44E6">
                  <w:pPr>
                    <w:pStyle w:val="23"/>
                    <w:adjustRightInd w:val="0"/>
                    <w:snapToGrid w:val="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预拌混凝土搅拌站宜综合利用工业固体废渣、矿山尾渣及建筑垃圾等固体废弃物作为混凝土用原材料</w:t>
                  </w:r>
                </w:p>
              </w:tc>
              <w:tc>
                <w:tcPr>
                  <w:tcW w:w="2607" w:type="dxa"/>
                  <w:noWrap w:val="0"/>
                  <w:vAlign w:val="center"/>
                </w:tcPr>
                <w:p w14:paraId="252D7615">
                  <w:pPr>
                    <w:pStyle w:val="23"/>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项目砂石骨料来自河道清淤河卵石自行加工。</w:t>
                  </w:r>
                </w:p>
              </w:tc>
              <w:tc>
                <w:tcPr>
                  <w:tcW w:w="898" w:type="dxa"/>
                  <w:noWrap w:val="0"/>
                  <w:vAlign w:val="center"/>
                </w:tcPr>
                <w:p w14:paraId="009DA043">
                  <w:pPr>
                    <w:pStyle w:val="23"/>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285A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0"/>
                  <w:vAlign w:val="center"/>
                </w:tcPr>
                <w:p w14:paraId="2278230D">
                  <w:pPr>
                    <w:widowControl/>
                    <w:adjustRightInd w:val="0"/>
                    <w:snapToGrid w:val="0"/>
                    <w:jc w:val="center"/>
                    <w:rPr>
                      <w:rFonts w:hint="default" w:ascii="Times New Roman" w:hAnsi="Times New Roman" w:eastAsia="宋体" w:cs="Times New Roman"/>
                      <w:color w:val="auto"/>
                      <w:sz w:val="21"/>
                      <w:szCs w:val="21"/>
                    </w:rPr>
                  </w:pPr>
                </w:p>
              </w:tc>
              <w:tc>
                <w:tcPr>
                  <w:tcW w:w="415" w:type="dxa"/>
                  <w:vMerge w:val="restart"/>
                  <w:noWrap/>
                  <w:vAlign w:val="center"/>
                </w:tcPr>
                <w:p w14:paraId="100BF6E5">
                  <w:pPr>
                    <w:pStyle w:val="23"/>
                    <w:adjustRightInd w:val="0"/>
                    <w:snapToGrid w:val="0"/>
                    <w:jc w:val="lef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生产管理</w:t>
                  </w:r>
                </w:p>
              </w:tc>
              <w:tc>
                <w:tcPr>
                  <w:tcW w:w="3361" w:type="dxa"/>
                  <w:noWrap w:val="0"/>
                  <w:vAlign w:val="center"/>
                </w:tcPr>
                <w:p w14:paraId="11C4666C">
                  <w:pPr>
                    <w:pStyle w:val="23"/>
                    <w:adjustRightInd w:val="0"/>
                    <w:snapToGrid w:val="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预拌混凝土搅拌站应建立生产废水、废浆、废弃混凝土回收应用技术方案，相应混凝土配合比应根据实际情况经系统试验确定。</w:t>
                  </w:r>
                </w:p>
              </w:tc>
              <w:tc>
                <w:tcPr>
                  <w:tcW w:w="2607" w:type="dxa"/>
                  <w:noWrap w:val="0"/>
                  <w:vAlign w:val="center"/>
                </w:tcPr>
                <w:p w14:paraId="0A6435B8">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w:t>
                  </w:r>
                  <w:r>
                    <w:rPr>
                      <w:rFonts w:hint="default" w:ascii="Times New Roman" w:hAnsi="Times New Roman" w:eastAsia="宋体" w:cs="Times New Roman"/>
                      <w:color w:val="auto"/>
                      <w:sz w:val="21"/>
                      <w:szCs w:val="21"/>
                    </w:rPr>
                    <w:t>建立生产废水、废浆、废弃混凝土回收应用技术方案</w:t>
                  </w:r>
                  <w:r>
                    <w:rPr>
                      <w:rFonts w:hint="eastAsia" w:ascii="Times New Roman" w:hAnsi="Times New Roman" w:eastAsia="宋体" w:cs="Times New Roman"/>
                      <w:color w:val="auto"/>
                      <w:sz w:val="21"/>
                      <w:szCs w:val="21"/>
                      <w:lang w:eastAsia="zh-CN"/>
                    </w:rPr>
                    <w:t>。</w:t>
                  </w:r>
                </w:p>
              </w:tc>
              <w:tc>
                <w:tcPr>
                  <w:tcW w:w="898" w:type="dxa"/>
                  <w:noWrap w:val="0"/>
                  <w:vAlign w:val="center"/>
                </w:tcPr>
                <w:p w14:paraId="610C7E57">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5348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0"/>
                  <w:vAlign w:val="center"/>
                </w:tcPr>
                <w:p w14:paraId="6BB22EA0">
                  <w:pPr>
                    <w:widowControl/>
                    <w:adjustRightInd w:val="0"/>
                    <w:snapToGrid w:val="0"/>
                    <w:jc w:val="center"/>
                    <w:rPr>
                      <w:rFonts w:hint="default" w:ascii="Times New Roman" w:hAnsi="Times New Roman" w:eastAsia="宋体" w:cs="Times New Roman"/>
                      <w:color w:val="auto"/>
                      <w:sz w:val="21"/>
                      <w:szCs w:val="21"/>
                    </w:rPr>
                  </w:pPr>
                </w:p>
              </w:tc>
              <w:tc>
                <w:tcPr>
                  <w:tcW w:w="415" w:type="dxa"/>
                  <w:vMerge w:val="continue"/>
                  <w:noWrap/>
                  <w:vAlign w:val="center"/>
                </w:tcPr>
                <w:p w14:paraId="2CE52640">
                  <w:pPr>
                    <w:pStyle w:val="23"/>
                    <w:adjustRightInd w:val="0"/>
                    <w:snapToGrid w:val="0"/>
                    <w:jc w:val="left"/>
                    <w:rPr>
                      <w:rFonts w:hint="default" w:ascii="Times New Roman" w:hAnsi="Times New Roman" w:eastAsia="宋体" w:cs="Times New Roman"/>
                      <w:color w:val="auto"/>
                      <w:sz w:val="21"/>
                      <w:szCs w:val="21"/>
                    </w:rPr>
                  </w:pPr>
                </w:p>
              </w:tc>
              <w:tc>
                <w:tcPr>
                  <w:tcW w:w="3361" w:type="dxa"/>
                  <w:noWrap w:val="0"/>
                  <w:vAlign w:val="center"/>
                </w:tcPr>
                <w:p w14:paraId="567A5BF9">
                  <w:pPr>
                    <w:pStyle w:val="23"/>
                    <w:adjustRightInd w:val="0"/>
                    <w:snapToGrid w:val="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预拌混凝土搅拌站应建立混凝土生产废水、废浆、废弃混凝土生产利用记录台账。</w:t>
                  </w:r>
                </w:p>
              </w:tc>
              <w:tc>
                <w:tcPr>
                  <w:tcW w:w="2607" w:type="dxa"/>
                  <w:noWrap w:val="0"/>
                  <w:vAlign w:val="center"/>
                </w:tcPr>
                <w:p w14:paraId="3B522A99">
                  <w:pPr>
                    <w:pStyle w:val="23"/>
                    <w:adjustRightInd w:val="0"/>
                    <w:snapToGrid w:val="0"/>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项目</w:t>
                  </w:r>
                  <w:r>
                    <w:rPr>
                      <w:rFonts w:hint="default" w:ascii="Times New Roman" w:hAnsi="Times New Roman" w:eastAsia="宋体" w:cs="Times New Roman"/>
                      <w:color w:val="auto"/>
                      <w:sz w:val="21"/>
                      <w:szCs w:val="21"/>
                    </w:rPr>
                    <w:t>建立混凝土生产废水、废浆、废弃混凝土生产利用记录台账</w:t>
                  </w:r>
                </w:p>
              </w:tc>
              <w:tc>
                <w:tcPr>
                  <w:tcW w:w="898" w:type="dxa"/>
                  <w:noWrap w:val="0"/>
                  <w:vAlign w:val="center"/>
                </w:tcPr>
                <w:p w14:paraId="48338794">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7DAB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0"/>
                  <w:vAlign w:val="center"/>
                </w:tcPr>
                <w:p w14:paraId="3F3E5A54">
                  <w:pPr>
                    <w:widowControl/>
                    <w:adjustRightInd w:val="0"/>
                    <w:snapToGrid w:val="0"/>
                    <w:jc w:val="center"/>
                    <w:rPr>
                      <w:rFonts w:hint="default" w:ascii="Times New Roman" w:hAnsi="Times New Roman" w:eastAsia="宋体" w:cs="Times New Roman"/>
                      <w:color w:val="auto"/>
                      <w:sz w:val="21"/>
                      <w:szCs w:val="21"/>
                    </w:rPr>
                  </w:pPr>
                </w:p>
              </w:tc>
              <w:tc>
                <w:tcPr>
                  <w:tcW w:w="415" w:type="dxa"/>
                  <w:vMerge w:val="continue"/>
                  <w:noWrap/>
                  <w:vAlign w:val="center"/>
                </w:tcPr>
                <w:p w14:paraId="20EAD26F">
                  <w:pPr>
                    <w:pStyle w:val="23"/>
                    <w:adjustRightInd w:val="0"/>
                    <w:snapToGrid w:val="0"/>
                    <w:jc w:val="left"/>
                    <w:rPr>
                      <w:rFonts w:hint="default" w:ascii="Times New Roman" w:hAnsi="Times New Roman" w:eastAsia="宋体" w:cs="Times New Roman"/>
                      <w:color w:val="auto"/>
                      <w:sz w:val="21"/>
                      <w:szCs w:val="21"/>
                    </w:rPr>
                  </w:pPr>
                </w:p>
              </w:tc>
              <w:tc>
                <w:tcPr>
                  <w:tcW w:w="3361" w:type="dxa"/>
                  <w:noWrap w:val="0"/>
                  <w:vAlign w:val="center"/>
                </w:tcPr>
                <w:p w14:paraId="209AD72F">
                  <w:pPr>
                    <w:pStyle w:val="23"/>
                    <w:adjustRightInd w:val="0"/>
                    <w:snapToGrid w:val="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预拌混凝土搅拌站应对混凝土强度和生产控制水平进行统计分析，动态跟踪生产废水、废浆、废弃混凝土的利用水平</w:t>
                  </w:r>
                </w:p>
              </w:tc>
              <w:tc>
                <w:tcPr>
                  <w:tcW w:w="2607" w:type="dxa"/>
                  <w:noWrap w:val="0"/>
                  <w:vAlign w:val="center"/>
                </w:tcPr>
                <w:p w14:paraId="5AD80BCF">
                  <w:pPr>
                    <w:pStyle w:val="23"/>
                    <w:adjustRightInd w:val="0"/>
                    <w:snapToGrid w:val="0"/>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项目</w:t>
                  </w:r>
                  <w:r>
                    <w:rPr>
                      <w:rFonts w:hint="default" w:ascii="Times New Roman" w:hAnsi="Times New Roman" w:eastAsia="宋体" w:cs="Times New Roman"/>
                      <w:color w:val="auto"/>
                      <w:sz w:val="21"/>
                      <w:szCs w:val="21"/>
                    </w:rPr>
                    <w:t>对混凝土强度和生产控制水平进行统计分析，动态跟踪生产废水、废浆、废弃混凝土的利用水平</w:t>
                  </w:r>
                </w:p>
              </w:tc>
              <w:tc>
                <w:tcPr>
                  <w:tcW w:w="898" w:type="dxa"/>
                  <w:noWrap w:val="0"/>
                  <w:vAlign w:val="center"/>
                </w:tcPr>
                <w:p w14:paraId="74148301">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58EF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Merge w:val="continue"/>
                  <w:noWrap w:val="0"/>
                  <w:vAlign w:val="center"/>
                </w:tcPr>
                <w:p w14:paraId="63583EA0">
                  <w:pPr>
                    <w:widowControl/>
                    <w:adjustRightInd w:val="0"/>
                    <w:snapToGrid w:val="0"/>
                    <w:jc w:val="center"/>
                    <w:rPr>
                      <w:rFonts w:hint="default" w:ascii="Times New Roman" w:hAnsi="Times New Roman" w:eastAsia="宋体" w:cs="Times New Roman"/>
                      <w:color w:val="auto"/>
                      <w:sz w:val="21"/>
                      <w:szCs w:val="21"/>
                    </w:rPr>
                  </w:pPr>
                </w:p>
              </w:tc>
              <w:tc>
                <w:tcPr>
                  <w:tcW w:w="415" w:type="dxa"/>
                  <w:vMerge w:val="continue"/>
                  <w:noWrap/>
                  <w:vAlign w:val="center"/>
                </w:tcPr>
                <w:p w14:paraId="2913CAC2">
                  <w:pPr>
                    <w:pStyle w:val="23"/>
                    <w:adjustRightInd w:val="0"/>
                    <w:snapToGrid w:val="0"/>
                    <w:jc w:val="left"/>
                    <w:rPr>
                      <w:rFonts w:hint="default" w:ascii="Times New Roman" w:hAnsi="Times New Roman" w:eastAsia="宋体" w:cs="Times New Roman"/>
                      <w:color w:val="auto"/>
                      <w:sz w:val="21"/>
                      <w:szCs w:val="21"/>
                    </w:rPr>
                  </w:pPr>
                </w:p>
              </w:tc>
              <w:tc>
                <w:tcPr>
                  <w:tcW w:w="3361" w:type="dxa"/>
                  <w:noWrap w:val="0"/>
                  <w:vAlign w:val="center"/>
                </w:tcPr>
                <w:p w14:paraId="555AA2C6">
                  <w:pPr>
                    <w:pStyle w:val="23"/>
                    <w:adjustRightInd w:val="0"/>
                    <w:snapToGrid w:val="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预拌混凝土搅拌站宜在搅拌机上安装内窥摄像头观测拌合物品质</w:t>
                  </w:r>
                </w:p>
              </w:tc>
              <w:tc>
                <w:tcPr>
                  <w:tcW w:w="2607" w:type="dxa"/>
                  <w:noWrap w:val="0"/>
                  <w:vAlign w:val="center"/>
                </w:tcPr>
                <w:p w14:paraId="23100AD1">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w:t>
                  </w:r>
                  <w:r>
                    <w:rPr>
                      <w:rFonts w:hint="default" w:ascii="Times New Roman" w:hAnsi="Times New Roman" w:eastAsia="宋体" w:cs="Times New Roman"/>
                      <w:color w:val="auto"/>
                      <w:sz w:val="21"/>
                      <w:szCs w:val="21"/>
                    </w:rPr>
                    <w:t>在搅拌机上安装内窥摄像头观测拌合物品质</w:t>
                  </w:r>
                  <w:r>
                    <w:rPr>
                      <w:rFonts w:hint="eastAsia" w:ascii="Times New Roman" w:hAnsi="Times New Roman" w:eastAsia="宋体" w:cs="Times New Roman"/>
                      <w:color w:val="auto"/>
                      <w:sz w:val="21"/>
                      <w:szCs w:val="21"/>
                      <w:lang w:eastAsia="zh-CN"/>
                    </w:rPr>
                    <w:t>。</w:t>
                  </w:r>
                </w:p>
              </w:tc>
              <w:tc>
                <w:tcPr>
                  <w:tcW w:w="898" w:type="dxa"/>
                  <w:noWrap w:val="0"/>
                  <w:vAlign w:val="center"/>
                </w:tcPr>
                <w:p w14:paraId="41F6B569">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475E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0"/>
                  <w:vAlign w:val="center"/>
                </w:tcPr>
                <w:p w14:paraId="039CB446">
                  <w:pPr>
                    <w:widowControl/>
                    <w:adjustRightInd w:val="0"/>
                    <w:snapToGrid w:val="0"/>
                    <w:jc w:val="center"/>
                    <w:rPr>
                      <w:rFonts w:hint="default" w:ascii="Times New Roman" w:hAnsi="Times New Roman" w:eastAsia="宋体" w:cs="Times New Roman"/>
                      <w:color w:val="auto"/>
                      <w:sz w:val="21"/>
                      <w:szCs w:val="21"/>
                    </w:rPr>
                  </w:pPr>
                </w:p>
              </w:tc>
              <w:tc>
                <w:tcPr>
                  <w:tcW w:w="415" w:type="dxa"/>
                  <w:vMerge w:val="continue"/>
                  <w:noWrap/>
                  <w:vAlign w:val="center"/>
                </w:tcPr>
                <w:p w14:paraId="60219E4E">
                  <w:pPr>
                    <w:pStyle w:val="23"/>
                    <w:adjustRightInd w:val="0"/>
                    <w:snapToGrid w:val="0"/>
                    <w:jc w:val="left"/>
                    <w:rPr>
                      <w:rFonts w:hint="default" w:ascii="Times New Roman" w:hAnsi="Times New Roman" w:eastAsia="宋体" w:cs="Times New Roman"/>
                      <w:color w:val="auto"/>
                      <w:sz w:val="21"/>
                      <w:szCs w:val="21"/>
                    </w:rPr>
                  </w:pPr>
                </w:p>
              </w:tc>
              <w:tc>
                <w:tcPr>
                  <w:tcW w:w="3361" w:type="dxa"/>
                  <w:noWrap w:val="0"/>
                  <w:vAlign w:val="center"/>
                </w:tcPr>
                <w:p w14:paraId="49FBA73E">
                  <w:pPr>
                    <w:pStyle w:val="23"/>
                    <w:adjustRightInd w:val="0"/>
                    <w:snapToGrid w:val="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预拌混凝土搅拌站应对试验过程中产生的废水、试块等固体废弃物采取有效循环利用措施，及时做好试验环境及设备的清洁保养工作。</w:t>
                  </w:r>
                </w:p>
              </w:tc>
              <w:tc>
                <w:tcPr>
                  <w:tcW w:w="2607" w:type="dxa"/>
                  <w:noWrap w:val="0"/>
                  <w:vAlign w:val="center"/>
                </w:tcPr>
                <w:p w14:paraId="1D1479DC">
                  <w:pPr>
                    <w:pStyle w:val="23"/>
                    <w:adjustRightInd w:val="0"/>
                    <w:snapToGrid w:val="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项目送样外部试验，无废弃物产生。</w:t>
                  </w:r>
                </w:p>
              </w:tc>
              <w:tc>
                <w:tcPr>
                  <w:tcW w:w="898" w:type="dxa"/>
                  <w:noWrap w:val="0"/>
                  <w:vAlign w:val="center"/>
                </w:tcPr>
                <w:p w14:paraId="59309BA8">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69F4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0"/>
                  <w:vAlign w:val="center"/>
                </w:tcPr>
                <w:p w14:paraId="48F1A4CE">
                  <w:pPr>
                    <w:widowControl/>
                    <w:adjustRightInd w:val="0"/>
                    <w:snapToGrid w:val="0"/>
                    <w:jc w:val="center"/>
                    <w:rPr>
                      <w:rFonts w:hint="default" w:ascii="Times New Roman" w:hAnsi="Times New Roman" w:eastAsia="宋体" w:cs="Times New Roman"/>
                      <w:color w:val="auto"/>
                      <w:sz w:val="21"/>
                      <w:szCs w:val="21"/>
                    </w:rPr>
                  </w:pPr>
                </w:p>
              </w:tc>
              <w:tc>
                <w:tcPr>
                  <w:tcW w:w="415" w:type="dxa"/>
                  <w:vMerge w:val="restart"/>
                  <w:noWrap/>
                  <w:vAlign w:val="center"/>
                </w:tcPr>
                <w:p w14:paraId="58A0B841">
                  <w:pPr>
                    <w:pStyle w:val="23"/>
                    <w:adjustRightInd w:val="0"/>
                    <w:snapToGrid w:val="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运输及现场管理</w:t>
                  </w:r>
                </w:p>
              </w:tc>
              <w:tc>
                <w:tcPr>
                  <w:tcW w:w="3361" w:type="dxa"/>
                  <w:noWrap w:val="0"/>
                  <w:vAlign w:val="center"/>
                </w:tcPr>
                <w:p w14:paraId="20D92ED8">
                  <w:pPr>
                    <w:pStyle w:val="23"/>
                    <w:adjustRightInd w:val="0"/>
                    <w:snapToGrid w:val="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运输车应达到当地机动车污染物排放标准要求，宜采用清洁能源。</w:t>
                  </w:r>
                </w:p>
              </w:tc>
              <w:tc>
                <w:tcPr>
                  <w:tcW w:w="2607" w:type="dxa"/>
                  <w:noWrap w:val="0"/>
                  <w:vAlign w:val="center"/>
                </w:tcPr>
                <w:p w14:paraId="69308EAA">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w:t>
                  </w:r>
                  <w:r>
                    <w:rPr>
                      <w:rFonts w:hint="default" w:ascii="Times New Roman" w:hAnsi="Times New Roman" w:eastAsia="宋体" w:cs="Times New Roman"/>
                      <w:color w:val="auto"/>
                      <w:sz w:val="21"/>
                      <w:szCs w:val="21"/>
                    </w:rPr>
                    <w:t>运输车</w:t>
                  </w:r>
                  <w:r>
                    <w:rPr>
                      <w:rFonts w:hint="eastAsia" w:ascii="Times New Roman" w:hAnsi="Times New Roman" w:eastAsia="宋体" w:cs="Times New Roman"/>
                      <w:color w:val="auto"/>
                      <w:sz w:val="21"/>
                      <w:szCs w:val="21"/>
                      <w:lang w:val="en-US" w:eastAsia="zh-CN"/>
                    </w:rPr>
                    <w:t>可</w:t>
                  </w:r>
                  <w:r>
                    <w:rPr>
                      <w:rFonts w:hint="default" w:ascii="Times New Roman" w:hAnsi="Times New Roman" w:eastAsia="宋体" w:cs="Times New Roman"/>
                      <w:color w:val="auto"/>
                      <w:sz w:val="21"/>
                      <w:szCs w:val="21"/>
                    </w:rPr>
                    <w:t>达到当地机动车污染物排放标准要求</w:t>
                  </w:r>
                </w:p>
              </w:tc>
              <w:tc>
                <w:tcPr>
                  <w:tcW w:w="898" w:type="dxa"/>
                  <w:noWrap w:val="0"/>
                  <w:vAlign w:val="center"/>
                </w:tcPr>
                <w:p w14:paraId="33BBA645">
                  <w:pPr>
                    <w:pStyle w:val="23"/>
                    <w:adjustRightInd w:val="0"/>
                    <w:snapToGrid w:val="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2E2A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0"/>
                  <w:vAlign w:val="center"/>
                </w:tcPr>
                <w:p w14:paraId="03B9BA84">
                  <w:pPr>
                    <w:widowControl/>
                    <w:adjustRightInd w:val="0"/>
                    <w:snapToGrid w:val="0"/>
                    <w:jc w:val="center"/>
                    <w:rPr>
                      <w:rFonts w:hint="default" w:ascii="Times New Roman" w:hAnsi="Times New Roman" w:eastAsia="宋体" w:cs="Times New Roman"/>
                      <w:color w:val="auto"/>
                      <w:sz w:val="21"/>
                      <w:szCs w:val="21"/>
                    </w:rPr>
                  </w:pPr>
                </w:p>
              </w:tc>
              <w:tc>
                <w:tcPr>
                  <w:tcW w:w="415" w:type="dxa"/>
                  <w:vMerge w:val="continue"/>
                  <w:noWrap/>
                  <w:vAlign w:val="center"/>
                </w:tcPr>
                <w:p w14:paraId="0B0B2C87">
                  <w:pPr>
                    <w:pStyle w:val="23"/>
                    <w:adjustRightInd w:val="0"/>
                    <w:snapToGrid w:val="0"/>
                    <w:jc w:val="left"/>
                    <w:rPr>
                      <w:rFonts w:hint="default" w:ascii="Times New Roman" w:hAnsi="Times New Roman" w:eastAsia="宋体" w:cs="Times New Roman"/>
                      <w:color w:val="auto"/>
                      <w:sz w:val="21"/>
                      <w:szCs w:val="21"/>
                    </w:rPr>
                  </w:pPr>
                </w:p>
              </w:tc>
              <w:tc>
                <w:tcPr>
                  <w:tcW w:w="3361" w:type="dxa"/>
                  <w:noWrap w:val="0"/>
                  <w:vAlign w:val="center"/>
                </w:tcPr>
                <w:p w14:paraId="27AC8F1B">
                  <w:pPr>
                    <w:pStyle w:val="23"/>
                    <w:adjustRightInd w:val="0"/>
                    <w:snapToGrid w:val="0"/>
                    <w:jc w:val="left"/>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预拌混凝土搅拌站应制订运输管理制度，并应采用定位系统管理车辆运行，合理指挥调度。车辆外观应保持清洁</w:t>
                  </w:r>
                  <w:r>
                    <w:rPr>
                      <w:rFonts w:hint="eastAsia" w:ascii="Times New Roman" w:hAnsi="Times New Roman" w:eastAsia="宋体" w:cs="Times New Roman"/>
                      <w:color w:val="auto"/>
                      <w:sz w:val="21"/>
                      <w:szCs w:val="21"/>
                      <w:lang w:eastAsia="zh-CN"/>
                    </w:rPr>
                    <w:t>。</w:t>
                  </w:r>
                </w:p>
              </w:tc>
              <w:tc>
                <w:tcPr>
                  <w:tcW w:w="2607" w:type="dxa"/>
                  <w:noWrap w:val="0"/>
                  <w:vAlign w:val="center"/>
                </w:tcPr>
                <w:p w14:paraId="2ABD00DF">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w:t>
                  </w:r>
                  <w:r>
                    <w:rPr>
                      <w:rFonts w:hint="default" w:ascii="Times New Roman" w:hAnsi="Times New Roman" w:eastAsia="宋体" w:cs="Times New Roman"/>
                      <w:color w:val="auto"/>
                      <w:sz w:val="21"/>
                      <w:szCs w:val="21"/>
                    </w:rPr>
                    <w:t>制订运输管理制度，采用定位系统管理车辆运行，合理指挥调度。车辆外观应保持清洁</w:t>
                  </w:r>
                </w:p>
              </w:tc>
              <w:tc>
                <w:tcPr>
                  <w:tcW w:w="898" w:type="dxa"/>
                  <w:noWrap w:val="0"/>
                  <w:vAlign w:val="center"/>
                </w:tcPr>
                <w:p w14:paraId="5D301FD5">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778E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0"/>
                  <w:vAlign w:val="center"/>
                </w:tcPr>
                <w:p w14:paraId="3BC01589">
                  <w:pPr>
                    <w:widowControl/>
                    <w:adjustRightInd w:val="0"/>
                    <w:snapToGrid w:val="0"/>
                    <w:jc w:val="center"/>
                    <w:rPr>
                      <w:rFonts w:hint="default" w:ascii="Times New Roman" w:hAnsi="Times New Roman" w:eastAsia="宋体" w:cs="Times New Roman"/>
                      <w:color w:val="auto"/>
                      <w:sz w:val="21"/>
                      <w:szCs w:val="21"/>
                    </w:rPr>
                  </w:pPr>
                </w:p>
              </w:tc>
              <w:tc>
                <w:tcPr>
                  <w:tcW w:w="415" w:type="dxa"/>
                  <w:vMerge w:val="continue"/>
                  <w:noWrap/>
                  <w:vAlign w:val="center"/>
                </w:tcPr>
                <w:p w14:paraId="24B915E8">
                  <w:pPr>
                    <w:pStyle w:val="23"/>
                    <w:adjustRightInd w:val="0"/>
                    <w:snapToGrid w:val="0"/>
                    <w:jc w:val="left"/>
                    <w:rPr>
                      <w:rFonts w:hint="default" w:ascii="Times New Roman" w:hAnsi="Times New Roman" w:eastAsia="宋体" w:cs="Times New Roman"/>
                      <w:color w:val="auto"/>
                      <w:sz w:val="21"/>
                      <w:szCs w:val="21"/>
                    </w:rPr>
                  </w:pPr>
                </w:p>
              </w:tc>
              <w:tc>
                <w:tcPr>
                  <w:tcW w:w="3361" w:type="dxa"/>
                  <w:noWrap w:val="0"/>
                  <w:vAlign w:val="center"/>
                </w:tcPr>
                <w:p w14:paraId="138A3502">
                  <w:pPr>
                    <w:pStyle w:val="23"/>
                    <w:adjustRightInd w:val="0"/>
                    <w:snapToGrid w:val="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运输车辆在驶离生产厂区或施工现场前应进行冲洗，严禁车轮带泥上路</w:t>
                  </w:r>
                </w:p>
              </w:tc>
              <w:tc>
                <w:tcPr>
                  <w:tcW w:w="2607" w:type="dxa"/>
                  <w:noWrap w:val="0"/>
                  <w:vAlign w:val="center"/>
                </w:tcPr>
                <w:p w14:paraId="2F673950">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项目运输车辆</w:t>
                  </w:r>
                  <w:r>
                    <w:rPr>
                      <w:rFonts w:hint="default" w:ascii="Times New Roman" w:hAnsi="Times New Roman" w:eastAsia="宋体" w:cs="Times New Roman"/>
                      <w:color w:val="auto"/>
                      <w:sz w:val="21"/>
                      <w:szCs w:val="21"/>
                    </w:rPr>
                    <w:t>驶离生产厂区前进行冲洗</w:t>
                  </w:r>
                  <w:r>
                    <w:rPr>
                      <w:rFonts w:hint="eastAsia" w:ascii="Times New Roman" w:hAnsi="Times New Roman" w:eastAsia="宋体" w:cs="Times New Roman"/>
                      <w:color w:val="auto"/>
                      <w:sz w:val="21"/>
                      <w:szCs w:val="21"/>
                      <w:lang w:eastAsia="zh-CN"/>
                    </w:rPr>
                    <w:t>。</w:t>
                  </w:r>
                </w:p>
              </w:tc>
              <w:tc>
                <w:tcPr>
                  <w:tcW w:w="898" w:type="dxa"/>
                  <w:noWrap w:val="0"/>
                  <w:vAlign w:val="center"/>
                </w:tcPr>
                <w:p w14:paraId="48EBE0CF">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0003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dxa"/>
                  <w:vMerge w:val="continue"/>
                  <w:noWrap w:val="0"/>
                  <w:vAlign w:val="center"/>
                </w:tcPr>
                <w:p w14:paraId="24429013">
                  <w:pPr>
                    <w:widowControl/>
                    <w:adjustRightInd w:val="0"/>
                    <w:snapToGrid w:val="0"/>
                    <w:jc w:val="center"/>
                    <w:rPr>
                      <w:rFonts w:hint="default" w:ascii="Times New Roman" w:hAnsi="Times New Roman" w:eastAsia="宋体" w:cs="Times New Roman"/>
                      <w:color w:val="auto"/>
                      <w:sz w:val="21"/>
                      <w:szCs w:val="21"/>
                    </w:rPr>
                  </w:pPr>
                </w:p>
              </w:tc>
              <w:tc>
                <w:tcPr>
                  <w:tcW w:w="415" w:type="dxa"/>
                  <w:vMerge w:val="continue"/>
                  <w:noWrap/>
                  <w:vAlign w:val="center"/>
                </w:tcPr>
                <w:p w14:paraId="2ADCF553">
                  <w:pPr>
                    <w:pStyle w:val="23"/>
                    <w:adjustRightInd w:val="0"/>
                    <w:snapToGrid w:val="0"/>
                    <w:jc w:val="left"/>
                    <w:rPr>
                      <w:rFonts w:hint="default" w:ascii="Times New Roman" w:hAnsi="Times New Roman" w:eastAsia="宋体" w:cs="Times New Roman"/>
                      <w:color w:val="auto"/>
                      <w:sz w:val="21"/>
                      <w:szCs w:val="21"/>
                    </w:rPr>
                  </w:pPr>
                </w:p>
              </w:tc>
              <w:tc>
                <w:tcPr>
                  <w:tcW w:w="3361" w:type="dxa"/>
                  <w:noWrap w:val="0"/>
                  <w:vAlign w:val="center"/>
                </w:tcPr>
                <w:p w14:paraId="2BFA580F">
                  <w:pPr>
                    <w:pStyle w:val="23"/>
                    <w:adjustRightInd w:val="0"/>
                    <w:snapToGrid w:val="0"/>
                    <w:jc w:val="left"/>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混凝土运输车卸料槽口应加装溢料收集装置，行驶中应对卸料槽等活动部位进行固定，确保不产生抛洒滴漏，车内的剩料严禁随意倾倒。剩料按本细则第5.5.2条处理</w:t>
                  </w:r>
                  <w:r>
                    <w:rPr>
                      <w:rFonts w:hint="eastAsia" w:ascii="Times New Roman" w:hAnsi="Times New Roman" w:eastAsia="宋体" w:cs="Times New Roman"/>
                      <w:color w:val="auto"/>
                      <w:sz w:val="21"/>
                      <w:szCs w:val="21"/>
                      <w:lang w:eastAsia="zh-CN"/>
                    </w:rPr>
                    <w:t>。</w:t>
                  </w:r>
                </w:p>
              </w:tc>
              <w:tc>
                <w:tcPr>
                  <w:tcW w:w="2607" w:type="dxa"/>
                  <w:noWrap w:val="0"/>
                  <w:vAlign w:val="center"/>
                </w:tcPr>
                <w:p w14:paraId="55120936">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w:t>
                  </w:r>
                  <w:r>
                    <w:rPr>
                      <w:rFonts w:hint="default" w:ascii="Times New Roman" w:hAnsi="Times New Roman" w:eastAsia="宋体" w:cs="Times New Roman"/>
                      <w:color w:val="auto"/>
                      <w:sz w:val="21"/>
                      <w:szCs w:val="21"/>
                    </w:rPr>
                    <w:t>混凝土运输车卸料槽口加装溢料收集装置</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行驶中对卸料槽等活动部位进行固定，确保不产生抛洒滴漏，车内的剩料严禁随意倾倒</w:t>
                  </w:r>
                  <w:r>
                    <w:rPr>
                      <w:rFonts w:hint="eastAsia" w:ascii="Times New Roman" w:hAnsi="Times New Roman" w:eastAsia="宋体" w:cs="Times New Roman"/>
                      <w:color w:val="auto"/>
                      <w:sz w:val="21"/>
                      <w:szCs w:val="21"/>
                      <w:lang w:eastAsia="zh-CN"/>
                    </w:rPr>
                    <w:t>。</w:t>
                  </w:r>
                </w:p>
              </w:tc>
              <w:tc>
                <w:tcPr>
                  <w:tcW w:w="898" w:type="dxa"/>
                  <w:noWrap w:val="0"/>
                  <w:vAlign w:val="center"/>
                </w:tcPr>
                <w:p w14:paraId="041A68C5">
                  <w:pPr>
                    <w:pStyle w:val="23"/>
                    <w:adjustRightInd w:val="0"/>
                    <w:snapToGrid w:val="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bl>
          <w:p w14:paraId="08105480">
            <w:pPr>
              <w:pStyle w:val="2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default" w:ascii="Times New Roman" w:hAnsi="Times New Roman" w:cs="Times New Roman"/>
                <w:b/>
                <w:bCs/>
                <w:color w:val="auto"/>
                <w:lang w:val="en-US" w:eastAsia="zh-CN"/>
              </w:rPr>
            </w:pPr>
            <w:r>
              <w:rPr>
                <w:rFonts w:hint="eastAsia" w:ascii="Times New Roman" w:hAnsi="Times New Roman" w:cs="Times New Roman"/>
                <w:b w:val="0"/>
                <w:bCs w:val="0"/>
                <w:color w:val="auto"/>
                <w:lang w:val="en-US" w:eastAsia="zh-CN"/>
              </w:rPr>
              <w:t>综上，本项目的建设符合《&lt;预拌混凝土绿色生产及管理技术规程&gt;广东省实施细则》（DBJ/T 15-117-2016）相关要求。</w:t>
            </w:r>
          </w:p>
        </w:tc>
      </w:tr>
    </w:tbl>
    <w:p w14:paraId="46FE0D68">
      <w:pPr>
        <w:pStyle w:val="6"/>
        <w:rPr>
          <w:color w:val="auto"/>
        </w:rPr>
      </w:pPr>
    </w:p>
    <w:p w14:paraId="159B9BCC">
      <w:pPr>
        <w:rPr>
          <w:color w:val="auto"/>
        </w:rPr>
        <w:sectPr>
          <w:footerReference r:id="rId7" w:type="default"/>
          <w:pgSz w:w="11906" w:h="16839"/>
          <w:pgMar w:top="1431" w:right="1440" w:bottom="1446" w:left="1440" w:header="0" w:footer="1284" w:gutter="0"/>
          <w:pgNumType w:fmt="numberInDash"/>
          <w:cols w:space="720" w:num="1"/>
        </w:sectPr>
      </w:pPr>
    </w:p>
    <w:p w14:paraId="5C119E4A">
      <w:pPr>
        <w:keepNext w:val="0"/>
        <w:keepLines w:val="0"/>
        <w:pageBreakBefore w:val="0"/>
        <w:widowControl/>
        <w:kinsoku w:val="0"/>
        <w:wordWrap/>
        <w:overflowPunct/>
        <w:topLinePunct w:val="0"/>
        <w:autoSpaceDE w:val="0"/>
        <w:autoSpaceDN w:val="0"/>
        <w:bidi w:val="0"/>
        <w:adjustRightInd w:val="0"/>
        <w:snapToGrid w:val="0"/>
        <w:spacing w:before="10" w:line="221" w:lineRule="auto"/>
        <w:ind w:left="96"/>
        <w:jc w:val="center"/>
        <w:textAlignment w:val="baseline"/>
        <w:outlineLvl w:val="0"/>
        <w:rPr>
          <w:rFonts w:ascii="宋体" w:hAnsi="宋体" w:eastAsia="宋体" w:cs="宋体"/>
          <w:color w:val="auto"/>
          <w:sz w:val="30"/>
          <w:szCs w:val="30"/>
        </w:rPr>
      </w:pPr>
      <w:bookmarkStart w:id="2" w:name="bookmark4"/>
      <w:bookmarkEnd w:id="2"/>
      <w:bookmarkStart w:id="3" w:name="bookmark3"/>
      <w:bookmarkEnd w:id="3"/>
      <w:r>
        <w:rPr>
          <w:rFonts w:ascii="宋体" w:hAnsi="宋体" w:eastAsia="宋体" w:cs="宋体"/>
          <w:b/>
          <w:bCs/>
          <w:color w:val="auto"/>
          <w:spacing w:val="-4"/>
          <w:sz w:val="30"/>
          <w:szCs w:val="30"/>
        </w:rPr>
        <w:t>二、建设项目工程分析</w:t>
      </w:r>
    </w:p>
    <w:p w14:paraId="56696717">
      <w:pPr>
        <w:spacing w:line="180" w:lineRule="exact"/>
        <w:rPr>
          <w:color w:val="auto"/>
        </w:rPr>
      </w:pPr>
    </w:p>
    <w:tbl>
      <w:tblPr>
        <w:tblStyle w:val="21"/>
        <w:tblW w:w="89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1"/>
        <w:gridCol w:w="8157"/>
      </w:tblGrid>
      <w:tr w14:paraId="5753D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099" w:hRule="atLeast"/>
        </w:trPr>
        <w:tc>
          <w:tcPr>
            <w:tcW w:w="831" w:type="dxa"/>
            <w:tcBorders>
              <w:bottom w:val="single" w:color="000000" w:sz="4" w:space="0"/>
              <w:right w:val="single" w:color="000000" w:sz="2" w:space="0"/>
            </w:tcBorders>
            <w:vAlign w:val="top"/>
          </w:tcPr>
          <w:p w14:paraId="727B019E">
            <w:pPr>
              <w:spacing w:line="245" w:lineRule="auto"/>
              <w:rPr>
                <w:rFonts w:ascii="Arial"/>
                <w:color w:val="auto"/>
                <w:sz w:val="21"/>
              </w:rPr>
            </w:pPr>
          </w:p>
          <w:p w14:paraId="46C3A3E8">
            <w:pPr>
              <w:spacing w:line="245" w:lineRule="auto"/>
              <w:rPr>
                <w:rFonts w:ascii="Arial"/>
                <w:color w:val="auto"/>
                <w:sz w:val="21"/>
              </w:rPr>
            </w:pPr>
          </w:p>
          <w:p w14:paraId="61F1CA2E">
            <w:pPr>
              <w:spacing w:line="245" w:lineRule="auto"/>
              <w:rPr>
                <w:rFonts w:ascii="Arial"/>
                <w:color w:val="auto"/>
                <w:sz w:val="21"/>
              </w:rPr>
            </w:pPr>
          </w:p>
          <w:p w14:paraId="7E65EE66">
            <w:pPr>
              <w:spacing w:line="245" w:lineRule="auto"/>
              <w:rPr>
                <w:rFonts w:ascii="Arial"/>
                <w:color w:val="auto"/>
                <w:sz w:val="21"/>
              </w:rPr>
            </w:pPr>
          </w:p>
          <w:p w14:paraId="40A653E3">
            <w:pPr>
              <w:spacing w:line="245" w:lineRule="auto"/>
              <w:rPr>
                <w:rFonts w:ascii="Arial"/>
                <w:color w:val="auto"/>
                <w:sz w:val="21"/>
              </w:rPr>
            </w:pPr>
          </w:p>
          <w:p w14:paraId="5C7C661E">
            <w:pPr>
              <w:spacing w:line="245" w:lineRule="auto"/>
              <w:rPr>
                <w:rFonts w:ascii="Arial"/>
                <w:color w:val="auto"/>
                <w:sz w:val="21"/>
              </w:rPr>
            </w:pPr>
          </w:p>
          <w:p w14:paraId="0C3E3050">
            <w:pPr>
              <w:spacing w:line="245" w:lineRule="auto"/>
              <w:rPr>
                <w:rFonts w:ascii="Arial"/>
                <w:color w:val="auto"/>
                <w:sz w:val="21"/>
              </w:rPr>
            </w:pPr>
          </w:p>
          <w:p w14:paraId="0B8B06AA">
            <w:pPr>
              <w:spacing w:line="245" w:lineRule="auto"/>
              <w:rPr>
                <w:rFonts w:ascii="Arial"/>
                <w:color w:val="auto"/>
                <w:sz w:val="21"/>
              </w:rPr>
            </w:pPr>
          </w:p>
          <w:p w14:paraId="5716DBE4">
            <w:pPr>
              <w:spacing w:line="245" w:lineRule="auto"/>
              <w:rPr>
                <w:rFonts w:ascii="Arial"/>
                <w:color w:val="auto"/>
                <w:sz w:val="21"/>
              </w:rPr>
            </w:pPr>
          </w:p>
          <w:p w14:paraId="3AF15BCD">
            <w:pPr>
              <w:spacing w:line="245" w:lineRule="auto"/>
              <w:rPr>
                <w:rFonts w:ascii="Arial"/>
                <w:color w:val="auto"/>
                <w:sz w:val="21"/>
              </w:rPr>
            </w:pPr>
          </w:p>
          <w:p w14:paraId="28AEDFB4">
            <w:pPr>
              <w:spacing w:line="245" w:lineRule="auto"/>
              <w:rPr>
                <w:rFonts w:ascii="Arial"/>
                <w:color w:val="auto"/>
                <w:sz w:val="21"/>
              </w:rPr>
            </w:pPr>
          </w:p>
          <w:p w14:paraId="3437CA42">
            <w:pPr>
              <w:spacing w:line="245" w:lineRule="auto"/>
              <w:rPr>
                <w:rFonts w:ascii="Arial"/>
                <w:color w:val="auto"/>
                <w:sz w:val="21"/>
              </w:rPr>
            </w:pPr>
          </w:p>
          <w:p w14:paraId="4A0AC5DC">
            <w:pPr>
              <w:spacing w:line="245" w:lineRule="auto"/>
              <w:rPr>
                <w:rFonts w:ascii="Arial"/>
                <w:color w:val="auto"/>
                <w:sz w:val="21"/>
              </w:rPr>
            </w:pPr>
          </w:p>
          <w:p w14:paraId="008F8F4F">
            <w:pPr>
              <w:spacing w:line="245" w:lineRule="auto"/>
              <w:rPr>
                <w:rFonts w:ascii="Arial"/>
                <w:color w:val="auto"/>
                <w:sz w:val="21"/>
              </w:rPr>
            </w:pPr>
          </w:p>
          <w:p w14:paraId="3D1320C0">
            <w:pPr>
              <w:spacing w:line="245" w:lineRule="auto"/>
              <w:rPr>
                <w:rFonts w:ascii="Arial"/>
                <w:color w:val="auto"/>
                <w:sz w:val="21"/>
              </w:rPr>
            </w:pPr>
          </w:p>
          <w:p w14:paraId="3E4E5C7B">
            <w:pPr>
              <w:spacing w:line="245" w:lineRule="auto"/>
              <w:rPr>
                <w:rFonts w:ascii="Arial"/>
                <w:color w:val="auto"/>
                <w:sz w:val="21"/>
              </w:rPr>
            </w:pPr>
          </w:p>
          <w:p w14:paraId="1B96E713">
            <w:pPr>
              <w:spacing w:line="245" w:lineRule="auto"/>
              <w:rPr>
                <w:rFonts w:ascii="Arial"/>
                <w:color w:val="auto"/>
                <w:sz w:val="21"/>
              </w:rPr>
            </w:pPr>
          </w:p>
          <w:p w14:paraId="354B6A11">
            <w:pPr>
              <w:spacing w:line="245" w:lineRule="auto"/>
              <w:rPr>
                <w:rFonts w:ascii="Arial"/>
                <w:color w:val="auto"/>
                <w:sz w:val="21"/>
              </w:rPr>
            </w:pPr>
          </w:p>
          <w:p w14:paraId="52A44A55">
            <w:pPr>
              <w:spacing w:line="245" w:lineRule="auto"/>
              <w:rPr>
                <w:rFonts w:ascii="Arial"/>
                <w:color w:val="auto"/>
                <w:sz w:val="21"/>
              </w:rPr>
            </w:pPr>
          </w:p>
          <w:p w14:paraId="1BC0AFA2">
            <w:pPr>
              <w:spacing w:line="245" w:lineRule="auto"/>
              <w:rPr>
                <w:rFonts w:ascii="Arial"/>
                <w:color w:val="auto"/>
                <w:sz w:val="21"/>
              </w:rPr>
            </w:pPr>
          </w:p>
          <w:p w14:paraId="21DDA577">
            <w:pPr>
              <w:spacing w:line="245" w:lineRule="auto"/>
              <w:rPr>
                <w:rFonts w:ascii="Arial"/>
                <w:color w:val="auto"/>
                <w:sz w:val="21"/>
              </w:rPr>
            </w:pPr>
          </w:p>
          <w:p w14:paraId="75322034">
            <w:pPr>
              <w:spacing w:line="245" w:lineRule="auto"/>
              <w:rPr>
                <w:rFonts w:ascii="Arial"/>
                <w:color w:val="auto"/>
                <w:sz w:val="21"/>
              </w:rPr>
            </w:pPr>
          </w:p>
          <w:p w14:paraId="3D443F8F">
            <w:pPr>
              <w:spacing w:line="245" w:lineRule="auto"/>
              <w:rPr>
                <w:rFonts w:ascii="Arial"/>
                <w:color w:val="auto"/>
                <w:sz w:val="21"/>
              </w:rPr>
            </w:pPr>
          </w:p>
          <w:p w14:paraId="58C49578">
            <w:pPr>
              <w:spacing w:line="245" w:lineRule="auto"/>
              <w:rPr>
                <w:rFonts w:ascii="Arial"/>
                <w:color w:val="auto"/>
                <w:sz w:val="21"/>
              </w:rPr>
            </w:pPr>
          </w:p>
          <w:p w14:paraId="362E5D78">
            <w:pPr>
              <w:pStyle w:val="22"/>
              <w:spacing w:before="65"/>
              <w:ind w:left="227" w:right="208" w:hanging="22"/>
              <w:rPr>
                <w:color w:val="auto"/>
                <w:sz w:val="20"/>
                <w:szCs w:val="20"/>
              </w:rPr>
            </w:pPr>
            <w:r>
              <w:rPr>
                <w:color w:val="auto"/>
                <w:spacing w:val="3"/>
                <w:sz w:val="24"/>
                <w:szCs w:val="24"/>
              </w:rPr>
              <w:t>建设</w:t>
            </w:r>
            <w:r>
              <w:rPr>
                <w:color w:val="auto"/>
                <w:sz w:val="24"/>
                <w:szCs w:val="24"/>
              </w:rPr>
              <w:t xml:space="preserve"> </w:t>
            </w:r>
            <w:r>
              <w:rPr>
                <w:color w:val="auto"/>
                <w:spacing w:val="-8"/>
                <w:sz w:val="24"/>
                <w:szCs w:val="24"/>
              </w:rPr>
              <w:t>内容</w:t>
            </w:r>
          </w:p>
        </w:tc>
        <w:tc>
          <w:tcPr>
            <w:tcW w:w="8157" w:type="dxa"/>
            <w:tcBorders>
              <w:left w:val="single" w:color="000000" w:sz="2" w:space="0"/>
              <w:bottom w:val="single" w:color="000000" w:sz="4" w:space="0"/>
            </w:tcBorders>
            <w:vAlign w:val="top"/>
          </w:tcPr>
          <w:p w14:paraId="1C102C32">
            <w:pPr>
              <w:pStyle w:val="22"/>
              <w:spacing w:before="159" w:line="219" w:lineRule="auto"/>
              <w:ind w:left="596"/>
              <w:rPr>
                <w:color w:val="auto"/>
              </w:rPr>
            </w:pPr>
            <w:r>
              <w:rPr>
                <w:rFonts w:ascii="Times New Roman" w:hAnsi="Times New Roman" w:eastAsia="Times New Roman" w:cs="Times New Roman"/>
                <w:b/>
                <w:bCs/>
                <w:color w:val="auto"/>
                <w:spacing w:val="-4"/>
              </w:rPr>
              <w:t>1.</w:t>
            </w:r>
            <w:r>
              <w:rPr>
                <w:b/>
                <w:bCs/>
                <w:color w:val="auto"/>
                <w:spacing w:val="-4"/>
              </w:rPr>
              <w:t>主要产品及产能</w:t>
            </w:r>
          </w:p>
          <w:p w14:paraId="3526E3B0">
            <w:pPr>
              <w:pStyle w:val="22"/>
              <w:spacing w:before="182" w:line="345" w:lineRule="auto"/>
              <w:ind w:right="102" w:firstLine="464" w:firstLineChars="200"/>
              <w:rPr>
                <w:rFonts w:hint="default" w:eastAsia="宋体"/>
                <w:color w:val="auto"/>
                <w:lang w:val="en-US" w:eastAsia="zh-CN"/>
              </w:rPr>
            </w:pPr>
            <w:r>
              <w:rPr>
                <w:color w:val="auto"/>
                <w:spacing w:val="-4"/>
              </w:rPr>
              <w:t>本项目设计生产规模为年产商品水泥混</w:t>
            </w:r>
            <w:r>
              <w:rPr>
                <w:rFonts w:hint="default" w:ascii="Times New Roman" w:hAnsi="Times New Roman" w:cs="Times New Roman"/>
                <w:color w:val="auto"/>
                <w:spacing w:val="-4"/>
              </w:rPr>
              <w:t>凝土</w:t>
            </w:r>
            <w:r>
              <w:rPr>
                <w:rFonts w:hint="default" w:ascii="Times New Roman" w:hAnsi="Times New Roman" w:cs="Times New Roman"/>
                <w:color w:val="auto"/>
                <w:spacing w:val="-4"/>
                <w:lang w:val="en-US" w:eastAsia="zh-CN"/>
              </w:rPr>
              <w:t>5万</w:t>
            </w:r>
            <w:r>
              <w:rPr>
                <w:rFonts w:hint="default" w:ascii="Times New Roman" w:hAnsi="Times New Roman" w:cs="Times New Roman"/>
                <w:color w:val="auto"/>
                <w:spacing w:val="-4"/>
              </w:rPr>
              <w:t>立</w:t>
            </w:r>
            <w:r>
              <w:rPr>
                <w:color w:val="auto"/>
                <w:spacing w:val="-4"/>
              </w:rPr>
              <w:t>方米，根据《公路工</w:t>
            </w:r>
            <w:r>
              <w:rPr>
                <w:color w:val="auto"/>
              </w:rPr>
              <w:t>程预算定额》（</w:t>
            </w:r>
            <w:r>
              <w:rPr>
                <w:rFonts w:ascii="Times New Roman" w:hAnsi="Times New Roman" w:eastAsia="Times New Roman" w:cs="Times New Roman"/>
                <w:color w:val="auto"/>
              </w:rPr>
              <w:t>JTG/T3832-2018</w:t>
            </w:r>
            <w:r>
              <w:rPr>
                <w:color w:val="auto"/>
                <w:spacing w:val="7"/>
              </w:rPr>
              <w:t>）</w:t>
            </w:r>
            <w:r>
              <w:rPr>
                <w:rFonts w:hint="eastAsia"/>
                <w:color w:val="auto"/>
                <w:spacing w:val="7"/>
                <w:lang w:eastAsia="zh-CN"/>
              </w:rPr>
              <w:t>，</w:t>
            </w:r>
            <w:r>
              <w:rPr>
                <w:color w:val="auto"/>
              </w:rPr>
              <w:t>商品</w:t>
            </w:r>
            <w:r>
              <w:rPr>
                <w:color w:val="auto"/>
                <w:spacing w:val="-1"/>
              </w:rPr>
              <w:t>水泥混凝土（</w:t>
            </w:r>
            <w:r>
              <w:rPr>
                <w:rFonts w:ascii="Times New Roman" w:hAnsi="Times New Roman" w:eastAsia="Times New Roman" w:cs="Times New Roman"/>
                <w:color w:val="auto"/>
                <w:spacing w:val="-1"/>
              </w:rPr>
              <w:t>C</w:t>
            </w:r>
            <w:r>
              <w:rPr>
                <w:rFonts w:ascii="Times New Roman" w:hAnsi="Times New Roman" w:eastAsia="Times New Roman" w:cs="Times New Roman"/>
                <w:color w:val="auto"/>
                <w:spacing w:val="-1"/>
                <w:position w:val="-1"/>
                <w:sz w:val="15"/>
                <w:szCs w:val="15"/>
              </w:rPr>
              <w:t>10</w:t>
            </w:r>
            <w:r>
              <w:rPr>
                <w:rFonts w:ascii="Times New Roman" w:hAnsi="Times New Roman" w:eastAsia="Times New Roman" w:cs="Times New Roman"/>
                <w:color w:val="auto"/>
                <w:spacing w:val="-1"/>
              </w:rPr>
              <w:t>~C</w:t>
            </w:r>
            <w:r>
              <w:rPr>
                <w:rFonts w:ascii="Times New Roman" w:hAnsi="Times New Roman" w:eastAsia="Times New Roman" w:cs="Times New Roman"/>
                <w:color w:val="auto"/>
                <w:spacing w:val="-1"/>
                <w:position w:val="-1"/>
                <w:sz w:val="15"/>
                <w:szCs w:val="15"/>
              </w:rPr>
              <w:t>50</w:t>
            </w:r>
            <w:r>
              <w:rPr>
                <w:color w:val="auto"/>
                <w:spacing w:val="-1"/>
              </w:rPr>
              <w:t>）密度在</w:t>
            </w:r>
            <w:r>
              <w:rPr>
                <w:rFonts w:ascii="Times New Roman" w:hAnsi="Times New Roman" w:eastAsia="Times New Roman" w:cs="Times New Roman"/>
                <w:color w:val="auto"/>
                <w:spacing w:val="-1"/>
              </w:rPr>
              <w:t>2.36~</w:t>
            </w:r>
          </w:p>
          <w:p w14:paraId="3B106875">
            <w:pPr>
              <w:pStyle w:val="22"/>
              <w:spacing w:before="37" w:line="350" w:lineRule="auto"/>
              <w:ind w:left="111" w:right="102" w:hanging="6"/>
              <w:rPr>
                <w:color w:val="auto"/>
                <w:spacing w:val="-4"/>
              </w:rPr>
            </w:pPr>
            <w:r>
              <w:rPr>
                <w:rFonts w:ascii="Times New Roman" w:hAnsi="Times New Roman" w:eastAsia="Times New Roman" w:cs="Times New Roman"/>
                <w:color w:val="auto"/>
                <w:spacing w:val="-1"/>
              </w:rPr>
              <w:t>2.42t/m</w:t>
            </w:r>
            <w:r>
              <w:rPr>
                <w:rFonts w:ascii="Times New Roman" w:hAnsi="Times New Roman" w:eastAsia="Times New Roman" w:cs="Times New Roman"/>
                <w:color w:val="auto"/>
                <w:spacing w:val="-1"/>
                <w:position w:val="7"/>
                <w:sz w:val="15"/>
                <w:szCs w:val="15"/>
              </w:rPr>
              <w:t>3</w:t>
            </w:r>
            <w:r>
              <w:rPr>
                <w:rFonts w:ascii="Times New Roman" w:hAnsi="Times New Roman" w:eastAsia="Times New Roman" w:cs="Times New Roman"/>
                <w:color w:val="auto"/>
                <w:spacing w:val="11"/>
                <w:position w:val="7"/>
                <w:sz w:val="15"/>
                <w:szCs w:val="15"/>
              </w:rPr>
              <w:t xml:space="preserve"> </w:t>
            </w:r>
            <w:r>
              <w:rPr>
                <w:color w:val="auto"/>
                <w:spacing w:val="-1"/>
              </w:rPr>
              <w:t>之间，平均按</w:t>
            </w:r>
            <w:r>
              <w:rPr>
                <w:color w:val="auto"/>
                <w:spacing w:val="-55"/>
              </w:rPr>
              <w:t xml:space="preserve"> </w:t>
            </w:r>
            <w:r>
              <w:rPr>
                <w:rFonts w:ascii="Times New Roman" w:hAnsi="Times New Roman" w:eastAsia="Times New Roman" w:cs="Times New Roman"/>
                <w:color w:val="auto"/>
                <w:spacing w:val="-1"/>
              </w:rPr>
              <w:t>2.39t/m</w:t>
            </w:r>
            <w:r>
              <w:rPr>
                <w:rFonts w:ascii="Times New Roman" w:hAnsi="Times New Roman" w:eastAsia="Times New Roman" w:cs="Times New Roman"/>
                <w:color w:val="auto"/>
                <w:spacing w:val="-1"/>
                <w:position w:val="7"/>
                <w:sz w:val="15"/>
                <w:szCs w:val="15"/>
              </w:rPr>
              <w:t>3</w:t>
            </w:r>
            <w:r>
              <w:rPr>
                <w:rFonts w:ascii="Times New Roman" w:hAnsi="Times New Roman" w:eastAsia="Times New Roman" w:cs="Times New Roman"/>
                <w:color w:val="auto"/>
                <w:spacing w:val="11"/>
                <w:position w:val="7"/>
                <w:sz w:val="15"/>
                <w:szCs w:val="15"/>
              </w:rPr>
              <w:t xml:space="preserve"> </w:t>
            </w:r>
            <w:r>
              <w:rPr>
                <w:color w:val="auto"/>
                <w:spacing w:val="-1"/>
              </w:rPr>
              <w:t>算，预计年产商品水泥混凝</w:t>
            </w:r>
            <w:r>
              <w:rPr>
                <w:color w:val="auto"/>
                <w:spacing w:val="-2"/>
              </w:rPr>
              <w:t>土</w:t>
            </w:r>
            <w:r>
              <w:rPr>
                <w:rFonts w:hint="default" w:ascii="Times New Roman" w:hAnsi="Times New Roman" w:cs="Times New Roman"/>
                <w:color w:val="auto"/>
                <w:spacing w:val="-2"/>
                <w:lang w:val="en-US" w:eastAsia="zh-CN"/>
              </w:rPr>
              <w:t>12万吨</w:t>
            </w:r>
            <w:r>
              <w:rPr>
                <w:color w:val="auto"/>
                <w:spacing w:val="-4"/>
              </w:rPr>
              <w:t>。</w:t>
            </w:r>
          </w:p>
          <w:p w14:paraId="21A6D1F2">
            <w:pPr>
              <w:pStyle w:val="22"/>
              <w:keepNext w:val="0"/>
              <w:keepLines w:val="0"/>
              <w:pageBreakBefore w:val="0"/>
              <w:widowControl/>
              <w:kinsoku w:val="0"/>
              <w:wordWrap/>
              <w:overflowPunct/>
              <w:topLinePunct w:val="0"/>
              <w:autoSpaceDE w:val="0"/>
              <w:autoSpaceDN w:val="0"/>
              <w:bidi w:val="0"/>
              <w:adjustRightInd w:val="0"/>
              <w:snapToGrid w:val="0"/>
              <w:spacing w:line="351" w:lineRule="auto"/>
              <w:ind w:left="113" w:right="102" w:hanging="6"/>
              <w:textAlignment w:val="baseline"/>
              <w:rPr>
                <w:rFonts w:hint="default" w:eastAsia="宋体"/>
                <w:color w:val="auto"/>
                <w:spacing w:val="-4"/>
                <w:lang w:val="en-US" w:eastAsia="zh-CN"/>
              </w:rPr>
            </w:pPr>
            <w:r>
              <w:rPr>
                <w:rFonts w:hint="eastAsia"/>
                <w:color w:val="auto"/>
                <w:spacing w:val="-4"/>
                <w:lang w:val="en-US" w:eastAsia="zh-CN"/>
              </w:rPr>
              <w:t xml:space="preserve">    本项目同时设置砂石加工生产线，砂石经破碎、筛分、水洗等工序生产细沙、碎石，用作混凝土原料。</w:t>
            </w:r>
          </w:p>
          <w:p w14:paraId="435A4481">
            <w:pPr>
              <w:pStyle w:val="22"/>
              <w:keepNext w:val="0"/>
              <w:keepLines w:val="0"/>
              <w:pageBreakBefore w:val="0"/>
              <w:widowControl/>
              <w:kinsoku w:val="0"/>
              <w:wordWrap/>
              <w:overflowPunct/>
              <w:topLinePunct w:val="0"/>
              <w:autoSpaceDE w:val="0"/>
              <w:autoSpaceDN w:val="0"/>
              <w:bidi w:val="0"/>
              <w:adjustRightInd w:val="0"/>
              <w:snapToGrid w:val="0"/>
              <w:spacing w:line="351" w:lineRule="auto"/>
              <w:ind w:left="113" w:right="102" w:hanging="6"/>
              <w:jc w:val="center"/>
              <w:textAlignment w:val="baseline"/>
              <w:rPr>
                <w:rFonts w:hint="default" w:ascii="Times New Roman" w:hAnsi="Times New Roman" w:cs="Times New Roman"/>
                <w:b/>
                <w:bCs/>
                <w:color w:val="auto"/>
                <w:spacing w:val="-4"/>
                <w:lang w:val="en-US" w:eastAsia="zh-CN"/>
              </w:rPr>
            </w:pPr>
            <w:r>
              <w:rPr>
                <w:rFonts w:hint="default" w:ascii="Times New Roman" w:hAnsi="Times New Roman" w:cs="Times New Roman"/>
                <w:b/>
                <w:bCs/>
                <w:color w:val="auto"/>
                <w:spacing w:val="-4"/>
                <w:lang w:val="en-US" w:eastAsia="zh-CN"/>
              </w:rPr>
              <w:t>表2-1 项目产品方案</w:t>
            </w:r>
          </w:p>
          <w:tbl>
            <w:tblPr>
              <w:tblStyle w:val="21"/>
              <w:tblW w:w="70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
              <w:gridCol w:w="2243"/>
              <w:gridCol w:w="3901"/>
            </w:tblGrid>
            <w:tr w14:paraId="4929C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 w:hRule="atLeast"/>
                <w:jc w:val="center"/>
              </w:trPr>
              <w:tc>
                <w:tcPr>
                  <w:tcW w:w="917" w:type="dxa"/>
                  <w:vAlign w:val="center"/>
                </w:tcPr>
                <w:p w14:paraId="3AB505C2">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b/>
                      <w:bCs/>
                      <w:color w:val="auto"/>
                      <w:spacing w:val="6"/>
                      <w:sz w:val="21"/>
                      <w:szCs w:val="21"/>
                      <w:lang w:val="en-US" w:eastAsia="zh-CN"/>
                    </w:rPr>
                  </w:pPr>
                  <w:r>
                    <w:rPr>
                      <w:rFonts w:hint="eastAsia"/>
                      <w:b/>
                      <w:bCs/>
                      <w:color w:val="auto"/>
                      <w:spacing w:val="6"/>
                      <w:sz w:val="21"/>
                      <w:szCs w:val="21"/>
                      <w:lang w:val="en-US" w:eastAsia="zh-CN"/>
                    </w:rPr>
                    <w:t>序号</w:t>
                  </w:r>
                </w:p>
              </w:tc>
              <w:tc>
                <w:tcPr>
                  <w:tcW w:w="2243" w:type="dxa"/>
                  <w:vAlign w:val="center"/>
                </w:tcPr>
                <w:p w14:paraId="7D055BB2">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b/>
                      <w:bCs/>
                      <w:color w:val="auto"/>
                      <w:spacing w:val="6"/>
                      <w:sz w:val="21"/>
                      <w:szCs w:val="21"/>
                    </w:rPr>
                  </w:pPr>
                  <w:r>
                    <w:rPr>
                      <w:rFonts w:hint="eastAsia"/>
                      <w:b/>
                      <w:bCs/>
                      <w:color w:val="auto"/>
                      <w:spacing w:val="6"/>
                      <w:sz w:val="21"/>
                      <w:szCs w:val="21"/>
                      <w:lang w:val="en-US" w:eastAsia="zh-CN"/>
                    </w:rPr>
                    <w:t>产品</w:t>
                  </w:r>
                  <w:r>
                    <w:rPr>
                      <w:b/>
                      <w:bCs/>
                      <w:color w:val="auto"/>
                      <w:spacing w:val="6"/>
                      <w:sz w:val="21"/>
                      <w:szCs w:val="21"/>
                    </w:rPr>
                    <w:t>名称</w:t>
                  </w:r>
                </w:p>
              </w:tc>
              <w:tc>
                <w:tcPr>
                  <w:tcW w:w="3901" w:type="dxa"/>
                  <w:vAlign w:val="center"/>
                </w:tcPr>
                <w:p w14:paraId="53873C30">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b/>
                      <w:bCs/>
                      <w:color w:val="auto"/>
                      <w:spacing w:val="6"/>
                      <w:sz w:val="21"/>
                      <w:szCs w:val="21"/>
                      <w:lang w:val="en-US" w:eastAsia="zh-CN"/>
                    </w:rPr>
                  </w:pPr>
                  <w:r>
                    <w:rPr>
                      <w:rFonts w:hint="eastAsia"/>
                      <w:b/>
                      <w:bCs/>
                      <w:color w:val="auto"/>
                      <w:spacing w:val="6"/>
                      <w:sz w:val="21"/>
                      <w:szCs w:val="21"/>
                      <w:lang w:val="en-US" w:eastAsia="zh-CN"/>
                    </w:rPr>
                    <w:t>生产规模</w:t>
                  </w:r>
                </w:p>
              </w:tc>
            </w:tr>
            <w:tr w14:paraId="47806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17" w:type="dxa"/>
                  <w:vAlign w:val="center"/>
                </w:tcPr>
                <w:p w14:paraId="5DF37943">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color w:val="auto"/>
                      <w:spacing w:val="6"/>
                      <w:sz w:val="21"/>
                      <w:szCs w:val="21"/>
                      <w:lang w:eastAsia="zh-CN"/>
                    </w:rPr>
                  </w:pPr>
                  <w:r>
                    <w:rPr>
                      <w:rFonts w:hint="default" w:ascii="Times New Roman" w:hAnsi="Times New Roman" w:cs="Times New Roman"/>
                      <w:color w:val="auto"/>
                      <w:spacing w:val="6"/>
                      <w:sz w:val="21"/>
                      <w:szCs w:val="21"/>
                      <w:lang w:val="en-US" w:eastAsia="zh-CN"/>
                    </w:rPr>
                    <w:t>1</w:t>
                  </w:r>
                </w:p>
              </w:tc>
              <w:tc>
                <w:tcPr>
                  <w:tcW w:w="2243" w:type="dxa"/>
                  <w:vAlign w:val="center"/>
                </w:tcPr>
                <w:p w14:paraId="5C535616">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color w:val="auto"/>
                      <w:spacing w:val="6"/>
                      <w:sz w:val="21"/>
                      <w:szCs w:val="21"/>
                    </w:rPr>
                  </w:pPr>
                  <w:r>
                    <w:rPr>
                      <w:rFonts w:hint="default" w:ascii="Times New Roman" w:hAnsi="Times New Roman" w:cs="Times New Roman"/>
                      <w:color w:val="auto"/>
                      <w:spacing w:val="6"/>
                      <w:sz w:val="21"/>
                      <w:szCs w:val="21"/>
                    </w:rPr>
                    <w:t>商品水泥混凝土</w:t>
                  </w:r>
                </w:p>
              </w:tc>
              <w:tc>
                <w:tcPr>
                  <w:tcW w:w="3901" w:type="dxa"/>
                  <w:vAlign w:val="center"/>
                </w:tcPr>
                <w:p w14:paraId="507D1AFB">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color w:val="auto"/>
                      <w:spacing w:val="6"/>
                      <w:sz w:val="21"/>
                      <w:szCs w:val="21"/>
                      <w:lang w:val="en-US" w:eastAsia="zh-CN"/>
                    </w:rPr>
                  </w:pPr>
                  <w:r>
                    <w:rPr>
                      <w:rFonts w:hint="default" w:ascii="Times New Roman" w:hAnsi="Times New Roman" w:cs="Times New Roman"/>
                      <w:color w:val="auto"/>
                      <w:spacing w:val="6"/>
                      <w:sz w:val="21"/>
                      <w:szCs w:val="21"/>
                      <w:lang w:val="en-US" w:eastAsia="zh-CN"/>
                    </w:rPr>
                    <w:t>5万m</w:t>
                  </w:r>
                  <w:r>
                    <w:rPr>
                      <w:rFonts w:hint="default" w:ascii="Times New Roman" w:hAnsi="Times New Roman" w:cs="Times New Roman"/>
                      <w:color w:val="auto"/>
                      <w:spacing w:val="6"/>
                      <w:sz w:val="21"/>
                      <w:szCs w:val="21"/>
                      <w:vertAlign w:val="superscript"/>
                      <w:lang w:val="en-US" w:eastAsia="zh-CN"/>
                    </w:rPr>
                    <w:t>3</w:t>
                  </w:r>
                  <w:r>
                    <w:rPr>
                      <w:rFonts w:hint="default" w:ascii="Times New Roman" w:hAnsi="Times New Roman" w:cs="Times New Roman"/>
                      <w:color w:val="auto"/>
                      <w:spacing w:val="6"/>
                      <w:sz w:val="21"/>
                      <w:szCs w:val="21"/>
                      <w:lang w:val="en-US" w:eastAsia="zh-CN"/>
                    </w:rPr>
                    <w:t>/a，折合约12万t/a</w:t>
                  </w:r>
                </w:p>
              </w:tc>
            </w:tr>
            <w:tr w14:paraId="7FE3D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17" w:type="dxa"/>
                  <w:vAlign w:val="center"/>
                </w:tcPr>
                <w:p w14:paraId="7AAF224A">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color w:val="auto"/>
                      <w:spacing w:val="6"/>
                      <w:sz w:val="21"/>
                      <w:szCs w:val="21"/>
                      <w:lang w:val="en-US" w:eastAsia="zh-CN"/>
                    </w:rPr>
                  </w:pPr>
                  <w:r>
                    <w:rPr>
                      <w:rFonts w:hint="default" w:ascii="Times New Roman" w:hAnsi="Times New Roman" w:cs="Times New Roman"/>
                      <w:color w:val="auto"/>
                      <w:spacing w:val="6"/>
                      <w:sz w:val="21"/>
                      <w:szCs w:val="21"/>
                      <w:lang w:val="en-US" w:eastAsia="zh-CN"/>
                    </w:rPr>
                    <w:t>2</w:t>
                  </w:r>
                </w:p>
              </w:tc>
              <w:tc>
                <w:tcPr>
                  <w:tcW w:w="2243" w:type="dxa"/>
                  <w:vAlign w:val="center"/>
                </w:tcPr>
                <w:p w14:paraId="364E899F">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color w:val="auto"/>
                      <w:spacing w:val="6"/>
                      <w:sz w:val="21"/>
                      <w:szCs w:val="21"/>
                      <w:lang w:val="en-US" w:eastAsia="zh-CN"/>
                    </w:rPr>
                  </w:pPr>
                  <w:r>
                    <w:rPr>
                      <w:rFonts w:hint="default" w:ascii="Times New Roman" w:hAnsi="Times New Roman" w:cs="Times New Roman"/>
                      <w:color w:val="auto"/>
                      <w:spacing w:val="6"/>
                      <w:sz w:val="21"/>
                      <w:szCs w:val="21"/>
                      <w:lang w:val="en-US" w:eastAsia="zh-CN"/>
                    </w:rPr>
                    <w:t>细沙</w:t>
                  </w:r>
                </w:p>
              </w:tc>
              <w:tc>
                <w:tcPr>
                  <w:tcW w:w="3901" w:type="dxa"/>
                  <w:vAlign w:val="center"/>
                </w:tcPr>
                <w:p w14:paraId="0C73363D">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color w:val="auto"/>
                      <w:spacing w:val="6"/>
                      <w:sz w:val="21"/>
                      <w:szCs w:val="21"/>
                      <w:lang w:val="en-US" w:eastAsia="zh-CN"/>
                    </w:rPr>
                  </w:pPr>
                  <w:r>
                    <w:rPr>
                      <w:rFonts w:hint="eastAsia" w:ascii="Times New Roman" w:hAnsi="Times New Roman" w:cs="Times New Roman"/>
                      <w:color w:val="auto"/>
                      <w:spacing w:val="6"/>
                      <w:sz w:val="21"/>
                      <w:szCs w:val="21"/>
                      <w:lang w:val="en-US" w:eastAsia="zh-CN"/>
                    </w:rPr>
                    <w:t>4.1万t/a，中间产品，用于混凝土生产</w:t>
                  </w:r>
                </w:p>
              </w:tc>
            </w:tr>
            <w:tr w14:paraId="60BFE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17" w:type="dxa"/>
                  <w:vAlign w:val="center"/>
                </w:tcPr>
                <w:p w14:paraId="749F3BE1">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color w:val="auto"/>
                      <w:spacing w:val="6"/>
                      <w:sz w:val="21"/>
                      <w:szCs w:val="21"/>
                      <w:lang w:val="en-US" w:eastAsia="zh-CN"/>
                    </w:rPr>
                  </w:pPr>
                  <w:r>
                    <w:rPr>
                      <w:rFonts w:hint="default" w:ascii="Times New Roman" w:hAnsi="Times New Roman" w:cs="Times New Roman"/>
                      <w:color w:val="auto"/>
                      <w:spacing w:val="6"/>
                      <w:sz w:val="21"/>
                      <w:szCs w:val="21"/>
                      <w:lang w:val="en-US" w:eastAsia="zh-CN"/>
                    </w:rPr>
                    <w:t>3</w:t>
                  </w:r>
                </w:p>
              </w:tc>
              <w:tc>
                <w:tcPr>
                  <w:tcW w:w="2243" w:type="dxa"/>
                  <w:vAlign w:val="center"/>
                </w:tcPr>
                <w:p w14:paraId="6A1DE594">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color w:val="auto"/>
                      <w:spacing w:val="6"/>
                      <w:sz w:val="21"/>
                      <w:szCs w:val="21"/>
                      <w:lang w:val="en-US" w:eastAsia="zh-CN"/>
                    </w:rPr>
                  </w:pPr>
                  <w:r>
                    <w:rPr>
                      <w:rFonts w:hint="default" w:ascii="Times New Roman" w:hAnsi="Times New Roman" w:cs="Times New Roman"/>
                      <w:color w:val="auto"/>
                      <w:spacing w:val="6"/>
                      <w:sz w:val="21"/>
                      <w:szCs w:val="21"/>
                      <w:lang w:val="en-US" w:eastAsia="zh-CN"/>
                    </w:rPr>
                    <w:t>碎石</w:t>
                  </w:r>
                  <w:r>
                    <w:rPr>
                      <w:rFonts w:hint="eastAsia" w:ascii="Times New Roman" w:hAnsi="Times New Roman" w:cs="Times New Roman"/>
                      <w:color w:val="auto"/>
                      <w:spacing w:val="6"/>
                      <w:sz w:val="21"/>
                      <w:szCs w:val="21"/>
                      <w:lang w:val="en-US" w:eastAsia="zh-CN"/>
                    </w:rPr>
                    <w:t>（</w:t>
                  </w:r>
                  <w:r>
                    <w:rPr>
                      <w:rFonts w:hint="default" w:ascii="Times New Roman" w:hAnsi="Times New Roman" w:cs="Times New Roman"/>
                      <w:color w:val="auto"/>
                      <w:spacing w:val="6"/>
                      <w:sz w:val="21"/>
                      <w:szCs w:val="21"/>
                      <w:lang w:val="en-US" w:eastAsia="zh-CN"/>
                    </w:rPr>
                    <w:t>1-3石</w:t>
                  </w:r>
                  <w:r>
                    <w:rPr>
                      <w:rFonts w:hint="eastAsia" w:ascii="Times New Roman" w:hAnsi="Times New Roman" w:cs="Times New Roman"/>
                      <w:color w:val="auto"/>
                      <w:spacing w:val="6"/>
                      <w:sz w:val="21"/>
                      <w:szCs w:val="21"/>
                      <w:lang w:val="en-US" w:eastAsia="zh-CN"/>
                    </w:rPr>
                    <w:t>）</w:t>
                  </w:r>
                </w:p>
              </w:tc>
              <w:tc>
                <w:tcPr>
                  <w:tcW w:w="3901" w:type="dxa"/>
                  <w:vAlign w:val="center"/>
                </w:tcPr>
                <w:p w14:paraId="4F3B965F">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color w:val="auto"/>
                      <w:spacing w:val="6"/>
                      <w:sz w:val="21"/>
                      <w:szCs w:val="21"/>
                      <w:lang w:val="en-US" w:eastAsia="zh-CN"/>
                    </w:rPr>
                  </w:pPr>
                  <w:r>
                    <w:rPr>
                      <w:rFonts w:hint="eastAsia" w:ascii="Times New Roman" w:hAnsi="Times New Roman" w:cs="Times New Roman"/>
                      <w:color w:val="auto"/>
                      <w:spacing w:val="6"/>
                      <w:sz w:val="21"/>
                      <w:szCs w:val="21"/>
                      <w:lang w:val="en-US" w:eastAsia="zh-CN"/>
                    </w:rPr>
                    <w:t>5.4万t/a，中间产品，用于混凝土生产</w:t>
                  </w:r>
                </w:p>
              </w:tc>
            </w:tr>
          </w:tbl>
          <w:p w14:paraId="296B2B8E">
            <w:pPr>
              <w:pStyle w:val="22"/>
              <w:keepNext w:val="0"/>
              <w:keepLines w:val="0"/>
              <w:pageBreakBefore w:val="0"/>
              <w:widowControl/>
              <w:kinsoku w:val="0"/>
              <w:wordWrap/>
              <w:overflowPunct/>
              <w:topLinePunct w:val="0"/>
              <w:autoSpaceDE w:val="0"/>
              <w:autoSpaceDN w:val="0"/>
              <w:bidi w:val="0"/>
              <w:adjustRightInd w:val="0"/>
              <w:snapToGrid w:val="0"/>
              <w:spacing w:before="0" w:beforeLines="100" w:line="219" w:lineRule="auto"/>
              <w:ind w:left="584"/>
              <w:textAlignment w:val="baseline"/>
              <w:rPr>
                <w:color w:val="auto"/>
              </w:rPr>
            </w:pPr>
            <w:r>
              <w:rPr>
                <w:rFonts w:ascii="Times New Roman" w:hAnsi="Times New Roman" w:eastAsia="Times New Roman" w:cs="Times New Roman"/>
                <w:b/>
                <w:bCs/>
                <w:color w:val="auto"/>
                <w:spacing w:val="-2"/>
              </w:rPr>
              <w:t>2.</w:t>
            </w:r>
            <w:r>
              <w:rPr>
                <w:b/>
                <w:bCs/>
                <w:color w:val="auto"/>
                <w:spacing w:val="-2"/>
              </w:rPr>
              <w:t>项目组成和平面布置</w:t>
            </w:r>
          </w:p>
          <w:p w14:paraId="56EA27EB">
            <w:pPr>
              <w:pStyle w:val="22"/>
              <w:spacing w:before="182" w:line="354" w:lineRule="auto"/>
              <w:ind w:right="90" w:firstLine="460" w:firstLineChars="200"/>
              <w:rPr>
                <w:color w:val="auto"/>
              </w:rPr>
            </w:pPr>
            <w:r>
              <w:rPr>
                <w:color w:val="auto"/>
                <w:spacing w:val="-5"/>
              </w:rPr>
              <w:t>本项目总占地面积约</w:t>
            </w:r>
            <w:r>
              <w:rPr>
                <w:color w:val="auto"/>
                <w:spacing w:val="-50"/>
              </w:rPr>
              <w:t xml:space="preserve"> </w:t>
            </w:r>
            <w:r>
              <w:rPr>
                <w:rFonts w:hint="eastAsia" w:ascii="Times New Roman" w:hAnsi="Times New Roman" w:cs="Times New Roman"/>
                <w:color w:val="auto"/>
                <w:spacing w:val="-5"/>
                <w:lang w:val="en-US" w:eastAsia="zh-CN"/>
              </w:rPr>
              <w:t>12</w:t>
            </w:r>
            <w:r>
              <w:rPr>
                <w:rFonts w:hint="eastAsia" w:ascii="Times New Roman" w:hAnsi="Times New Roman" w:eastAsia="宋体" w:cs="Times New Roman"/>
                <w:color w:val="auto"/>
                <w:spacing w:val="-5"/>
                <w:lang w:val="en-US" w:eastAsia="zh-CN"/>
              </w:rPr>
              <w:t>0</w:t>
            </w:r>
            <w:r>
              <w:rPr>
                <w:rFonts w:ascii="Times New Roman" w:hAnsi="Times New Roman" w:eastAsia="Times New Roman" w:cs="Times New Roman"/>
                <w:color w:val="auto"/>
                <w:spacing w:val="-5"/>
              </w:rPr>
              <w:t>00m</w:t>
            </w:r>
            <w:r>
              <w:rPr>
                <w:rFonts w:ascii="Times New Roman" w:hAnsi="Times New Roman" w:eastAsia="Times New Roman" w:cs="Times New Roman"/>
                <w:color w:val="auto"/>
                <w:spacing w:val="-5"/>
                <w:position w:val="8"/>
                <w:sz w:val="15"/>
                <w:szCs w:val="15"/>
              </w:rPr>
              <w:t>2</w:t>
            </w:r>
            <w:r>
              <w:rPr>
                <w:rFonts w:ascii="Times New Roman" w:hAnsi="Times New Roman" w:eastAsia="Times New Roman" w:cs="Times New Roman"/>
                <w:color w:val="auto"/>
                <w:spacing w:val="-7"/>
                <w:position w:val="8"/>
                <w:sz w:val="15"/>
                <w:szCs w:val="15"/>
              </w:rPr>
              <w:t xml:space="preserve"> </w:t>
            </w:r>
            <w:r>
              <w:rPr>
                <w:color w:val="auto"/>
                <w:spacing w:val="-5"/>
              </w:rPr>
              <w:t>，建设内容主要包括主体工程（</w:t>
            </w:r>
            <w:r>
              <w:rPr>
                <w:rFonts w:hint="eastAsia"/>
                <w:color w:val="auto"/>
                <w:spacing w:val="-5"/>
                <w:lang w:val="en-US" w:eastAsia="zh-CN"/>
              </w:rPr>
              <w:t>混凝土生产区</w:t>
            </w:r>
            <w:r>
              <w:rPr>
                <w:rFonts w:hint="eastAsia"/>
                <w:color w:val="auto"/>
                <w:spacing w:val="-6"/>
                <w:lang w:val="en-US" w:eastAsia="zh-CN"/>
              </w:rPr>
              <w:t>及制砂区</w:t>
            </w:r>
            <w:r>
              <w:rPr>
                <w:color w:val="auto"/>
                <w:spacing w:val="-28"/>
              </w:rPr>
              <w:t>）</w:t>
            </w:r>
            <w:r>
              <w:rPr>
                <w:rFonts w:hint="eastAsia"/>
                <w:color w:val="auto"/>
                <w:spacing w:val="-28"/>
                <w:lang w:eastAsia="zh-CN"/>
              </w:rPr>
              <w:t>、</w:t>
            </w:r>
            <w:r>
              <w:rPr>
                <w:color w:val="auto"/>
              </w:rPr>
              <w:t xml:space="preserve"> </w:t>
            </w:r>
            <w:r>
              <w:rPr>
                <w:color w:val="auto"/>
                <w:spacing w:val="-19"/>
              </w:rPr>
              <w:t>辅助工程（</w:t>
            </w:r>
            <w:r>
              <w:rPr>
                <w:rFonts w:hint="eastAsia"/>
                <w:color w:val="auto"/>
                <w:spacing w:val="-19"/>
                <w:lang w:val="en-US" w:eastAsia="zh-CN"/>
              </w:rPr>
              <w:t>办公</w:t>
            </w:r>
            <w:r>
              <w:rPr>
                <w:color w:val="auto"/>
                <w:spacing w:val="-19"/>
              </w:rPr>
              <w:t>室）、储运工程（粉料储罐、砂石堆</w:t>
            </w:r>
            <w:r>
              <w:rPr>
                <w:color w:val="auto"/>
                <w:spacing w:val="-20"/>
              </w:rPr>
              <w:t>场）、公用工程（给</w:t>
            </w:r>
            <w:r>
              <w:rPr>
                <w:color w:val="auto"/>
                <w:spacing w:val="-14"/>
              </w:rPr>
              <w:t>排水、供配电等）</w:t>
            </w:r>
            <w:r>
              <w:rPr>
                <w:rFonts w:hint="eastAsia"/>
                <w:color w:val="auto"/>
                <w:spacing w:val="-14"/>
                <w:lang w:val="en-US" w:eastAsia="zh-CN"/>
              </w:rPr>
              <w:t>等</w:t>
            </w:r>
            <w:r>
              <w:rPr>
                <w:color w:val="auto"/>
                <w:spacing w:val="-14"/>
              </w:rPr>
              <w:t>。本项目</w:t>
            </w:r>
            <w:r>
              <w:rPr>
                <w:rFonts w:hint="eastAsia"/>
                <w:color w:val="auto"/>
                <w:spacing w:val="-14"/>
                <w:lang w:val="en-US" w:eastAsia="zh-CN"/>
              </w:rPr>
              <w:t>已建设完成，属于“未批先建”，韶关市生态环境局于</w:t>
            </w:r>
            <w:r>
              <w:rPr>
                <w:rFonts w:hint="default" w:ascii="Times New Roman" w:hAnsi="Times New Roman" w:cs="Times New Roman"/>
                <w:color w:val="auto"/>
                <w:spacing w:val="-14"/>
                <w:lang w:val="en-US" w:eastAsia="zh-CN"/>
              </w:rPr>
              <w:t>2026年4月14日</w:t>
            </w:r>
            <w:r>
              <w:rPr>
                <w:rFonts w:hint="eastAsia" w:ascii="Times New Roman" w:hAnsi="Times New Roman" w:cs="Times New Roman"/>
                <w:color w:val="auto"/>
                <w:spacing w:val="-14"/>
                <w:lang w:val="en-US" w:eastAsia="zh-CN"/>
              </w:rPr>
              <w:t>下发了《责令改正违法行为决定书》（韶环（乐昌）责改决[2026]5号）</w:t>
            </w:r>
            <w:r>
              <w:rPr>
                <w:color w:val="auto"/>
                <w:spacing w:val="-11"/>
              </w:rPr>
              <w:t>。</w:t>
            </w:r>
            <w:r>
              <w:rPr>
                <w:rFonts w:hint="eastAsia"/>
                <w:color w:val="auto"/>
                <w:spacing w:val="-11"/>
              </w:rPr>
              <w:t>本项目为乐昌市市区防洪堤达标加固工程（第一期）施工的临时搅拌站，搅拌站生产的混凝土不对外销售，仅用于该工程建设，在工程建设完成后将会拆除。</w:t>
            </w:r>
          </w:p>
          <w:p w14:paraId="30599EEF">
            <w:pPr>
              <w:pStyle w:val="22"/>
              <w:spacing w:before="35" w:line="219" w:lineRule="auto"/>
              <w:ind w:left="590"/>
              <w:rPr>
                <w:color w:val="auto"/>
              </w:rPr>
            </w:pPr>
            <w:r>
              <w:rPr>
                <w:color w:val="auto"/>
                <w:spacing w:val="-1"/>
              </w:rPr>
              <w:t>本项目具体组成见表</w:t>
            </w:r>
            <w:r>
              <w:rPr>
                <w:color w:val="auto"/>
                <w:spacing w:val="-55"/>
              </w:rPr>
              <w:t xml:space="preserve"> </w:t>
            </w:r>
            <w:r>
              <w:rPr>
                <w:rFonts w:ascii="Times New Roman" w:hAnsi="Times New Roman" w:eastAsia="Times New Roman" w:cs="Times New Roman"/>
                <w:color w:val="auto"/>
                <w:spacing w:val="-1"/>
              </w:rPr>
              <w:t>2-</w:t>
            </w:r>
            <w:r>
              <w:rPr>
                <w:rFonts w:hint="eastAsia" w:ascii="Times New Roman" w:hAnsi="Times New Roman" w:eastAsia="宋体" w:cs="Times New Roman"/>
                <w:color w:val="auto"/>
                <w:spacing w:val="-1"/>
                <w:lang w:val="en-US" w:eastAsia="zh-CN"/>
              </w:rPr>
              <w:t>2</w:t>
            </w:r>
            <w:r>
              <w:rPr>
                <w:rFonts w:ascii="Times New Roman" w:hAnsi="Times New Roman" w:eastAsia="Times New Roman" w:cs="Times New Roman"/>
                <w:color w:val="auto"/>
                <w:spacing w:val="-1"/>
              </w:rPr>
              <w:t xml:space="preserve"> </w:t>
            </w:r>
            <w:r>
              <w:rPr>
                <w:color w:val="auto"/>
                <w:spacing w:val="-1"/>
              </w:rPr>
              <w:t>所示，厂区平面布置图见</w:t>
            </w:r>
            <w:r>
              <w:rPr>
                <w:color w:val="auto"/>
                <w:spacing w:val="-2"/>
              </w:rPr>
              <w:t>附图</w:t>
            </w:r>
            <w:r>
              <w:rPr>
                <w:color w:val="auto"/>
                <w:spacing w:val="-46"/>
              </w:rPr>
              <w:t xml:space="preserve"> </w:t>
            </w:r>
            <w:r>
              <w:rPr>
                <w:rFonts w:hint="eastAsia" w:ascii="Times New Roman" w:hAnsi="Times New Roman" w:eastAsia="宋体" w:cs="Times New Roman"/>
                <w:color w:val="auto"/>
                <w:spacing w:val="-2"/>
                <w:lang w:val="en-US" w:eastAsia="zh-CN"/>
              </w:rPr>
              <w:t>5</w:t>
            </w:r>
            <w:r>
              <w:rPr>
                <w:color w:val="auto"/>
                <w:spacing w:val="-2"/>
              </w:rPr>
              <w:t>。</w:t>
            </w:r>
          </w:p>
          <w:p w14:paraId="7465B6B4">
            <w:pPr>
              <w:pStyle w:val="22"/>
              <w:spacing w:before="182" w:line="220" w:lineRule="auto"/>
              <w:ind w:left="3106"/>
              <w:rPr>
                <w:color w:val="auto"/>
              </w:rPr>
            </w:pPr>
            <w:r>
              <w:rPr>
                <w:b/>
                <w:bCs/>
                <w:color w:val="auto"/>
                <w:spacing w:val="-5"/>
              </w:rPr>
              <w:t>表</w:t>
            </w:r>
            <w:r>
              <w:rPr>
                <w:color w:val="auto"/>
                <w:spacing w:val="-49"/>
              </w:rPr>
              <w:t xml:space="preserve"> </w:t>
            </w:r>
            <w:r>
              <w:rPr>
                <w:rFonts w:ascii="Times New Roman" w:hAnsi="Times New Roman" w:eastAsia="Times New Roman" w:cs="Times New Roman"/>
                <w:b/>
                <w:bCs/>
                <w:color w:val="auto"/>
                <w:spacing w:val="-5"/>
              </w:rPr>
              <w:t>2-</w:t>
            </w:r>
            <w:r>
              <w:rPr>
                <w:rFonts w:hint="eastAsia" w:ascii="Times New Roman" w:hAnsi="Times New Roman" w:eastAsia="宋体" w:cs="Times New Roman"/>
                <w:b/>
                <w:bCs/>
                <w:color w:val="auto"/>
                <w:spacing w:val="-5"/>
                <w:lang w:val="en-US" w:eastAsia="zh-CN"/>
              </w:rPr>
              <w:t xml:space="preserve">2 </w:t>
            </w:r>
            <w:r>
              <w:rPr>
                <w:b/>
                <w:bCs/>
                <w:color w:val="auto"/>
                <w:spacing w:val="-5"/>
              </w:rPr>
              <w:t>项目组成表</w:t>
            </w:r>
          </w:p>
          <w:p w14:paraId="1C02197E">
            <w:pPr>
              <w:spacing w:line="145" w:lineRule="exact"/>
              <w:rPr>
                <w:color w:val="auto"/>
              </w:rPr>
            </w:pPr>
          </w:p>
          <w:tbl>
            <w:tblPr>
              <w:tblStyle w:val="21"/>
              <w:tblW w:w="7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95"/>
              <w:gridCol w:w="1428"/>
              <w:gridCol w:w="4138"/>
            </w:tblGrid>
            <w:tr w14:paraId="5A7A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1495" w:type="dxa"/>
                  <w:vAlign w:val="center"/>
                </w:tcPr>
                <w:p w14:paraId="3CC80A6B">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b/>
                      <w:bCs/>
                      <w:color w:val="auto"/>
                      <w:spacing w:val="6"/>
                      <w:sz w:val="21"/>
                      <w:szCs w:val="21"/>
                      <w:lang w:val="en-US" w:eastAsia="zh-CN"/>
                    </w:rPr>
                  </w:pPr>
                  <w:r>
                    <w:rPr>
                      <w:rFonts w:hint="eastAsia"/>
                      <w:b/>
                      <w:bCs/>
                      <w:color w:val="auto"/>
                      <w:spacing w:val="6"/>
                      <w:sz w:val="21"/>
                      <w:szCs w:val="21"/>
                      <w:lang w:val="en-US" w:eastAsia="zh-CN"/>
                    </w:rPr>
                    <w:t>类别</w:t>
                  </w:r>
                </w:p>
              </w:tc>
              <w:tc>
                <w:tcPr>
                  <w:tcW w:w="1428" w:type="dxa"/>
                  <w:vAlign w:val="center"/>
                </w:tcPr>
                <w:p w14:paraId="322DBC25">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b/>
                      <w:bCs/>
                      <w:color w:val="auto"/>
                      <w:spacing w:val="6"/>
                      <w:sz w:val="21"/>
                      <w:szCs w:val="21"/>
                    </w:rPr>
                  </w:pPr>
                  <w:r>
                    <w:rPr>
                      <w:b/>
                      <w:bCs/>
                      <w:color w:val="auto"/>
                      <w:spacing w:val="6"/>
                      <w:sz w:val="21"/>
                      <w:szCs w:val="21"/>
                    </w:rPr>
                    <w:t>工程名称</w:t>
                  </w:r>
                </w:p>
              </w:tc>
              <w:tc>
                <w:tcPr>
                  <w:tcW w:w="4138" w:type="dxa"/>
                  <w:vAlign w:val="center"/>
                </w:tcPr>
                <w:p w14:paraId="13D4A7E7">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b/>
                      <w:bCs/>
                      <w:color w:val="auto"/>
                      <w:spacing w:val="6"/>
                      <w:sz w:val="21"/>
                      <w:szCs w:val="21"/>
                    </w:rPr>
                  </w:pPr>
                  <w:r>
                    <w:rPr>
                      <w:b/>
                      <w:bCs/>
                      <w:color w:val="auto"/>
                      <w:spacing w:val="6"/>
                      <w:sz w:val="21"/>
                      <w:szCs w:val="21"/>
                    </w:rPr>
                    <w:t>主要工程内容</w:t>
                  </w:r>
                </w:p>
              </w:tc>
            </w:tr>
            <w:tr w14:paraId="2E94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95" w:type="dxa"/>
                  <w:vMerge w:val="restart"/>
                  <w:vAlign w:val="center"/>
                </w:tcPr>
                <w:p w14:paraId="3AA46200">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r>
                    <w:rPr>
                      <w:color w:val="auto"/>
                      <w:spacing w:val="6"/>
                      <w:sz w:val="21"/>
                      <w:szCs w:val="21"/>
                    </w:rPr>
                    <w:t>主体工程</w:t>
                  </w:r>
                </w:p>
              </w:tc>
              <w:tc>
                <w:tcPr>
                  <w:tcW w:w="1428" w:type="dxa"/>
                  <w:vAlign w:val="center"/>
                </w:tcPr>
                <w:p w14:paraId="533356E8">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color w:val="auto"/>
                      <w:spacing w:val="6"/>
                      <w:sz w:val="21"/>
                      <w:szCs w:val="21"/>
                      <w:lang w:val="en-US" w:eastAsia="zh-CN"/>
                    </w:rPr>
                  </w:pPr>
                  <w:r>
                    <w:rPr>
                      <w:rFonts w:hint="eastAsia"/>
                      <w:color w:val="auto"/>
                      <w:spacing w:val="6"/>
                      <w:sz w:val="21"/>
                      <w:szCs w:val="21"/>
                      <w:lang w:val="en-US" w:eastAsia="zh-CN"/>
                    </w:rPr>
                    <w:t>混凝土生产区</w:t>
                  </w:r>
                </w:p>
              </w:tc>
              <w:tc>
                <w:tcPr>
                  <w:tcW w:w="4138" w:type="dxa"/>
                  <w:vAlign w:val="center"/>
                </w:tcPr>
                <w:p w14:paraId="5A3E6C53">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color w:val="auto"/>
                      <w:spacing w:val="6"/>
                      <w:sz w:val="21"/>
                      <w:szCs w:val="21"/>
                      <w:lang w:val="en-US" w:eastAsia="zh-CN"/>
                    </w:rPr>
                  </w:pPr>
                  <w:r>
                    <w:rPr>
                      <w:rFonts w:hint="eastAsia"/>
                      <w:color w:val="auto"/>
                      <w:spacing w:val="6"/>
                      <w:sz w:val="21"/>
                      <w:szCs w:val="21"/>
                      <w:lang w:val="en-US" w:eastAsia="zh-CN"/>
                    </w:rPr>
                    <w:t>占地</w:t>
                  </w:r>
                  <w:r>
                    <w:rPr>
                      <w:rFonts w:hint="eastAsia" w:ascii="Times New Roman" w:hAnsi="Times New Roman" w:cs="Times New Roman"/>
                      <w:color w:val="auto"/>
                      <w:spacing w:val="6"/>
                      <w:sz w:val="21"/>
                      <w:szCs w:val="21"/>
                      <w:lang w:val="en-US" w:eastAsia="zh-CN"/>
                    </w:rPr>
                    <w:t>5</w:t>
                  </w:r>
                  <w:r>
                    <w:rPr>
                      <w:rFonts w:hint="default" w:ascii="Times New Roman" w:hAnsi="Times New Roman" w:cs="Times New Roman"/>
                      <w:color w:val="auto"/>
                      <w:spacing w:val="6"/>
                      <w:sz w:val="21"/>
                      <w:szCs w:val="21"/>
                      <w:lang w:val="en-US" w:eastAsia="zh-CN"/>
                    </w:rPr>
                    <w:t>00m</w:t>
                  </w:r>
                  <w:r>
                    <w:rPr>
                      <w:rFonts w:hint="default" w:ascii="Times New Roman" w:hAnsi="Times New Roman" w:cs="Times New Roman"/>
                      <w:color w:val="auto"/>
                      <w:spacing w:val="6"/>
                      <w:sz w:val="21"/>
                      <w:szCs w:val="21"/>
                      <w:vertAlign w:val="superscript"/>
                      <w:lang w:val="en-US" w:eastAsia="zh-CN"/>
                    </w:rPr>
                    <w:t>2</w:t>
                  </w:r>
                  <w:r>
                    <w:rPr>
                      <w:rFonts w:hint="default" w:ascii="Times New Roman" w:hAnsi="Times New Roman" w:cs="Times New Roman"/>
                      <w:color w:val="auto"/>
                      <w:spacing w:val="6"/>
                      <w:sz w:val="21"/>
                      <w:szCs w:val="21"/>
                      <w:lang w:val="en-US" w:eastAsia="zh-CN"/>
                    </w:rPr>
                    <w:t>，</w:t>
                  </w:r>
                  <w:r>
                    <w:rPr>
                      <w:rFonts w:hint="eastAsia"/>
                      <w:color w:val="auto"/>
                      <w:spacing w:val="6"/>
                      <w:sz w:val="21"/>
                      <w:szCs w:val="21"/>
                      <w:lang w:val="en-US" w:eastAsia="zh-CN"/>
                    </w:rPr>
                    <w:t>设</w:t>
                  </w:r>
                  <w:r>
                    <w:rPr>
                      <w:rFonts w:hint="default" w:ascii="Times New Roman" w:hAnsi="Times New Roman" w:cs="Times New Roman"/>
                      <w:color w:val="auto"/>
                      <w:spacing w:val="6"/>
                      <w:sz w:val="21"/>
                      <w:szCs w:val="21"/>
                      <w:lang w:val="en-US" w:eastAsia="zh-CN"/>
                    </w:rPr>
                    <w:t>1</w:t>
                  </w:r>
                  <w:r>
                    <w:rPr>
                      <w:rFonts w:hint="eastAsia"/>
                      <w:color w:val="auto"/>
                      <w:spacing w:val="6"/>
                      <w:sz w:val="21"/>
                      <w:szCs w:val="21"/>
                      <w:lang w:val="en-US" w:eastAsia="zh-CN"/>
                    </w:rPr>
                    <w:t>条混凝土生产线，主要包括1座搅拌站、1个水泥仓、1个粉煤灰仓，压滤机等，搅拌站采用钢结构进行密闭。</w:t>
                  </w:r>
                </w:p>
              </w:tc>
            </w:tr>
            <w:tr w14:paraId="4689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495" w:type="dxa"/>
                  <w:vMerge w:val="continue"/>
                  <w:vAlign w:val="center"/>
                </w:tcPr>
                <w:p w14:paraId="337E8BAA">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p>
              </w:tc>
              <w:tc>
                <w:tcPr>
                  <w:tcW w:w="1428" w:type="dxa"/>
                  <w:vAlign w:val="center"/>
                </w:tcPr>
                <w:p w14:paraId="0F3B1930">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color w:val="auto"/>
                      <w:spacing w:val="6"/>
                      <w:sz w:val="21"/>
                      <w:szCs w:val="21"/>
                      <w:lang w:val="en-US" w:eastAsia="zh-CN"/>
                    </w:rPr>
                  </w:pPr>
                  <w:r>
                    <w:rPr>
                      <w:rFonts w:hint="eastAsia"/>
                      <w:color w:val="auto"/>
                      <w:spacing w:val="6"/>
                      <w:sz w:val="21"/>
                      <w:szCs w:val="21"/>
                      <w:lang w:val="en-US" w:eastAsia="zh-CN"/>
                    </w:rPr>
                    <w:t>制砂区</w:t>
                  </w:r>
                </w:p>
              </w:tc>
              <w:tc>
                <w:tcPr>
                  <w:tcW w:w="4138" w:type="dxa"/>
                  <w:vAlign w:val="center"/>
                </w:tcPr>
                <w:p w14:paraId="5C76B10C">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color w:val="auto"/>
                      <w:spacing w:val="6"/>
                      <w:sz w:val="21"/>
                      <w:szCs w:val="21"/>
                      <w:lang w:val="en-US" w:eastAsia="zh-CN"/>
                    </w:rPr>
                  </w:pPr>
                  <w:r>
                    <w:rPr>
                      <w:rFonts w:hint="default" w:ascii="Times New Roman" w:hAnsi="Times New Roman" w:cs="Times New Roman"/>
                      <w:color w:val="auto"/>
                      <w:spacing w:val="6"/>
                      <w:sz w:val="21"/>
                      <w:szCs w:val="21"/>
                      <w:lang w:val="en-US" w:eastAsia="zh-CN"/>
                    </w:rPr>
                    <w:t>占地1500m</w:t>
                  </w:r>
                  <w:r>
                    <w:rPr>
                      <w:rFonts w:hint="default" w:ascii="Times New Roman" w:hAnsi="Times New Roman" w:cs="Times New Roman"/>
                      <w:color w:val="auto"/>
                      <w:spacing w:val="6"/>
                      <w:sz w:val="21"/>
                      <w:szCs w:val="21"/>
                      <w:vertAlign w:val="superscript"/>
                      <w:lang w:val="en-US" w:eastAsia="zh-CN"/>
                    </w:rPr>
                    <w:t>2</w:t>
                  </w:r>
                  <w:r>
                    <w:rPr>
                      <w:rFonts w:hint="default" w:ascii="Times New Roman" w:hAnsi="Times New Roman" w:cs="Times New Roman"/>
                      <w:color w:val="auto"/>
                      <w:spacing w:val="6"/>
                      <w:sz w:val="21"/>
                      <w:szCs w:val="21"/>
                      <w:lang w:val="en-US" w:eastAsia="zh-CN"/>
                    </w:rPr>
                    <w:t>，</w:t>
                  </w:r>
                  <w:r>
                    <w:rPr>
                      <w:rFonts w:hint="eastAsia" w:ascii="Times New Roman" w:hAnsi="Times New Roman" w:cs="Times New Roman"/>
                      <w:color w:val="auto"/>
                      <w:spacing w:val="6"/>
                      <w:sz w:val="21"/>
                      <w:szCs w:val="21"/>
                      <w:lang w:val="en-US" w:eastAsia="zh-CN"/>
                    </w:rPr>
                    <w:t>设置1条制砂生产线</w:t>
                  </w:r>
                </w:p>
              </w:tc>
            </w:tr>
            <w:tr w14:paraId="10D8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495" w:type="dxa"/>
                  <w:vAlign w:val="center"/>
                </w:tcPr>
                <w:p w14:paraId="52805345">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r>
                    <w:rPr>
                      <w:color w:val="auto"/>
                      <w:spacing w:val="6"/>
                      <w:sz w:val="21"/>
                      <w:szCs w:val="21"/>
                    </w:rPr>
                    <w:t>辅助工程</w:t>
                  </w:r>
                </w:p>
              </w:tc>
              <w:tc>
                <w:tcPr>
                  <w:tcW w:w="1428" w:type="dxa"/>
                  <w:vAlign w:val="center"/>
                </w:tcPr>
                <w:p w14:paraId="2A2A4255">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color w:val="auto"/>
                      <w:spacing w:val="6"/>
                      <w:sz w:val="21"/>
                      <w:szCs w:val="21"/>
                      <w:lang w:val="en-US" w:eastAsia="zh-CN"/>
                    </w:rPr>
                  </w:pPr>
                  <w:r>
                    <w:rPr>
                      <w:rFonts w:hint="eastAsia"/>
                      <w:color w:val="auto"/>
                      <w:spacing w:val="6"/>
                      <w:sz w:val="21"/>
                      <w:szCs w:val="21"/>
                      <w:lang w:val="en-US" w:eastAsia="zh-CN"/>
                    </w:rPr>
                    <w:t>办公室</w:t>
                  </w:r>
                </w:p>
              </w:tc>
              <w:tc>
                <w:tcPr>
                  <w:tcW w:w="4138" w:type="dxa"/>
                  <w:vAlign w:val="center"/>
                </w:tcPr>
                <w:p w14:paraId="70BC03DB">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color w:val="auto"/>
                      <w:spacing w:val="6"/>
                      <w:sz w:val="21"/>
                      <w:szCs w:val="21"/>
                      <w:lang w:val="en-US" w:eastAsia="zh-CN"/>
                    </w:rPr>
                  </w:pPr>
                  <w:r>
                    <w:rPr>
                      <w:rFonts w:hint="default" w:ascii="Times New Roman" w:hAnsi="Times New Roman" w:cs="Times New Roman"/>
                      <w:color w:val="auto"/>
                      <w:spacing w:val="6"/>
                      <w:sz w:val="21"/>
                      <w:szCs w:val="21"/>
                      <w:lang w:val="en-US" w:eastAsia="zh-CN"/>
                    </w:rPr>
                    <w:t>占地面积300m</w:t>
                  </w:r>
                  <w:r>
                    <w:rPr>
                      <w:rFonts w:hint="default" w:ascii="Times New Roman" w:hAnsi="Times New Roman" w:cs="Times New Roman"/>
                      <w:color w:val="auto"/>
                      <w:spacing w:val="6"/>
                      <w:sz w:val="21"/>
                      <w:szCs w:val="21"/>
                      <w:vertAlign w:val="superscript"/>
                      <w:lang w:val="en-US" w:eastAsia="zh-CN"/>
                    </w:rPr>
                    <w:t>2</w:t>
                  </w:r>
                </w:p>
              </w:tc>
            </w:tr>
            <w:tr w14:paraId="5363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495" w:type="dxa"/>
                  <w:vMerge w:val="restart"/>
                  <w:vAlign w:val="center"/>
                </w:tcPr>
                <w:p w14:paraId="0C1B79FC">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r>
                    <w:rPr>
                      <w:color w:val="auto"/>
                      <w:spacing w:val="6"/>
                      <w:sz w:val="21"/>
                      <w:szCs w:val="21"/>
                    </w:rPr>
                    <w:t>贮运工程</w:t>
                  </w:r>
                </w:p>
              </w:tc>
              <w:tc>
                <w:tcPr>
                  <w:tcW w:w="1428" w:type="dxa"/>
                  <w:vAlign w:val="center"/>
                </w:tcPr>
                <w:p w14:paraId="4BFC1E37">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r>
                    <w:rPr>
                      <w:rFonts w:hint="eastAsia"/>
                      <w:color w:val="auto"/>
                      <w:spacing w:val="6"/>
                      <w:sz w:val="21"/>
                      <w:szCs w:val="21"/>
                      <w:lang w:val="en-US" w:eastAsia="zh-CN"/>
                    </w:rPr>
                    <w:t>砂石原料</w:t>
                  </w:r>
                  <w:r>
                    <w:rPr>
                      <w:color w:val="auto"/>
                      <w:spacing w:val="6"/>
                      <w:sz w:val="21"/>
                      <w:szCs w:val="21"/>
                    </w:rPr>
                    <w:t>堆场</w:t>
                  </w:r>
                </w:p>
              </w:tc>
              <w:tc>
                <w:tcPr>
                  <w:tcW w:w="4138" w:type="dxa"/>
                  <w:vAlign w:val="center"/>
                </w:tcPr>
                <w:p w14:paraId="142B8718">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color w:val="auto"/>
                      <w:spacing w:val="6"/>
                      <w:sz w:val="21"/>
                      <w:szCs w:val="21"/>
                      <w:lang w:val="en-US" w:eastAsia="zh-CN"/>
                    </w:rPr>
                  </w:pPr>
                  <w:r>
                    <w:rPr>
                      <w:rFonts w:hint="eastAsia"/>
                      <w:color w:val="auto"/>
                      <w:spacing w:val="6"/>
                      <w:sz w:val="21"/>
                      <w:szCs w:val="21"/>
                      <w:lang w:val="en-US" w:eastAsia="zh-CN"/>
                    </w:rPr>
                    <w:t>占地面积</w:t>
                  </w:r>
                  <w:r>
                    <w:rPr>
                      <w:rFonts w:hint="default" w:ascii="Times New Roman" w:hAnsi="Times New Roman" w:cs="Times New Roman"/>
                      <w:color w:val="auto"/>
                      <w:spacing w:val="6"/>
                      <w:sz w:val="21"/>
                      <w:szCs w:val="21"/>
                      <w:lang w:val="en-US" w:eastAsia="zh-CN"/>
                    </w:rPr>
                    <w:t>300m</w:t>
                  </w:r>
                  <w:r>
                    <w:rPr>
                      <w:rFonts w:hint="default" w:ascii="Times New Roman" w:hAnsi="Times New Roman" w:cs="Times New Roman"/>
                      <w:color w:val="auto"/>
                      <w:spacing w:val="6"/>
                      <w:sz w:val="21"/>
                      <w:szCs w:val="21"/>
                      <w:vertAlign w:val="superscript"/>
                      <w:lang w:val="en-US" w:eastAsia="zh-CN"/>
                    </w:rPr>
                    <w:t>2</w:t>
                  </w:r>
                </w:p>
              </w:tc>
            </w:tr>
            <w:tr w14:paraId="6831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495" w:type="dxa"/>
                  <w:vMerge w:val="continue"/>
                  <w:vAlign w:val="center"/>
                </w:tcPr>
                <w:p w14:paraId="3C3FFE3F">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p>
              </w:tc>
              <w:tc>
                <w:tcPr>
                  <w:tcW w:w="1428" w:type="dxa"/>
                  <w:vAlign w:val="center"/>
                </w:tcPr>
                <w:p w14:paraId="7B641B43">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color w:val="auto"/>
                      <w:spacing w:val="6"/>
                      <w:sz w:val="21"/>
                      <w:szCs w:val="21"/>
                      <w:lang w:val="en-US" w:eastAsia="zh-CN"/>
                    </w:rPr>
                  </w:pPr>
                  <w:r>
                    <w:rPr>
                      <w:rFonts w:hint="eastAsia"/>
                      <w:color w:val="auto"/>
                      <w:spacing w:val="6"/>
                      <w:sz w:val="21"/>
                      <w:szCs w:val="21"/>
                      <w:lang w:val="en-US" w:eastAsia="zh-CN"/>
                    </w:rPr>
                    <w:t>细砂堆场</w:t>
                  </w:r>
                </w:p>
              </w:tc>
              <w:tc>
                <w:tcPr>
                  <w:tcW w:w="4138" w:type="dxa"/>
                  <w:vAlign w:val="center"/>
                </w:tcPr>
                <w:p w14:paraId="2DB55858">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r>
                    <w:rPr>
                      <w:rFonts w:hint="eastAsia"/>
                      <w:color w:val="auto"/>
                      <w:spacing w:val="6"/>
                      <w:sz w:val="21"/>
                      <w:szCs w:val="21"/>
                      <w:lang w:val="en-US" w:eastAsia="zh-CN"/>
                    </w:rPr>
                    <w:t>占地面积</w:t>
                  </w:r>
                  <w:r>
                    <w:rPr>
                      <w:rFonts w:hint="default" w:ascii="Times New Roman" w:hAnsi="Times New Roman" w:cs="Times New Roman"/>
                      <w:color w:val="auto"/>
                      <w:spacing w:val="6"/>
                      <w:sz w:val="21"/>
                      <w:szCs w:val="21"/>
                      <w:lang w:val="en-US" w:eastAsia="zh-CN"/>
                    </w:rPr>
                    <w:t>300m</w:t>
                  </w:r>
                  <w:r>
                    <w:rPr>
                      <w:rFonts w:hint="default" w:ascii="Times New Roman" w:hAnsi="Times New Roman" w:cs="Times New Roman"/>
                      <w:color w:val="auto"/>
                      <w:spacing w:val="6"/>
                      <w:sz w:val="21"/>
                      <w:szCs w:val="21"/>
                      <w:vertAlign w:val="superscript"/>
                      <w:lang w:val="en-US" w:eastAsia="zh-CN"/>
                    </w:rPr>
                    <w:t>2</w:t>
                  </w:r>
                </w:p>
              </w:tc>
            </w:tr>
            <w:tr w14:paraId="4AF5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495" w:type="dxa"/>
                  <w:vMerge w:val="continue"/>
                  <w:vAlign w:val="center"/>
                </w:tcPr>
                <w:p w14:paraId="7D5C28C6">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p>
              </w:tc>
              <w:tc>
                <w:tcPr>
                  <w:tcW w:w="1428" w:type="dxa"/>
                  <w:vAlign w:val="center"/>
                </w:tcPr>
                <w:p w14:paraId="0A5E1526">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pacing w:val="6"/>
                      <w:sz w:val="21"/>
                      <w:szCs w:val="21"/>
                      <w:lang w:val="en-US" w:eastAsia="zh-CN"/>
                    </w:rPr>
                  </w:pPr>
                  <w:r>
                    <w:rPr>
                      <w:rFonts w:hint="eastAsia"/>
                      <w:color w:val="auto"/>
                      <w:spacing w:val="6"/>
                      <w:sz w:val="21"/>
                      <w:szCs w:val="21"/>
                      <w:lang w:val="en-US" w:eastAsia="zh-CN"/>
                    </w:rPr>
                    <w:t>碎石堆场</w:t>
                  </w:r>
                </w:p>
              </w:tc>
              <w:tc>
                <w:tcPr>
                  <w:tcW w:w="4138" w:type="dxa"/>
                  <w:vAlign w:val="center"/>
                </w:tcPr>
                <w:p w14:paraId="276F5314">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pacing w:val="6"/>
                      <w:sz w:val="21"/>
                      <w:szCs w:val="21"/>
                      <w:lang w:val="en-US" w:eastAsia="zh-CN"/>
                    </w:rPr>
                  </w:pPr>
                  <w:r>
                    <w:rPr>
                      <w:rFonts w:hint="eastAsia"/>
                      <w:color w:val="auto"/>
                      <w:spacing w:val="6"/>
                      <w:sz w:val="21"/>
                      <w:szCs w:val="21"/>
                      <w:lang w:val="en-US" w:eastAsia="zh-CN"/>
                    </w:rPr>
                    <w:t>占地面积</w:t>
                  </w:r>
                  <w:r>
                    <w:rPr>
                      <w:rFonts w:hint="eastAsia" w:ascii="Times New Roman" w:hAnsi="Times New Roman" w:cs="Times New Roman"/>
                      <w:color w:val="auto"/>
                      <w:spacing w:val="6"/>
                      <w:sz w:val="21"/>
                      <w:szCs w:val="21"/>
                      <w:lang w:val="en-US" w:eastAsia="zh-CN"/>
                    </w:rPr>
                    <w:t>8</w:t>
                  </w:r>
                  <w:r>
                    <w:rPr>
                      <w:rFonts w:hint="default" w:ascii="Times New Roman" w:hAnsi="Times New Roman" w:cs="Times New Roman"/>
                      <w:color w:val="auto"/>
                      <w:spacing w:val="6"/>
                      <w:sz w:val="21"/>
                      <w:szCs w:val="21"/>
                      <w:lang w:val="en-US" w:eastAsia="zh-CN"/>
                    </w:rPr>
                    <w:t>00m</w:t>
                  </w:r>
                  <w:r>
                    <w:rPr>
                      <w:rFonts w:hint="default" w:ascii="Times New Roman" w:hAnsi="Times New Roman" w:cs="Times New Roman"/>
                      <w:color w:val="auto"/>
                      <w:spacing w:val="6"/>
                      <w:sz w:val="21"/>
                      <w:szCs w:val="21"/>
                      <w:vertAlign w:val="superscript"/>
                      <w:lang w:val="en-US" w:eastAsia="zh-CN"/>
                    </w:rPr>
                    <w:t>2</w:t>
                  </w:r>
                </w:p>
              </w:tc>
            </w:tr>
            <w:tr w14:paraId="42FB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495" w:type="dxa"/>
                  <w:vMerge w:val="continue"/>
                  <w:vAlign w:val="center"/>
                </w:tcPr>
                <w:p w14:paraId="4B586986">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p>
              </w:tc>
              <w:tc>
                <w:tcPr>
                  <w:tcW w:w="1428" w:type="dxa"/>
                  <w:vAlign w:val="center"/>
                </w:tcPr>
                <w:p w14:paraId="72F51CAC">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highlight w:val="none"/>
                    </w:rPr>
                  </w:pPr>
                  <w:r>
                    <w:rPr>
                      <w:rFonts w:hint="eastAsia"/>
                      <w:color w:val="auto"/>
                      <w:spacing w:val="6"/>
                      <w:sz w:val="21"/>
                      <w:szCs w:val="21"/>
                      <w:highlight w:val="none"/>
                    </w:rPr>
                    <w:t>卧式水泥仓</w:t>
                  </w:r>
                </w:p>
              </w:tc>
              <w:tc>
                <w:tcPr>
                  <w:tcW w:w="4138" w:type="dxa"/>
                  <w:vAlign w:val="center"/>
                </w:tcPr>
                <w:p w14:paraId="503FA559">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color w:val="auto"/>
                      <w:spacing w:val="6"/>
                      <w:sz w:val="21"/>
                      <w:szCs w:val="21"/>
                      <w:highlight w:val="none"/>
                      <w:lang w:val="en-US" w:eastAsia="zh-CN"/>
                    </w:rPr>
                  </w:pPr>
                  <w:r>
                    <w:rPr>
                      <w:rFonts w:hint="default" w:ascii="Times New Roman" w:hAnsi="Times New Roman" w:cs="Times New Roman"/>
                      <w:color w:val="auto"/>
                      <w:spacing w:val="6"/>
                      <w:sz w:val="21"/>
                      <w:szCs w:val="21"/>
                      <w:highlight w:val="none"/>
                      <w:lang w:val="en-US" w:eastAsia="zh-CN"/>
                    </w:rPr>
                    <w:t>1个，120t，</w:t>
                  </w:r>
                  <w:r>
                    <w:rPr>
                      <w:rFonts w:hint="default" w:ascii="Times New Roman" w:hAnsi="Times New Roman" w:cs="Times New Roman"/>
                      <w:color w:val="auto"/>
                      <w:spacing w:val="6"/>
                      <w:sz w:val="21"/>
                      <w:szCs w:val="21"/>
                      <w:highlight w:val="none"/>
                    </w:rPr>
                    <w:t>紧邻搅拌</w:t>
                  </w:r>
                  <w:r>
                    <w:rPr>
                      <w:rFonts w:hint="eastAsia" w:ascii="Times New Roman" w:hAnsi="Times New Roman" w:cs="Times New Roman"/>
                      <w:color w:val="auto"/>
                      <w:spacing w:val="6"/>
                      <w:sz w:val="21"/>
                      <w:szCs w:val="21"/>
                      <w:highlight w:val="none"/>
                      <w:lang w:val="en-US" w:eastAsia="zh-CN"/>
                    </w:rPr>
                    <w:t>站</w:t>
                  </w:r>
                </w:p>
              </w:tc>
            </w:tr>
            <w:tr w14:paraId="1990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495" w:type="dxa"/>
                  <w:vMerge w:val="continue"/>
                  <w:vAlign w:val="center"/>
                </w:tcPr>
                <w:p w14:paraId="2E466101">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p>
              </w:tc>
              <w:tc>
                <w:tcPr>
                  <w:tcW w:w="1428" w:type="dxa"/>
                  <w:vAlign w:val="center"/>
                </w:tcPr>
                <w:p w14:paraId="27C49EA4">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highlight w:val="none"/>
                    </w:rPr>
                  </w:pPr>
                  <w:r>
                    <w:rPr>
                      <w:rFonts w:hint="eastAsia"/>
                      <w:color w:val="auto"/>
                      <w:spacing w:val="6"/>
                      <w:sz w:val="21"/>
                      <w:szCs w:val="21"/>
                      <w:highlight w:val="none"/>
                    </w:rPr>
                    <w:t>卧式煤灰仓</w:t>
                  </w:r>
                </w:p>
              </w:tc>
              <w:tc>
                <w:tcPr>
                  <w:tcW w:w="4138" w:type="dxa"/>
                  <w:vAlign w:val="center"/>
                </w:tcPr>
                <w:p w14:paraId="6ADC1FC9">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color w:val="auto"/>
                      <w:spacing w:val="6"/>
                      <w:sz w:val="21"/>
                      <w:szCs w:val="21"/>
                      <w:highlight w:val="none"/>
                      <w:lang w:val="en-US" w:eastAsia="zh-CN"/>
                    </w:rPr>
                  </w:pPr>
                  <w:r>
                    <w:rPr>
                      <w:rFonts w:hint="default" w:ascii="Times New Roman" w:hAnsi="Times New Roman" w:cs="Times New Roman"/>
                      <w:color w:val="auto"/>
                      <w:spacing w:val="6"/>
                      <w:sz w:val="21"/>
                      <w:szCs w:val="21"/>
                      <w:highlight w:val="none"/>
                      <w:lang w:val="en-US" w:eastAsia="zh-CN"/>
                    </w:rPr>
                    <w:t>1个，</w:t>
                  </w:r>
                  <w:r>
                    <w:rPr>
                      <w:rFonts w:hint="eastAsia" w:ascii="Times New Roman" w:hAnsi="Times New Roman" w:cs="Times New Roman"/>
                      <w:color w:val="auto"/>
                      <w:spacing w:val="6"/>
                      <w:sz w:val="21"/>
                      <w:szCs w:val="21"/>
                      <w:highlight w:val="none"/>
                      <w:lang w:val="en-US" w:eastAsia="zh-CN"/>
                    </w:rPr>
                    <w:t>6</w:t>
                  </w:r>
                  <w:r>
                    <w:rPr>
                      <w:rFonts w:hint="default" w:ascii="Times New Roman" w:hAnsi="Times New Roman" w:cs="Times New Roman"/>
                      <w:color w:val="auto"/>
                      <w:spacing w:val="6"/>
                      <w:sz w:val="21"/>
                      <w:szCs w:val="21"/>
                      <w:highlight w:val="none"/>
                      <w:lang w:val="en-US" w:eastAsia="zh-CN"/>
                    </w:rPr>
                    <w:t>0t，</w:t>
                  </w:r>
                  <w:r>
                    <w:rPr>
                      <w:rFonts w:hint="default" w:ascii="Times New Roman" w:hAnsi="Times New Roman" w:cs="Times New Roman"/>
                      <w:color w:val="auto"/>
                      <w:spacing w:val="6"/>
                      <w:sz w:val="21"/>
                      <w:szCs w:val="21"/>
                      <w:highlight w:val="none"/>
                    </w:rPr>
                    <w:t>紧邻搅拌</w:t>
                  </w:r>
                  <w:r>
                    <w:rPr>
                      <w:rFonts w:hint="eastAsia" w:ascii="Times New Roman" w:hAnsi="Times New Roman" w:cs="Times New Roman"/>
                      <w:color w:val="auto"/>
                      <w:spacing w:val="6"/>
                      <w:sz w:val="21"/>
                      <w:szCs w:val="21"/>
                      <w:highlight w:val="none"/>
                      <w:lang w:val="en-US" w:eastAsia="zh-CN"/>
                    </w:rPr>
                    <w:t>站</w:t>
                  </w:r>
                </w:p>
              </w:tc>
            </w:tr>
            <w:tr w14:paraId="2722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495" w:type="dxa"/>
                  <w:vMerge w:val="continue"/>
                  <w:vAlign w:val="center"/>
                </w:tcPr>
                <w:p w14:paraId="47BDA43A">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p>
              </w:tc>
              <w:tc>
                <w:tcPr>
                  <w:tcW w:w="1428" w:type="dxa"/>
                  <w:vAlign w:val="center"/>
                </w:tcPr>
                <w:p w14:paraId="1A46BBC7">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color w:val="auto"/>
                      <w:spacing w:val="6"/>
                      <w:sz w:val="21"/>
                      <w:szCs w:val="21"/>
                      <w:highlight w:val="none"/>
                      <w:lang w:val="en-US" w:eastAsia="zh-CN"/>
                    </w:rPr>
                  </w:pPr>
                  <w:r>
                    <w:rPr>
                      <w:rFonts w:hint="eastAsia"/>
                      <w:color w:val="auto"/>
                      <w:spacing w:val="6"/>
                      <w:sz w:val="21"/>
                      <w:szCs w:val="21"/>
                      <w:highlight w:val="none"/>
                      <w:lang w:val="en-US" w:eastAsia="zh-CN"/>
                    </w:rPr>
                    <w:t>外加剂桶</w:t>
                  </w:r>
                </w:p>
              </w:tc>
              <w:tc>
                <w:tcPr>
                  <w:tcW w:w="4138" w:type="dxa"/>
                  <w:vAlign w:val="center"/>
                </w:tcPr>
                <w:p w14:paraId="5421F029">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color w:val="auto"/>
                      <w:spacing w:val="6"/>
                      <w:sz w:val="21"/>
                      <w:szCs w:val="21"/>
                      <w:highlight w:val="none"/>
                      <w:lang w:val="en-US" w:eastAsia="zh-CN"/>
                    </w:rPr>
                  </w:pPr>
                  <w:r>
                    <w:rPr>
                      <w:rFonts w:hint="eastAsia" w:ascii="Times New Roman" w:hAnsi="Times New Roman" w:cs="Times New Roman"/>
                      <w:color w:val="auto"/>
                      <w:spacing w:val="6"/>
                      <w:sz w:val="21"/>
                      <w:szCs w:val="21"/>
                      <w:highlight w:val="none"/>
                      <w:lang w:val="en-US" w:eastAsia="zh-CN"/>
                    </w:rPr>
                    <w:t>1个，1t，</w:t>
                  </w:r>
                  <w:r>
                    <w:rPr>
                      <w:rFonts w:hint="default" w:ascii="Times New Roman" w:hAnsi="Times New Roman" w:cs="Times New Roman"/>
                      <w:color w:val="auto"/>
                      <w:spacing w:val="6"/>
                      <w:sz w:val="21"/>
                      <w:szCs w:val="21"/>
                      <w:highlight w:val="none"/>
                    </w:rPr>
                    <w:t>紧邻搅拌</w:t>
                  </w:r>
                  <w:r>
                    <w:rPr>
                      <w:rFonts w:hint="eastAsia" w:ascii="Times New Roman" w:hAnsi="Times New Roman" w:cs="Times New Roman"/>
                      <w:color w:val="auto"/>
                      <w:spacing w:val="6"/>
                      <w:sz w:val="21"/>
                      <w:szCs w:val="21"/>
                      <w:highlight w:val="none"/>
                      <w:lang w:val="en-US" w:eastAsia="zh-CN"/>
                    </w:rPr>
                    <w:t>站</w:t>
                  </w:r>
                </w:p>
              </w:tc>
            </w:tr>
            <w:tr w14:paraId="1679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495" w:type="dxa"/>
                  <w:vMerge w:val="restart"/>
                  <w:vAlign w:val="center"/>
                </w:tcPr>
                <w:p w14:paraId="0012EE48">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p>
                <w:p w14:paraId="02615AB3">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r>
                    <w:rPr>
                      <w:color w:val="auto"/>
                      <w:spacing w:val="6"/>
                      <w:sz w:val="21"/>
                      <w:szCs w:val="21"/>
                    </w:rPr>
                    <w:t>公用工程</w:t>
                  </w:r>
                </w:p>
              </w:tc>
              <w:tc>
                <w:tcPr>
                  <w:tcW w:w="1428" w:type="dxa"/>
                  <w:vAlign w:val="center"/>
                </w:tcPr>
                <w:p w14:paraId="68C8F013">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r>
                    <w:rPr>
                      <w:color w:val="auto"/>
                      <w:spacing w:val="6"/>
                      <w:sz w:val="21"/>
                      <w:szCs w:val="21"/>
                    </w:rPr>
                    <w:t>供水</w:t>
                  </w:r>
                </w:p>
              </w:tc>
              <w:tc>
                <w:tcPr>
                  <w:tcW w:w="4138" w:type="dxa"/>
                  <w:vAlign w:val="center"/>
                </w:tcPr>
                <w:p w14:paraId="73042A5C">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r>
                    <w:rPr>
                      <w:rFonts w:hint="eastAsia"/>
                      <w:color w:val="auto"/>
                      <w:spacing w:val="6"/>
                      <w:sz w:val="21"/>
                      <w:szCs w:val="21"/>
                    </w:rPr>
                    <w:t>由市政给水管网供给</w:t>
                  </w:r>
                </w:p>
              </w:tc>
            </w:tr>
            <w:tr w14:paraId="7A61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495" w:type="dxa"/>
                  <w:vMerge w:val="continue"/>
                  <w:vAlign w:val="center"/>
                </w:tcPr>
                <w:p w14:paraId="3ABDC5FF">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p>
              </w:tc>
              <w:tc>
                <w:tcPr>
                  <w:tcW w:w="1428" w:type="dxa"/>
                  <w:vAlign w:val="center"/>
                </w:tcPr>
                <w:p w14:paraId="43875A24">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r>
                    <w:rPr>
                      <w:color w:val="auto"/>
                      <w:spacing w:val="6"/>
                      <w:sz w:val="21"/>
                      <w:szCs w:val="21"/>
                    </w:rPr>
                    <w:t>供电</w:t>
                  </w:r>
                </w:p>
              </w:tc>
              <w:tc>
                <w:tcPr>
                  <w:tcW w:w="4138" w:type="dxa"/>
                  <w:vAlign w:val="center"/>
                </w:tcPr>
                <w:p w14:paraId="063440E9">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r>
                    <w:rPr>
                      <w:color w:val="auto"/>
                      <w:spacing w:val="6"/>
                      <w:sz w:val="21"/>
                      <w:szCs w:val="21"/>
                    </w:rPr>
                    <w:t>由市政电网供给</w:t>
                  </w:r>
                </w:p>
              </w:tc>
            </w:tr>
            <w:tr w14:paraId="27CD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495" w:type="dxa"/>
                  <w:vMerge w:val="restart"/>
                  <w:vAlign w:val="center"/>
                </w:tcPr>
                <w:p w14:paraId="2BA09FAB">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r>
                    <w:rPr>
                      <w:color w:val="auto"/>
                      <w:spacing w:val="6"/>
                      <w:sz w:val="21"/>
                      <w:szCs w:val="21"/>
                    </w:rPr>
                    <w:t>环保工程</w:t>
                  </w:r>
                </w:p>
              </w:tc>
              <w:tc>
                <w:tcPr>
                  <w:tcW w:w="1428" w:type="dxa"/>
                  <w:vAlign w:val="center"/>
                </w:tcPr>
                <w:p w14:paraId="7CB66378">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color w:val="auto"/>
                      <w:spacing w:val="6"/>
                      <w:sz w:val="21"/>
                      <w:szCs w:val="21"/>
                      <w:lang w:val="en-US" w:eastAsia="zh-CN"/>
                    </w:rPr>
                  </w:pPr>
                  <w:r>
                    <w:rPr>
                      <w:rFonts w:hint="eastAsia"/>
                      <w:color w:val="auto"/>
                      <w:spacing w:val="6"/>
                      <w:sz w:val="21"/>
                      <w:szCs w:val="21"/>
                      <w:lang w:val="en-US" w:eastAsia="zh-CN"/>
                    </w:rPr>
                    <w:t>废水池</w:t>
                  </w:r>
                </w:p>
              </w:tc>
              <w:tc>
                <w:tcPr>
                  <w:tcW w:w="4138" w:type="dxa"/>
                  <w:vAlign w:val="center"/>
                </w:tcPr>
                <w:p w14:paraId="51D924A1">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color w:val="auto"/>
                      <w:spacing w:val="6"/>
                      <w:sz w:val="21"/>
                      <w:szCs w:val="21"/>
                      <w:lang w:val="en-US" w:eastAsia="zh-CN"/>
                    </w:rPr>
                  </w:pPr>
                  <w:r>
                    <w:rPr>
                      <w:rFonts w:hint="default" w:ascii="Times New Roman" w:hAnsi="Times New Roman" w:cs="Times New Roman"/>
                      <w:color w:val="auto"/>
                      <w:spacing w:val="6"/>
                      <w:sz w:val="21"/>
                      <w:szCs w:val="21"/>
                      <w:lang w:val="en-US" w:eastAsia="zh-CN"/>
                    </w:rPr>
                    <w:t>1个，有效容积600m</w:t>
                  </w:r>
                  <w:r>
                    <w:rPr>
                      <w:rFonts w:hint="default" w:ascii="Times New Roman" w:hAnsi="Times New Roman" w:cs="Times New Roman"/>
                      <w:color w:val="auto"/>
                      <w:spacing w:val="6"/>
                      <w:sz w:val="21"/>
                      <w:szCs w:val="21"/>
                      <w:vertAlign w:val="superscript"/>
                      <w:lang w:val="en-US" w:eastAsia="zh-CN"/>
                    </w:rPr>
                    <w:t>3</w:t>
                  </w:r>
                </w:p>
              </w:tc>
            </w:tr>
            <w:tr w14:paraId="59C7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495" w:type="dxa"/>
                  <w:vMerge w:val="continue"/>
                  <w:vAlign w:val="center"/>
                </w:tcPr>
                <w:p w14:paraId="37761ED2">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p>
              </w:tc>
              <w:tc>
                <w:tcPr>
                  <w:tcW w:w="1428" w:type="dxa"/>
                  <w:vAlign w:val="center"/>
                </w:tcPr>
                <w:p w14:paraId="62BA8F97">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pacing w:val="6"/>
                      <w:sz w:val="21"/>
                      <w:szCs w:val="21"/>
                      <w:lang w:val="en-US" w:eastAsia="zh-CN"/>
                    </w:rPr>
                  </w:pPr>
                  <w:r>
                    <w:rPr>
                      <w:rFonts w:hint="eastAsia"/>
                      <w:color w:val="auto"/>
                      <w:spacing w:val="6"/>
                      <w:sz w:val="21"/>
                      <w:szCs w:val="21"/>
                      <w:lang w:val="en-US" w:eastAsia="zh-CN"/>
                    </w:rPr>
                    <w:t>清水池</w:t>
                  </w:r>
                </w:p>
              </w:tc>
              <w:tc>
                <w:tcPr>
                  <w:tcW w:w="4138" w:type="dxa"/>
                  <w:vAlign w:val="center"/>
                </w:tcPr>
                <w:p w14:paraId="40F1E0C4">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color w:val="auto"/>
                      <w:spacing w:val="6"/>
                      <w:sz w:val="21"/>
                      <w:szCs w:val="21"/>
                      <w:lang w:val="en-US" w:eastAsia="zh-CN"/>
                    </w:rPr>
                  </w:pPr>
                  <w:r>
                    <w:rPr>
                      <w:rFonts w:hint="eastAsia" w:ascii="Times New Roman" w:hAnsi="Times New Roman" w:cs="Times New Roman"/>
                      <w:color w:val="auto"/>
                      <w:spacing w:val="6"/>
                      <w:sz w:val="21"/>
                      <w:szCs w:val="21"/>
                      <w:lang w:val="en-US" w:eastAsia="zh-CN"/>
                    </w:rPr>
                    <w:t>1个，</w:t>
                  </w:r>
                  <w:r>
                    <w:rPr>
                      <w:rFonts w:hint="default" w:ascii="Times New Roman" w:hAnsi="Times New Roman" w:cs="Times New Roman"/>
                      <w:color w:val="auto"/>
                      <w:spacing w:val="6"/>
                      <w:sz w:val="21"/>
                      <w:szCs w:val="21"/>
                      <w:lang w:val="en-US" w:eastAsia="zh-CN"/>
                    </w:rPr>
                    <w:t>有效容积600m</w:t>
                  </w:r>
                  <w:r>
                    <w:rPr>
                      <w:rFonts w:hint="default" w:ascii="Times New Roman" w:hAnsi="Times New Roman" w:cs="Times New Roman"/>
                      <w:color w:val="auto"/>
                      <w:spacing w:val="6"/>
                      <w:sz w:val="21"/>
                      <w:szCs w:val="21"/>
                      <w:vertAlign w:val="superscript"/>
                      <w:lang w:val="en-US" w:eastAsia="zh-CN"/>
                    </w:rPr>
                    <w:t>3</w:t>
                  </w:r>
                </w:p>
              </w:tc>
            </w:tr>
            <w:tr w14:paraId="7959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495" w:type="dxa"/>
                  <w:vMerge w:val="continue"/>
                  <w:vAlign w:val="center"/>
                </w:tcPr>
                <w:p w14:paraId="1325426C">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p>
              </w:tc>
              <w:tc>
                <w:tcPr>
                  <w:tcW w:w="1428" w:type="dxa"/>
                  <w:vAlign w:val="center"/>
                </w:tcPr>
                <w:p w14:paraId="0D8B100D">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color w:val="auto"/>
                      <w:spacing w:val="6"/>
                      <w:sz w:val="21"/>
                      <w:szCs w:val="21"/>
                      <w:lang w:val="en-US" w:eastAsia="zh-CN"/>
                    </w:rPr>
                  </w:pPr>
                  <w:r>
                    <w:rPr>
                      <w:rFonts w:hint="eastAsia"/>
                      <w:color w:val="auto"/>
                      <w:spacing w:val="6"/>
                      <w:sz w:val="21"/>
                      <w:szCs w:val="21"/>
                      <w:lang w:val="en-US" w:eastAsia="zh-CN"/>
                    </w:rPr>
                    <w:t>过滤罐</w:t>
                  </w:r>
                </w:p>
              </w:tc>
              <w:tc>
                <w:tcPr>
                  <w:tcW w:w="4138" w:type="dxa"/>
                  <w:vAlign w:val="center"/>
                </w:tcPr>
                <w:p w14:paraId="634DB1D9">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color w:val="auto"/>
                      <w:spacing w:val="6"/>
                      <w:sz w:val="21"/>
                      <w:szCs w:val="21"/>
                      <w:lang w:val="en-US" w:eastAsia="zh-CN"/>
                    </w:rPr>
                  </w:pPr>
                  <w:r>
                    <w:rPr>
                      <w:rFonts w:hint="default" w:ascii="Times New Roman" w:hAnsi="Times New Roman" w:cs="Times New Roman"/>
                      <w:color w:val="auto"/>
                      <w:spacing w:val="6"/>
                      <w:sz w:val="21"/>
                      <w:szCs w:val="21"/>
                      <w:lang w:val="en-US" w:eastAsia="zh-CN"/>
                    </w:rPr>
                    <w:t>1个，100m</w:t>
                  </w:r>
                  <w:r>
                    <w:rPr>
                      <w:rFonts w:hint="default" w:ascii="Times New Roman" w:hAnsi="Times New Roman" w:cs="Times New Roman"/>
                      <w:color w:val="auto"/>
                      <w:spacing w:val="6"/>
                      <w:sz w:val="21"/>
                      <w:szCs w:val="21"/>
                      <w:vertAlign w:val="superscript"/>
                      <w:lang w:val="en-US" w:eastAsia="zh-CN"/>
                    </w:rPr>
                    <w:t>3</w:t>
                  </w:r>
                </w:p>
              </w:tc>
            </w:tr>
            <w:tr w14:paraId="51CF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495" w:type="dxa"/>
                  <w:vMerge w:val="continue"/>
                  <w:vAlign w:val="center"/>
                </w:tcPr>
                <w:p w14:paraId="2DDD52EA">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p>
              </w:tc>
              <w:tc>
                <w:tcPr>
                  <w:tcW w:w="1428" w:type="dxa"/>
                  <w:vAlign w:val="center"/>
                </w:tcPr>
                <w:p w14:paraId="40163460">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pacing w:val="6"/>
                      <w:sz w:val="21"/>
                      <w:szCs w:val="21"/>
                      <w:lang w:val="en-US" w:eastAsia="zh-CN"/>
                    </w:rPr>
                  </w:pPr>
                  <w:r>
                    <w:rPr>
                      <w:rFonts w:hint="eastAsia"/>
                      <w:color w:val="auto"/>
                      <w:spacing w:val="6"/>
                      <w:sz w:val="21"/>
                      <w:szCs w:val="21"/>
                      <w:lang w:val="en-US" w:eastAsia="zh-CN"/>
                    </w:rPr>
                    <w:t>化粪池</w:t>
                  </w:r>
                </w:p>
              </w:tc>
              <w:tc>
                <w:tcPr>
                  <w:tcW w:w="4138" w:type="dxa"/>
                  <w:vAlign w:val="center"/>
                </w:tcPr>
                <w:p w14:paraId="26F5075F">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color w:val="auto"/>
                      <w:spacing w:val="6"/>
                      <w:sz w:val="21"/>
                      <w:szCs w:val="21"/>
                      <w:lang w:val="en-US" w:eastAsia="zh-CN"/>
                    </w:rPr>
                  </w:pPr>
                  <w:r>
                    <w:rPr>
                      <w:rFonts w:hint="eastAsia" w:ascii="Times New Roman" w:hAnsi="Times New Roman" w:cs="Times New Roman"/>
                      <w:color w:val="auto"/>
                      <w:spacing w:val="6"/>
                      <w:sz w:val="21"/>
                      <w:szCs w:val="21"/>
                      <w:lang w:val="en-US" w:eastAsia="zh-CN"/>
                    </w:rPr>
                    <w:t>1个，2m</w:t>
                  </w:r>
                  <w:r>
                    <w:rPr>
                      <w:rFonts w:hint="eastAsia" w:ascii="Times New Roman" w:hAnsi="Times New Roman" w:cs="Times New Roman"/>
                      <w:color w:val="auto"/>
                      <w:spacing w:val="6"/>
                      <w:sz w:val="21"/>
                      <w:szCs w:val="21"/>
                      <w:vertAlign w:val="superscript"/>
                      <w:lang w:val="en-US" w:eastAsia="zh-CN"/>
                    </w:rPr>
                    <w:t>3</w:t>
                  </w:r>
                </w:p>
              </w:tc>
            </w:tr>
            <w:tr w14:paraId="5831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495" w:type="dxa"/>
                  <w:vMerge w:val="continue"/>
                  <w:vAlign w:val="center"/>
                </w:tcPr>
                <w:p w14:paraId="48CB6912">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p>
              </w:tc>
              <w:tc>
                <w:tcPr>
                  <w:tcW w:w="1428" w:type="dxa"/>
                  <w:vAlign w:val="center"/>
                </w:tcPr>
                <w:p w14:paraId="468A7677">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r>
                    <w:rPr>
                      <w:rFonts w:hint="eastAsia"/>
                      <w:color w:val="auto"/>
                      <w:spacing w:val="6"/>
                      <w:sz w:val="21"/>
                      <w:szCs w:val="21"/>
                    </w:rPr>
                    <w:t>压滤机</w:t>
                  </w:r>
                </w:p>
              </w:tc>
              <w:tc>
                <w:tcPr>
                  <w:tcW w:w="4138" w:type="dxa"/>
                  <w:vAlign w:val="center"/>
                </w:tcPr>
                <w:p w14:paraId="20B64EA6">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color w:val="auto"/>
                      <w:spacing w:val="6"/>
                      <w:sz w:val="21"/>
                      <w:szCs w:val="21"/>
                      <w:lang w:val="en-US" w:eastAsia="zh-CN"/>
                    </w:rPr>
                  </w:pPr>
                  <w:r>
                    <w:rPr>
                      <w:rFonts w:hint="eastAsia"/>
                      <w:color w:val="auto"/>
                      <w:spacing w:val="6"/>
                      <w:sz w:val="21"/>
                      <w:szCs w:val="21"/>
                      <w:lang w:val="en-US" w:eastAsia="zh-CN"/>
                    </w:rPr>
                    <w:t>1台，废水污泥脱水</w:t>
                  </w:r>
                </w:p>
              </w:tc>
            </w:tr>
            <w:tr w14:paraId="5693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1495" w:type="dxa"/>
                  <w:vMerge w:val="continue"/>
                  <w:vAlign w:val="center"/>
                </w:tcPr>
                <w:p w14:paraId="25A5FE87">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p>
              </w:tc>
              <w:tc>
                <w:tcPr>
                  <w:tcW w:w="1428" w:type="dxa"/>
                  <w:vAlign w:val="center"/>
                </w:tcPr>
                <w:p w14:paraId="2A6329E8">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r>
                    <w:rPr>
                      <w:color w:val="auto"/>
                      <w:spacing w:val="6"/>
                      <w:sz w:val="21"/>
                      <w:szCs w:val="21"/>
                    </w:rPr>
                    <w:t>布袋除尘</w:t>
                  </w:r>
                </w:p>
              </w:tc>
              <w:tc>
                <w:tcPr>
                  <w:tcW w:w="4138" w:type="dxa"/>
                  <w:vAlign w:val="center"/>
                </w:tcPr>
                <w:p w14:paraId="4809EC53">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color w:val="auto"/>
                      <w:spacing w:val="6"/>
                      <w:sz w:val="21"/>
                      <w:szCs w:val="21"/>
                      <w:lang w:val="en-US" w:eastAsia="zh-CN"/>
                    </w:rPr>
                  </w:pPr>
                  <w:r>
                    <w:rPr>
                      <w:rFonts w:hint="eastAsia"/>
                      <w:color w:val="auto"/>
                      <w:spacing w:val="6"/>
                      <w:sz w:val="21"/>
                      <w:szCs w:val="21"/>
                      <w:lang w:val="en-US" w:eastAsia="zh-CN"/>
                    </w:rPr>
                    <w:t>粉料罐</w:t>
                  </w:r>
                  <w:r>
                    <w:rPr>
                      <w:color w:val="auto"/>
                      <w:spacing w:val="6"/>
                      <w:sz w:val="21"/>
                      <w:szCs w:val="21"/>
                    </w:rPr>
                    <w:t>、搅拌</w:t>
                  </w:r>
                  <w:r>
                    <w:rPr>
                      <w:rFonts w:hint="eastAsia"/>
                      <w:color w:val="auto"/>
                      <w:spacing w:val="6"/>
                      <w:sz w:val="21"/>
                      <w:szCs w:val="21"/>
                      <w:lang w:val="en-US" w:eastAsia="zh-CN"/>
                    </w:rPr>
                    <w:t>站</w:t>
                  </w:r>
                  <w:r>
                    <w:rPr>
                      <w:color w:val="auto"/>
                      <w:spacing w:val="6"/>
                      <w:sz w:val="21"/>
                      <w:szCs w:val="21"/>
                    </w:rPr>
                    <w:t>配备布袋除尘器</w:t>
                  </w:r>
                  <w:r>
                    <w:rPr>
                      <w:rFonts w:hint="eastAsia"/>
                      <w:color w:val="auto"/>
                      <w:spacing w:val="6"/>
                      <w:sz w:val="21"/>
                      <w:szCs w:val="21"/>
                      <w:lang w:eastAsia="zh-CN"/>
                    </w:rPr>
                    <w:t>，</w:t>
                  </w:r>
                  <w:r>
                    <w:rPr>
                      <w:rFonts w:hint="eastAsia"/>
                      <w:color w:val="auto"/>
                      <w:spacing w:val="6"/>
                      <w:sz w:val="21"/>
                      <w:szCs w:val="21"/>
                      <w:lang w:val="en-US" w:eastAsia="zh-CN"/>
                    </w:rPr>
                    <w:t>共</w:t>
                  </w:r>
                  <w:r>
                    <w:rPr>
                      <w:rFonts w:hint="default" w:ascii="Times New Roman" w:hAnsi="Times New Roman" w:cs="Times New Roman"/>
                      <w:color w:val="auto"/>
                      <w:spacing w:val="6"/>
                      <w:sz w:val="21"/>
                      <w:szCs w:val="21"/>
                      <w:lang w:val="en-US" w:eastAsia="zh-CN"/>
                    </w:rPr>
                    <w:t>3</w:t>
                  </w:r>
                  <w:r>
                    <w:rPr>
                      <w:rFonts w:hint="eastAsia"/>
                      <w:color w:val="auto"/>
                      <w:spacing w:val="6"/>
                      <w:sz w:val="21"/>
                      <w:szCs w:val="21"/>
                      <w:lang w:val="en-US" w:eastAsia="zh-CN"/>
                    </w:rPr>
                    <w:t>套</w:t>
                  </w:r>
                </w:p>
              </w:tc>
            </w:tr>
            <w:tr w14:paraId="638B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1495" w:type="dxa"/>
                  <w:vMerge w:val="continue"/>
                  <w:vAlign w:val="center"/>
                </w:tcPr>
                <w:p w14:paraId="075D9783">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p>
              </w:tc>
              <w:tc>
                <w:tcPr>
                  <w:tcW w:w="1428" w:type="dxa"/>
                  <w:vAlign w:val="center"/>
                </w:tcPr>
                <w:p w14:paraId="1E79F382">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color w:val="auto"/>
                      <w:spacing w:val="6"/>
                      <w:sz w:val="21"/>
                      <w:szCs w:val="21"/>
                      <w:lang w:val="en-US" w:eastAsia="zh-CN"/>
                    </w:rPr>
                  </w:pPr>
                  <w:r>
                    <w:rPr>
                      <w:rFonts w:hint="eastAsia"/>
                      <w:color w:val="auto"/>
                      <w:spacing w:val="6"/>
                      <w:sz w:val="21"/>
                      <w:szCs w:val="21"/>
                      <w:lang w:val="en-US" w:eastAsia="zh-CN"/>
                    </w:rPr>
                    <w:t>堆场扬尘处理</w:t>
                  </w:r>
                </w:p>
              </w:tc>
              <w:tc>
                <w:tcPr>
                  <w:tcW w:w="4138" w:type="dxa"/>
                  <w:vAlign w:val="center"/>
                </w:tcPr>
                <w:p w14:paraId="5A32C628">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pacing w:val="6"/>
                      <w:sz w:val="21"/>
                      <w:szCs w:val="21"/>
                      <w:lang w:val="en-US" w:eastAsia="zh-CN"/>
                    </w:rPr>
                  </w:pPr>
                  <w:r>
                    <w:rPr>
                      <w:rFonts w:hint="eastAsia"/>
                      <w:color w:val="auto"/>
                      <w:spacing w:val="6"/>
                      <w:sz w:val="21"/>
                      <w:szCs w:val="21"/>
                      <w:lang w:val="en-US" w:eastAsia="zh-CN"/>
                    </w:rPr>
                    <w:t>喷雾洒水降尘</w:t>
                  </w:r>
                </w:p>
              </w:tc>
            </w:tr>
            <w:tr w14:paraId="2B4B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1495" w:type="dxa"/>
                  <w:vMerge w:val="continue"/>
                  <w:vAlign w:val="center"/>
                </w:tcPr>
                <w:p w14:paraId="15B8EDE5">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pacing w:val="6"/>
                      <w:sz w:val="21"/>
                      <w:szCs w:val="21"/>
                    </w:rPr>
                  </w:pPr>
                </w:p>
              </w:tc>
              <w:tc>
                <w:tcPr>
                  <w:tcW w:w="1428" w:type="dxa"/>
                  <w:vAlign w:val="center"/>
                </w:tcPr>
                <w:p w14:paraId="2209F379">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color w:val="auto"/>
                      <w:spacing w:val="6"/>
                      <w:sz w:val="21"/>
                      <w:szCs w:val="21"/>
                      <w:lang w:val="en-US" w:eastAsia="zh-CN"/>
                    </w:rPr>
                  </w:pPr>
                  <w:r>
                    <w:rPr>
                      <w:rFonts w:hint="eastAsia"/>
                      <w:color w:val="auto"/>
                      <w:spacing w:val="6"/>
                      <w:sz w:val="21"/>
                      <w:szCs w:val="21"/>
                      <w:lang w:val="en-US" w:eastAsia="zh-CN"/>
                    </w:rPr>
                    <w:t>危废暂存间</w:t>
                  </w:r>
                </w:p>
              </w:tc>
              <w:tc>
                <w:tcPr>
                  <w:tcW w:w="4138" w:type="dxa"/>
                  <w:vAlign w:val="center"/>
                </w:tcPr>
                <w:p w14:paraId="4CEE7514">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pacing w:val="6"/>
                      <w:sz w:val="21"/>
                      <w:szCs w:val="21"/>
                      <w:lang w:val="en-US" w:eastAsia="zh-CN"/>
                    </w:rPr>
                  </w:pPr>
                  <w:r>
                    <w:rPr>
                      <w:rFonts w:hint="default" w:ascii="Times New Roman" w:hAnsi="Times New Roman" w:cs="Times New Roman"/>
                      <w:color w:val="auto"/>
                      <w:spacing w:val="6"/>
                      <w:sz w:val="21"/>
                      <w:szCs w:val="21"/>
                      <w:lang w:val="en-US" w:eastAsia="zh-CN"/>
                    </w:rPr>
                    <w:t>1个，5m</w:t>
                  </w:r>
                  <w:r>
                    <w:rPr>
                      <w:rFonts w:hint="eastAsia" w:ascii="Times New Roman" w:hAnsi="Times New Roman" w:cs="Times New Roman"/>
                      <w:color w:val="auto"/>
                      <w:spacing w:val="6"/>
                      <w:sz w:val="21"/>
                      <w:szCs w:val="21"/>
                      <w:vertAlign w:val="superscript"/>
                      <w:lang w:val="en-US" w:eastAsia="zh-CN"/>
                    </w:rPr>
                    <w:t>2</w:t>
                  </w:r>
                </w:p>
              </w:tc>
            </w:tr>
          </w:tbl>
          <w:p w14:paraId="1569FF28">
            <w:pPr>
              <w:spacing w:line="14" w:lineRule="auto"/>
              <w:rPr>
                <w:rFonts w:ascii="Arial"/>
                <w:color w:val="auto"/>
                <w:sz w:val="2"/>
              </w:rPr>
            </w:pPr>
          </w:p>
          <w:p w14:paraId="398F526D">
            <w:pPr>
              <w:spacing w:line="14" w:lineRule="auto"/>
              <w:rPr>
                <w:rFonts w:ascii="Arial"/>
                <w:color w:val="auto"/>
                <w:sz w:val="2"/>
              </w:rPr>
            </w:pPr>
          </w:p>
          <w:p w14:paraId="0AE295B5">
            <w:pPr>
              <w:spacing w:line="14" w:lineRule="auto"/>
              <w:rPr>
                <w:rFonts w:ascii="Arial"/>
                <w:color w:val="auto"/>
                <w:sz w:val="2"/>
              </w:rPr>
            </w:pPr>
          </w:p>
          <w:p w14:paraId="42D9D177">
            <w:pPr>
              <w:spacing w:line="14" w:lineRule="auto"/>
              <w:rPr>
                <w:rFonts w:ascii="Arial"/>
                <w:color w:val="auto"/>
                <w:sz w:val="2"/>
              </w:rPr>
            </w:pPr>
          </w:p>
          <w:p w14:paraId="10E41314">
            <w:pPr>
              <w:spacing w:line="14" w:lineRule="auto"/>
              <w:rPr>
                <w:rFonts w:ascii="Arial"/>
                <w:color w:val="auto"/>
                <w:sz w:val="2"/>
              </w:rPr>
            </w:pPr>
          </w:p>
          <w:p w14:paraId="566ED90E">
            <w:pPr>
              <w:spacing w:line="14" w:lineRule="auto"/>
              <w:rPr>
                <w:rFonts w:ascii="Arial"/>
                <w:color w:val="auto"/>
                <w:sz w:val="2"/>
              </w:rPr>
            </w:pPr>
          </w:p>
          <w:p w14:paraId="15BA668B">
            <w:pPr>
              <w:spacing w:line="14" w:lineRule="auto"/>
              <w:rPr>
                <w:rFonts w:ascii="Arial"/>
                <w:color w:val="auto"/>
                <w:sz w:val="2"/>
              </w:rPr>
            </w:pPr>
          </w:p>
          <w:p w14:paraId="11A6D5D0">
            <w:pPr>
              <w:spacing w:line="14" w:lineRule="auto"/>
              <w:rPr>
                <w:rFonts w:ascii="Arial"/>
                <w:color w:val="auto"/>
                <w:sz w:val="2"/>
              </w:rPr>
            </w:pPr>
          </w:p>
          <w:p w14:paraId="4570D823">
            <w:pPr>
              <w:spacing w:line="14" w:lineRule="auto"/>
              <w:rPr>
                <w:rFonts w:ascii="Arial"/>
                <w:color w:val="auto"/>
                <w:sz w:val="2"/>
              </w:rPr>
            </w:pPr>
          </w:p>
          <w:p w14:paraId="13F48AA0">
            <w:pPr>
              <w:bidi w:val="0"/>
              <w:rPr>
                <w:rFonts w:ascii="Arial" w:hAnsi="Arial" w:eastAsia="Arial" w:cs="Arial"/>
                <w:snapToGrid w:val="0"/>
                <w:color w:val="auto"/>
                <w:kern w:val="0"/>
                <w:sz w:val="21"/>
                <w:szCs w:val="21"/>
                <w:lang w:val="en-US" w:eastAsia="en-US" w:bidi="ar-SA"/>
              </w:rPr>
            </w:pPr>
          </w:p>
          <w:p w14:paraId="19E05351">
            <w:pPr>
              <w:tabs>
                <w:tab w:val="left" w:pos="635"/>
              </w:tabs>
              <w:bidi w:val="0"/>
              <w:ind w:firstLine="468" w:firstLineChars="200"/>
              <w:jc w:val="left"/>
              <w:rPr>
                <w:color w:val="auto"/>
                <w:sz w:val="24"/>
                <w:szCs w:val="24"/>
              </w:rPr>
            </w:pPr>
            <w:r>
              <w:rPr>
                <w:rFonts w:ascii="Times New Roman" w:hAnsi="Times New Roman" w:eastAsia="Times New Roman" w:cs="Times New Roman"/>
                <w:b/>
                <w:bCs/>
                <w:color w:val="auto"/>
                <w:spacing w:val="-3"/>
                <w:sz w:val="24"/>
                <w:szCs w:val="24"/>
              </w:rPr>
              <w:t>3.</w:t>
            </w:r>
            <w:r>
              <w:rPr>
                <w:b/>
                <w:bCs/>
                <w:color w:val="auto"/>
                <w:spacing w:val="-3"/>
                <w:sz w:val="24"/>
                <w:szCs w:val="24"/>
              </w:rPr>
              <w:t>主要生产设备</w:t>
            </w:r>
          </w:p>
          <w:p w14:paraId="3C7FFC07">
            <w:pPr>
              <w:pStyle w:val="22"/>
              <w:spacing w:before="183" w:line="344" w:lineRule="auto"/>
              <w:ind w:right="9" w:firstLine="480" w:firstLineChars="200"/>
              <w:rPr>
                <w:color w:val="auto"/>
              </w:rPr>
            </w:pPr>
            <w:r>
              <w:rPr>
                <w:color w:val="auto"/>
              </w:rPr>
              <w:t>本项目主要生产设备</w:t>
            </w:r>
            <w:r>
              <w:rPr>
                <w:color w:val="auto"/>
                <w:spacing w:val="-1"/>
              </w:rPr>
              <w:t>见下表</w:t>
            </w:r>
            <w:r>
              <w:rPr>
                <w:color w:val="auto"/>
                <w:spacing w:val="-52"/>
              </w:rPr>
              <w:t xml:space="preserve"> </w:t>
            </w:r>
            <w:r>
              <w:rPr>
                <w:rFonts w:ascii="Times New Roman" w:hAnsi="Times New Roman" w:eastAsia="Times New Roman" w:cs="Times New Roman"/>
                <w:color w:val="auto"/>
                <w:spacing w:val="-1"/>
              </w:rPr>
              <w:t>2-</w:t>
            </w:r>
            <w:r>
              <w:rPr>
                <w:rFonts w:hint="eastAsia" w:ascii="Times New Roman" w:hAnsi="Times New Roman" w:eastAsia="宋体" w:cs="Times New Roman"/>
                <w:color w:val="auto"/>
                <w:spacing w:val="-1"/>
                <w:lang w:val="en-US" w:eastAsia="zh-CN"/>
              </w:rPr>
              <w:t>3</w:t>
            </w:r>
            <w:r>
              <w:rPr>
                <w:color w:val="auto"/>
                <w:spacing w:val="-1"/>
              </w:rPr>
              <w:t>。</w:t>
            </w:r>
          </w:p>
          <w:p w14:paraId="55CD060C">
            <w:pPr>
              <w:tabs>
                <w:tab w:val="left" w:pos="635"/>
              </w:tabs>
              <w:bidi w:val="0"/>
              <w:spacing w:line="360" w:lineRule="auto"/>
              <w:jc w:val="center"/>
              <w:rPr>
                <w:b/>
                <w:bCs/>
                <w:color w:val="auto"/>
                <w:spacing w:val="-3"/>
                <w:sz w:val="24"/>
                <w:szCs w:val="24"/>
              </w:rPr>
            </w:pPr>
            <w:r>
              <w:rPr>
                <w:b/>
                <w:bCs/>
                <w:color w:val="auto"/>
                <w:spacing w:val="-3"/>
                <w:sz w:val="24"/>
                <w:szCs w:val="24"/>
              </w:rPr>
              <w:t>表</w:t>
            </w:r>
            <w:r>
              <w:rPr>
                <w:color w:val="auto"/>
                <w:spacing w:val="-40"/>
                <w:sz w:val="24"/>
                <w:szCs w:val="24"/>
              </w:rPr>
              <w:t xml:space="preserve"> </w:t>
            </w:r>
            <w:r>
              <w:rPr>
                <w:rFonts w:ascii="Times New Roman" w:hAnsi="Times New Roman" w:eastAsia="Times New Roman" w:cs="Times New Roman"/>
                <w:b/>
                <w:bCs/>
                <w:color w:val="auto"/>
                <w:spacing w:val="-3"/>
                <w:sz w:val="24"/>
                <w:szCs w:val="24"/>
              </w:rPr>
              <w:t>2-</w:t>
            </w:r>
            <w:r>
              <w:rPr>
                <w:rFonts w:hint="eastAsia" w:ascii="Times New Roman" w:hAnsi="Times New Roman" w:eastAsia="宋体" w:cs="Times New Roman"/>
                <w:b/>
                <w:bCs/>
                <w:color w:val="auto"/>
                <w:spacing w:val="-3"/>
                <w:sz w:val="24"/>
                <w:szCs w:val="24"/>
                <w:lang w:val="en-US" w:eastAsia="zh-CN"/>
              </w:rPr>
              <w:t>3</w:t>
            </w:r>
            <w:r>
              <w:rPr>
                <w:rFonts w:ascii="Times New Roman" w:hAnsi="Times New Roman" w:eastAsia="Times New Roman" w:cs="Times New Roman"/>
                <w:b/>
                <w:bCs/>
                <w:color w:val="auto"/>
                <w:spacing w:val="-3"/>
                <w:sz w:val="24"/>
                <w:szCs w:val="24"/>
              </w:rPr>
              <w:t xml:space="preserve"> </w:t>
            </w:r>
            <w:r>
              <w:rPr>
                <w:b/>
                <w:bCs/>
                <w:color w:val="auto"/>
                <w:spacing w:val="-3"/>
                <w:sz w:val="24"/>
                <w:szCs w:val="24"/>
              </w:rPr>
              <w:t>本项目主要生产设备一览表</w:t>
            </w:r>
          </w:p>
          <w:tbl>
            <w:tblPr>
              <w:tblStyle w:val="18"/>
              <w:tblW w:w="7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86"/>
              <w:gridCol w:w="1929"/>
              <w:gridCol w:w="1737"/>
              <w:gridCol w:w="1391"/>
              <w:gridCol w:w="1654"/>
            </w:tblGrid>
            <w:tr w14:paraId="35E9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86" w:type="dxa"/>
                  <w:noWrap w:val="0"/>
                  <w:vAlign w:val="center"/>
                </w:tcPr>
                <w:p w14:paraId="31923C9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1929" w:type="dxa"/>
                  <w:noWrap w:val="0"/>
                  <w:vAlign w:val="center"/>
                </w:tcPr>
                <w:p w14:paraId="07983B0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设 备 名 称</w:t>
                  </w:r>
                </w:p>
              </w:tc>
              <w:tc>
                <w:tcPr>
                  <w:tcW w:w="1737" w:type="dxa"/>
                  <w:noWrap w:val="0"/>
                  <w:vAlign w:val="center"/>
                </w:tcPr>
                <w:p w14:paraId="32072BF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规格及型号</w:t>
                  </w:r>
                </w:p>
              </w:tc>
              <w:tc>
                <w:tcPr>
                  <w:tcW w:w="1391" w:type="dxa"/>
                  <w:noWrap w:val="0"/>
                  <w:vAlign w:val="center"/>
                </w:tcPr>
                <w:p w14:paraId="54A249B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数量（台）</w:t>
                  </w:r>
                </w:p>
              </w:tc>
              <w:tc>
                <w:tcPr>
                  <w:tcW w:w="1654" w:type="dxa"/>
                  <w:noWrap w:val="0"/>
                  <w:vAlign w:val="center"/>
                </w:tcPr>
                <w:p w14:paraId="6E78DCE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使用工序</w:t>
                  </w:r>
                </w:p>
              </w:tc>
            </w:tr>
            <w:tr w14:paraId="19BE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86" w:type="dxa"/>
                  <w:noWrap w:val="0"/>
                  <w:vAlign w:val="center"/>
                </w:tcPr>
                <w:p w14:paraId="75796A1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w:t>
                  </w:r>
                </w:p>
              </w:tc>
              <w:tc>
                <w:tcPr>
                  <w:tcW w:w="1929" w:type="dxa"/>
                  <w:noWrap w:val="0"/>
                  <w:vAlign w:val="center"/>
                </w:tcPr>
                <w:p w14:paraId="5171926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固定电鄂破</w:t>
                  </w:r>
                </w:p>
              </w:tc>
              <w:tc>
                <w:tcPr>
                  <w:tcW w:w="1737" w:type="dxa"/>
                  <w:noWrap w:val="0"/>
                  <w:vAlign w:val="center"/>
                </w:tcPr>
                <w:p w14:paraId="256B65E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600*900</w:t>
                  </w:r>
                </w:p>
              </w:tc>
              <w:tc>
                <w:tcPr>
                  <w:tcW w:w="1391" w:type="dxa"/>
                  <w:noWrap w:val="0"/>
                  <w:vAlign w:val="center"/>
                </w:tcPr>
                <w:p w14:paraId="1EBD2CD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1</w:t>
                  </w:r>
                </w:p>
              </w:tc>
              <w:tc>
                <w:tcPr>
                  <w:tcW w:w="1654" w:type="dxa"/>
                  <w:noWrap w:val="0"/>
                  <w:vAlign w:val="center"/>
                </w:tcPr>
                <w:p w14:paraId="4868AD4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原料粗碎</w:t>
                  </w:r>
                </w:p>
              </w:tc>
            </w:tr>
            <w:tr w14:paraId="48D7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86" w:type="dxa"/>
                  <w:noWrap w:val="0"/>
                  <w:vAlign w:val="center"/>
                </w:tcPr>
                <w:p w14:paraId="0BEDE0F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w:t>
                  </w:r>
                </w:p>
              </w:tc>
              <w:tc>
                <w:tcPr>
                  <w:tcW w:w="1929" w:type="dxa"/>
                  <w:noWrap w:val="0"/>
                  <w:vAlign w:val="center"/>
                </w:tcPr>
                <w:p w14:paraId="611144D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水洗筛</w:t>
                  </w:r>
                </w:p>
              </w:tc>
              <w:tc>
                <w:tcPr>
                  <w:tcW w:w="1737" w:type="dxa"/>
                  <w:noWrap w:val="0"/>
                  <w:vAlign w:val="center"/>
                </w:tcPr>
                <w:p w14:paraId="4DEB3DA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MT1600GTS1</w:t>
                  </w:r>
                </w:p>
              </w:tc>
              <w:tc>
                <w:tcPr>
                  <w:tcW w:w="1391" w:type="dxa"/>
                  <w:noWrap w:val="0"/>
                  <w:vAlign w:val="center"/>
                </w:tcPr>
                <w:p w14:paraId="1647C4B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1</w:t>
                  </w:r>
                </w:p>
              </w:tc>
              <w:tc>
                <w:tcPr>
                  <w:tcW w:w="1654" w:type="dxa"/>
                  <w:noWrap w:val="0"/>
                  <w:vAlign w:val="center"/>
                </w:tcPr>
                <w:p w14:paraId="59418AE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沙石筛分</w:t>
                  </w:r>
                </w:p>
              </w:tc>
            </w:tr>
            <w:tr w14:paraId="74F2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86" w:type="dxa"/>
                  <w:noWrap w:val="0"/>
                  <w:vAlign w:val="center"/>
                </w:tcPr>
                <w:p w14:paraId="092CD79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3</w:t>
                  </w:r>
                </w:p>
              </w:tc>
              <w:tc>
                <w:tcPr>
                  <w:tcW w:w="1929" w:type="dxa"/>
                  <w:noWrap w:val="0"/>
                  <w:vAlign w:val="center"/>
                </w:tcPr>
                <w:p w14:paraId="4448DDC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二槽水洗轮</w:t>
                  </w:r>
                </w:p>
              </w:tc>
              <w:tc>
                <w:tcPr>
                  <w:tcW w:w="1737" w:type="dxa"/>
                  <w:noWrap w:val="0"/>
                  <w:vAlign w:val="center"/>
                </w:tcPr>
                <w:p w14:paraId="06F5779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p>
              </w:tc>
              <w:tc>
                <w:tcPr>
                  <w:tcW w:w="1391" w:type="dxa"/>
                  <w:noWrap w:val="0"/>
                  <w:vAlign w:val="center"/>
                </w:tcPr>
                <w:p w14:paraId="3F7DA8C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1</w:t>
                  </w:r>
                </w:p>
              </w:tc>
              <w:tc>
                <w:tcPr>
                  <w:tcW w:w="1654" w:type="dxa"/>
                  <w:noWrap w:val="0"/>
                  <w:vAlign w:val="center"/>
                </w:tcPr>
                <w:p w14:paraId="474E165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原</w:t>
                  </w:r>
                  <w:r>
                    <w:rPr>
                      <w:rFonts w:hint="eastAsia" w:ascii="Times New Roman" w:hAnsi="Times New Roman" w:eastAsia="宋体" w:cs="Times New Roman"/>
                      <w:b w:val="0"/>
                      <w:bCs w:val="0"/>
                      <w:color w:val="auto"/>
                      <w:sz w:val="21"/>
                      <w:szCs w:val="21"/>
                      <w:lang w:val="en-US" w:eastAsia="zh-CN"/>
                    </w:rPr>
                    <w:t>砂</w:t>
                  </w:r>
                  <w:r>
                    <w:rPr>
                      <w:rFonts w:hint="default" w:ascii="Times New Roman" w:hAnsi="Times New Roman" w:eastAsia="宋体" w:cs="Times New Roman"/>
                      <w:b w:val="0"/>
                      <w:bCs w:val="0"/>
                      <w:color w:val="auto"/>
                      <w:sz w:val="21"/>
                      <w:szCs w:val="21"/>
                      <w:lang w:eastAsia="zh"/>
                    </w:rPr>
                    <w:t>清洗</w:t>
                  </w:r>
                </w:p>
              </w:tc>
            </w:tr>
            <w:tr w14:paraId="63FB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86" w:type="dxa"/>
                  <w:noWrap w:val="0"/>
                  <w:vAlign w:val="center"/>
                </w:tcPr>
                <w:p w14:paraId="51E6007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4</w:t>
                  </w:r>
                </w:p>
              </w:tc>
              <w:tc>
                <w:tcPr>
                  <w:tcW w:w="1929" w:type="dxa"/>
                  <w:noWrap w:val="0"/>
                  <w:vAlign w:val="center"/>
                </w:tcPr>
                <w:p w14:paraId="1E98B5A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三合一机</w:t>
                  </w:r>
                </w:p>
              </w:tc>
              <w:tc>
                <w:tcPr>
                  <w:tcW w:w="1737" w:type="dxa"/>
                  <w:noWrap w:val="0"/>
                  <w:vAlign w:val="center"/>
                </w:tcPr>
                <w:p w14:paraId="583419E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1530</w:t>
                  </w:r>
                </w:p>
              </w:tc>
              <w:tc>
                <w:tcPr>
                  <w:tcW w:w="1391" w:type="dxa"/>
                  <w:noWrap w:val="0"/>
                  <w:vAlign w:val="center"/>
                </w:tcPr>
                <w:p w14:paraId="213F5CB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1</w:t>
                  </w:r>
                </w:p>
              </w:tc>
              <w:tc>
                <w:tcPr>
                  <w:tcW w:w="1654" w:type="dxa"/>
                  <w:noWrap w:val="0"/>
                  <w:vAlign w:val="center"/>
                </w:tcPr>
                <w:p w14:paraId="678CE8E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洗砂、脱水</w:t>
                  </w:r>
                </w:p>
              </w:tc>
            </w:tr>
            <w:tr w14:paraId="6D34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86" w:type="dxa"/>
                  <w:noWrap w:val="0"/>
                  <w:vAlign w:val="center"/>
                </w:tcPr>
                <w:p w14:paraId="632E54C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5</w:t>
                  </w:r>
                </w:p>
              </w:tc>
              <w:tc>
                <w:tcPr>
                  <w:tcW w:w="1929" w:type="dxa"/>
                  <w:noWrap w:val="0"/>
                  <w:vAlign w:val="center"/>
                </w:tcPr>
                <w:p w14:paraId="0DCE473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对辊机</w:t>
                  </w:r>
                </w:p>
              </w:tc>
              <w:tc>
                <w:tcPr>
                  <w:tcW w:w="1737" w:type="dxa"/>
                  <w:noWrap w:val="0"/>
                  <w:vAlign w:val="center"/>
                </w:tcPr>
                <w:p w14:paraId="46D8602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06081</w:t>
                  </w:r>
                </w:p>
              </w:tc>
              <w:tc>
                <w:tcPr>
                  <w:tcW w:w="1391" w:type="dxa"/>
                  <w:noWrap w:val="0"/>
                  <w:vAlign w:val="center"/>
                </w:tcPr>
                <w:p w14:paraId="14BF76F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1</w:t>
                  </w:r>
                </w:p>
              </w:tc>
              <w:tc>
                <w:tcPr>
                  <w:tcW w:w="1654" w:type="dxa"/>
                  <w:noWrap w:val="0"/>
                  <w:vAlign w:val="center"/>
                </w:tcPr>
                <w:p w14:paraId="5AFAB1B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瓜米石制</w:t>
                  </w:r>
                  <w:r>
                    <w:rPr>
                      <w:rFonts w:hint="eastAsia" w:ascii="Times New Roman" w:hAnsi="Times New Roman" w:eastAsia="宋体" w:cs="Times New Roman"/>
                      <w:b w:val="0"/>
                      <w:bCs w:val="0"/>
                      <w:color w:val="auto"/>
                      <w:sz w:val="21"/>
                      <w:szCs w:val="21"/>
                      <w:lang w:val="en-US" w:eastAsia="zh-CN"/>
                    </w:rPr>
                    <w:t>砂</w:t>
                  </w:r>
                </w:p>
              </w:tc>
            </w:tr>
            <w:tr w14:paraId="72B3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86" w:type="dxa"/>
                  <w:noWrap w:val="0"/>
                  <w:vAlign w:val="center"/>
                </w:tcPr>
                <w:p w14:paraId="04D420E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6</w:t>
                  </w:r>
                </w:p>
              </w:tc>
              <w:tc>
                <w:tcPr>
                  <w:tcW w:w="1929" w:type="dxa"/>
                  <w:noWrap w:val="0"/>
                  <w:vAlign w:val="center"/>
                </w:tcPr>
                <w:p w14:paraId="3FE9374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圆锥机</w:t>
                  </w:r>
                </w:p>
              </w:tc>
              <w:tc>
                <w:tcPr>
                  <w:tcW w:w="1737" w:type="dxa"/>
                  <w:noWrap w:val="0"/>
                  <w:vAlign w:val="center"/>
                </w:tcPr>
                <w:p w14:paraId="294587A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S155D</w:t>
                  </w:r>
                </w:p>
              </w:tc>
              <w:tc>
                <w:tcPr>
                  <w:tcW w:w="1391" w:type="dxa"/>
                  <w:noWrap w:val="0"/>
                  <w:vAlign w:val="center"/>
                </w:tcPr>
                <w:p w14:paraId="24660C3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1</w:t>
                  </w:r>
                </w:p>
              </w:tc>
              <w:tc>
                <w:tcPr>
                  <w:tcW w:w="1654" w:type="dxa"/>
                  <w:noWrap w:val="0"/>
                  <w:vAlign w:val="center"/>
                </w:tcPr>
                <w:p w14:paraId="6BE12E9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中细碎</w:t>
                  </w:r>
                </w:p>
              </w:tc>
            </w:tr>
            <w:tr w14:paraId="6816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86" w:type="dxa"/>
                  <w:noWrap w:val="0"/>
                  <w:vAlign w:val="center"/>
                </w:tcPr>
                <w:p w14:paraId="0675FFE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7</w:t>
                  </w:r>
                </w:p>
              </w:tc>
              <w:tc>
                <w:tcPr>
                  <w:tcW w:w="1929" w:type="dxa"/>
                  <w:noWrap w:val="0"/>
                  <w:vAlign w:val="center"/>
                </w:tcPr>
                <w:p w14:paraId="217F63D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移动破碎机</w:t>
                  </w:r>
                </w:p>
              </w:tc>
              <w:tc>
                <w:tcPr>
                  <w:tcW w:w="1737" w:type="dxa"/>
                  <w:noWrap w:val="0"/>
                  <w:vAlign w:val="center"/>
                </w:tcPr>
                <w:p w14:paraId="046084A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MT1200GTS</w:t>
                  </w:r>
                </w:p>
              </w:tc>
              <w:tc>
                <w:tcPr>
                  <w:tcW w:w="1391" w:type="dxa"/>
                  <w:noWrap w:val="0"/>
                  <w:vAlign w:val="center"/>
                </w:tcPr>
                <w:p w14:paraId="64166F1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1</w:t>
                  </w:r>
                </w:p>
              </w:tc>
              <w:tc>
                <w:tcPr>
                  <w:tcW w:w="1654" w:type="dxa"/>
                  <w:noWrap w:val="0"/>
                  <w:vAlign w:val="center"/>
                </w:tcPr>
                <w:p w14:paraId="6BA217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val="en-US" w:eastAsia="zh-CN"/>
                    </w:rPr>
                    <w:t>破碎</w:t>
                  </w:r>
                </w:p>
              </w:tc>
            </w:tr>
            <w:tr w14:paraId="2230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86" w:type="dxa"/>
                  <w:noWrap w:val="0"/>
                  <w:vAlign w:val="center"/>
                </w:tcPr>
                <w:p w14:paraId="63FA712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8</w:t>
                  </w:r>
                </w:p>
              </w:tc>
              <w:tc>
                <w:tcPr>
                  <w:tcW w:w="1929" w:type="dxa"/>
                  <w:noWrap w:val="0"/>
                  <w:vAlign w:val="center"/>
                </w:tcPr>
                <w:p w14:paraId="6CB4C4C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
                    </w:rPr>
                    <w:t>两层</w:t>
                  </w:r>
                  <w:r>
                    <w:rPr>
                      <w:rFonts w:hint="eastAsia" w:ascii="Times New Roman" w:hAnsi="Times New Roman" w:eastAsia="宋体" w:cs="Times New Roman"/>
                      <w:b w:val="0"/>
                      <w:bCs w:val="0"/>
                      <w:color w:val="auto"/>
                      <w:sz w:val="21"/>
                      <w:szCs w:val="21"/>
                      <w:lang w:eastAsia="zh-CN"/>
                    </w:rPr>
                    <w:t>振动筛</w:t>
                  </w:r>
                </w:p>
              </w:tc>
              <w:tc>
                <w:tcPr>
                  <w:tcW w:w="1737" w:type="dxa"/>
                  <w:noWrap w:val="0"/>
                  <w:vAlign w:val="center"/>
                </w:tcPr>
                <w:p w14:paraId="1712A8C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MTS4500GTS</w:t>
                  </w:r>
                </w:p>
              </w:tc>
              <w:tc>
                <w:tcPr>
                  <w:tcW w:w="1391" w:type="dxa"/>
                  <w:noWrap w:val="0"/>
                  <w:vAlign w:val="center"/>
                </w:tcPr>
                <w:p w14:paraId="7F7717C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1</w:t>
                  </w:r>
                </w:p>
              </w:tc>
              <w:tc>
                <w:tcPr>
                  <w:tcW w:w="1654" w:type="dxa"/>
                  <w:noWrap w:val="0"/>
                  <w:vAlign w:val="center"/>
                </w:tcPr>
                <w:p w14:paraId="20E1704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筛分</w:t>
                  </w:r>
                </w:p>
              </w:tc>
            </w:tr>
            <w:tr w14:paraId="4974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86" w:type="dxa"/>
                  <w:noWrap w:val="0"/>
                  <w:vAlign w:val="center"/>
                </w:tcPr>
                <w:p w14:paraId="42F4382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9</w:t>
                  </w:r>
                </w:p>
              </w:tc>
              <w:tc>
                <w:tcPr>
                  <w:tcW w:w="1929" w:type="dxa"/>
                  <w:noWrap w:val="0"/>
                  <w:vAlign w:val="center"/>
                </w:tcPr>
                <w:p w14:paraId="0DE8077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输送带</w:t>
                  </w:r>
                </w:p>
              </w:tc>
              <w:tc>
                <w:tcPr>
                  <w:tcW w:w="1737" w:type="dxa"/>
                  <w:noWrap w:val="0"/>
                  <w:vAlign w:val="center"/>
                </w:tcPr>
                <w:p w14:paraId="62AC902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600*300</w:t>
                  </w:r>
                </w:p>
              </w:tc>
              <w:tc>
                <w:tcPr>
                  <w:tcW w:w="1391" w:type="dxa"/>
                  <w:noWrap w:val="0"/>
                  <w:vAlign w:val="center"/>
                </w:tcPr>
                <w:p w14:paraId="69A02F5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7</w:t>
                  </w:r>
                </w:p>
              </w:tc>
              <w:tc>
                <w:tcPr>
                  <w:tcW w:w="1654" w:type="dxa"/>
                  <w:noWrap w:val="0"/>
                  <w:vAlign w:val="center"/>
                </w:tcPr>
                <w:p w14:paraId="7F04341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物料输送</w:t>
                  </w:r>
                </w:p>
              </w:tc>
            </w:tr>
            <w:tr w14:paraId="1485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86" w:type="dxa"/>
                  <w:noWrap w:val="0"/>
                  <w:vAlign w:val="center"/>
                </w:tcPr>
                <w:p w14:paraId="6FB5916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10</w:t>
                  </w:r>
                </w:p>
              </w:tc>
              <w:tc>
                <w:tcPr>
                  <w:tcW w:w="1929" w:type="dxa"/>
                  <w:noWrap w:val="0"/>
                  <w:vAlign w:val="center"/>
                </w:tcPr>
                <w:p w14:paraId="0210A98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泥浆泵</w:t>
                  </w:r>
                </w:p>
              </w:tc>
              <w:tc>
                <w:tcPr>
                  <w:tcW w:w="1737" w:type="dxa"/>
                  <w:noWrap w:val="0"/>
                  <w:vAlign w:val="center"/>
                </w:tcPr>
                <w:p w14:paraId="186088B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rPr>
                  </w:pPr>
                </w:p>
              </w:tc>
              <w:tc>
                <w:tcPr>
                  <w:tcW w:w="1391" w:type="dxa"/>
                  <w:noWrap w:val="0"/>
                  <w:vAlign w:val="center"/>
                </w:tcPr>
                <w:p w14:paraId="5A74203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1</w:t>
                  </w:r>
                </w:p>
              </w:tc>
              <w:tc>
                <w:tcPr>
                  <w:tcW w:w="1654" w:type="dxa"/>
                  <w:noWrap w:val="0"/>
                  <w:vAlign w:val="center"/>
                </w:tcPr>
                <w:p w14:paraId="619F888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污水回收</w:t>
                  </w:r>
                </w:p>
              </w:tc>
            </w:tr>
            <w:tr w14:paraId="0EC5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86" w:type="dxa"/>
                  <w:noWrap w:val="0"/>
                  <w:vAlign w:val="center"/>
                </w:tcPr>
                <w:p w14:paraId="3A0142C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11</w:t>
                  </w:r>
                </w:p>
              </w:tc>
              <w:tc>
                <w:tcPr>
                  <w:tcW w:w="1929" w:type="dxa"/>
                  <w:noWrap w:val="0"/>
                  <w:vAlign w:val="center"/>
                </w:tcPr>
                <w:p w14:paraId="07D422F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过滤罐</w:t>
                  </w:r>
                </w:p>
              </w:tc>
              <w:tc>
                <w:tcPr>
                  <w:tcW w:w="1737" w:type="dxa"/>
                  <w:noWrap w:val="0"/>
                  <w:vAlign w:val="center"/>
                </w:tcPr>
                <w:p w14:paraId="263222C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eastAsia="zh"/>
                    </w:rPr>
                    <w:t>100</w:t>
                  </w:r>
                  <w:r>
                    <w:rPr>
                      <w:rFonts w:hint="eastAsia" w:ascii="Times New Roman" w:hAnsi="Times New Roman" w:eastAsia="宋体" w:cs="Times New Roman"/>
                      <w:b w:val="0"/>
                      <w:bCs w:val="0"/>
                      <w:color w:val="auto"/>
                      <w:sz w:val="21"/>
                      <w:szCs w:val="21"/>
                      <w:lang w:val="en-US" w:eastAsia="zh-CN"/>
                    </w:rPr>
                    <w:t>m</w:t>
                  </w:r>
                  <w:r>
                    <w:rPr>
                      <w:rFonts w:hint="eastAsia" w:ascii="Times New Roman" w:hAnsi="Times New Roman" w:eastAsia="宋体" w:cs="Times New Roman"/>
                      <w:b w:val="0"/>
                      <w:bCs w:val="0"/>
                      <w:color w:val="auto"/>
                      <w:sz w:val="21"/>
                      <w:szCs w:val="21"/>
                      <w:vertAlign w:val="superscript"/>
                      <w:lang w:val="en-US" w:eastAsia="zh-CN"/>
                    </w:rPr>
                    <w:t>3</w:t>
                  </w:r>
                </w:p>
              </w:tc>
              <w:tc>
                <w:tcPr>
                  <w:tcW w:w="1391" w:type="dxa"/>
                  <w:noWrap w:val="0"/>
                  <w:vAlign w:val="center"/>
                </w:tcPr>
                <w:p w14:paraId="3F2DEDF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1</w:t>
                  </w:r>
                </w:p>
              </w:tc>
              <w:tc>
                <w:tcPr>
                  <w:tcW w:w="1654" w:type="dxa"/>
                  <w:noWrap w:val="0"/>
                  <w:vAlign w:val="center"/>
                </w:tcPr>
                <w:p w14:paraId="38AAE52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污水沉淀</w:t>
                  </w:r>
                </w:p>
              </w:tc>
            </w:tr>
            <w:tr w14:paraId="0E7A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86" w:type="dxa"/>
                  <w:noWrap w:val="0"/>
                  <w:vAlign w:val="center"/>
                </w:tcPr>
                <w:p w14:paraId="5899E6C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12</w:t>
                  </w:r>
                </w:p>
              </w:tc>
              <w:tc>
                <w:tcPr>
                  <w:tcW w:w="1929" w:type="dxa"/>
                  <w:noWrap w:val="0"/>
                  <w:vAlign w:val="center"/>
                </w:tcPr>
                <w:p w14:paraId="279AC89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压滤机</w:t>
                  </w:r>
                </w:p>
              </w:tc>
              <w:tc>
                <w:tcPr>
                  <w:tcW w:w="1737" w:type="dxa"/>
                  <w:noWrap w:val="0"/>
                  <w:vAlign w:val="center"/>
                </w:tcPr>
                <w:p w14:paraId="14A758B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MBCG250/1250-UH250型</w:t>
                  </w:r>
                </w:p>
              </w:tc>
              <w:tc>
                <w:tcPr>
                  <w:tcW w:w="1391" w:type="dxa"/>
                  <w:noWrap w:val="0"/>
                  <w:vAlign w:val="center"/>
                </w:tcPr>
                <w:p w14:paraId="6F390AA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1</w:t>
                  </w:r>
                </w:p>
              </w:tc>
              <w:tc>
                <w:tcPr>
                  <w:tcW w:w="1654" w:type="dxa"/>
                  <w:noWrap w:val="0"/>
                  <w:vAlign w:val="center"/>
                </w:tcPr>
                <w:p w14:paraId="4AC3781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废水污泥脱水</w:t>
                  </w:r>
                </w:p>
              </w:tc>
            </w:tr>
            <w:tr w14:paraId="0848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5" w:hRule="atLeast"/>
                <w:jc w:val="center"/>
              </w:trPr>
              <w:tc>
                <w:tcPr>
                  <w:tcW w:w="986" w:type="dxa"/>
                  <w:noWrap w:val="0"/>
                  <w:vAlign w:val="center"/>
                </w:tcPr>
                <w:p w14:paraId="4A3AE21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13</w:t>
                  </w:r>
                </w:p>
              </w:tc>
              <w:tc>
                <w:tcPr>
                  <w:tcW w:w="1929" w:type="dxa"/>
                  <w:noWrap w:val="0"/>
                  <w:vAlign w:val="center"/>
                </w:tcPr>
                <w:p w14:paraId="6332BB2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清水池</w:t>
                  </w:r>
                </w:p>
              </w:tc>
              <w:tc>
                <w:tcPr>
                  <w:tcW w:w="1737" w:type="dxa"/>
                  <w:noWrap w:val="0"/>
                  <w:vAlign w:val="center"/>
                </w:tcPr>
                <w:p w14:paraId="768A2D6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约600</w:t>
                  </w:r>
                  <w:r>
                    <w:rPr>
                      <w:rFonts w:hint="eastAsia" w:ascii="Times New Roman" w:hAnsi="Times New Roman" w:eastAsia="宋体" w:cs="Times New Roman"/>
                      <w:b w:val="0"/>
                      <w:bCs w:val="0"/>
                      <w:color w:val="auto"/>
                      <w:sz w:val="21"/>
                      <w:szCs w:val="21"/>
                      <w:lang w:val="en-US" w:eastAsia="zh-CN"/>
                    </w:rPr>
                    <w:t>m</w:t>
                  </w:r>
                  <w:r>
                    <w:rPr>
                      <w:rFonts w:hint="eastAsia" w:ascii="Times New Roman" w:hAnsi="Times New Roman" w:eastAsia="宋体" w:cs="Times New Roman"/>
                      <w:b w:val="0"/>
                      <w:bCs w:val="0"/>
                      <w:color w:val="auto"/>
                      <w:sz w:val="21"/>
                      <w:szCs w:val="21"/>
                      <w:vertAlign w:val="superscript"/>
                      <w:lang w:val="en-US" w:eastAsia="zh-CN"/>
                    </w:rPr>
                    <w:t>3</w:t>
                  </w:r>
                </w:p>
              </w:tc>
              <w:tc>
                <w:tcPr>
                  <w:tcW w:w="1391" w:type="dxa"/>
                  <w:noWrap w:val="0"/>
                  <w:vAlign w:val="center"/>
                </w:tcPr>
                <w:p w14:paraId="7A78D54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1</w:t>
                  </w:r>
                </w:p>
              </w:tc>
              <w:tc>
                <w:tcPr>
                  <w:tcW w:w="1654" w:type="dxa"/>
                  <w:noWrap w:val="0"/>
                  <w:vAlign w:val="center"/>
                </w:tcPr>
                <w:p w14:paraId="45CEA34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清水循环收集</w:t>
                  </w:r>
                </w:p>
              </w:tc>
            </w:tr>
            <w:tr w14:paraId="1837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86" w:type="dxa"/>
                  <w:noWrap w:val="0"/>
                  <w:vAlign w:val="center"/>
                </w:tcPr>
                <w:p w14:paraId="013233D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14</w:t>
                  </w:r>
                </w:p>
              </w:tc>
              <w:tc>
                <w:tcPr>
                  <w:tcW w:w="1929" w:type="dxa"/>
                  <w:noWrap w:val="0"/>
                  <w:vAlign w:val="center"/>
                </w:tcPr>
                <w:p w14:paraId="52C5928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污水池</w:t>
                  </w:r>
                </w:p>
              </w:tc>
              <w:tc>
                <w:tcPr>
                  <w:tcW w:w="1737" w:type="dxa"/>
                  <w:noWrap w:val="0"/>
                  <w:vAlign w:val="center"/>
                </w:tcPr>
                <w:p w14:paraId="12ABD38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约600</w:t>
                  </w:r>
                  <w:r>
                    <w:rPr>
                      <w:rFonts w:hint="eastAsia" w:ascii="Times New Roman" w:hAnsi="Times New Roman" w:eastAsia="宋体" w:cs="Times New Roman"/>
                      <w:b w:val="0"/>
                      <w:bCs w:val="0"/>
                      <w:color w:val="auto"/>
                      <w:sz w:val="21"/>
                      <w:szCs w:val="21"/>
                      <w:lang w:val="en-US" w:eastAsia="zh-CN"/>
                    </w:rPr>
                    <w:t>m</w:t>
                  </w:r>
                  <w:r>
                    <w:rPr>
                      <w:rFonts w:hint="eastAsia" w:ascii="Times New Roman" w:hAnsi="Times New Roman" w:eastAsia="宋体" w:cs="Times New Roman"/>
                      <w:b w:val="0"/>
                      <w:bCs w:val="0"/>
                      <w:color w:val="auto"/>
                      <w:sz w:val="21"/>
                      <w:szCs w:val="21"/>
                      <w:vertAlign w:val="superscript"/>
                      <w:lang w:val="en-US" w:eastAsia="zh-CN"/>
                    </w:rPr>
                    <w:t>3</w:t>
                  </w:r>
                </w:p>
              </w:tc>
              <w:tc>
                <w:tcPr>
                  <w:tcW w:w="1391" w:type="dxa"/>
                  <w:noWrap w:val="0"/>
                  <w:vAlign w:val="center"/>
                </w:tcPr>
                <w:p w14:paraId="33A7260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1</w:t>
                  </w:r>
                </w:p>
              </w:tc>
              <w:tc>
                <w:tcPr>
                  <w:tcW w:w="1654" w:type="dxa"/>
                  <w:noWrap w:val="0"/>
                  <w:vAlign w:val="center"/>
                </w:tcPr>
                <w:p w14:paraId="20B3437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收集污水</w:t>
                  </w:r>
                </w:p>
              </w:tc>
            </w:tr>
            <w:tr w14:paraId="6E91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86" w:type="dxa"/>
                  <w:noWrap w:val="0"/>
                  <w:vAlign w:val="center"/>
                </w:tcPr>
                <w:p w14:paraId="092AE18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15</w:t>
                  </w:r>
                </w:p>
              </w:tc>
              <w:tc>
                <w:tcPr>
                  <w:tcW w:w="1929" w:type="dxa"/>
                  <w:noWrap w:val="0"/>
                  <w:vAlign w:val="center"/>
                </w:tcPr>
                <w:p w14:paraId="0D7C8C6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一体化折叠式免基础混凝土搅拌站</w:t>
                  </w:r>
                </w:p>
              </w:tc>
              <w:tc>
                <w:tcPr>
                  <w:tcW w:w="1737" w:type="dxa"/>
                  <w:noWrap w:val="0"/>
                  <w:vAlign w:val="center"/>
                </w:tcPr>
                <w:p w14:paraId="4CDCFB2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YZ-HZS120</w:t>
                  </w:r>
                </w:p>
              </w:tc>
              <w:tc>
                <w:tcPr>
                  <w:tcW w:w="1391" w:type="dxa"/>
                  <w:noWrap w:val="0"/>
                  <w:vAlign w:val="center"/>
                </w:tcPr>
                <w:p w14:paraId="77583F8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1</w:t>
                  </w:r>
                </w:p>
              </w:tc>
              <w:tc>
                <w:tcPr>
                  <w:tcW w:w="1654" w:type="dxa"/>
                  <w:noWrap w:val="0"/>
                  <w:vAlign w:val="center"/>
                </w:tcPr>
                <w:p w14:paraId="4627E0C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混凝土生产</w:t>
                  </w:r>
                </w:p>
              </w:tc>
            </w:tr>
            <w:tr w14:paraId="45A8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86" w:type="dxa"/>
                  <w:noWrap w:val="0"/>
                  <w:vAlign w:val="center"/>
                </w:tcPr>
                <w:p w14:paraId="61F637D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16</w:t>
                  </w:r>
                </w:p>
              </w:tc>
              <w:tc>
                <w:tcPr>
                  <w:tcW w:w="1929" w:type="dxa"/>
                  <w:noWrap w:val="0"/>
                  <w:vAlign w:val="center"/>
                </w:tcPr>
                <w:p w14:paraId="491218B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卧式水泥仓</w:t>
                  </w:r>
                </w:p>
              </w:tc>
              <w:tc>
                <w:tcPr>
                  <w:tcW w:w="1737" w:type="dxa"/>
                  <w:noWrap w:val="0"/>
                  <w:vAlign w:val="center"/>
                </w:tcPr>
                <w:p w14:paraId="53CB261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120T</w:t>
                  </w:r>
                </w:p>
              </w:tc>
              <w:tc>
                <w:tcPr>
                  <w:tcW w:w="1391" w:type="dxa"/>
                  <w:noWrap w:val="0"/>
                  <w:vAlign w:val="center"/>
                </w:tcPr>
                <w:p w14:paraId="4AA427E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1</w:t>
                  </w:r>
                </w:p>
              </w:tc>
              <w:tc>
                <w:tcPr>
                  <w:tcW w:w="1654" w:type="dxa"/>
                  <w:noWrap w:val="0"/>
                  <w:vAlign w:val="center"/>
                </w:tcPr>
                <w:p w14:paraId="7257DAE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装散装水泥</w:t>
                  </w:r>
                </w:p>
              </w:tc>
            </w:tr>
            <w:tr w14:paraId="54D1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86" w:type="dxa"/>
                  <w:noWrap w:val="0"/>
                  <w:vAlign w:val="center"/>
                </w:tcPr>
                <w:p w14:paraId="66D67CB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17</w:t>
                  </w:r>
                </w:p>
              </w:tc>
              <w:tc>
                <w:tcPr>
                  <w:tcW w:w="1929" w:type="dxa"/>
                  <w:noWrap w:val="0"/>
                  <w:vAlign w:val="center"/>
                </w:tcPr>
                <w:p w14:paraId="311CFDC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卧式煤灰仓</w:t>
                  </w:r>
                </w:p>
              </w:tc>
              <w:tc>
                <w:tcPr>
                  <w:tcW w:w="1737" w:type="dxa"/>
                  <w:noWrap w:val="0"/>
                  <w:vAlign w:val="center"/>
                </w:tcPr>
                <w:p w14:paraId="3E40093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60T</w:t>
                  </w:r>
                </w:p>
              </w:tc>
              <w:tc>
                <w:tcPr>
                  <w:tcW w:w="1391" w:type="dxa"/>
                  <w:noWrap w:val="0"/>
                  <w:vAlign w:val="center"/>
                </w:tcPr>
                <w:p w14:paraId="052A666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1</w:t>
                  </w:r>
                </w:p>
              </w:tc>
              <w:tc>
                <w:tcPr>
                  <w:tcW w:w="1654" w:type="dxa"/>
                  <w:noWrap w:val="0"/>
                  <w:vAlign w:val="center"/>
                </w:tcPr>
                <w:p w14:paraId="60C3588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装散装煤灰</w:t>
                  </w:r>
                </w:p>
              </w:tc>
            </w:tr>
            <w:tr w14:paraId="6E1B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86" w:type="dxa"/>
                  <w:noWrap w:val="0"/>
                  <w:vAlign w:val="center"/>
                </w:tcPr>
                <w:p w14:paraId="116EEA6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18</w:t>
                  </w:r>
                </w:p>
              </w:tc>
              <w:tc>
                <w:tcPr>
                  <w:tcW w:w="1929" w:type="dxa"/>
                  <w:noWrap w:val="0"/>
                  <w:vAlign w:val="center"/>
                </w:tcPr>
                <w:p w14:paraId="355A7F2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铲车</w:t>
                  </w:r>
                </w:p>
              </w:tc>
              <w:tc>
                <w:tcPr>
                  <w:tcW w:w="1737" w:type="dxa"/>
                  <w:noWrap w:val="0"/>
                  <w:vAlign w:val="center"/>
                </w:tcPr>
                <w:p w14:paraId="56ED966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50型</w:t>
                  </w:r>
                </w:p>
              </w:tc>
              <w:tc>
                <w:tcPr>
                  <w:tcW w:w="1391" w:type="dxa"/>
                  <w:noWrap w:val="0"/>
                  <w:vAlign w:val="center"/>
                </w:tcPr>
                <w:p w14:paraId="6EB74C7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2</w:t>
                  </w:r>
                </w:p>
              </w:tc>
              <w:tc>
                <w:tcPr>
                  <w:tcW w:w="1654" w:type="dxa"/>
                  <w:noWrap w:val="0"/>
                  <w:vAlign w:val="center"/>
                </w:tcPr>
                <w:p w14:paraId="60F865C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物料转运</w:t>
                  </w:r>
                </w:p>
              </w:tc>
            </w:tr>
            <w:tr w14:paraId="57DF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86" w:type="dxa"/>
                  <w:noWrap w:val="0"/>
                  <w:vAlign w:val="center"/>
                </w:tcPr>
                <w:p w14:paraId="0640573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19</w:t>
                  </w:r>
                </w:p>
              </w:tc>
              <w:tc>
                <w:tcPr>
                  <w:tcW w:w="1929" w:type="dxa"/>
                  <w:noWrap w:val="0"/>
                  <w:vAlign w:val="center"/>
                </w:tcPr>
                <w:p w14:paraId="4786C44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外加剂桶</w:t>
                  </w:r>
                </w:p>
              </w:tc>
              <w:tc>
                <w:tcPr>
                  <w:tcW w:w="1737" w:type="dxa"/>
                  <w:noWrap w:val="0"/>
                  <w:vAlign w:val="center"/>
                </w:tcPr>
                <w:p w14:paraId="2E4F71D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1t</w:t>
                  </w:r>
                </w:p>
              </w:tc>
              <w:tc>
                <w:tcPr>
                  <w:tcW w:w="1391" w:type="dxa"/>
                  <w:noWrap w:val="0"/>
                  <w:vAlign w:val="center"/>
                </w:tcPr>
                <w:p w14:paraId="785B043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w:t>
                  </w:r>
                </w:p>
              </w:tc>
              <w:tc>
                <w:tcPr>
                  <w:tcW w:w="1654" w:type="dxa"/>
                  <w:noWrap w:val="0"/>
                  <w:vAlign w:val="center"/>
                </w:tcPr>
                <w:p w14:paraId="469A6AD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装外加剂</w:t>
                  </w:r>
                </w:p>
              </w:tc>
            </w:tr>
          </w:tbl>
          <w:p w14:paraId="25E10C98">
            <w:pPr>
              <w:pStyle w:val="2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595"/>
              <w:textAlignment w:val="baseline"/>
              <w:rPr>
                <w:color w:val="auto"/>
              </w:rPr>
            </w:pPr>
            <w:r>
              <w:rPr>
                <w:rFonts w:ascii="Times New Roman" w:hAnsi="Times New Roman" w:eastAsia="Times New Roman" w:cs="Times New Roman"/>
                <w:b/>
                <w:bCs/>
                <w:color w:val="auto"/>
                <w:spacing w:val="-2"/>
              </w:rPr>
              <w:t>4.</w:t>
            </w:r>
            <w:r>
              <w:rPr>
                <w:b/>
                <w:bCs/>
                <w:color w:val="auto"/>
                <w:spacing w:val="-2"/>
              </w:rPr>
              <w:t>主要原辅材料及能源消耗</w:t>
            </w:r>
          </w:p>
          <w:p w14:paraId="5D9ABF21">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478"/>
              <w:textAlignment w:val="baseline"/>
              <w:rPr>
                <w:color w:val="auto"/>
              </w:rPr>
            </w:pPr>
            <w:r>
              <w:rPr>
                <w:color w:val="auto"/>
                <w:spacing w:val="-1"/>
              </w:rPr>
              <w:t>本项目主要原辅料消耗与能源消耗情况见表</w:t>
            </w:r>
            <w:r>
              <w:rPr>
                <w:color w:val="auto"/>
                <w:spacing w:val="-47"/>
              </w:rPr>
              <w:t xml:space="preserve"> </w:t>
            </w:r>
            <w:r>
              <w:rPr>
                <w:rFonts w:ascii="Times New Roman" w:hAnsi="Times New Roman" w:eastAsia="Times New Roman" w:cs="Times New Roman"/>
                <w:color w:val="auto"/>
                <w:spacing w:val="-1"/>
              </w:rPr>
              <w:t>2-</w:t>
            </w:r>
            <w:r>
              <w:rPr>
                <w:rFonts w:hint="eastAsia" w:ascii="Times New Roman" w:hAnsi="Times New Roman" w:eastAsia="宋体" w:cs="Times New Roman"/>
                <w:color w:val="auto"/>
                <w:spacing w:val="-1"/>
                <w:lang w:val="en-US" w:eastAsia="zh-CN"/>
              </w:rPr>
              <w:t>4</w:t>
            </w:r>
            <w:r>
              <w:rPr>
                <w:color w:val="auto"/>
                <w:spacing w:val="-1"/>
              </w:rPr>
              <w:t>所示。</w:t>
            </w:r>
          </w:p>
          <w:p w14:paraId="58A53DD0">
            <w:pPr>
              <w:keepNext w:val="0"/>
              <w:keepLines w:val="0"/>
              <w:pageBreakBefore w:val="0"/>
              <w:widowControl/>
              <w:tabs>
                <w:tab w:val="left" w:pos="635"/>
              </w:tabs>
              <w:kinsoku w:val="0"/>
              <w:wordWrap/>
              <w:overflowPunct/>
              <w:topLinePunct w:val="0"/>
              <w:autoSpaceDE w:val="0"/>
              <w:autoSpaceDN w:val="0"/>
              <w:bidi w:val="0"/>
              <w:adjustRightInd w:val="0"/>
              <w:snapToGrid w:val="0"/>
              <w:spacing w:line="360" w:lineRule="auto"/>
              <w:jc w:val="center"/>
              <w:textAlignment w:val="baseline"/>
              <w:rPr>
                <w:b/>
                <w:bCs/>
                <w:color w:val="auto"/>
                <w:spacing w:val="-3"/>
                <w:sz w:val="24"/>
                <w:szCs w:val="24"/>
              </w:rPr>
            </w:pPr>
            <w:r>
              <w:rPr>
                <w:b/>
                <w:bCs/>
                <w:color w:val="auto"/>
                <w:spacing w:val="-3"/>
                <w:sz w:val="24"/>
                <w:szCs w:val="24"/>
              </w:rPr>
              <w:t>表</w:t>
            </w:r>
            <w:r>
              <w:rPr>
                <w:color w:val="auto"/>
                <w:spacing w:val="-36"/>
                <w:sz w:val="24"/>
                <w:szCs w:val="24"/>
              </w:rPr>
              <w:t xml:space="preserve"> </w:t>
            </w:r>
            <w:r>
              <w:rPr>
                <w:rFonts w:ascii="Times New Roman" w:hAnsi="Times New Roman" w:eastAsia="Times New Roman" w:cs="Times New Roman"/>
                <w:b/>
                <w:bCs/>
                <w:color w:val="auto"/>
                <w:spacing w:val="-3"/>
                <w:sz w:val="24"/>
                <w:szCs w:val="24"/>
              </w:rPr>
              <w:t>2-</w:t>
            </w:r>
            <w:r>
              <w:rPr>
                <w:rFonts w:hint="eastAsia" w:ascii="Times New Roman" w:hAnsi="Times New Roman" w:eastAsia="宋体" w:cs="Times New Roman"/>
                <w:b/>
                <w:bCs/>
                <w:color w:val="auto"/>
                <w:spacing w:val="-3"/>
                <w:sz w:val="24"/>
                <w:szCs w:val="24"/>
                <w:lang w:val="en-US" w:eastAsia="zh-CN"/>
              </w:rPr>
              <w:t>4</w:t>
            </w:r>
            <w:r>
              <w:rPr>
                <w:rFonts w:ascii="Times New Roman" w:hAnsi="Times New Roman" w:eastAsia="Times New Roman" w:cs="Times New Roman"/>
                <w:b/>
                <w:bCs/>
                <w:color w:val="auto"/>
                <w:spacing w:val="-3"/>
                <w:sz w:val="24"/>
                <w:szCs w:val="24"/>
              </w:rPr>
              <w:t xml:space="preserve">  </w:t>
            </w:r>
            <w:r>
              <w:rPr>
                <w:b/>
                <w:bCs/>
                <w:color w:val="auto"/>
                <w:spacing w:val="-3"/>
                <w:sz w:val="24"/>
                <w:szCs w:val="24"/>
              </w:rPr>
              <w:t>主要原辅料消耗与能源消耗一览表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609"/>
              <w:gridCol w:w="1320"/>
              <w:gridCol w:w="1320"/>
              <w:gridCol w:w="1320"/>
              <w:gridCol w:w="1320"/>
            </w:tblGrid>
            <w:tr w14:paraId="01A5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1" w:type="dxa"/>
                  <w:vAlign w:val="center"/>
                </w:tcPr>
                <w:p w14:paraId="3802CA29">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bCs/>
                      <w:color w:val="auto"/>
                      <w:spacing w:val="-3"/>
                      <w:sz w:val="21"/>
                      <w:szCs w:val="21"/>
                      <w:vertAlign w:val="baseline"/>
                      <w:lang w:val="en-US" w:eastAsia="zh-CN"/>
                    </w:rPr>
                  </w:pPr>
                  <w:r>
                    <w:rPr>
                      <w:rFonts w:hint="eastAsia" w:ascii="Times New Roman" w:hAnsi="Times New Roman" w:eastAsia="宋体" w:cs="Times New Roman"/>
                      <w:b/>
                      <w:bCs/>
                      <w:color w:val="auto"/>
                      <w:spacing w:val="-3"/>
                      <w:sz w:val="21"/>
                      <w:szCs w:val="21"/>
                      <w:vertAlign w:val="baseline"/>
                      <w:lang w:val="en-US" w:eastAsia="zh-CN"/>
                    </w:rPr>
                    <w:t>序号</w:t>
                  </w:r>
                </w:p>
              </w:tc>
              <w:tc>
                <w:tcPr>
                  <w:tcW w:w="1609" w:type="dxa"/>
                  <w:vAlign w:val="center"/>
                </w:tcPr>
                <w:p w14:paraId="7D381D8B">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bCs/>
                      <w:color w:val="auto"/>
                      <w:spacing w:val="-3"/>
                      <w:sz w:val="21"/>
                      <w:szCs w:val="21"/>
                      <w:vertAlign w:val="baseline"/>
                      <w:lang w:val="en-US" w:eastAsia="zh-CN"/>
                    </w:rPr>
                  </w:pPr>
                  <w:r>
                    <w:rPr>
                      <w:rFonts w:hint="eastAsia" w:ascii="Times New Roman" w:hAnsi="Times New Roman" w:eastAsia="宋体" w:cs="Times New Roman"/>
                      <w:b/>
                      <w:bCs/>
                      <w:color w:val="auto"/>
                      <w:spacing w:val="-3"/>
                      <w:sz w:val="21"/>
                      <w:szCs w:val="21"/>
                      <w:vertAlign w:val="baseline"/>
                      <w:lang w:val="en-US" w:eastAsia="zh-CN"/>
                    </w:rPr>
                    <w:t>名称</w:t>
                  </w:r>
                </w:p>
              </w:tc>
              <w:tc>
                <w:tcPr>
                  <w:tcW w:w="1320" w:type="dxa"/>
                  <w:vAlign w:val="center"/>
                </w:tcPr>
                <w:p w14:paraId="5FBEC498">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bCs/>
                      <w:color w:val="auto"/>
                      <w:spacing w:val="-3"/>
                      <w:sz w:val="21"/>
                      <w:szCs w:val="21"/>
                      <w:vertAlign w:val="baseline"/>
                      <w:lang w:val="en-US" w:eastAsia="zh-CN"/>
                    </w:rPr>
                  </w:pPr>
                  <w:r>
                    <w:rPr>
                      <w:rFonts w:hint="eastAsia" w:ascii="Times New Roman" w:hAnsi="Times New Roman" w:eastAsia="宋体" w:cs="Times New Roman"/>
                      <w:b/>
                      <w:bCs/>
                      <w:color w:val="auto"/>
                      <w:spacing w:val="-3"/>
                      <w:sz w:val="21"/>
                      <w:szCs w:val="21"/>
                      <w:vertAlign w:val="baseline"/>
                      <w:lang w:val="en-US" w:eastAsia="zh-CN"/>
                    </w:rPr>
                    <w:t>年用量</w:t>
                  </w:r>
                </w:p>
              </w:tc>
              <w:tc>
                <w:tcPr>
                  <w:tcW w:w="1320" w:type="dxa"/>
                  <w:vAlign w:val="center"/>
                </w:tcPr>
                <w:p w14:paraId="017BBAE3">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color w:val="auto"/>
                      <w:spacing w:val="-3"/>
                      <w:sz w:val="21"/>
                      <w:szCs w:val="21"/>
                      <w:vertAlign w:val="baseline"/>
                      <w:lang w:val="en-US" w:eastAsia="zh-CN"/>
                    </w:rPr>
                  </w:pPr>
                  <w:r>
                    <w:rPr>
                      <w:rFonts w:hint="eastAsia" w:ascii="Times New Roman" w:hAnsi="Times New Roman" w:eastAsia="宋体" w:cs="Times New Roman"/>
                      <w:b/>
                      <w:bCs/>
                      <w:color w:val="auto"/>
                      <w:spacing w:val="-3"/>
                      <w:sz w:val="21"/>
                      <w:szCs w:val="21"/>
                      <w:vertAlign w:val="baseline"/>
                      <w:lang w:val="en-US" w:eastAsia="zh-CN"/>
                    </w:rPr>
                    <w:t>储存方式</w:t>
                  </w:r>
                </w:p>
              </w:tc>
              <w:tc>
                <w:tcPr>
                  <w:tcW w:w="1320" w:type="dxa"/>
                  <w:vAlign w:val="center"/>
                </w:tcPr>
                <w:p w14:paraId="40C4F6CF">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color w:val="auto"/>
                      <w:spacing w:val="-3"/>
                      <w:sz w:val="21"/>
                      <w:szCs w:val="21"/>
                      <w:vertAlign w:val="baseline"/>
                      <w:lang w:val="en-US" w:eastAsia="zh-CN"/>
                    </w:rPr>
                  </w:pPr>
                  <w:r>
                    <w:rPr>
                      <w:rFonts w:hint="eastAsia" w:ascii="Times New Roman" w:hAnsi="Times New Roman" w:eastAsia="宋体" w:cs="Times New Roman"/>
                      <w:b/>
                      <w:bCs/>
                      <w:color w:val="auto"/>
                      <w:spacing w:val="-3"/>
                      <w:sz w:val="21"/>
                      <w:szCs w:val="21"/>
                      <w:vertAlign w:val="baseline"/>
                      <w:lang w:val="en-US" w:eastAsia="zh-CN"/>
                    </w:rPr>
                    <w:t>最大储存量</w:t>
                  </w:r>
                </w:p>
              </w:tc>
              <w:tc>
                <w:tcPr>
                  <w:tcW w:w="1320" w:type="dxa"/>
                  <w:vAlign w:val="center"/>
                </w:tcPr>
                <w:p w14:paraId="3AD39F9E">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bCs/>
                      <w:color w:val="auto"/>
                      <w:spacing w:val="-3"/>
                      <w:sz w:val="21"/>
                      <w:szCs w:val="21"/>
                      <w:vertAlign w:val="baseline"/>
                      <w:lang w:val="en-US" w:eastAsia="zh-CN"/>
                    </w:rPr>
                  </w:pPr>
                  <w:r>
                    <w:rPr>
                      <w:rFonts w:hint="eastAsia" w:ascii="Times New Roman" w:hAnsi="Times New Roman" w:eastAsia="宋体" w:cs="Times New Roman"/>
                      <w:b/>
                      <w:bCs/>
                      <w:color w:val="auto"/>
                      <w:spacing w:val="-3"/>
                      <w:sz w:val="21"/>
                      <w:szCs w:val="21"/>
                      <w:vertAlign w:val="baseline"/>
                      <w:lang w:val="en-US" w:eastAsia="zh-CN"/>
                    </w:rPr>
                    <w:t>来源</w:t>
                  </w:r>
                </w:p>
              </w:tc>
            </w:tr>
            <w:tr w14:paraId="5294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1" w:type="dxa"/>
                  <w:vAlign w:val="center"/>
                </w:tcPr>
                <w:p w14:paraId="55B2A564">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1</w:t>
                  </w:r>
                </w:p>
              </w:tc>
              <w:tc>
                <w:tcPr>
                  <w:tcW w:w="1609" w:type="dxa"/>
                  <w:vAlign w:val="center"/>
                </w:tcPr>
                <w:p w14:paraId="16FE1B20">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水泥</w:t>
                  </w:r>
                </w:p>
              </w:tc>
              <w:tc>
                <w:tcPr>
                  <w:tcW w:w="1320" w:type="dxa"/>
                  <w:vAlign w:val="center"/>
                </w:tcPr>
                <w:p w14:paraId="1B484E97">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13990t</w:t>
                  </w:r>
                </w:p>
              </w:tc>
              <w:tc>
                <w:tcPr>
                  <w:tcW w:w="1320" w:type="dxa"/>
                  <w:vAlign w:val="center"/>
                </w:tcPr>
                <w:p w14:paraId="64229945">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水泥仓</w:t>
                  </w:r>
                </w:p>
              </w:tc>
              <w:tc>
                <w:tcPr>
                  <w:tcW w:w="1320" w:type="dxa"/>
                  <w:vAlign w:val="center"/>
                </w:tcPr>
                <w:p w14:paraId="4111BC33">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120t</w:t>
                  </w:r>
                </w:p>
              </w:tc>
              <w:tc>
                <w:tcPr>
                  <w:tcW w:w="1320" w:type="dxa"/>
                  <w:vAlign w:val="center"/>
                </w:tcPr>
                <w:p w14:paraId="0AEA9754">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外购</w:t>
                  </w:r>
                </w:p>
              </w:tc>
            </w:tr>
            <w:tr w14:paraId="6825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1" w:type="dxa"/>
                  <w:vAlign w:val="center"/>
                </w:tcPr>
                <w:p w14:paraId="1AB02D29">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2</w:t>
                  </w:r>
                </w:p>
              </w:tc>
              <w:tc>
                <w:tcPr>
                  <w:tcW w:w="1609" w:type="dxa"/>
                  <w:vAlign w:val="center"/>
                </w:tcPr>
                <w:p w14:paraId="7F097B27">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粉煤灰</w:t>
                  </w:r>
                </w:p>
              </w:tc>
              <w:tc>
                <w:tcPr>
                  <w:tcW w:w="1320" w:type="dxa"/>
                  <w:vAlign w:val="center"/>
                </w:tcPr>
                <w:p w14:paraId="2F3C1CAD">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3500t</w:t>
                  </w:r>
                </w:p>
              </w:tc>
              <w:tc>
                <w:tcPr>
                  <w:tcW w:w="1320" w:type="dxa"/>
                  <w:vAlign w:val="center"/>
                </w:tcPr>
                <w:p w14:paraId="58652FA1">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煤灰仓</w:t>
                  </w:r>
                </w:p>
              </w:tc>
              <w:tc>
                <w:tcPr>
                  <w:tcW w:w="1320" w:type="dxa"/>
                  <w:vAlign w:val="center"/>
                </w:tcPr>
                <w:p w14:paraId="33592A9F">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60t</w:t>
                  </w:r>
                </w:p>
              </w:tc>
              <w:tc>
                <w:tcPr>
                  <w:tcW w:w="1320" w:type="dxa"/>
                  <w:vAlign w:val="center"/>
                </w:tcPr>
                <w:p w14:paraId="4121D3E1">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外购</w:t>
                  </w:r>
                </w:p>
              </w:tc>
            </w:tr>
            <w:tr w14:paraId="7B8C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1" w:type="dxa"/>
                  <w:vAlign w:val="center"/>
                </w:tcPr>
                <w:p w14:paraId="69C25878">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3</w:t>
                  </w:r>
                </w:p>
              </w:tc>
              <w:tc>
                <w:tcPr>
                  <w:tcW w:w="1609" w:type="dxa"/>
                  <w:vAlign w:val="center"/>
                </w:tcPr>
                <w:p w14:paraId="771FE8AA">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河卵石</w:t>
                  </w:r>
                </w:p>
              </w:tc>
              <w:tc>
                <w:tcPr>
                  <w:tcW w:w="1320" w:type="dxa"/>
                  <w:vAlign w:val="center"/>
                </w:tcPr>
                <w:p w14:paraId="061ECC90">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95136t</w:t>
                  </w:r>
                </w:p>
              </w:tc>
              <w:tc>
                <w:tcPr>
                  <w:tcW w:w="1320" w:type="dxa"/>
                  <w:vAlign w:val="center"/>
                </w:tcPr>
                <w:p w14:paraId="0B7869CE">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堆场</w:t>
                  </w:r>
                </w:p>
              </w:tc>
              <w:tc>
                <w:tcPr>
                  <w:tcW w:w="1320" w:type="dxa"/>
                  <w:vAlign w:val="center"/>
                </w:tcPr>
                <w:p w14:paraId="333FFB3A">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1000t</w:t>
                  </w:r>
                </w:p>
              </w:tc>
              <w:tc>
                <w:tcPr>
                  <w:tcW w:w="1320" w:type="dxa"/>
                  <w:vAlign w:val="center"/>
                </w:tcPr>
                <w:p w14:paraId="4389C71A">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外购</w:t>
                  </w:r>
                </w:p>
              </w:tc>
            </w:tr>
            <w:tr w14:paraId="261E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1" w:type="dxa"/>
                  <w:vAlign w:val="center"/>
                </w:tcPr>
                <w:p w14:paraId="10770938">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4</w:t>
                  </w:r>
                </w:p>
              </w:tc>
              <w:tc>
                <w:tcPr>
                  <w:tcW w:w="1609" w:type="dxa"/>
                  <w:vAlign w:val="center"/>
                </w:tcPr>
                <w:p w14:paraId="61AAEE5A">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外加剂</w:t>
                  </w:r>
                </w:p>
              </w:tc>
              <w:tc>
                <w:tcPr>
                  <w:tcW w:w="1320" w:type="dxa"/>
                  <w:vAlign w:val="center"/>
                </w:tcPr>
                <w:p w14:paraId="1CC42E25">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10t</w:t>
                  </w:r>
                </w:p>
              </w:tc>
              <w:tc>
                <w:tcPr>
                  <w:tcW w:w="1320" w:type="dxa"/>
                  <w:vAlign w:val="center"/>
                </w:tcPr>
                <w:p w14:paraId="470C5BCD">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桶装</w:t>
                  </w:r>
                </w:p>
              </w:tc>
              <w:tc>
                <w:tcPr>
                  <w:tcW w:w="1320" w:type="dxa"/>
                  <w:vAlign w:val="center"/>
                </w:tcPr>
                <w:p w14:paraId="5ECD0A50">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1t</w:t>
                  </w:r>
                </w:p>
              </w:tc>
              <w:tc>
                <w:tcPr>
                  <w:tcW w:w="1320" w:type="dxa"/>
                  <w:vAlign w:val="center"/>
                </w:tcPr>
                <w:p w14:paraId="2DD978C1">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外购</w:t>
                  </w:r>
                </w:p>
              </w:tc>
            </w:tr>
            <w:tr w14:paraId="1605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1" w:type="dxa"/>
                  <w:vAlign w:val="center"/>
                </w:tcPr>
                <w:p w14:paraId="18709127">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5</w:t>
                  </w:r>
                </w:p>
              </w:tc>
              <w:tc>
                <w:tcPr>
                  <w:tcW w:w="1609" w:type="dxa"/>
                  <w:vAlign w:val="center"/>
                </w:tcPr>
                <w:p w14:paraId="3F3B892D">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润滑油</w:t>
                  </w:r>
                </w:p>
              </w:tc>
              <w:tc>
                <w:tcPr>
                  <w:tcW w:w="1320" w:type="dxa"/>
                  <w:vAlign w:val="center"/>
                </w:tcPr>
                <w:p w14:paraId="61B640BE">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0.5t</w:t>
                  </w:r>
                </w:p>
              </w:tc>
              <w:tc>
                <w:tcPr>
                  <w:tcW w:w="1320" w:type="dxa"/>
                  <w:vAlign w:val="center"/>
                </w:tcPr>
                <w:p w14:paraId="3EC0892C">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桶装</w:t>
                  </w:r>
                </w:p>
              </w:tc>
              <w:tc>
                <w:tcPr>
                  <w:tcW w:w="1320" w:type="dxa"/>
                  <w:vAlign w:val="center"/>
                </w:tcPr>
                <w:p w14:paraId="12BCE73F">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0.1t</w:t>
                  </w:r>
                </w:p>
              </w:tc>
              <w:tc>
                <w:tcPr>
                  <w:tcW w:w="1320" w:type="dxa"/>
                  <w:vAlign w:val="center"/>
                </w:tcPr>
                <w:p w14:paraId="2B337D96">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外购</w:t>
                  </w:r>
                </w:p>
              </w:tc>
            </w:tr>
            <w:tr w14:paraId="3C97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1" w:type="dxa"/>
                  <w:vAlign w:val="center"/>
                </w:tcPr>
                <w:p w14:paraId="5F981FA2">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6</w:t>
                  </w:r>
                </w:p>
              </w:tc>
              <w:tc>
                <w:tcPr>
                  <w:tcW w:w="1609" w:type="dxa"/>
                  <w:vAlign w:val="center"/>
                </w:tcPr>
                <w:p w14:paraId="393E6A88">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水</w:t>
                  </w:r>
                </w:p>
              </w:tc>
              <w:tc>
                <w:tcPr>
                  <w:tcW w:w="1320" w:type="dxa"/>
                  <w:vAlign w:val="center"/>
                </w:tcPr>
                <w:p w14:paraId="49B2F292">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7500m</w:t>
                  </w:r>
                  <w:r>
                    <w:rPr>
                      <w:rFonts w:hint="eastAsia" w:ascii="Times New Roman" w:hAnsi="Times New Roman" w:eastAsia="宋体" w:cs="Times New Roman"/>
                      <w:b w:val="0"/>
                      <w:bCs w:val="0"/>
                      <w:color w:val="auto"/>
                      <w:spacing w:val="-3"/>
                      <w:sz w:val="21"/>
                      <w:szCs w:val="21"/>
                      <w:vertAlign w:val="superscript"/>
                      <w:lang w:val="en-US" w:eastAsia="zh-CN"/>
                    </w:rPr>
                    <w:t>3</w:t>
                  </w:r>
                </w:p>
              </w:tc>
              <w:tc>
                <w:tcPr>
                  <w:tcW w:w="1320" w:type="dxa"/>
                  <w:vAlign w:val="center"/>
                </w:tcPr>
                <w:p w14:paraId="6025226E">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清水池</w:t>
                  </w:r>
                </w:p>
              </w:tc>
              <w:tc>
                <w:tcPr>
                  <w:tcW w:w="1320" w:type="dxa"/>
                  <w:vAlign w:val="center"/>
                </w:tcPr>
                <w:p w14:paraId="28712D8D">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600m</w:t>
                  </w:r>
                  <w:r>
                    <w:rPr>
                      <w:rFonts w:hint="eastAsia" w:ascii="Times New Roman" w:hAnsi="Times New Roman" w:eastAsia="宋体" w:cs="Times New Roman"/>
                      <w:b w:val="0"/>
                      <w:bCs w:val="0"/>
                      <w:color w:val="auto"/>
                      <w:spacing w:val="-3"/>
                      <w:sz w:val="21"/>
                      <w:szCs w:val="21"/>
                      <w:vertAlign w:val="superscript"/>
                      <w:lang w:val="en-US" w:eastAsia="zh-CN"/>
                    </w:rPr>
                    <w:t>3</w:t>
                  </w:r>
                </w:p>
              </w:tc>
              <w:tc>
                <w:tcPr>
                  <w:tcW w:w="1320" w:type="dxa"/>
                  <w:vAlign w:val="center"/>
                </w:tcPr>
                <w:p w14:paraId="45ED70A6">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自来水、回用水</w:t>
                  </w:r>
                </w:p>
              </w:tc>
            </w:tr>
            <w:tr w14:paraId="3393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0" w:type="dxa"/>
                  <w:gridSpan w:val="6"/>
                  <w:vAlign w:val="center"/>
                </w:tcPr>
                <w:p w14:paraId="3F325A33">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both"/>
                    <w:textAlignment w:val="baseline"/>
                    <w:rPr>
                      <w:rFonts w:hint="default" w:ascii="Times New Roman" w:hAnsi="Times New Roman" w:eastAsia="宋体"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注：混凝土原料碎石、细沙由河卵石加工自产，自产碎石约54000t/a、细砂41000t/a。</w:t>
                  </w:r>
                </w:p>
              </w:tc>
            </w:tr>
          </w:tbl>
          <w:p w14:paraId="2E5BB8CA">
            <w:pPr>
              <w:pStyle w:val="2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60" w:firstLineChars="200"/>
              <w:textAlignment w:val="baseline"/>
              <w:rPr>
                <w:color w:val="auto"/>
              </w:rPr>
            </w:pPr>
            <w:r>
              <w:rPr>
                <w:color w:val="auto"/>
                <w:spacing w:val="-5"/>
              </w:rPr>
              <w:t>（</w:t>
            </w:r>
            <w:r>
              <w:rPr>
                <w:rFonts w:ascii="Times New Roman" w:hAnsi="Times New Roman" w:eastAsia="Times New Roman" w:cs="Times New Roman"/>
                <w:color w:val="auto"/>
                <w:spacing w:val="-5"/>
              </w:rPr>
              <w:t>1</w:t>
            </w:r>
            <w:r>
              <w:rPr>
                <w:color w:val="auto"/>
                <w:spacing w:val="-5"/>
              </w:rPr>
              <w:t>）水泥</w:t>
            </w:r>
          </w:p>
          <w:p w14:paraId="76DA020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1" w:firstLine="480" w:firstLineChars="200"/>
              <w:textAlignment w:val="baseline"/>
              <w:rPr>
                <w:color w:val="auto"/>
              </w:rPr>
            </w:pPr>
            <w:r>
              <w:rPr>
                <w:color w:val="auto"/>
              </w:rPr>
              <w:t>项目使用水泥主要为硅酸盐水泥，由主要含</w:t>
            </w:r>
            <w:r>
              <w:rPr>
                <w:color w:val="auto"/>
                <w:spacing w:val="-49"/>
              </w:rPr>
              <w:t xml:space="preserve"> </w:t>
            </w:r>
            <w:r>
              <w:rPr>
                <w:rFonts w:ascii="Times New Roman" w:hAnsi="Times New Roman" w:eastAsia="Times New Roman" w:cs="Times New Roman"/>
                <w:color w:val="auto"/>
              </w:rPr>
              <w:t>CaO</w:t>
            </w:r>
            <w:r>
              <w:rPr>
                <w:rFonts w:ascii="Times New Roman" w:hAnsi="Times New Roman" w:eastAsia="Times New Roman" w:cs="Times New Roman"/>
                <w:color w:val="auto"/>
                <w:spacing w:val="-29"/>
              </w:rPr>
              <w:t xml:space="preserve"> </w:t>
            </w:r>
            <w:r>
              <w:rPr>
                <w:color w:val="auto"/>
              </w:rPr>
              <w:t>、</w:t>
            </w:r>
            <w:r>
              <w:rPr>
                <w:rFonts w:ascii="Times New Roman" w:hAnsi="Times New Roman" w:eastAsia="Times New Roman" w:cs="Times New Roman"/>
                <w:color w:val="auto"/>
              </w:rPr>
              <w:t>SiO</w:t>
            </w:r>
            <w:r>
              <w:rPr>
                <w:rFonts w:ascii="Times New Roman" w:hAnsi="Times New Roman" w:eastAsia="Times New Roman" w:cs="Times New Roman"/>
                <w:color w:val="auto"/>
                <w:position w:val="-1"/>
                <w:sz w:val="15"/>
                <w:szCs w:val="15"/>
              </w:rPr>
              <w:t>2</w:t>
            </w:r>
            <w:r>
              <w:rPr>
                <w:rFonts w:ascii="Times New Roman" w:hAnsi="Times New Roman" w:eastAsia="Times New Roman" w:cs="Times New Roman"/>
                <w:color w:val="auto"/>
                <w:spacing w:val="-8"/>
                <w:position w:val="-1"/>
                <w:sz w:val="15"/>
                <w:szCs w:val="15"/>
              </w:rPr>
              <w:t xml:space="preserve"> </w:t>
            </w:r>
            <w:r>
              <w:rPr>
                <w:color w:val="auto"/>
              </w:rPr>
              <w:t>、</w:t>
            </w:r>
            <w:r>
              <w:rPr>
                <w:rFonts w:ascii="Times New Roman" w:hAnsi="Times New Roman" w:eastAsia="Times New Roman" w:cs="Times New Roman"/>
                <w:color w:val="auto"/>
              </w:rPr>
              <w:t>Al</w:t>
            </w:r>
            <w:r>
              <w:rPr>
                <w:rFonts w:ascii="Times New Roman" w:hAnsi="Times New Roman" w:eastAsia="Times New Roman" w:cs="Times New Roman"/>
                <w:color w:val="auto"/>
                <w:position w:val="-1"/>
                <w:sz w:val="15"/>
                <w:szCs w:val="15"/>
              </w:rPr>
              <w:t>2</w:t>
            </w:r>
            <w:r>
              <w:rPr>
                <w:rFonts w:ascii="Times New Roman" w:hAnsi="Times New Roman" w:eastAsia="Times New Roman" w:cs="Times New Roman"/>
                <w:color w:val="auto"/>
              </w:rPr>
              <w:t>O</w:t>
            </w:r>
            <w:r>
              <w:rPr>
                <w:rFonts w:ascii="Times New Roman" w:hAnsi="Times New Roman" w:eastAsia="Times New Roman" w:cs="Times New Roman"/>
                <w:color w:val="auto"/>
                <w:position w:val="-1"/>
                <w:sz w:val="15"/>
                <w:szCs w:val="15"/>
              </w:rPr>
              <w:t>3</w:t>
            </w:r>
            <w:r>
              <w:rPr>
                <w:rFonts w:ascii="Times New Roman" w:hAnsi="Times New Roman" w:eastAsia="Times New Roman" w:cs="Times New Roman"/>
                <w:color w:val="auto"/>
                <w:spacing w:val="-8"/>
                <w:position w:val="-1"/>
                <w:sz w:val="15"/>
                <w:szCs w:val="15"/>
              </w:rPr>
              <w:t xml:space="preserve"> </w:t>
            </w:r>
            <w:r>
              <w:rPr>
                <w:color w:val="auto"/>
                <w:spacing w:val="-1"/>
              </w:rPr>
              <w:t>、</w:t>
            </w:r>
            <w:r>
              <w:rPr>
                <w:rFonts w:ascii="Times New Roman" w:hAnsi="Times New Roman" w:eastAsia="Times New Roman" w:cs="Times New Roman"/>
                <w:color w:val="auto"/>
                <w:spacing w:val="-1"/>
              </w:rPr>
              <w:t>Fe</w:t>
            </w:r>
            <w:r>
              <w:rPr>
                <w:rFonts w:ascii="Times New Roman" w:hAnsi="Times New Roman" w:eastAsia="Times New Roman" w:cs="Times New Roman"/>
                <w:color w:val="auto"/>
                <w:spacing w:val="-1"/>
                <w:sz w:val="15"/>
                <w:szCs w:val="15"/>
              </w:rPr>
              <w:t>2</w:t>
            </w:r>
            <w:r>
              <w:rPr>
                <w:rFonts w:ascii="Times New Roman" w:hAnsi="Times New Roman" w:eastAsia="Times New Roman" w:cs="Times New Roman"/>
                <w:color w:val="auto"/>
                <w:spacing w:val="-1"/>
              </w:rPr>
              <w:t>O</w:t>
            </w:r>
            <w:r>
              <w:rPr>
                <w:rFonts w:ascii="Times New Roman" w:hAnsi="Times New Roman" w:eastAsia="Times New Roman" w:cs="Times New Roman"/>
                <w:color w:val="auto"/>
                <w:spacing w:val="-1"/>
                <w:position w:val="-1"/>
                <w:sz w:val="15"/>
                <w:szCs w:val="15"/>
              </w:rPr>
              <w:t>3</w:t>
            </w:r>
            <w:r>
              <w:rPr>
                <w:rFonts w:ascii="Times New Roman" w:hAnsi="Times New Roman" w:eastAsia="Times New Roman" w:cs="Times New Roman"/>
                <w:color w:val="auto"/>
                <w:position w:val="-1"/>
                <w:sz w:val="15"/>
                <w:szCs w:val="15"/>
              </w:rPr>
              <w:t xml:space="preserve"> </w:t>
            </w:r>
            <w:r>
              <w:rPr>
                <w:color w:val="auto"/>
              </w:rPr>
              <w:t>的原料，</w:t>
            </w:r>
            <w:r>
              <w:rPr>
                <w:color w:val="auto"/>
              </w:rPr>
              <w:fldChar w:fldCharType="begin"/>
            </w:r>
            <w:r>
              <w:rPr>
                <w:color w:val="auto"/>
              </w:rPr>
              <w:instrText xml:space="preserve"> HYPERLINK "https://baike.baidu.com/item/%E7%A1%85%E9%85%B8%E9%92%99/1854797?fromModule=lemma_inlink" </w:instrText>
            </w:r>
            <w:r>
              <w:rPr>
                <w:color w:val="auto"/>
              </w:rPr>
              <w:fldChar w:fldCharType="separate"/>
            </w:r>
            <w:r>
              <w:rPr>
                <w:color w:val="auto"/>
              </w:rPr>
              <w:t>按适当比例磨成细粉烧至部分熔融所得以硅酸钙</w:t>
            </w:r>
            <w:r>
              <w:rPr>
                <w:color w:val="auto"/>
              </w:rPr>
              <w:fldChar w:fldCharType="end"/>
            </w:r>
            <w:r>
              <w:rPr>
                <w:color w:val="auto"/>
              </w:rPr>
              <w:t>为主要矿物成分的</w:t>
            </w:r>
            <w:r>
              <w:rPr>
                <w:color w:val="auto"/>
                <w:spacing w:val="11"/>
              </w:rPr>
              <w:t xml:space="preserve"> </w:t>
            </w:r>
            <w:r>
              <w:rPr>
                <w:color w:val="auto"/>
                <w:spacing w:val="-1"/>
              </w:rPr>
              <w:t>水硬性胶凝物质。其中硅酸钙矿物不小于</w:t>
            </w:r>
            <w:r>
              <w:rPr>
                <w:color w:val="auto"/>
                <w:spacing w:val="-52"/>
              </w:rPr>
              <w:t xml:space="preserve"> </w:t>
            </w:r>
            <w:r>
              <w:rPr>
                <w:rFonts w:ascii="Times New Roman" w:hAnsi="Times New Roman" w:eastAsia="Times New Roman" w:cs="Times New Roman"/>
                <w:color w:val="auto"/>
                <w:spacing w:val="-1"/>
              </w:rPr>
              <w:t>66%</w:t>
            </w:r>
            <w:r>
              <w:rPr>
                <w:rFonts w:ascii="Times New Roman" w:hAnsi="Times New Roman" w:eastAsia="Times New Roman" w:cs="Times New Roman"/>
                <w:color w:val="auto"/>
                <w:spacing w:val="-30"/>
              </w:rPr>
              <w:t xml:space="preserve"> </w:t>
            </w:r>
            <w:r>
              <w:rPr>
                <w:color w:val="auto"/>
                <w:spacing w:val="-2"/>
              </w:rPr>
              <w:t>，</w:t>
            </w:r>
            <w:r>
              <w:rPr>
                <w:color w:val="auto"/>
              </w:rPr>
              <w:fldChar w:fldCharType="begin"/>
            </w:r>
            <w:r>
              <w:rPr>
                <w:color w:val="auto"/>
              </w:rPr>
              <w:instrText xml:space="preserve"> HYPERLINK "https://baike.baidu.com/item/%E6%B0%A7%E5%8C%96%E9%92%99/2815549?fromModule=lemma_inlink" </w:instrText>
            </w:r>
            <w:r>
              <w:rPr>
                <w:color w:val="auto"/>
              </w:rPr>
              <w:fldChar w:fldCharType="separate"/>
            </w:r>
            <w:r>
              <w:rPr>
                <w:color w:val="auto"/>
                <w:spacing w:val="-2"/>
              </w:rPr>
              <w:t>氧化钙</w:t>
            </w:r>
            <w:r>
              <w:rPr>
                <w:color w:val="auto"/>
                <w:spacing w:val="-2"/>
              </w:rPr>
              <w:fldChar w:fldCharType="end"/>
            </w:r>
            <w:r>
              <w:rPr>
                <w:color w:val="auto"/>
                <w:spacing w:val="-2"/>
              </w:rPr>
              <w:t>和氧化硅质量比不小</w:t>
            </w:r>
            <w:r>
              <w:rPr>
                <w:color w:val="auto"/>
              </w:rPr>
              <w:t xml:space="preserve"> </w:t>
            </w:r>
            <w:r>
              <w:rPr>
                <w:color w:val="auto"/>
                <w:spacing w:val="1"/>
              </w:rPr>
              <w:t>于</w:t>
            </w:r>
            <w:r>
              <w:rPr>
                <w:color w:val="auto"/>
                <w:spacing w:val="-52"/>
              </w:rPr>
              <w:t xml:space="preserve"> </w:t>
            </w:r>
            <w:r>
              <w:rPr>
                <w:rFonts w:ascii="Times New Roman" w:hAnsi="Times New Roman" w:eastAsia="Times New Roman" w:cs="Times New Roman"/>
                <w:color w:val="auto"/>
                <w:spacing w:val="1"/>
              </w:rPr>
              <w:t>2.0</w:t>
            </w:r>
            <w:r>
              <w:rPr>
                <w:rFonts w:ascii="Times New Roman" w:hAnsi="Times New Roman" w:eastAsia="Times New Roman" w:cs="Times New Roman"/>
                <w:color w:val="auto"/>
                <w:spacing w:val="-25"/>
              </w:rPr>
              <w:t xml:space="preserve"> </w:t>
            </w:r>
            <w:r>
              <w:rPr>
                <w:color w:val="auto"/>
                <w:spacing w:val="1"/>
              </w:rPr>
              <w:t>。使用的硅酸盐水泥达到《通用硅酸盐水泥》（</w:t>
            </w:r>
            <w:r>
              <w:rPr>
                <w:rFonts w:ascii="Times New Roman" w:hAnsi="Times New Roman" w:eastAsia="Times New Roman" w:cs="Times New Roman"/>
                <w:color w:val="auto"/>
              </w:rPr>
              <w:t>GB</w:t>
            </w:r>
            <w:r>
              <w:rPr>
                <w:rFonts w:ascii="Times New Roman" w:hAnsi="Times New Roman" w:eastAsia="Times New Roman" w:cs="Times New Roman"/>
                <w:color w:val="auto"/>
                <w:spacing w:val="1"/>
              </w:rPr>
              <w:t>175-2020</w:t>
            </w:r>
            <w:r>
              <w:rPr>
                <w:color w:val="auto"/>
                <w:spacing w:val="1"/>
              </w:rPr>
              <w:t>）标</w:t>
            </w:r>
            <w:r>
              <w:rPr>
                <w:color w:val="auto"/>
              </w:rPr>
              <w:t xml:space="preserve">准要 </w:t>
            </w:r>
            <w:r>
              <w:rPr>
                <w:color w:val="auto"/>
                <w:spacing w:val="-6"/>
              </w:rPr>
              <w:t>求。</w:t>
            </w:r>
          </w:p>
          <w:p w14:paraId="12A4583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rPr>
                <w:rFonts w:hint="eastAsia" w:eastAsia="宋体"/>
                <w:color w:val="auto"/>
                <w:lang w:val="en-US" w:eastAsia="zh-CN"/>
              </w:rPr>
            </w:pPr>
            <w:r>
              <w:rPr>
                <w:color w:val="auto"/>
                <w:spacing w:val="-4"/>
              </w:rPr>
              <w:t>（</w:t>
            </w:r>
            <w:r>
              <w:rPr>
                <w:rFonts w:ascii="Times New Roman" w:hAnsi="Times New Roman" w:eastAsia="Times New Roman" w:cs="Times New Roman"/>
                <w:color w:val="auto"/>
                <w:spacing w:val="-4"/>
              </w:rPr>
              <w:t>2</w:t>
            </w:r>
            <w:r>
              <w:rPr>
                <w:color w:val="auto"/>
                <w:spacing w:val="-4"/>
              </w:rPr>
              <w:t>）</w:t>
            </w:r>
            <w:r>
              <w:rPr>
                <w:rFonts w:hint="eastAsia"/>
                <w:color w:val="auto"/>
                <w:spacing w:val="-4"/>
                <w:lang w:val="en-US" w:eastAsia="zh-CN"/>
              </w:rPr>
              <w:t>粉煤灰</w:t>
            </w:r>
          </w:p>
          <w:p w14:paraId="5D1A888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2" w:firstLine="480" w:firstLineChars="200"/>
              <w:textAlignment w:val="baseline"/>
              <w:rPr>
                <w:rFonts w:hint="eastAsia"/>
                <w:color w:val="auto"/>
                <w:spacing w:val="12"/>
                <w:lang w:eastAsia="zh-CN"/>
              </w:rPr>
            </w:pPr>
            <w:r>
              <w:rPr>
                <w:color w:val="auto"/>
              </w:rPr>
              <w:t>粉煤灰是从煤燃烧后的烟气中收捕下来的细灰，掺合料是燃煤电厂排出</w:t>
            </w:r>
            <w:r>
              <w:rPr>
                <w:color w:val="auto"/>
                <w:spacing w:val="14"/>
              </w:rPr>
              <w:t xml:space="preserve"> </w:t>
            </w:r>
            <w:r>
              <w:rPr>
                <w:color w:val="auto"/>
                <w:spacing w:val="-3"/>
              </w:rPr>
              <w:t>的主要固体废物，其主要氧化物组成为：</w:t>
            </w:r>
            <w:r>
              <w:rPr>
                <w:rFonts w:ascii="Times New Roman" w:hAnsi="Times New Roman" w:eastAsia="Times New Roman" w:cs="Times New Roman"/>
                <w:color w:val="auto"/>
                <w:spacing w:val="-3"/>
              </w:rPr>
              <w:t>SiO</w:t>
            </w:r>
            <w:r>
              <w:rPr>
                <w:rFonts w:ascii="Times New Roman" w:hAnsi="Times New Roman" w:eastAsia="Times New Roman" w:cs="Times New Roman"/>
                <w:color w:val="auto"/>
                <w:spacing w:val="-3"/>
                <w:position w:val="-1"/>
                <w:sz w:val="15"/>
                <w:szCs w:val="15"/>
              </w:rPr>
              <w:t>2</w:t>
            </w:r>
            <w:r>
              <w:rPr>
                <w:rFonts w:ascii="Times New Roman" w:hAnsi="Times New Roman" w:eastAsia="Times New Roman" w:cs="Times New Roman"/>
                <w:color w:val="auto"/>
                <w:spacing w:val="3"/>
                <w:position w:val="-1"/>
                <w:sz w:val="15"/>
                <w:szCs w:val="15"/>
              </w:rPr>
              <w:t xml:space="preserve"> </w:t>
            </w:r>
            <w:r>
              <w:rPr>
                <w:color w:val="auto"/>
                <w:spacing w:val="-3"/>
              </w:rPr>
              <w:t>、</w:t>
            </w:r>
            <w:r>
              <w:rPr>
                <w:rFonts w:ascii="Times New Roman" w:hAnsi="Times New Roman" w:eastAsia="Times New Roman" w:cs="Times New Roman"/>
                <w:color w:val="auto"/>
                <w:spacing w:val="-3"/>
              </w:rPr>
              <w:t>Al</w:t>
            </w:r>
            <w:r>
              <w:rPr>
                <w:rFonts w:ascii="Times New Roman" w:hAnsi="Times New Roman" w:eastAsia="Times New Roman" w:cs="Times New Roman"/>
                <w:color w:val="auto"/>
                <w:spacing w:val="-3"/>
                <w:position w:val="-1"/>
                <w:sz w:val="15"/>
                <w:szCs w:val="15"/>
              </w:rPr>
              <w:t>2</w:t>
            </w:r>
            <w:r>
              <w:rPr>
                <w:rFonts w:ascii="Times New Roman" w:hAnsi="Times New Roman" w:eastAsia="Times New Roman" w:cs="Times New Roman"/>
                <w:color w:val="auto"/>
                <w:spacing w:val="-3"/>
              </w:rPr>
              <w:t>O</w:t>
            </w:r>
            <w:r>
              <w:rPr>
                <w:rFonts w:ascii="Times New Roman" w:hAnsi="Times New Roman" w:eastAsia="Times New Roman" w:cs="Times New Roman"/>
                <w:color w:val="auto"/>
                <w:spacing w:val="-3"/>
                <w:position w:val="-1"/>
                <w:sz w:val="15"/>
                <w:szCs w:val="15"/>
              </w:rPr>
              <w:t>3</w:t>
            </w:r>
            <w:r>
              <w:rPr>
                <w:rFonts w:ascii="Times New Roman" w:hAnsi="Times New Roman" w:eastAsia="Times New Roman" w:cs="Times New Roman"/>
                <w:color w:val="auto"/>
                <w:spacing w:val="-13"/>
                <w:position w:val="-1"/>
                <w:sz w:val="15"/>
                <w:szCs w:val="15"/>
              </w:rPr>
              <w:t xml:space="preserve"> </w:t>
            </w:r>
            <w:r>
              <w:rPr>
                <w:color w:val="auto"/>
                <w:spacing w:val="-3"/>
              </w:rPr>
              <w:t>、</w:t>
            </w:r>
            <w:r>
              <w:rPr>
                <w:rFonts w:ascii="Times New Roman" w:hAnsi="Times New Roman" w:eastAsia="Times New Roman" w:cs="Times New Roman"/>
                <w:color w:val="auto"/>
                <w:spacing w:val="-3"/>
              </w:rPr>
              <w:t>FeO</w:t>
            </w:r>
            <w:r>
              <w:rPr>
                <w:rFonts w:ascii="Times New Roman" w:hAnsi="Times New Roman" w:eastAsia="Times New Roman" w:cs="Times New Roman"/>
                <w:color w:val="auto"/>
                <w:spacing w:val="-34"/>
              </w:rPr>
              <w:t xml:space="preserve"> </w:t>
            </w:r>
            <w:r>
              <w:rPr>
                <w:color w:val="auto"/>
                <w:spacing w:val="-3"/>
              </w:rPr>
              <w:t>、</w:t>
            </w:r>
            <w:r>
              <w:rPr>
                <w:rFonts w:ascii="Times New Roman" w:hAnsi="Times New Roman" w:eastAsia="Times New Roman" w:cs="Times New Roman"/>
                <w:color w:val="auto"/>
                <w:spacing w:val="-3"/>
              </w:rPr>
              <w:t>Fe</w:t>
            </w:r>
            <w:r>
              <w:rPr>
                <w:rFonts w:ascii="Times New Roman" w:hAnsi="Times New Roman" w:eastAsia="Times New Roman" w:cs="Times New Roman"/>
                <w:color w:val="auto"/>
                <w:spacing w:val="-3"/>
                <w:sz w:val="15"/>
                <w:szCs w:val="15"/>
              </w:rPr>
              <w:t>2</w:t>
            </w:r>
            <w:r>
              <w:rPr>
                <w:rFonts w:ascii="Times New Roman" w:hAnsi="Times New Roman" w:eastAsia="Times New Roman" w:cs="Times New Roman"/>
                <w:color w:val="auto"/>
                <w:spacing w:val="-3"/>
              </w:rPr>
              <w:t>O</w:t>
            </w:r>
            <w:r>
              <w:rPr>
                <w:rFonts w:ascii="Times New Roman" w:hAnsi="Times New Roman" w:eastAsia="Times New Roman" w:cs="Times New Roman"/>
                <w:color w:val="auto"/>
                <w:spacing w:val="-3"/>
                <w:position w:val="-1"/>
                <w:sz w:val="15"/>
                <w:szCs w:val="15"/>
              </w:rPr>
              <w:t>3</w:t>
            </w:r>
            <w:r>
              <w:rPr>
                <w:rFonts w:ascii="Times New Roman" w:hAnsi="Times New Roman" w:eastAsia="Times New Roman" w:cs="Times New Roman"/>
                <w:color w:val="auto"/>
                <w:spacing w:val="-13"/>
                <w:position w:val="-1"/>
                <w:sz w:val="15"/>
                <w:szCs w:val="15"/>
              </w:rPr>
              <w:t xml:space="preserve"> </w:t>
            </w:r>
            <w:r>
              <w:rPr>
                <w:color w:val="auto"/>
                <w:spacing w:val="-3"/>
              </w:rPr>
              <w:t>、</w:t>
            </w:r>
            <w:r>
              <w:rPr>
                <w:rFonts w:ascii="Times New Roman" w:hAnsi="Times New Roman" w:eastAsia="Times New Roman" w:cs="Times New Roman"/>
                <w:color w:val="auto"/>
                <w:spacing w:val="-3"/>
              </w:rPr>
              <w:t>CaO</w:t>
            </w:r>
            <w:r>
              <w:rPr>
                <w:color w:val="auto"/>
                <w:spacing w:val="-3"/>
              </w:rPr>
              <w:t>、</w:t>
            </w:r>
            <w:r>
              <w:rPr>
                <w:color w:val="auto"/>
              </w:rPr>
              <w:t xml:space="preserve"> </w:t>
            </w:r>
            <w:r>
              <w:rPr>
                <w:rFonts w:ascii="Times New Roman" w:hAnsi="Times New Roman" w:eastAsia="Times New Roman" w:cs="Times New Roman"/>
                <w:color w:val="auto"/>
                <w:spacing w:val="-1"/>
              </w:rPr>
              <w:t>TiO</w:t>
            </w:r>
            <w:r>
              <w:rPr>
                <w:rFonts w:ascii="Times New Roman" w:hAnsi="Times New Roman" w:eastAsia="Times New Roman" w:cs="Times New Roman"/>
                <w:color w:val="auto"/>
                <w:spacing w:val="-1"/>
                <w:position w:val="-1"/>
                <w:sz w:val="15"/>
                <w:szCs w:val="15"/>
              </w:rPr>
              <w:t>2</w:t>
            </w:r>
            <w:r>
              <w:rPr>
                <w:rFonts w:ascii="Times New Roman" w:hAnsi="Times New Roman" w:eastAsia="Times New Roman" w:cs="Times New Roman"/>
                <w:color w:val="auto"/>
                <w:spacing w:val="31"/>
                <w:w w:val="101"/>
                <w:position w:val="-1"/>
                <w:sz w:val="15"/>
                <w:szCs w:val="15"/>
              </w:rPr>
              <w:t xml:space="preserve"> </w:t>
            </w:r>
            <w:r>
              <w:rPr>
                <w:color w:val="auto"/>
                <w:spacing w:val="-1"/>
              </w:rPr>
              <w:t>等。掺合料外观类似水泥，颜色在乳白色到灰黑色之间变化，其颗粒呈</w:t>
            </w:r>
            <w:r>
              <w:rPr>
                <w:color w:val="auto"/>
              </w:rPr>
              <w:t xml:space="preserve"> 多孔型蜂窝状组织，比表面积较大，具有较高的吸附活性，颗粒的粒径范围</w:t>
            </w:r>
            <w:r>
              <w:rPr>
                <w:color w:val="auto"/>
                <w:spacing w:val="15"/>
              </w:rPr>
              <w:t xml:space="preserve"> </w:t>
            </w:r>
            <w:r>
              <w:rPr>
                <w:color w:val="auto"/>
                <w:spacing w:val="-5"/>
              </w:rPr>
              <w:t>为</w:t>
            </w:r>
            <w:r>
              <w:rPr>
                <w:color w:val="auto"/>
                <w:spacing w:val="-35"/>
              </w:rPr>
              <w:t xml:space="preserve"> </w:t>
            </w:r>
            <w:r>
              <w:rPr>
                <w:rFonts w:ascii="Times New Roman" w:hAnsi="Times New Roman" w:eastAsia="Times New Roman" w:cs="Times New Roman"/>
                <w:color w:val="auto"/>
                <w:spacing w:val="-5"/>
              </w:rPr>
              <w:t xml:space="preserve">0.5~300 </w:t>
            </w:r>
            <w:r>
              <w:rPr>
                <w:color w:val="auto"/>
                <w:spacing w:val="-5"/>
              </w:rPr>
              <w:t>μ</w:t>
            </w:r>
            <w:r>
              <w:rPr>
                <w:rFonts w:ascii="Times New Roman" w:hAnsi="Times New Roman" w:eastAsia="Times New Roman" w:cs="Times New Roman"/>
                <w:color w:val="auto"/>
                <w:spacing w:val="-5"/>
              </w:rPr>
              <w:t>m</w:t>
            </w:r>
            <w:r>
              <w:rPr>
                <w:rFonts w:ascii="Times New Roman" w:hAnsi="Times New Roman" w:eastAsia="Times New Roman" w:cs="Times New Roman"/>
                <w:color w:val="auto"/>
                <w:spacing w:val="-26"/>
              </w:rPr>
              <w:t xml:space="preserve"> </w:t>
            </w:r>
            <w:r>
              <w:rPr>
                <w:rFonts w:hint="eastAsia" w:ascii="Times New Roman" w:hAnsi="Times New Roman" w:eastAsia="宋体" w:cs="Times New Roman"/>
                <w:color w:val="auto"/>
                <w:spacing w:val="-26"/>
                <w:lang w:eastAsia="zh-CN"/>
              </w:rPr>
              <w:t>，</w:t>
            </w:r>
            <w:r>
              <w:rPr>
                <w:color w:val="auto"/>
                <w:spacing w:val="-5"/>
              </w:rPr>
              <w:t>并且珠壁具有多孔结构，孔隙率高达</w:t>
            </w:r>
            <w:r>
              <w:rPr>
                <w:color w:val="auto"/>
                <w:spacing w:val="-48"/>
              </w:rPr>
              <w:t xml:space="preserve"> </w:t>
            </w:r>
            <w:r>
              <w:rPr>
                <w:rFonts w:ascii="Times New Roman" w:hAnsi="Times New Roman" w:eastAsia="Times New Roman" w:cs="Times New Roman"/>
                <w:color w:val="auto"/>
                <w:spacing w:val="-5"/>
              </w:rPr>
              <w:t>50%</w:t>
            </w:r>
            <w:r>
              <w:rPr>
                <w:color w:val="auto"/>
                <w:spacing w:val="-5"/>
              </w:rPr>
              <w:t>—</w:t>
            </w:r>
            <w:r>
              <w:rPr>
                <w:rFonts w:ascii="Times New Roman" w:hAnsi="Times New Roman" w:eastAsia="Times New Roman" w:cs="Times New Roman"/>
                <w:color w:val="auto"/>
                <w:spacing w:val="-5"/>
              </w:rPr>
              <w:t>80%</w:t>
            </w:r>
            <w:r>
              <w:rPr>
                <w:rFonts w:ascii="Times New Roman" w:hAnsi="Times New Roman" w:eastAsia="Times New Roman" w:cs="Times New Roman"/>
                <w:color w:val="auto"/>
                <w:spacing w:val="-32"/>
              </w:rPr>
              <w:t xml:space="preserve"> </w:t>
            </w:r>
            <w:r>
              <w:rPr>
                <w:color w:val="auto"/>
                <w:spacing w:val="-5"/>
              </w:rPr>
              <w:t>，有很强的</w:t>
            </w:r>
            <w:r>
              <w:rPr>
                <w:color w:val="auto"/>
              </w:rPr>
              <w:t xml:space="preserve"> </w:t>
            </w:r>
            <w:r>
              <w:rPr>
                <w:color w:val="auto"/>
                <w:spacing w:val="12"/>
              </w:rPr>
              <w:t>吸水性</w:t>
            </w:r>
            <w:r>
              <w:rPr>
                <w:rFonts w:hint="eastAsia"/>
                <w:color w:val="auto"/>
                <w:spacing w:val="12"/>
                <w:lang w:eastAsia="zh-CN"/>
              </w:rPr>
              <w:t>。</w:t>
            </w:r>
          </w:p>
          <w:p w14:paraId="56A22E4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601"/>
              <w:textAlignment w:val="baseline"/>
              <w:rPr>
                <w:rFonts w:hint="eastAsia" w:eastAsia="宋体"/>
                <w:color w:val="auto"/>
                <w:lang w:val="en-US" w:eastAsia="zh-CN"/>
              </w:rPr>
            </w:pPr>
            <w:r>
              <w:rPr>
                <w:rFonts w:hint="default" w:ascii="Times New Roman" w:hAnsi="Times New Roman" w:cs="Times New Roman"/>
                <w:color w:val="auto"/>
                <w:spacing w:val="-4"/>
              </w:rPr>
              <w:t>（3）</w:t>
            </w:r>
            <w:r>
              <w:rPr>
                <w:rFonts w:hint="eastAsia"/>
                <w:color w:val="auto"/>
                <w:spacing w:val="-4"/>
                <w:lang w:val="en-US" w:eastAsia="zh-CN"/>
              </w:rPr>
              <w:t>河卵石</w:t>
            </w:r>
          </w:p>
          <w:p w14:paraId="1455F7B4">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3" w:right="102" w:firstLine="475"/>
              <w:textAlignment w:val="baseline"/>
              <w:rPr>
                <w:color w:val="auto"/>
              </w:rPr>
            </w:pPr>
            <w:r>
              <w:rPr>
                <w:rFonts w:hint="eastAsia"/>
                <w:color w:val="auto"/>
                <w:spacing w:val="-7"/>
                <w:lang w:val="en-US" w:eastAsia="zh-CN"/>
              </w:rPr>
              <w:t>主要来自河道清淤，河卵石来自河道清淤，入厂前已清洗残留淤泥、杂质，为干净河卵石。经破碎、筛分加工成碎石、细砂，</w:t>
            </w:r>
            <w:r>
              <w:rPr>
                <w:color w:val="auto"/>
                <w:spacing w:val="-7"/>
              </w:rPr>
              <w:t>砂</w:t>
            </w:r>
            <w:r>
              <w:rPr>
                <w:rFonts w:hint="eastAsia"/>
                <w:color w:val="auto"/>
                <w:spacing w:val="-7"/>
                <w:lang w:eastAsia="zh-CN"/>
              </w:rPr>
              <w:t>、</w:t>
            </w:r>
            <w:r>
              <w:rPr>
                <w:rFonts w:hint="eastAsia"/>
                <w:color w:val="auto"/>
                <w:spacing w:val="-7"/>
                <w:lang w:val="en-US" w:eastAsia="zh-CN"/>
              </w:rPr>
              <w:t>碎石</w:t>
            </w:r>
            <w:r>
              <w:rPr>
                <w:color w:val="auto"/>
                <w:spacing w:val="-7"/>
              </w:rPr>
              <w:t>是混凝土的</w:t>
            </w:r>
            <w:r>
              <w:rPr>
                <w:rFonts w:hint="eastAsia"/>
                <w:color w:val="auto"/>
                <w:spacing w:val="-7"/>
                <w:lang w:val="en-US" w:eastAsia="zh-CN"/>
              </w:rPr>
              <w:t>主要</w:t>
            </w:r>
            <w:r>
              <w:rPr>
                <w:color w:val="auto"/>
                <w:spacing w:val="-7"/>
              </w:rPr>
              <w:t>骨料，包括天然砂、机制砂等，项目采用的砂符合</w:t>
            </w:r>
            <w:r>
              <w:rPr>
                <w:color w:val="auto"/>
                <w:spacing w:val="-8"/>
              </w:rPr>
              <w:t>《建</w:t>
            </w:r>
            <w:r>
              <w:rPr>
                <w:color w:val="auto"/>
                <w:spacing w:val="-1"/>
              </w:rPr>
              <w:t>设用砂》（</w:t>
            </w:r>
            <w:r>
              <w:rPr>
                <w:rFonts w:ascii="Times New Roman" w:hAnsi="Times New Roman" w:eastAsia="Times New Roman" w:cs="Times New Roman"/>
                <w:color w:val="auto"/>
                <w:spacing w:val="-1"/>
              </w:rPr>
              <w:t>GB/T14684-2022</w:t>
            </w:r>
            <w:r>
              <w:rPr>
                <w:color w:val="auto"/>
                <w:spacing w:val="-1"/>
              </w:rPr>
              <w:t>）要求。</w:t>
            </w:r>
          </w:p>
          <w:p w14:paraId="1D6CCB91">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601"/>
              <w:textAlignment w:val="baseline"/>
              <w:rPr>
                <w:rFonts w:hint="default" w:ascii="Times New Roman" w:hAnsi="Times New Roman" w:cs="Times New Roman"/>
                <w:color w:val="auto"/>
              </w:rPr>
            </w:pPr>
            <w:r>
              <w:rPr>
                <w:rFonts w:hint="default" w:ascii="Times New Roman" w:hAnsi="Times New Roman" w:cs="Times New Roman"/>
                <w:color w:val="auto"/>
                <w:spacing w:val="-4"/>
              </w:rPr>
              <w:t>（</w:t>
            </w:r>
            <w:r>
              <w:rPr>
                <w:rFonts w:hint="eastAsia" w:ascii="Times New Roman" w:hAnsi="Times New Roman" w:eastAsia="宋体" w:cs="Times New Roman"/>
                <w:color w:val="auto"/>
                <w:spacing w:val="-4"/>
                <w:lang w:val="en-US" w:eastAsia="zh-CN"/>
              </w:rPr>
              <w:t>4</w:t>
            </w:r>
            <w:r>
              <w:rPr>
                <w:rFonts w:hint="default" w:ascii="Times New Roman" w:hAnsi="Times New Roman" w:cs="Times New Roman"/>
                <w:color w:val="auto"/>
                <w:spacing w:val="-4"/>
              </w:rPr>
              <w:t>）外加剂</w:t>
            </w:r>
          </w:p>
          <w:p w14:paraId="62336C27">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2" w:firstLine="468" w:firstLineChars="200"/>
              <w:textAlignment w:val="baseline"/>
              <w:rPr>
                <w:rFonts w:hint="default" w:ascii="Times New Roman" w:hAnsi="Times New Roman" w:cs="Times New Roman"/>
                <w:color w:val="auto"/>
                <w:spacing w:val="-3"/>
              </w:rPr>
            </w:pPr>
            <w:r>
              <w:rPr>
                <w:rFonts w:hint="default" w:ascii="Times New Roman" w:hAnsi="Times New Roman" w:cs="Times New Roman"/>
                <w:color w:val="auto"/>
                <w:spacing w:val="-3"/>
              </w:rPr>
              <w:t>是指在拌制混凝土的过程中掺入用以改善混凝土性能的物质。混凝土外加剂的掺量一般不大于水泥质量的5%。混凝土外加剂产品的质量必须符合国家标准《混凝土外加剂》（GB8076 -2008）的规定。本项目使用的外加剂为减水剂，是以聚羧酸盐为主体的多种高分子有机化合物，经接枝共聚生成的，具有极强的减水性能，氯离子含量低、碱含量低，有利于混凝土的耐久性。本产品不含甲醛，符合ISO14000环境保护管理国际标准，属当今世界上技术领先的环保型混凝土外加剂。</w:t>
            </w:r>
          </w:p>
          <w:p w14:paraId="2BC63FA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88"/>
              <w:textAlignment w:val="baseline"/>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b/>
                <w:bCs/>
                <w:color w:val="auto"/>
                <w:spacing w:val="-3"/>
                <w:sz w:val="24"/>
                <w:szCs w:val="24"/>
                <w:lang w:val="en-US" w:eastAsia="zh-CN"/>
              </w:rPr>
              <w:t>5</w:t>
            </w:r>
            <w:r>
              <w:rPr>
                <w:rFonts w:hint="default" w:ascii="Times New Roman" w:hAnsi="Times New Roman" w:eastAsia="宋体" w:cs="Times New Roman"/>
                <w:b/>
                <w:bCs/>
                <w:color w:val="auto"/>
                <w:spacing w:val="-3"/>
                <w:sz w:val="24"/>
                <w:szCs w:val="24"/>
              </w:rPr>
              <w:t>、</w:t>
            </w:r>
            <w:r>
              <w:rPr>
                <w:rFonts w:hint="eastAsia" w:ascii="Times New Roman" w:hAnsi="Times New Roman" w:eastAsia="宋体" w:cs="Times New Roman"/>
                <w:b/>
                <w:bCs/>
                <w:color w:val="auto"/>
                <w:spacing w:val="-3"/>
                <w:sz w:val="24"/>
                <w:szCs w:val="24"/>
                <w:lang w:val="en-US" w:eastAsia="zh-CN"/>
              </w:rPr>
              <w:t>物料平衡</w:t>
            </w:r>
          </w:p>
          <w:p w14:paraId="1BA669C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2" w:firstLine="468" w:firstLineChars="200"/>
              <w:textAlignment w:val="baseline"/>
              <w:rPr>
                <w:rFonts w:hint="default" w:ascii="Times New Roman" w:hAnsi="Times New Roman" w:eastAsia="宋体" w:cs="Times New Roman"/>
                <w:color w:val="auto"/>
                <w:spacing w:val="-3"/>
                <w:lang w:val="en-US" w:eastAsia="zh-CN"/>
              </w:rPr>
            </w:pPr>
            <w:r>
              <w:rPr>
                <w:rFonts w:hint="eastAsia" w:ascii="Times New Roman" w:hAnsi="Times New Roman" w:cs="Times New Roman"/>
                <w:color w:val="auto"/>
                <w:spacing w:val="-3"/>
                <w:lang w:eastAsia="zh-CN"/>
              </w:rPr>
              <w:t>（</w:t>
            </w:r>
            <w:r>
              <w:rPr>
                <w:rFonts w:hint="eastAsia" w:ascii="Times New Roman" w:hAnsi="Times New Roman" w:cs="Times New Roman"/>
                <w:color w:val="auto"/>
                <w:spacing w:val="-3"/>
                <w:lang w:val="en-US" w:eastAsia="zh-CN"/>
              </w:rPr>
              <w:t>1</w:t>
            </w:r>
            <w:r>
              <w:rPr>
                <w:rFonts w:hint="eastAsia" w:ascii="Times New Roman" w:hAnsi="Times New Roman" w:cs="Times New Roman"/>
                <w:color w:val="auto"/>
                <w:spacing w:val="-3"/>
                <w:lang w:eastAsia="zh-CN"/>
              </w:rPr>
              <w:t>）</w:t>
            </w:r>
            <w:r>
              <w:rPr>
                <w:rFonts w:hint="eastAsia" w:ascii="Times New Roman" w:hAnsi="Times New Roman" w:cs="Times New Roman"/>
                <w:color w:val="auto"/>
                <w:spacing w:val="-3"/>
                <w:lang w:val="en-US" w:eastAsia="zh-CN"/>
              </w:rPr>
              <w:t>砂石加工物料平衡</w:t>
            </w:r>
          </w:p>
          <w:p w14:paraId="49612013">
            <w:pPr>
              <w:pStyle w:val="2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imes New Roman" w:hAnsi="Times New Roman" w:cs="Times New Roman"/>
                <w:b/>
                <w:bCs/>
                <w:color w:val="auto"/>
                <w:spacing w:val="-3"/>
                <w:sz w:val="24"/>
                <w:szCs w:val="24"/>
                <w:lang w:val="en-US" w:eastAsia="zh-CN"/>
              </w:rPr>
            </w:pPr>
            <w:r>
              <w:rPr>
                <w:rFonts w:hint="eastAsia" w:ascii="Times New Roman" w:hAnsi="Times New Roman" w:cs="Times New Roman"/>
                <w:b/>
                <w:bCs/>
                <w:color w:val="auto"/>
                <w:spacing w:val="-3"/>
                <w:sz w:val="24"/>
                <w:szCs w:val="24"/>
                <w:lang w:val="en-US" w:eastAsia="zh-CN"/>
              </w:rPr>
              <w:t>表2-5 项目砂石加工物料平衡表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765"/>
              <w:gridCol w:w="1765"/>
              <w:gridCol w:w="1765"/>
              <w:gridCol w:w="1766"/>
            </w:tblGrid>
            <w:tr w14:paraId="33B9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9" w:type="dxa"/>
                  <w:vMerge w:val="restart"/>
                  <w:vAlign w:val="center"/>
                </w:tcPr>
                <w:p w14:paraId="19861D8B">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pacing w:val="-3"/>
                      <w:sz w:val="21"/>
                      <w:szCs w:val="21"/>
                      <w:vertAlign w:val="baseline"/>
                      <w:lang w:val="en-US" w:eastAsia="zh-CN"/>
                    </w:rPr>
                  </w:pPr>
                  <w:r>
                    <w:rPr>
                      <w:rFonts w:hint="eastAsia" w:ascii="Times New Roman" w:hAnsi="Times New Roman" w:cs="Times New Roman"/>
                      <w:b/>
                      <w:bCs/>
                      <w:color w:val="auto"/>
                      <w:spacing w:val="-3"/>
                      <w:sz w:val="21"/>
                      <w:szCs w:val="21"/>
                      <w:vertAlign w:val="baseline"/>
                      <w:lang w:val="en-US" w:eastAsia="zh-CN"/>
                    </w:rPr>
                    <w:t>序号</w:t>
                  </w:r>
                </w:p>
              </w:tc>
              <w:tc>
                <w:tcPr>
                  <w:tcW w:w="3530" w:type="dxa"/>
                  <w:gridSpan w:val="2"/>
                  <w:vAlign w:val="center"/>
                </w:tcPr>
                <w:p w14:paraId="216246A2">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pacing w:val="-3"/>
                      <w:sz w:val="21"/>
                      <w:szCs w:val="21"/>
                      <w:vertAlign w:val="baseline"/>
                      <w:lang w:val="en-US" w:eastAsia="zh-CN"/>
                    </w:rPr>
                  </w:pPr>
                  <w:r>
                    <w:rPr>
                      <w:rFonts w:hint="eastAsia" w:ascii="Times New Roman" w:hAnsi="Times New Roman" w:cs="Times New Roman"/>
                      <w:b/>
                      <w:bCs/>
                      <w:color w:val="auto"/>
                      <w:spacing w:val="-3"/>
                      <w:sz w:val="21"/>
                      <w:szCs w:val="21"/>
                      <w:vertAlign w:val="baseline"/>
                      <w:lang w:val="en-US" w:eastAsia="zh-CN"/>
                    </w:rPr>
                    <w:t>投入</w:t>
                  </w:r>
                </w:p>
              </w:tc>
              <w:tc>
                <w:tcPr>
                  <w:tcW w:w="3531" w:type="dxa"/>
                  <w:gridSpan w:val="2"/>
                  <w:vAlign w:val="center"/>
                </w:tcPr>
                <w:p w14:paraId="2993935D">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pacing w:val="-3"/>
                      <w:sz w:val="21"/>
                      <w:szCs w:val="21"/>
                      <w:vertAlign w:val="baseline"/>
                      <w:lang w:val="en-US" w:eastAsia="zh-CN"/>
                    </w:rPr>
                  </w:pPr>
                  <w:r>
                    <w:rPr>
                      <w:rFonts w:hint="eastAsia" w:ascii="Times New Roman" w:hAnsi="Times New Roman" w:cs="Times New Roman"/>
                      <w:b/>
                      <w:bCs/>
                      <w:color w:val="auto"/>
                      <w:spacing w:val="-3"/>
                      <w:sz w:val="21"/>
                      <w:szCs w:val="21"/>
                      <w:vertAlign w:val="baseline"/>
                      <w:lang w:val="en-US" w:eastAsia="zh-CN"/>
                    </w:rPr>
                    <w:t>产出</w:t>
                  </w:r>
                </w:p>
              </w:tc>
            </w:tr>
            <w:tr w14:paraId="0E1D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9" w:type="dxa"/>
                  <w:vMerge w:val="continue"/>
                  <w:vAlign w:val="center"/>
                </w:tcPr>
                <w:p w14:paraId="7AEAD499">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p>
              </w:tc>
              <w:tc>
                <w:tcPr>
                  <w:tcW w:w="1765" w:type="dxa"/>
                  <w:vAlign w:val="center"/>
                </w:tcPr>
                <w:p w14:paraId="33970E46">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bCs/>
                      <w:color w:val="auto"/>
                      <w:spacing w:val="-3"/>
                      <w:sz w:val="21"/>
                      <w:szCs w:val="21"/>
                      <w:vertAlign w:val="baseline"/>
                      <w:lang w:val="en-US" w:eastAsia="zh-CN"/>
                    </w:rPr>
                    <w:t>名称</w:t>
                  </w:r>
                </w:p>
              </w:tc>
              <w:tc>
                <w:tcPr>
                  <w:tcW w:w="1765" w:type="dxa"/>
                  <w:vAlign w:val="center"/>
                </w:tcPr>
                <w:p w14:paraId="5F05AD80">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bCs/>
                      <w:color w:val="auto"/>
                      <w:spacing w:val="-3"/>
                      <w:sz w:val="21"/>
                      <w:szCs w:val="21"/>
                      <w:vertAlign w:val="baseline"/>
                      <w:lang w:val="en-US" w:eastAsia="zh-CN"/>
                    </w:rPr>
                    <w:t>用量（t/a）</w:t>
                  </w:r>
                </w:p>
              </w:tc>
              <w:tc>
                <w:tcPr>
                  <w:tcW w:w="1765" w:type="dxa"/>
                  <w:vAlign w:val="center"/>
                </w:tcPr>
                <w:p w14:paraId="17D4AB24">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bCs/>
                      <w:color w:val="auto"/>
                      <w:spacing w:val="-3"/>
                      <w:sz w:val="21"/>
                      <w:szCs w:val="21"/>
                      <w:vertAlign w:val="baseline"/>
                      <w:lang w:val="en-US" w:eastAsia="zh-CN"/>
                    </w:rPr>
                    <w:t>名称</w:t>
                  </w:r>
                </w:p>
              </w:tc>
              <w:tc>
                <w:tcPr>
                  <w:tcW w:w="1766" w:type="dxa"/>
                  <w:vAlign w:val="center"/>
                </w:tcPr>
                <w:p w14:paraId="0443A740">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bCs/>
                      <w:color w:val="auto"/>
                      <w:spacing w:val="-3"/>
                      <w:sz w:val="21"/>
                      <w:szCs w:val="21"/>
                      <w:vertAlign w:val="baseline"/>
                      <w:lang w:val="en-US" w:eastAsia="zh-CN"/>
                    </w:rPr>
                    <w:t>产量（t/a）</w:t>
                  </w:r>
                </w:p>
              </w:tc>
            </w:tr>
            <w:tr w14:paraId="4503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9" w:type="dxa"/>
                  <w:vAlign w:val="center"/>
                </w:tcPr>
                <w:p w14:paraId="62127D99">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1</w:t>
                  </w:r>
                </w:p>
              </w:tc>
              <w:tc>
                <w:tcPr>
                  <w:tcW w:w="1765" w:type="dxa"/>
                  <w:vAlign w:val="center"/>
                </w:tcPr>
                <w:p w14:paraId="4835F0AF">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河卵石</w:t>
                  </w:r>
                </w:p>
              </w:tc>
              <w:tc>
                <w:tcPr>
                  <w:tcW w:w="1765" w:type="dxa"/>
                  <w:vAlign w:val="center"/>
                </w:tcPr>
                <w:p w14:paraId="2430A17A">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95136</w:t>
                  </w:r>
                </w:p>
              </w:tc>
              <w:tc>
                <w:tcPr>
                  <w:tcW w:w="1765" w:type="dxa"/>
                  <w:vAlign w:val="center"/>
                </w:tcPr>
                <w:p w14:paraId="11A08078">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细沙</w:t>
                  </w:r>
                </w:p>
              </w:tc>
              <w:tc>
                <w:tcPr>
                  <w:tcW w:w="1766" w:type="dxa"/>
                  <w:vAlign w:val="center"/>
                </w:tcPr>
                <w:p w14:paraId="009BC6DE">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41000</w:t>
                  </w:r>
                </w:p>
              </w:tc>
            </w:tr>
            <w:tr w14:paraId="2D1A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9" w:type="dxa"/>
                  <w:vAlign w:val="center"/>
                </w:tcPr>
                <w:p w14:paraId="564E6FF9">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2</w:t>
                  </w:r>
                </w:p>
              </w:tc>
              <w:tc>
                <w:tcPr>
                  <w:tcW w:w="1765" w:type="dxa"/>
                  <w:vAlign w:val="center"/>
                </w:tcPr>
                <w:p w14:paraId="6A431483">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pacing w:val="-3"/>
                      <w:sz w:val="21"/>
                      <w:szCs w:val="21"/>
                      <w:vertAlign w:val="baseline"/>
                      <w:lang w:val="en-US" w:eastAsia="zh-CN"/>
                    </w:rPr>
                  </w:pPr>
                </w:p>
              </w:tc>
              <w:tc>
                <w:tcPr>
                  <w:tcW w:w="1765" w:type="dxa"/>
                  <w:vAlign w:val="center"/>
                </w:tcPr>
                <w:p w14:paraId="020BBAD8">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pacing w:val="-3"/>
                      <w:sz w:val="21"/>
                      <w:szCs w:val="21"/>
                      <w:vertAlign w:val="baseline"/>
                      <w:lang w:val="en-US" w:eastAsia="zh-CN"/>
                    </w:rPr>
                  </w:pPr>
                </w:p>
              </w:tc>
              <w:tc>
                <w:tcPr>
                  <w:tcW w:w="1765" w:type="dxa"/>
                  <w:vAlign w:val="center"/>
                </w:tcPr>
                <w:p w14:paraId="70DCC3A3">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碎石</w:t>
                  </w:r>
                </w:p>
              </w:tc>
              <w:tc>
                <w:tcPr>
                  <w:tcW w:w="1766" w:type="dxa"/>
                  <w:vAlign w:val="center"/>
                </w:tcPr>
                <w:p w14:paraId="135875FF">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54000</w:t>
                  </w:r>
                </w:p>
              </w:tc>
            </w:tr>
            <w:tr w14:paraId="7364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9" w:type="dxa"/>
                  <w:vAlign w:val="center"/>
                </w:tcPr>
                <w:p w14:paraId="7A18AD42">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3</w:t>
                  </w:r>
                </w:p>
              </w:tc>
              <w:tc>
                <w:tcPr>
                  <w:tcW w:w="1765" w:type="dxa"/>
                  <w:vAlign w:val="center"/>
                </w:tcPr>
                <w:p w14:paraId="435922C3">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pacing w:val="-3"/>
                      <w:sz w:val="21"/>
                      <w:szCs w:val="21"/>
                      <w:vertAlign w:val="baseline"/>
                      <w:lang w:val="en-US" w:eastAsia="zh-CN"/>
                    </w:rPr>
                  </w:pPr>
                </w:p>
              </w:tc>
              <w:tc>
                <w:tcPr>
                  <w:tcW w:w="1765" w:type="dxa"/>
                  <w:vAlign w:val="center"/>
                </w:tcPr>
                <w:p w14:paraId="5D6D152E">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pacing w:val="-3"/>
                      <w:sz w:val="21"/>
                      <w:szCs w:val="21"/>
                      <w:vertAlign w:val="baseline"/>
                      <w:lang w:val="en-US" w:eastAsia="zh-CN"/>
                    </w:rPr>
                  </w:pPr>
                </w:p>
              </w:tc>
              <w:tc>
                <w:tcPr>
                  <w:tcW w:w="1765" w:type="dxa"/>
                  <w:vAlign w:val="center"/>
                </w:tcPr>
                <w:p w14:paraId="4CF13819">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废气（颗粒物）</w:t>
                  </w:r>
                </w:p>
              </w:tc>
              <w:tc>
                <w:tcPr>
                  <w:tcW w:w="1766" w:type="dxa"/>
                  <w:vAlign w:val="center"/>
                </w:tcPr>
                <w:p w14:paraId="133173E0">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7.135</w:t>
                  </w:r>
                </w:p>
              </w:tc>
            </w:tr>
            <w:tr w14:paraId="5F56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9" w:type="dxa"/>
                  <w:vAlign w:val="center"/>
                </w:tcPr>
                <w:p w14:paraId="09ED05A5">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4</w:t>
                  </w:r>
                </w:p>
              </w:tc>
              <w:tc>
                <w:tcPr>
                  <w:tcW w:w="1765" w:type="dxa"/>
                  <w:vAlign w:val="center"/>
                </w:tcPr>
                <w:p w14:paraId="1CDE3FAE">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pacing w:val="-3"/>
                      <w:sz w:val="21"/>
                      <w:szCs w:val="21"/>
                      <w:vertAlign w:val="baseline"/>
                      <w:lang w:val="en-US" w:eastAsia="zh-CN"/>
                    </w:rPr>
                  </w:pPr>
                </w:p>
              </w:tc>
              <w:tc>
                <w:tcPr>
                  <w:tcW w:w="1765" w:type="dxa"/>
                  <w:vAlign w:val="center"/>
                </w:tcPr>
                <w:p w14:paraId="6C50B4AE">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pacing w:val="-3"/>
                      <w:sz w:val="21"/>
                      <w:szCs w:val="21"/>
                      <w:vertAlign w:val="baseline"/>
                      <w:lang w:val="en-US" w:eastAsia="zh-CN"/>
                    </w:rPr>
                  </w:pPr>
                </w:p>
              </w:tc>
              <w:tc>
                <w:tcPr>
                  <w:tcW w:w="1765" w:type="dxa"/>
                  <w:vAlign w:val="center"/>
                </w:tcPr>
                <w:p w14:paraId="13DB31E8">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洗砂污泥</w:t>
                  </w:r>
                </w:p>
              </w:tc>
              <w:tc>
                <w:tcPr>
                  <w:tcW w:w="1766" w:type="dxa"/>
                  <w:vAlign w:val="center"/>
                </w:tcPr>
                <w:p w14:paraId="7965B0AE">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128.43</w:t>
                  </w:r>
                </w:p>
              </w:tc>
            </w:tr>
            <w:tr w14:paraId="24D0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9" w:type="dxa"/>
                  <w:vAlign w:val="center"/>
                </w:tcPr>
                <w:p w14:paraId="08679892">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5</w:t>
                  </w:r>
                </w:p>
              </w:tc>
              <w:tc>
                <w:tcPr>
                  <w:tcW w:w="1765" w:type="dxa"/>
                  <w:vAlign w:val="center"/>
                </w:tcPr>
                <w:p w14:paraId="00E554D7">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合计</w:t>
                  </w:r>
                </w:p>
              </w:tc>
              <w:tc>
                <w:tcPr>
                  <w:tcW w:w="1765" w:type="dxa"/>
                  <w:vAlign w:val="center"/>
                </w:tcPr>
                <w:p w14:paraId="4C3027AA">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95136</w:t>
                  </w:r>
                </w:p>
              </w:tc>
              <w:tc>
                <w:tcPr>
                  <w:tcW w:w="1765" w:type="dxa"/>
                  <w:vAlign w:val="center"/>
                </w:tcPr>
                <w:p w14:paraId="3EDF12CD">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合计</w:t>
                  </w:r>
                </w:p>
              </w:tc>
              <w:tc>
                <w:tcPr>
                  <w:tcW w:w="1766" w:type="dxa"/>
                  <w:vAlign w:val="center"/>
                </w:tcPr>
                <w:p w14:paraId="5315BD6B">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95136</w:t>
                  </w:r>
                </w:p>
              </w:tc>
            </w:tr>
          </w:tbl>
          <w:p w14:paraId="10B65E9F">
            <w:pPr>
              <w:pStyle w:val="2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102" w:firstLine="468" w:firstLineChars="200"/>
              <w:textAlignment w:val="baseline"/>
              <w:rPr>
                <w:rFonts w:hint="default" w:ascii="Times New Roman" w:hAnsi="Times New Roman" w:eastAsia="宋体" w:cs="Times New Roman"/>
                <w:color w:val="auto"/>
                <w:spacing w:val="-3"/>
                <w:lang w:val="en-US" w:eastAsia="zh-CN"/>
              </w:rPr>
            </w:pPr>
            <w:r>
              <w:rPr>
                <w:rFonts w:hint="eastAsia" w:ascii="Times New Roman" w:hAnsi="Times New Roman" w:cs="Times New Roman"/>
                <w:color w:val="auto"/>
                <w:spacing w:val="-3"/>
                <w:lang w:eastAsia="zh-CN"/>
              </w:rPr>
              <w:t>（</w:t>
            </w:r>
            <w:r>
              <w:rPr>
                <w:rFonts w:hint="eastAsia" w:ascii="Times New Roman" w:hAnsi="Times New Roman" w:cs="Times New Roman"/>
                <w:color w:val="auto"/>
                <w:spacing w:val="-3"/>
                <w:lang w:val="en-US" w:eastAsia="zh-CN"/>
              </w:rPr>
              <w:t>2</w:t>
            </w:r>
            <w:r>
              <w:rPr>
                <w:rFonts w:hint="eastAsia" w:ascii="Times New Roman" w:hAnsi="Times New Roman" w:cs="Times New Roman"/>
                <w:color w:val="auto"/>
                <w:spacing w:val="-3"/>
                <w:lang w:eastAsia="zh-CN"/>
              </w:rPr>
              <w:t>）</w:t>
            </w:r>
            <w:r>
              <w:rPr>
                <w:rFonts w:hint="eastAsia" w:ascii="Times New Roman" w:hAnsi="Times New Roman" w:cs="Times New Roman"/>
                <w:color w:val="auto"/>
                <w:spacing w:val="-3"/>
                <w:lang w:val="en-US" w:eastAsia="zh-CN"/>
              </w:rPr>
              <w:t>混凝土生产物料平衡</w:t>
            </w:r>
          </w:p>
          <w:p w14:paraId="7FC8CC47">
            <w:pPr>
              <w:pStyle w:val="2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imes New Roman" w:hAnsi="Times New Roman" w:cs="Times New Roman"/>
                <w:b/>
                <w:bCs/>
                <w:color w:val="auto"/>
                <w:spacing w:val="-3"/>
                <w:sz w:val="24"/>
                <w:szCs w:val="24"/>
                <w:lang w:val="en-US" w:eastAsia="zh-CN"/>
              </w:rPr>
            </w:pPr>
            <w:r>
              <w:rPr>
                <w:rFonts w:hint="eastAsia" w:ascii="Times New Roman" w:hAnsi="Times New Roman" w:cs="Times New Roman"/>
                <w:b/>
                <w:bCs/>
                <w:color w:val="auto"/>
                <w:spacing w:val="-3"/>
                <w:sz w:val="24"/>
                <w:szCs w:val="24"/>
                <w:lang w:val="en-US" w:eastAsia="zh-CN"/>
              </w:rPr>
              <w:t>表2-6 项目混凝土生产物料平衡表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765"/>
              <w:gridCol w:w="1765"/>
              <w:gridCol w:w="1765"/>
              <w:gridCol w:w="1766"/>
            </w:tblGrid>
            <w:tr w14:paraId="2DF9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9" w:type="dxa"/>
                  <w:vMerge w:val="restart"/>
                  <w:vAlign w:val="center"/>
                </w:tcPr>
                <w:p w14:paraId="2C47AB7D">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pacing w:val="-3"/>
                      <w:sz w:val="21"/>
                      <w:szCs w:val="21"/>
                      <w:vertAlign w:val="baseline"/>
                      <w:lang w:val="en-US" w:eastAsia="zh-CN"/>
                    </w:rPr>
                  </w:pPr>
                  <w:r>
                    <w:rPr>
                      <w:rFonts w:hint="eastAsia" w:ascii="Times New Roman" w:hAnsi="Times New Roman" w:cs="Times New Roman"/>
                      <w:b/>
                      <w:bCs/>
                      <w:color w:val="auto"/>
                      <w:spacing w:val="-3"/>
                      <w:sz w:val="21"/>
                      <w:szCs w:val="21"/>
                      <w:vertAlign w:val="baseline"/>
                      <w:lang w:val="en-US" w:eastAsia="zh-CN"/>
                    </w:rPr>
                    <w:t>序号</w:t>
                  </w:r>
                </w:p>
              </w:tc>
              <w:tc>
                <w:tcPr>
                  <w:tcW w:w="3530" w:type="dxa"/>
                  <w:gridSpan w:val="2"/>
                  <w:vAlign w:val="center"/>
                </w:tcPr>
                <w:p w14:paraId="17AED3F1">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pacing w:val="-3"/>
                      <w:sz w:val="21"/>
                      <w:szCs w:val="21"/>
                      <w:vertAlign w:val="baseline"/>
                      <w:lang w:val="en-US" w:eastAsia="zh-CN"/>
                    </w:rPr>
                  </w:pPr>
                  <w:r>
                    <w:rPr>
                      <w:rFonts w:hint="eastAsia" w:ascii="Times New Roman" w:hAnsi="Times New Roman" w:cs="Times New Roman"/>
                      <w:b/>
                      <w:bCs/>
                      <w:color w:val="auto"/>
                      <w:spacing w:val="-3"/>
                      <w:sz w:val="21"/>
                      <w:szCs w:val="21"/>
                      <w:vertAlign w:val="baseline"/>
                      <w:lang w:val="en-US" w:eastAsia="zh-CN"/>
                    </w:rPr>
                    <w:t>投入</w:t>
                  </w:r>
                </w:p>
              </w:tc>
              <w:tc>
                <w:tcPr>
                  <w:tcW w:w="3531" w:type="dxa"/>
                  <w:gridSpan w:val="2"/>
                  <w:vAlign w:val="center"/>
                </w:tcPr>
                <w:p w14:paraId="357C9CB5">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pacing w:val="-3"/>
                      <w:sz w:val="21"/>
                      <w:szCs w:val="21"/>
                      <w:vertAlign w:val="baseline"/>
                      <w:lang w:val="en-US" w:eastAsia="zh-CN"/>
                    </w:rPr>
                  </w:pPr>
                  <w:r>
                    <w:rPr>
                      <w:rFonts w:hint="eastAsia" w:ascii="Times New Roman" w:hAnsi="Times New Roman" w:cs="Times New Roman"/>
                      <w:b/>
                      <w:bCs/>
                      <w:color w:val="auto"/>
                      <w:spacing w:val="-3"/>
                      <w:sz w:val="21"/>
                      <w:szCs w:val="21"/>
                      <w:vertAlign w:val="baseline"/>
                      <w:lang w:val="en-US" w:eastAsia="zh-CN"/>
                    </w:rPr>
                    <w:t>产出</w:t>
                  </w:r>
                </w:p>
              </w:tc>
            </w:tr>
            <w:tr w14:paraId="194C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9" w:type="dxa"/>
                  <w:vMerge w:val="continue"/>
                  <w:vAlign w:val="center"/>
                </w:tcPr>
                <w:p w14:paraId="474E6B2E">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p>
              </w:tc>
              <w:tc>
                <w:tcPr>
                  <w:tcW w:w="1765" w:type="dxa"/>
                  <w:vAlign w:val="center"/>
                </w:tcPr>
                <w:p w14:paraId="3193D3A8">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bCs/>
                      <w:color w:val="auto"/>
                      <w:spacing w:val="-3"/>
                      <w:sz w:val="21"/>
                      <w:szCs w:val="21"/>
                      <w:vertAlign w:val="baseline"/>
                      <w:lang w:val="en-US" w:eastAsia="zh-CN"/>
                    </w:rPr>
                    <w:t>名称</w:t>
                  </w:r>
                </w:p>
              </w:tc>
              <w:tc>
                <w:tcPr>
                  <w:tcW w:w="1765" w:type="dxa"/>
                  <w:vAlign w:val="center"/>
                </w:tcPr>
                <w:p w14:paraId="09BFFE51">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bCs/>
                      <w:color w:val="auto"/>
                      <w:spacing w:val="-3"/>
                      <w:sz w:val="21"/>
                      <w:szCs w:val="21"/>
                      <w:vertAlign w:val="baseline"/>
                      <w:lang w:val="en-US" w:eastAsia="zh-CN"/>
                    </w:rPr>
                    <w:t>用量（t/a）</w:t>
                  </w:r>
                </w:p>
              </w:tc>
              <w:tc>
                <w:tcPr>
                  <w:tcW w:w="1765" w:type="dxa"/>
                  <w:vAlign w:val="center"/>
                </w:tcPr>
                <w:p w14:paraId="66276D3A">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bCs/>
                      <w:color w:val="auto"/>
                      <w:spacing w:val="-3"/>
                      <w:sz w:val="21"/>
                      <w:szCs w:val="21"/>
                      <w:vertAlign w:val="baseline"/>
                      <w:lang w:val="en-US" w:eastAsia="zh-CN"/>
                    </w:rPr>
                    <w:t>名称</w:t>
                  </w:r>
                </w:p>
              </w:tc>
              <w:tc>
                <w:tcPr>
                  <w:tcW w:w="1766" w:type="dxa"/>
                  <w:vAlign w:val="center"/>
                </w:tcPr>
                <w:p w14:paraId="3DF2ED5B">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bCs/>
                      <w:color w:val="auto"/>
                      <w:spacing w:val="-3"/>
                      <w:sz w:val="21"/>
                      <w:szCs w:val="21"/>
                      <w:vertAlign w:val="baseline"/>
                      <w:lang w:val="en-US" w:eastAsia="zh-CN"/>
                    </w:rPr>
                    <w:t>产量（t/a）</w:t>
                  </w:r>
                </w:p>
              </w:tc>
            </w:tr>
            <w:tr w14:paraId="3D16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9" w:type="dxa"/>
                  <w:vAlign w:val="center"/>
                </w:tcPr>
                <w:p w14:paraId="47A59598">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1</w:t>
                  </w:r>
                </w:p>
              </w:tc>
              <w:tc>
                <w:tcPr>
                  <w:tcW w:w="1765" w:type="dxa"/>
                  <w:vAlign w:val="center"/>
                </w:tcPr>
                <w:p w14:paraId="12F4E0E7">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水泥</w:t>
                  </w:r>
                </w:p>
              </w:tc>
              <w:tc>
                <w:tcPr>
                  <w:tcW w:w="1765" w:type="dxa"/>
                  <w:vAlign w:val="center"/>
                </w:tcPr>
                <w:p w14:paraId="5E3AC72C">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13990</w:t>
                  </w:r>
                </w:p>
              </w:tc>
              <w:tc>
                <w:tcPr>
                  <w:tcW w:w="1765" w:type="dxa"/>
                  <w:vAlign w:val="center"/>
                </w:tcPr>
                <w:p w14:paraId="4F184586">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default" w:ascii="Times New Roman" w:hAnsi="Times New Roman" w:cs="Times New Roman"/>
                      <w:color w:val="auto"/>
                      <w:spacing w:val="6"/>
                      <w:sz w:val="21"/>
                      <w:szCs w:val="21"/>
                    </w:rPr>
                    <w:t>商品水泥混凝土</w:t>
                  </w:r>
                </w:p>
              </w:tc>
              <w:tc>
                <w:tcPr>
                  <w:tcW w:w="1766" w:type="dxa"/>
                  <w:vAlign w:val="center"/>
                </w:tcPr>
                <w:p w14:paraId="1F7AC975">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default" w:ascii="Times New Roman" w:hAnsi="Times New Roman" w:cs="Times New Roman"/>
                      <w:b w:val="0"/>
                      <w:bCs w:val="0"/>
                      <w:color w:val="auto"/>
                      <w:spacing w:val="-3"/>
                      <w:sz w:val="21"/>
                      <w:szCs w:val="21"/>
                      <w:vertAlign w:val="baseline"/>
                      <w:lang w:val="en-US" w:eastAsia="zh-CN"/>
                    </w:rPr>
                    <w:t>119984.178</w:t>
                  </w:r>
                </w:p>
              </w:tc>
            </w:tr>
            <w:tr w14:paraId="1B9F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9" w:type="dxa"/>
                  <w:vAlign w:val="center"/>
                </w:tcPr>
                <w:p w14:paraId="2221617A">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2</w:t>
                  </w:r>
                </w:p>
              </w:tc>
              <w:tc>
                <w:tcPr>
                  <w:tcW w:w="1765" w:type="dxa"/>
                  <w:vAlign w:val="center"/>
                </w:tcPr>
                <w:p w14:paraId="1B7AE014">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粉煤灰</w:t>
                  </w:r>
                </w:p>
              </w:tc>
              <w:tc>
                <w:tcPr>
                  <w:tcW w:w="1765" w:type="dxa"/>
                  <w:vAlign w:val="center"/>
                </w:tcPr>
                <w:p w14:paraId="658E976F">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3500</w:t>
                  </w:r>
                </w:p>
              </w:tc>
              <w:tc>
                <w:tcPr>
                  <w:tcW w:w="1765" w:type="dxa"/>
                  <w:vAlign w:val="center"/>
                </w:tcPr>
                <w:p w14:paraId="29F1D85D">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废气（颗粒物）</w:t>
                  </w:r>
                </w:p>
              </w:tc>
              <w:tc>
                <w:tcPr>
                  <w:tcW w:w="1766" w:type="dxa"/>
                  <w:vAlign w:val="center"/>
                </w:tcPr>
                <w:p w14:paraId="3A2A28F6">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0.472</w:t>
                  </w:r>
                </w:p>
              </w:tc>
            </w:tr>
            <w:tr w14:paraId="5BE8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9" w:type="dxa"/>
                  <w:vAlign w:val="center"/>
                </w:tcPr>
                <w:p w14:paraId="1EEBA4EE">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3</w:t>
                  </w:r>
                </w:p>
              </w:tc>
              <w:tc>
                <w:tcPr>
                  <w:tcW w:w="1765" w:type="dxa"/>
                  <w:vAlign w:val="center"/>
                </w:tcPr>
                <w:p w14:paraId="5EC91AAC">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细沙</w:t>
                  </w:r>
                </w:p>
              </w:tc>
              <w:tc>
                <w:tcPr>
                  <w:tcW w:w="1765" w:type="dxa"/>
                  <w:vAlign w:val="center"/>
                </w:tcPr>
                <w:p w14:paraId="22763CCB">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41000</w:t>
                  </w:r>
                </w:p>
              </w:tc>
              <w:tc>
                <w:tcPr>
                  <w:tcW w:w="1765" w:type="dxa"/>
                  <w:vAlign w:val="center"/>
                </w:tcPr>
                <w:p w14:paraId="48266C16">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设备、车辆清洗污泥</w:t>
                  </w:r>
                </w:p>
              </w:tc>
              <w:tc>
                <w:tcPr>
                  <w:tcW w:w="1766" w:type="dxa"/>
                  <w:vAlign w:val="center"/>
                </w:tcPr>
                <w:p w14:paraId="2313E9A3">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15.35</w:t>
                  </w:r>
                </w:p>
              </w:tc>
            </w:tr>
            <w:tr w14:paraId="1EA1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9" w:type="dxa"/>
                  <w:vAlign w:val="center"/>
                </w:tcPr>
                <w:p w14:paraId="0D55C5E9">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4</w:t>
                  </w:r>
                </w:p>
              </w:tc>
              <w:tc>
                <w:tcPr>
                  <w:tcW w:w="1765" w:type="dxa"/>
                  <w:vAlign w:val="center"/>
                </w:tcPr>
                <w:p w14:paraId="3F63CC7A">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碎石</w:t>
                  </w:r>
                </w:p>
              </w:tc>
              <w:tc>
                <w:tcPr>
                  <w:tcW w:w="1765" w:type="dxa"/>
                  <w:vAlign w:val="center"/>
                </w:tcPr>
                <w:p w14:paraId="62CD8587">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54000</w:t>
                  </w:r>
                </w:p>
              </w:tc>
              <w:tc>
                <w:tcPr>
                  <w:tcW w:w="1765" w:type="dxa"/>
                  <w:vAlign w:val="center"/>
                </w:tcPr>
                <w:p w14:paraId="23A1803B">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pacing w:val="-3"/>
                      <w:sz w:val="21"/>
                      <w:szCs w:val="21"/>
                      <w:vertAlign w:val="baseline"/>
                      <w:lang w:val="en-US" w:eastAsia="zh-CN"/>
                    </w:rPr>
                  </w:pPr>
                </w:p>
              </w:tc>
              <w:tc>
                <w:tcPr>
                  <w:tcW w:w="1766" w:type="dxa"/>
                  <w:vAlign w:val="center"/>
                </w:tcPr>
                <w:p w14:paraId="33A11C0E">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pacing w:val="-3"/>
                      <w:sz w:val="21"/>
                      <w:szCs w:val="21"/>
                      <w:vertAlign w:val="baseline"/>
                      <w:lang w:val="en-US" w:eastAsia="zh-CN"/>
                    </w:rPr>
                  </w:pPr>
                </w:p>
              </w:tc>
            </w:tr>
            <w:tr w14:paraId="1487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9" w:type="dxa"/>
                  <w:vAlign w:val="center"/>
                </w:tcPr>
                <w:p w14:paraId="20BB74E1">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5</w:t>
                  </w:r>
                </w:p>
              </w:tc>
              <w:tc>
                <w:tcPr>
                  <w:tcW w:w="1765" w:type="dxa"/>
                  <w:vAlign w:val="center"/>
                </w:tcPr>
                <w:p w14:paraId="31A6F129">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pacing w:val="-3"/>
                      <w:sz w:val="21"/>
                      <w:szCs w:val="21"/>
                      <w:vertAlign w:val="baseline"/>
                      <w:lang w:val="en-US" w:eastAsia="zh-CN"/>
                    </w:rPr>
                  </w:pPr>
                  <w:r>
                    <w:rPr>
                      <w:rFonts w:hint="eastAsia" w:ascii="Times New Roman" w:hAnsi="Times New Roman" w:eastAsia="宋体" w:cs="Times New Roman"/>
                      <w:b w:val="0"/>
                      <w:bCs w:val="0"/>
                      <w:color w:val="auto"/>
                      <w:spacing w:val="-3"/>
                      <w:sz w:val="21"/>
                      <w:szCs w:val="21"/>
                      <w:vertAlign w:val="baseline"/>
                      <w:lang w:val="en-US" w:eastAsia="zh-CN"/>
                    </w:rPr>
                    <w:t>外加剂</w:t>
                  </w:r>
                </w:p>
              </w:tc>
              <w:tc>
                <w:tcPr>
                  <w:tcW w:w="1765" w:type="dxa"/>
                  <w:vAlign w:val="center"/>
                </w:tcPr>
                <w:p w14:paraId="54856093">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10</w:t>
                  </w:r>
                </w:p>
              </w:tc>
              <w:tc>
                <w:tcPr>
                  <w:tcW w:w="1765" w:type="dxa"/>
                  <w:vAlign w:val="center"/>
                </w:tcPr>
                <w:p w14:paraId="3D1ABA7B">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p>
              </w:tc>
              <w:tc>
                <w:tcPr>
                  <w:tcW w:w="1766" w:type="dxa"/>
                  <w:vAlign w:val="center"/>
                </w:tcPr>
                <w:p w14:paraId="5B2E158D">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p>
              </w:tc>
            </w:tr>
            <w:tr w14:paraId="7B31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9" w:type="dxa"/>
                  <w:vAlign w:val="center"/>
                </w:tcPr>
                <w:p w14:paraId="01A9988B">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6</w:t>
                  </w:r>
                </w:p>
              </w:tc>
              <w:tc>
                <w:tcPr>
                  <w:tcW w:w="1765" w:type="dxa"/>
                  <w:vAlign w:val="center"/>
                </w:tcPr>
                <w:p w14:paraId="618ACC00">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水</w:t>
                  </w:r>
                </w:p>
              </w:tc>
              <w:tc>
                <w:tcPr>
                  <w:tcW w:w="1765" w:type="dxa"/>
                  <w:vAlign w:val="center"/>
                </w:tcPr>
                <w:p w14:paraId="127E685A">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7500</w:t>
                  </w:r>
                </w:p>
              </w:tc>
              <w:tc>
                <w:tcPr>
                  <w:tcW w:w="1765" w:type="dxa"/>
                  <w:vAlign w:val="center"/>
                </w:tcPr>
                <w:p w14:paraId="35AFC928">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p>
              </w:tc>
              <w:tc>
                <w:tcPr>
                  <w:tcW w:w="1766" w:type="dxa"/>
                  <w:vAlign w:val="center"/>
                </w:tcPr>
                <w:p w14:paraId="7AB89344">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p>
              </w:tc>
            </w:tr>
            <w:tr w14:paraId="141D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9" w:type="dxa"/>
                  <w:vAlign w:val="center"/>
                </w:tcPr>
                <w:p w14:paraId="3DFA046C">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7</w:t>
                  </w:r>
                </w:p>
              </w:tc>
              <w:tc>
                <w:tcPr>
                  <w:tcW w:w="1765" w:type="dxa"/>
                  <w:vAlign w:val="center"/>
                </w:tcPr>
                <w:p w14:paraId="7B375BAA">
                  <w:pPr>
                    <w:keepNext w:val="0"/>
                    <w:keepLines w:val="0"/>
                    <w:pageBreakBefore w:val="0"/>
                    <w:widowControl/>
                    <w:tabs>
                      <w:tab w:val="left" w:pos="635"/>
                    </w:tabs>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合计</w:t>
                  </w:r>
                </w:p>
              </w:tc>
              <w:tc>
                <w:tcPr>
                  <w:tcW w:w="1765" w:type="dxa"/>
                  <w:vAlign w:val="center"/>
                </w:tcPr>
                <w:p w14:paraId="614063C1">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120000</w:t>
                  </w:r>
                </w:p>
              </w:tc>
              <w:tc>
                <w:tcPr>
                  <w:tcW w:w="1765" w:type="dxa"/>
                  <w:vAlign w:val="center"/>
                </w:tcPr>
                <w:p w14:paraId="0E6376D6">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合计</w:t>
                  </w:r>
                </w:p>
              </w:tc>
              <w:tc>
                <w:tcPr>
                  <w:tcW w:w="1766" w:type="dxa"/>
                  <w:vAlign w:val="center"/>
                </w:tcPr>
                <w:p w14:paraId="61637815">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pacing w:val="-3"/>
                      <w:sz w:val="21"/>
                      <w:szCs w:val="21"/>
                      <w:vertAlign w:val="baseline"/>
                      <w:lang w:val="en-US" w:eastAsia="zh-CN"/>
                    </w:rPr>
                  </w:pPr>
                  <w:r>
                    <w:rPr>
                      <w:rFonts w:hint="eastAsia" w:ascii="Times New Roman" w:hAnsi="Times New Roman" w:cs="Times New Roman"/>
                      <w:b w:val="0"/>
                      <w:bCs w:val="0"/>
                      <w:color w:val="auto"/>
                      <w:spacing w:val="-3"/>
                      <w:sz w:val="21"/>
                      <w:szCs w:val="21"/>
                      <w:vertAlign w:val="baseline"/>
                      <w:lang w:val="en-US" w:eastAsia="zh-CN"/>
                    </w:rPr>
                    <w:t>120000</w:t>
                  </w:r>
                </w:p>
              </w:tc>
            </w:tr>
          </w:tbl>
          <w:p w14:paraId="1E6BB368">
            <w:pPr>
              <w:pStyle w:val="2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590"/>
              <w:textAlignment w:val="baseline"/>
              <w:rPr>
                <w:rFonts w:hint="default" w:ascii="Times New Roman" w:hAnsi="Times New Roman" w:eastAsia="宋体" w:cs="Times New Roman"/>
                <w:color w:val="auto"/>
                <w:sz w:val="24"/>
                <w:szCs w:val="24"/>
              </w:rPr>
            </w:pPr>
            <w:r>
              <w:rPr>
                <w:rFonts w:hint="eastAsia" w:ascii="Times New Roman" w:hAnsi="Times New Roman" w:cs="Times New Roman"/>
                <w:b/>
                <w:bCs/>
                <w:color w:val="auto"/>
                <w:spacing w:val="-3"/>
                <w:sz w:val="24"/>
                <w:szCs w:val="24"/>
                <w:lang w:val="en-US" w:eastAsia="zh-CN"/>
              </w:rPr>
              <w:t>6</w:t>
            </w:r>
            <w:r>
              <w:rPr>
                <w:rFonts w:hint="default" w:ascii="Times New Roman" w:hAnsi="Times New Roman" w:eastAsia="宋体" w:cs="Times New Roman"/>
                <w:b/>
                <w:bCs/>
                <w:color w:val="auto"/>
                <w:spacing w:val="-3"/>
                <w:sz w:val="24"/>
                <w:szCs w:val="24"/>
              </w:rPr>
              <w:t>、公用工程</w:t>
            </w:r>
          </w:p>
          <w:p w14:paraId="00CD513E">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601"/>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4"/>
                <w:sz w:val="24"/>
                <w:szCs w:val="24"/>
              </w:rPr>
              <w:t>（1）给排水</w:t>
            </w:r>
          </w:p>
          <w:p w14:paraId="6D4C07FB">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608"/>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8"/>
                <w:sz w:val="24"/>
                <w:szCs w:val="24"/>
              </w:rPr>
              <w:t>1）给水</w:t>
            </w:r>
          </w:p>
          <w:p w14:paraId="2849260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1" w:right="41" w:firstLine="477"/>
              <w:textAlignment w:val="baseline"/>
              <w:rPr>
                <w:rFonts w:hint="default" w:ascii="Times New Roman" w:hAnsi="Times New Roman" w:eastAsia="宋体" w:cs="Times New Roman"/>
                <w:color w:val="auto"/>
                <w:spacing w:val="-9"/>
                <w:sz w:val="24"/>
                <w:szCs w:val="24"/>
              </w:rPr>
            </w:pPr>
            <w:r>
              <w:rPr>
                <w:rFonts w:hint="default" w:ascii="Times New Roman" w:hAnsi="Times New Roman" w:eastAsia="宋体" w:cs="Times New Roman"/>
                <w:color w:val="auto"/>
                <w:spacing w:val="-1"/>
                <w:sz w:val="24"/>
                <w:szCs w:val="24"/>
              </w:rPr>
              <w:t>本项目</w:t>
            </w:r>
            <w:r>
              <w:rPr>
                <w:rFonts w:hint="eastAsia" w:ascii="Times New Roman" w:hAnsi="Times New Roman" w:eastAsia="宋体" w:cs="Times New Roman"/>
                <w:color w:val="auto"/>
                <w:spacing w:val="-1"/>
                <w:sz w:val="24"/>
                <w:szCs w:val="24"/>
                <w:lang w:val="en-US" w:eastAsia="zh-CN"/>
              </w:rPr>
              <w:t>用水由市政给水管网供给</w:t>
            </w:r>
            <w:r>
              <w:rPr>
                <w:rFonts w:hint="default" w:ascii="Times New Roman" w:hAnsi="Times New Roman" w:eastAsia="宋体" w:cs="Times New Roman"/>
                <w:color w:val="auto"/>
                <w:spacing w:val="-1"/>
                <w:sz w:val="24"/>
                <w:szCs w:val="24"/>
              </w:rPr>
              <w:t>。</w:t>
            </w:r>
          </w:p>
          <w:p w14:paraId="61D2E2CB">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41" w:firstLine="444" w:firstLineChars="200"/>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9"/>
                <w:sz w:val="24"/>
                <w:szCs w:val="24"/>
              </w:rPr>
              <w:t>①生活用水：</w:t>
            </w:r>
            <w:r>
              <w:rPr>
                <w:rFonts w:hint="eastAsia" w:ascii="Times New Roman" w:hAnsi="Times New Roman" w:eastAsia="宋体" w:cs="Times New Roman"/>
                <w:color w:val="auto"/>
                <w:spacing w:val="-9"/>
                <w:sz w:val="24"/>
                <w:szCs w:val="24"/>
                <w:lang w:val="en-US" w:eastAsia="zh-CN"/>
              </w:rPr>
              <w:t>项目员工11人，</w:t>
            </w:r>
            <w:r>
              <w:rPr>
                <w:rFonts w:hint="default" w:ascii="Times New Roman" w:hAnsi="Times New Roman" w:eastAsia="宋体" w:cs="Times New Roman"/>
                <w:color w:val="auto"/>
                <w:spacing w:val="-9"/>
                <w:sz w:val="24"/>
                <w:szCs w:val="24"/>
              </w:rPr>
              <w:t>厂区</w:t>
            </w:r>
            <w:r>
              <w:rPr>
                <w:rFonts w:hint="eastAsia" w:ascii="Times New Roman" w:hAnsi="Times New Roman" w:eastAsia="宋体" w:cs="Times New Roman"/>
                <w:color w:val="auto"/>
                <w:spacing w:val="-9"/>
                <w:sz w:val="24"/>
                <w:szCs w:val="24"/>
                <w:lang w:val="en-US" w:eastAsia="zh-CN"/>
              </w:rPr>
              <w:t>不</w:t>
            </w:r>
            <w:r>
              <w:rPr>
                <w:rFonts w:hint="default" w:ascii="Times New Roman" w:hAnsi="Times New Roman" w:eastAsia="宋体" w:cs="Times New Roman"/>
                <w:color w:val="auto"/>
                <w:spacing w:val="-9"/>
                <w:sz w:val="24"/>
                <w:szCs w:val="24"/>
              </w:rPr>
              <w:t>设</w:t>
            </w:r>
            <w:r>
              <w:rPr>
                <w:rFonts w:hint="eastAsia" w:ascii="Times New Roman" w:hAnsi="Times New Roman" w:eastAsia="宋体" w:cs="Times New Roman"/>
                <w:color w:val="auto"/>
                <w:spacing w:val="-9"/>
                <w:sz w:val="24"/>
                <w:szCs w:val="24"/>
                <w:lang w:val="en-US" w:eastAsia="zh-CN"/>
              </w:rPr>
              <w:t>食宿</w:t>
            </w:r>
            <w:r>
              <w:rPr>
                <w:rFonts w:hint="default" w:ascii="Times New Roman" w:hAnsi="Times New Roman" w:eastAsia="宋体" w:cs="Times New Roman"/>
                <w:color w:val="auto"/>
                <w:spacing w:val="-9"/>
                <w:sz w:val="24"/>
                <w:szCs w:val="24"/>
              </w:rPr>
              <w:t>，参照广东省地方标准《用</w:t>
            </w:r>
            <w:r>
              <w:rPr>
                <w:rFonts w:hint="default" w:ascii="Times New Roman" w:hAnsi="Times New Roman" w:eastAsia="宋体" w:cs="Times New Roman"/>
                <w:color w:val="auto"/>
                <w:spacing w:val="-10"/>
                <w:sz w:val="24"/>
                <w:szCs w:val="24"/>
              </w:rPr>
              <w:t>水定额 第</w:t>
            </w:r>
            <w:r>
              <w:rPr>
                <w:rFonts w:hint="default" w:ascii="Times New Roman" w:hAnsi="Times New Roman" w:eastAsia="宋体" w:cs="Times New Roman"/>
                <w:color w:val="auto"/>
                <w:spacing w:val="-51"/>
                <w:sz w:val="24"/>
                <w:szCs w:val="24"/>
              </w:rPr>
              <w:t xml:space="preserve"> </w:t>
            </w:r>
            <w:r>
              <w:rPr>
                <w:rFonts w:hint="default" w:ascii="Times New Roman" w:hAnsi="Times New Roman" w:eastAsia="宋体" w:cs="Times New Roman"/>
                <w:color w:val="auto"/>
                <w:spacing w:val="-10"/>
                <w:sz w:val="24"/>
                <w:szCs w:val="24"/>
              </w:rPr>
              <w:t>3</w:t>
            </w:r>
            <w:r>
              <w:rPr>
                <w:rFonts w:hint="default" w:ascii="Times New Roman" w:hAnsi="Times New Roman" w:eastAsia="宋体" w:cs="Times New Roman"/>
                <w:color w:val="auto"/>
                <w:spacing w:val="13"/>
                <w:sz w:val="24"/>
                <w:szCs w:val="24"/>
              </w:rPr>
              <w:t xml:space="preserve"> </w:t>
            </w:r>
            <w:r>
              <w:rPr>
                <w:rFonts w:hint="default" w:ascii="Times New Roman" w:hAnsi="Times New Roman" w:eastAsia="宋体" w:cs="Times New Roman"/>
                <w:color w:val="auto"/>
                <w:spacing w:val="-10"/>
                <w:sz w:val="24"/>
                <w:szCs w:val="24"/>
              </w:rPr>
              <w:t>部分：</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7"/>
                <w:sz w:val="24"/>
                <w:szCs w:val="24"/>
              </w:rPr>
              <w:t>生活》（DB44/T1461.3-2021</w:t>
            </w:r>
            <w:r>
              <w:rPr>
                <w:rFonts w:hint="default" w:ascii="Times New Roman" w:hAnsi="Times New Roman" w:eastAsia="宋体" w:cs="Times New Roman"/>
                <w:color w:val="auto"/>
                <w:spacing w:val="-59"/>
                <w:sz w:val="24"/>
                <w:szCs w:val="24"/>
              </w:rPr>
              <w:t>），</w:t>
            </w:r>
            <w:r>
              <w:rPr>
                <w:rFonts w:hint="default" w:ascii="Times New Roman" w:hAnsi="Times New Roman" w:eastAsia="宋体" w:cs="Times New Roman"/>
                <w:color w:val="auto"/>
                <w:spacing w:val="-7"/>
                <w:sz w:val="24"/>
                <w:szCs w:val="24"/>
              </w:rPr>
              <w:t>生活用水定额按</w:t>
            </w:r>
            <w:r>
              <w:rPr>
                <w:rFonts w:hint="default" w:ascii="Times New Roman" w:hAnsi="Times New Roman" w:eastAsia="宋体" w:cs="Times New Roman"/>
                <w:color w:val="auto"/>
                <w:spacing w:val="-32"/>
                <w:sz w:val="24"/>
                <w:szCs w:val="24"/>
              </w:rPr>
              <w:t xml:space="preserve"> </w:t>
            </w:r>
            <w:r>
              <w:rPr>
                <w:rFonts w:hint="eastAsia" w:ascii="Times New Roman" w:hAnsi="Times New Roman" w:cs="Times New Roman"/>
                <w:color w:val="auto"/>
                <w:spacing w:val="-7"/>
                <w:sz w:val="24"/>
                <w:szCs w:val="24"/>
                <w:lang w:val="en-US" w:eastAsia="zh-CN"/>
              </w:rPr>
              <w:t>10</w:t>
            </w:r>
            <w:r>
              <w:rPr>
                <w:rFonts w:hint="default" w:ascii="Times New Roman" w:hAnsi="Times New Roman" w:eastAsia="宋体" w:cs="Times New Roman"/>
                <w:color w:val="auto"/>
                <w:spacing w:val="-7"/>
                <w:sz w:val="24"/>
                <w:szCs w:val="24"/>
              </w:rPr>
              <w:t>m</w:t>
            </w:r>
            <w:r>
              <w:rPr>
                <w:rFonts w:hint="eastAsia" w:ascii="Times New Roman" w:hAnsi="Times New Roman" w:eastAsia="宋体" w:cs="Times New Roman"/>
                <w:color w:val="auto"/>
                <w:spacing w:val="-7"/>
                <w:sz w:val="24"/>
                <w:szCs w:val="24"/>
                <w:vertAlign w:val="superscript"/>
                <w:lang w:val="en-US" w:eastAsia="zh-CN"/>
              </w:rPr>
              <w:t>3</w:t>
            </w:r>
            <w:r>
              <w:rPr>
                <w:rFonts w:hint="default" w:ascii="Times New Roman" w:hAnsi="Times New Roman" w:eastAsia="宋体" w:cs="Times New Roman"/>
                <w:color w:val="auto"/>
                <w:spacing w:val="-7"/>
                <w:sz w:val="24"/>
                <w:szCs w:val="24"/>
              </w:rPr>
              <w:t>/人·a，项目年生产</w:t>
            </w:r>
            <w:r>
              <w:rPr>
                <w:rFonts w:hint="eastAsia" w:ascii="Times New Roman" w:hAnsi="Times New Roman" w:eastAsia="宋体" w:cs="Times New Roman"/>
                <w:color w:val="auto"/>
                <w:spacing w:val="-7"/>
                <w:sz w:val="24"/>
                <w:szCs w:val="24"/>
                <w:lang w:val="en-US" w:eastAsia="zh-CN"/>
              </w:rPr>
              <w:t>312天</w:t>
            </w:r>
            <w:r>
              <w:rPr>
                <w:rFonts w:hint="default" w:ascii="Times New Roman" w:hAnsi="Times New Roman" w:eastAsia="宋体" w:cs="Times New Roman"/>
                <w:color w:val="auto"/>
                <w:spacing w:val="-7"/>
                <w:sz w:val="24"/>
                <w:szCs w:val="24"/>
              </w:rPr>
              <w:t>，</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1"/>
                <w:sz w:val="24"/>
                <w:szCs w:val="24"/>
              </w:rPr>
              <w:t>则员工办公生活用水量为</w:t>
            </w:r>
            <w:r>
              <w:rPr>
                <w:rFonts w:hint="default" w:ascii="Times New Roman" w:hAnsi="Times New Roman" w:eastAsia="宋体" w:cs="Times New Roman"/>
                <w:color w:val="auto"/>
                <w:spacing w:val="-50"/>
                <w:sz w:val="24"/>
                <w:szCs w:val="24"/>
              </w:rPr>
              <w:t xml:space="preserve"> </w:t>
            </w:r>
            <w:r>
              <w:rPr>
                <w:rFonts w:hint="eastAsia" w:ascii="Times New Roman" w:hAnsi="Times New Roman" w:cs="Times New Roman"/>
                <w:color w:val="auto"/>
                <w:spacing w:val="-1"/>
                <w:sz w:val="24"/>
                <w:szCs w:val="24"/>
                <w:lang w:val="en-US" w:eastAsia="zh-CN"/>
              </w:rPr>
              <w:t>110</w:t>
            </w:r>
            <w:r>
              <w:rPr>
                <w:rFonts w:hint="default" w:ascii="Times New Roman" w:hAnsi="Times New Roman" w:eastAsia="宋体" w:cs="Times New Roman"/>
                <w:color w:val="auto"/>
                <w:spacing w:val="-7"/>
                <w:sz w:val="24"/>
                <w:szCs w:val="24"/>
              </w:rPr>
              <w:t>m</w:t>
            </w:r>
            <w:r>
              <w:rPr>
                <w:rFonts w:hint="eastAsia" w:ascii="Times New Roman" w:hAnsi="Times New Roman" w:eastAsia="宋体" w:cs="Times New Roman"/>
                <w:color w:val="auto"/>
                <w:spacing w:val="-7"/>
                <w:sz w:val="24"/>
                <w:szCs w:val="24"/>
                <w:vertAlign w:val="superscript"/>
                <w:lang w:val="en-US" w:eastAsia="zh-CN"/>
              </w:rPr>
              <w:t>3</w:t>
            </w:r>
            <w:r>
              <w:rPr>
                <w:rFonts w:hint="default" w:ascii="Times New Roman" w:hAnsi="Times New Roman" w:eastAsia="宋体" w:cs="Times New Roman"/>
                <w:color w:val="auto"/>
                <w:spacing w:val="-1"/>
                <w:sz w:val="24"/>
                <w:szCs w:val="24"/>
              </w:rPr>
              <w:t>/a（</w:t>
            </w:r>
            <w:r>
              <w:rPr>
                <w:rFonts w:hint="eastAsia" w:ascii="Times New Roman" w:hAnsi="Times New Roman" w:eastAsia="宋体" w:cs="Times New Roman"/>
                <w:color w:val="auto"/>
                <w:spacing w:val="-1"/>
                <w:sz w:val="24"/>
                <w:szCs w:val="24"/>
                <w:lang w:val="en-US" w:eastAsia="zh-CN"/>
              </w:rPr>
              <w:t>0.</w:t>
            </w:r>
            <w:r>
              <w:rPr>
                <w:rFonts w:hint="eastAsia" w:ascii="Times New Roman" w:hAnsi="Times New Roman" w:cs="Times New Roman"/>
                <w:color w:val="auto"/>
                <w:spacing w:val="-1"/>
                <w:sz w:val="24"/>
                <w:szCs w:val="24"/>
                <w:lang w:val="en-US" w:eastAsia="zh-CN"/>
              </w:rPr>
              <w:t>35</w:t>
            </w:r>
            <w:r>
              <w:rPr>
                <w:rFonts w:hint="default" w:ascii="Times New Roman" w:hAnsi="Times New Roman" w:eastAsia="宋体" w:cs="Times New Roman"/>
                <w:color w:val="auto"/>
                <w:spacing w:val="-1"/>
                <w:sz w:val="24"/>
                <w:szCs w:val="24"/>
              </w:rPr>
              <w:t>m</w:t>
            </w:r>
            <w:r>
              <w:rPr>
                <w:rFonts w:hint="eastAsia" w:ascii="Times New Roman" w:hAnsi="Times New Roman" w:eastAsia="宋体" w:cs="Times New Roman"/>
                <w:color w:val="auto"/>
                <w:spacing w:val="-1"/>
                <w:sz w:val="24"/>
                <w:szCs w:val="24"/>
                <w:vertAlign w:val="superscript"/>
                <w:lang w:val="en-US" w:eastAsia="zh-CN"/>
              </w:rPr>
              <w:t>3</w:t>
            </w:r>
            <w:r>
              <w:rPr>
                <w:rFonts w:hint="default" w:ascii="Times New Roman" w:hAnsi="Times New Roman" w:eastAsia="宋体" w:cs="Times New Roman"/>
                <w:color w:val="auto"/>
                <w:spacing w:val="-1"/>
                <w:sz w:val="24"/>
                <w:szCs w:val="24"/>
              </w:rPr>
              <w:t>/d）。</w:t>
            </w:r>
          </w:p>
          <w:p w14:paraId="548FA3D7">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2" w:firstLine="480" w:firstLineChars="200"/>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②生产用水：生产用水主要包括</w:t>
            </w:r>
            <w:r>
              <w:rPr>
                <w:rFonts w:hint="eastAsia" w:ascii="Times New Roman" w:hAnsi="Times New Roman" w:cs="Times New Roman"/>
                <w:color w:val="auto"/>
                <w:sz w:val="24"/>
                <w:szCs w:val="24"/>
                <w:lang w:val="en-US" w:eastAsia="zh-CN"/>
              </w:rPr>
              <w:t>砂石加工用水、混凝土生产</w:t>
            </w:r>
            <w:r>
              <w:rPr>
                <w:rFonts w:hint="default" w:ascii="Times New Roman" w:hAnsi="Times New Roman" w:eastAsia="宋体" w:cs="Times New Roman"/>
                <w:color w:val="auto"/>
                <w:sz w:val="24"/>
                <w:szCs w:val="24"/>
              </w:rPr>
              <w:t>用水、设备清洗水、地面清洗</w:t>
            </w:r>
            <w:r>
              <w:rPr>
                <w:rFonts w:hint="default" w:ascii="Times New Roman" w:hAnsi="Times New Roman" w:eastAsia="宋体" w:cs="Times New Roman"/>
                <w:color w:val="auto"/>
                <w:spacing w:val="-2"/>
                <w:sz w:val="24"/>
                <w:szCs w:val="24"/>
              </w:rPr>
              <w:t>用水</w:t>
            </w:r>
            <w:r>
              <w:rPr>
                <w:rFonts w:hint="eastAsia" w:ascii="Times New Roman" w:hAnsi="Times New Roman" w:cs="Times New Roman"/>
                <w:color w:val="auto"/>
                <w:spacing w:val="-2"/>
                <w:sz w:val="24"/>
                <w:szCs w:val="24"/>
                <w:lang w:eastAsia="zh-CN"/>
              </w:rPr>
              <w:t>、</w:t>
            </w:r>
            <w:r>
              <w:rPr>
                <w:rFonts w:hint="default" w:ascii="Times New Roman" w:hAnsi="Times New Roman" w:eastAsia="宋体" w:cs="Times New Roman"/>
                <w:color w:val="auto"/>
                <w:spacing w:val="-2"/>
                <w:sz w:val="24"/>
                <w:szCs w:val="24"/>
              </w:rPr>
              <w:t>车辆冲洗用水</w:t>
            </w:r>
            <w:r>
              <w:rPr>
                <w:rFonts w:hint="eastAsia" w:ascii="Times New Roman" w:hAnsi="Times New Roman" w:cs="Times New Roman"/>
                <w:color w:val="auto"/>
                <w:spacing w:val="-2"/>
                <w:sz w:val="24"/>
                <w:szCs w:val="24"/>
                <w:lang w:val="en-US" w:eastAsia="zh-CN"/>
              </w:rPr>
              <w:t>以及降尘用水</w:t>
            </w:r>
            <w:r>
              <w:rPr>
                <w:rFonts w:hint="default" w:ascii="Times New Roman" w:hAnsi="Times New Roman" w:eastAsia="宋体" w:cs="Times New Roman"/>
                <w:color w:val="auto"/>
                <w:spacing w:val="-2"/>
                <w:sz w:val="24"/>
                <w:szCs w:val="24"/>
              </w:rPr>
              <w:t>。</w:t>
            </w:r>
          </w:p>
          <w:p w14:paraId="6714FE4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2" w:firstLine="464" w:firstLineChars="200"/>
              <w:textAlignment w:val="baseline"/>
              <w:rPr>
                <w:rFonts w:hint="default" w:ascii="Times New Roman" w:hAnsi="Times New Roman" w:eastAsia="宋体" w:cs="Times New Roman"/>
                <w:color w:val="auto"/>
                <w:spacing w:val="-4"/>
                <w:sz w:val="24"/>
                <w:szCs w:val="24"/>
                <w:lang w:val="en-US" w:eastAsia="zh-CN"/>
              </w:rPr>
            </w:pPr>
            <w:r>
              <w:rPr>
                <w:rFonts w:hint="eastAsia" w:ascii="Times New Roman" w:hAnsi="Times New Roman" w:cs="Times New Roman"/>
                <w:color w:val="auto"/>
                <w:spacing w:val="-4"/>
                <w:sz w:val="24"/>
                <w:szCs w:val="24"/>
                <w:lang w:val="en-US" w:eastAsia="zh-CN"/>
              </w:rPr>
              <w:t>砂石加工用水：本项目河卵石制砂生产过程需要水洗，根据企业提供的资料，水洗工序用水量为0.5m</w:t>
            </w:r>
            <w:r>
              <w:rPr>
                <w:rFonts w:hint="eastAsia" w:ascii="Times New Roman" w:hAnsi="Times New Roman" w:cs="Times New Roman"/>
                <w:color w:val="auto"/>
                <w:spacing w:val="-4"/>
                <w:sz w:val="24"/>
                <w:szCs w:val="24"/>
                <w:vertAlign w:val="superscript"/>
                <w:lang w:val="en-US" w:eastAsia="zh-CN"/>
              </w:rPr>
              <w:t>3</w:t>
            </w:r>
            <w:r>
              <w:rPr>
                <w:rFonts w:hint="eastAsia" w:ascii="Times New Roman" w:hAnsi="Times New Roman" w:cs="Times New Roman"/>
                <w:color w:val="auto"/>
                <w:spacing w:val="-4"/>
                <w:sz w:val="24"/>
                <w:szCs w:val="24"/>
                <w:lang w:val="en-US" w:eastAsia="zh-CN"/>
              </w:rPr>
              <w:t>/t-产品，项目年加工量为95136t，砂石加工用水量为47568m</w:t>
            </w:r>
            <w:r>
              <w:rPr>
                <w:rFonts w:hint="eastAsia" w:ascii="Times New Roman" w:hAnsi="Times New Roman" w:cs="Times New Roman"/>
                <w:color w:val="auto"/>
                <w:spacing w:val="-4"/>
                <w:sz w:val="24"/>
                <w:szCs w:val="24"/>
                <w:vertAlign w:val="superscript"/>
                <w:lang w:val="en-US" w:eastAsia="zh-CN"/>
              </w:rPr>
              <w:t>3</w:t>
            </w:r>
            <w:r>
              <w:rPr>
                <w:rFonts w:hint="eastAsia" w:ascii="Times New Roman" w:hAnsi="Times New Roman" w:cs="Times New Roman"/>
                <w:color w:val="auto"/>
                <w:spacing w:val="-4"/>
                <w:sz w:val="24"/>
                <w:szCs w:val="24"/>
                <w:lang w:val="en-US" w:eastAsia="zh-CN"/>
              </w:rPr>
              <w:t>/a（152.46m</w:t>
            </w:r>
            <w:r>
              <w:rPr>
                <w:rFonts w:hint="eastAsia" w:ascii="Times New Roman" w:hAnsi="Times New Roman" w:cs="Times New Roman"/>
                <w:color w:val="auto"/>
                <w:spacing w:val="-4"/>
                <w:sz w:val="24"/>
                <w:szCs w:val="24"/>
                <w:vertAlign w:val="superscript"/>
                <w:lang w:val="en-US" w:eastAsia="zh-CN"/>
              </w:rPr>
              <w:t>3</w:t>
            </w:r>
            <w:r>
              <w:rPr>
                <w:rFonts w:hint="eastAsia" w:ascii="Times New Roman" w:hAnsi="Times New Roman" w:cs="Times New Roman"/>
                <w:color w:val="auto"/>
                <w:spacing w:val="-4"/>
                <w:sz w:val="24"/>
                <w:szCs w:val="24"/>
                <w:lang w:val="en-US" w:eastAsia="zh-CN"/>
              </w:rPr>
              <w:t>/d）。</w:t>
            </w:r>
          </w:p>
          <w:p w14:paraId="0A7FE29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2" w:firstLine="464" w:firstLineChars="200"/>
              <w:textAlignment w:val="baseline"/>
              <w:rPr>
                <w:rFonts w:hint="default" w:ascii="Times New Roman" w:hAnsi="Times New Roman" w:eastAsia="宋体" w:cs="Times New Roman"/>
                <w:color w:val="auto"/>
                <w:spacing w:val="-4"/>
                <w:sz w:val="24"/>
                <w:szCs w:val="24"/>
                <w:lang w:val="en-US" w:eastAsia="zh-CN"/>
              </w:rPr>
            </w:pPr>
            <w:r>
              <w:rPr>
                <w:rFonts w:hint="eastAsia" w:ascii="Times New Roman" w:hAnsi="Times New Roman" w:cs="Times New Roman"/>
                <w:color w:val="auto"/>
                <w:spacing w:val="-4"/>
                <w:sz w:val="24"/>
                <w:szCs w:val="24"/>
                <w:lang w:val="en-US" w:eastAsia="zh-CN"/>
              </w:rPr>
              <w:t>混凝土生产</w:t>
            </w:r>
            <w:r>
              <w:rPr>
                <w:rFonts w:hint="default" w:ascii="Times New Roman" w:hAnsi="Times New Roman" w:eastAsia="宋体" w:cs="Times New Roman"/>
                <w:color w:val="auto"/>
                <w:spacing w:val="-4"/>
                <w:sz w:val="24"/>
                <w:szCs w:val="24"/>
              </w:rPr>
              <w:t>用水：根据广东省地方标准《用水定额第2部分：工业》（DB44/T1461 .2-2021）中表1 工业用水定额表，混凝土用水按“非金属矿物制品业（30）-石膏、水泥制品及类似制品制造（302）-预拌混凝土-先进-0.15m</w:t>
            </w:r>
            <w:r>
              <w:rPr>
                <w:rFonts w:hint="default" w:ascii="Times New Roman" w:hAnsi="Times New Roman" w:eastAsia="宋体" w:cs="Times New Roman"/>
                <w:color w:val="auto"/>
                <w:spacing w:val="-4"/>
                <w:sz w:val="24"/>
                <w:szCs w:val="24"/>
                <w:vertAlign w:val="superscript"/>
              </w:rPr>
              <w:t>3</w:t>
            </w:r>
            <w:r>
              <w:rPr>
                <w:rFonts w:hint="default" w:ascii="Times New Roman" w:hAnsi="Times New Roman" w:eastAsia="宋体" w:cs="Times New Roman"/>
                <w:color w:val="auto"/>
                <w:spacing w:val="-4"/>
                <w:sz w:val="24"/>
                <w:szCs w:val="24"/>
              </w:rPr>
              <w:t>/m</w:t>
            </w:r>
            <w:r>
              <w:rPr>
                <w:rFonts w:hint="default" w:ascii="Times New Roman" w:hAnsi="Times New Roman" w:eastAsia="宋体" w:cs="Times New Roman"/>
                <w:color w:val="auto"/>
                <w:spacing w:val="-4"/>
                <w:sz w:val="24"/>
                <w:szCs w:val="24"/>
                <w:vertAlign w:val="superscript"/>
              </w:rPr>
              <w:t>3</w:t>
            </w:r>
            <w:r>
              <w:rPr>
                <w:rFonts w:hint="default" w:ascii="Times New Roman" w:hAnsi="Times New Roman" w:eastAsia="宋体" w:cs="Times New Roman"/>
                <w:color w:val="auto"/>
                <w:spacing w:val="-4"/>
                <w:sz w:val="24"/>
                <w:szCs w:val="24"/>
              </w:rPr>
              <w:t>”进行计算，</w:t>
            </w:r>
            <w:r>
              <w:rPr>
                <w:rFonts w:hint="eastAsia" w:ascii="Times New Roman" w:hAnsi="Times New Roman" w:eastAsia="宋体" w:cs="Times New Roman"/>
                <w:color w:val="auto"/>
                <w:spacing w:val="-4"/>
                <w:sz w:val="24"/>
                <w:szCs w:val="24"/>
                <w:lang w:val="en-US" w:eastAsia="zh-CN"/>
              </w:rPr>
              <w:t>项目规模为5万m</w:t>
            </w:r>
            <w:r>
              <w:rPr>
                <w:rFonts w:hint="eastAsia" w:ascii="Times New Roman" w:hAnsi="Times New Roman" w:eastAsia="宋体" w:cs="Times New Roman"/>
                <w:color w:val="auto"/>
                <w:spacing w:val="-4"/>
                <w:sz w:val="24"/>
                <w:szCs w:val="24"/>
                <w:vertAlign w:val="superscript"/>
                <w:lang w:val="en-US" w:eastAsia="zh-CN"/>
              </w:rPr>
              <w:t>3</w:t>
            </w:r>
            <w:r>
              <w:rPr>
                <w:rFonts w:hint="eastAsia" w:ascii="Times New Roman" w:hAnsi="Times New Roman" w:eastAsia="宋体" w:cs="Times New Roman"/>
                <w:color w:val="auto"/>
                <w:spacing w:val="-4"/>
                <w:sz w:val="24"/>
                <w:szCs w:val="24"/>
                <w:lang w:val="en-US" w:eastAsia="zh-CN"/>
              </w:rPr>
              <w:t>/a，则生产工艺用水为7500m</w:t>
            </w:r>
            <w:r>
              <w:rPr>
                <w:rFonts w:hint="eastAsia" w:ascii="Times New Roman" w:hAnsi="Times New Roman" w:eastAsia="宋体" w:cs="Times New Roman"/>
                <w:color w:val="auto"/>
                <w:spacing w:val="-4"/>
                <w:sz w:val="24"/>
                <w:szCs w:val="24"/>
                <w:vertAlign w:val="superscript"/>
                <w:lang w:val="en-US" w:eastAsia="zh-CN"/>
              </w:rPr>
              <w:t>3</w:t>
            </w:r>
            <w:r>
              <w:rPr>
                <w:rFonts w:hint="eastAsia" w:ascii="Times New Roman" w:hAnsi="Times New Roman" w:eastAsia="宋体" w:cs="Times New Roman"/>
                <w:color w:val="auto"/>
                <w:spacing w:val="-4"/>
                <w:sz w:val="24"/>
                <w:szCs w:val="24"/>
                <w:lang w:val="en-US" w:eastAsia="zh-CN"/>
              </w:rPr>
              <w:t>/a（24.04</w:t>
            </w:r>
            <w:r>
              <w:rPr>
                <w:rFonts w:hint="default" w:ascii="Times New Roman" w:hAnsi="Times New Roman" w:eastAsia="宋体" w:cs="Times New Roman"/>
                <w:color w:val="auto"/>
                <w:spacing w:val="-1"/>
                <w:sz w:val="24"/>
                <w:szCs w:val="24"/>
              </w:rPr>
              <w:t>m</w:t>
            </w:r>
            <w:r>
              <w:rPr>
                <w:rFonts w:hint="eastAsia" w:ascii="Times New Roman" w:hAnsi="Times New Roman" w:eastAsia="宋体" w:cs="Times New Roman"/>
                <w:color w:val="auto"/>
                <w:spacing w:val="-1"/>
                <w:sz w:val="24"/>
                <w:szCs w:val="24"/>
                <w:vertAlign w:val="superscript"/>
                <w:lang w:val="en-US" w:eastAsia="zh-CN"/>
              </w:rPr>
              <w:t>3</w:t>
            </w:r>
            <w:r>
              <w:rPr>
                <w:rFonts w:hint="default" w:ascii="Times New Roman" w:hAnsi="Times New Roman" w:eastAsia="宋体" w:cs="Times New Roman"/>
                <w:color w:val="auto"/>
                <w:spacing w:val="-1"/>
                <w:sz w:val="24"/>
                <w:szCs w:val="24"/>
              </w:rPr>
              <w:t>/d</w:t>
            </w:r>
            <w:r>
              <w:rPr>
                <w:rFonts w:hint="eastAsia" w:ascii="Times New Roman" w:hAnsi="Times New Roman" w:eastAsia="宋体" w:cs="Times New Roman"/>
                <w:color w:val="auto"/>
                <w:spacing w:val="-4"/>
                <w:sz w:val="24"/>
                <w:szCs w:val="24"/>
                <w:lang w:val="en-US" w:eastAsia="zh-CN"/>
              </w:rPr>
              <w:t>）。</w:t>
            </w:r>
          </w:p>
          <w:p w14:paraId="71E0806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2" w:firstLine="460" w:firstLineChars="200"/>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5"/>
                <w:sz w:val="24"/>
                <w:szCs w:val="24"/>
              </w:rPr>
              <w:t>设备清洗</w:t>
            </w:r>
            <w:r>
              <w:rPr>
                <w:rFonts w:hint="eastAsia" w:ascii="Times New Roman" w:hAnsi="Times New Roman" w:cs="Times New Roman"/>
                <w:color w:val="auto"/>
                <w:spacing w:val="-5"/>
                <w:sz w:val="24"/>
                <w:szCs w:val="24"/>
                <w:lang w:val="en-US" w:eastAsia="zh-CN"/>
              </w:rPr>
              <w:t>用</w:t>
            </w:r>
            <w:r>
              <w:rPr>
                <w:rFonts w:hint="default" w:ascii="Times New Roman" w:hAnsi="Times New Roman" w:eastAsia="宋体" w:cs="Times New Roman"/>
                <w:color w:val="auto"/>
                <w:spacing w:val="-5"/>
                <w:sz w:val="24"/>
                <w:szCs w:val="24"/>
              </w:rPr>
              <w:t>水：项目每天</w:t>
            </w:r>
            <w:r>
              <w:rPr>
                <w:rFonts w:hint="default" w:ascii="Times New Roman" w:hAnsi="Times New Roman" w:eastAsia="宋体" w:cs="Times New Roman"/>
                <w:color w:val="auto"/>
                <w:spacing w:val="-32"/>
                <w:sz w:val="24"/>
                <w:szCs w:val="24"/>
              </w:rPr>
              <w:t xml:space="preserve"> </w:t>
            </w:r>
            <w:r>
              <w:rPr>
                <w:rFonts w:hint="default" w:ascii="Times New Roman" w:hAnsi="Times New Roman" w:eastAsia="宋体" w:cs="Times New Roman"/>
                <w:color w:val="auto"/>
                <w:spacing w:val="-5"/>
                <w:sz w:val="24"/>
                <w:szCs w:val="24"/>
              </w:rPr>
              <w:t>1 班</w:t>
            </w:r>
            <w:r>
              <w:rPr>
                <w:rFonts w:hint="default" w:ascii="Times New Roman" w:hAnsi="Times New Roman" w:eastAsia="宋体" w:cs="Times New Roman"/>
                <w:color w:val="auto"/>
                <w:spacing w:val="-46"/>
                <w:sz w:val="24"/>
                <w:szCs w:val="24"/>
              </w:rPr>
              <w:t xml:space="preserve"> </w:t>
            </w:r>
            <w:r>
              <w:rPr>
                <w:rFonts w:hint="default" w:ascii="Times New Roman" w:hAnsi="Times New Roman" w:eastAsia="宋体" w:cs="Times New Roman"/>
                <w:color w:val="auto"/>
                <w:spacing w:val="-5"/>
                <w:sz w:val="24"/>
                <w:szCs w:val="24"/>
              </w:rPr>
              <w:t>8</w:t>
            </w:r>
            <w:r>
              <w:rPr>
                <w:rFonts w:hint="default" w:ascii="Times New Roman" w:hAnsi="Times New Roman" w:eastAsia="宋体" w:cs="Times New Roman"/>
                <w:color w:val="auto"/>
                <w:spacing w:val="16"/>
                <w:w w:val="101"/>
                <w:sz w:val="24"/>
                <w:szCs w:val="24"/>
              </w:rPr>
              <w:t xml:space="preserve"> </w:t>
            </w:r>
            <w:r>
              <w:rPr>
                <w:rFonts w:hint="default" w:ascii="Times New Roman" w:hAnsi="Times New Roman" w:eastAsia="宋体" w:cs="Times New Roman"/>
                <w:color w:val="auto"/>
                <w:spacing w:val="-5"/>
                <w:sz w:val="24"/>
                <w:szCs w:val="24"/>
              </w:rPr>
              <w:t>小时工作，搅拌</w:t>
            </w:r>
            <w:r>
              <w:rPr>
                <w:rFonts w:hint="default" w:ascii="Times New Roman" w:hAnsi="Times New Roman" w:eastAsia="宋体" w:cs="Times New Roman"/>
                <w:color w:val="auto"/>
                <w:spacing w:val="-6"/>
                <w:sz w:val="24"/>
                <w:szCs w:val="24"/>
              </w:rPr>
              <w:t>机停机需进行清洗，根</w:t>
            </w:r>
            <w:r>
              <w:rPr>
                <w:rFonts w:hint="default" w:ascii="Times New Roman" w:hAnsi="Times New Roman" w:eastAsia="宋体" w:cs="Times New Roman"/>
                <w:color w:val="auto"/>
                <w:sz w:val="24"/>
                <w:szCs w:val="24"/>
              </w:rPr>
              <w:t>据建设单位提供的资料，搅拌机清洗用水量约</w:t>
            </w:r>
            <w:r>
              <w:rPr>
                <w:rFonts w:hint="eastAsia" w:ascii="Times New Roman" w:hAnsi="Times New Roman"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rPr>
              <w:t>/d（</w:t>
            </w:r>
            <w:r>
              <w:rPr>
                <w:rFonts w:hint="eastAsia" w:ascii="Times New Roman" w:hAnsi="Times New Roman" w:cs="Times New Roman"/>
                <w:color w:val="auto"/>
                <w:sz w:val="24"/>
                <w:szCs w:val="24"/>
                <w:lang w:val="en-US" w:eastAsia="zh-CN"/>
              </w:rPr>
              <w:t>312</w:t>
            </w:r>
            <w:r>
              <w:rPr>
                <w:rFonts w:hint="default" w:ascii="Times New Roman" w:hAnsi="Times New Roman" w:eastAsia="宋体" w:cs="Times New Roman"/>
                <w:color w:val="auto"/>
                <w:spacing w:val="-1"/>
                <w:sz w:val="24"/>
                <w:szCs w:val="24"/>
              </w:rPr>
              <w:t>m</w:t>
            </w:r>
            <w:r>
              <w:rPr>
                <w:rFonts w:hint="eastAsia" w:ascii="Times New Roman" w:hAnsi="Times New Roman" w:eastAsia="宋体" w:cs="Times New Roman"/>
                <w:color w:val="auto"/>
                <w:spacing w:val="-1"/>
                <w:sz w:val="24"/>
                <w:szCs w:val="24"/>
                <w:vertAlign w:val="superscript"/>
                <w:lang w:val="en-US" w:eastAsia="zh-CN"/>
              </w:rPr>
              <w:t>3</w:t>
            </w:r>
            <w:r>
              <w:rPr>
                <w:rFonts w:hint="default" w:ascii="Times New Roman" w:hAnsi="Times New Roman" w:eastAsia="宋体" w:cs="Times New Roman"/>
                <w:color w:val="auto"/>
                <w:spacing w:val="-1"/>
                <w:sz w:val="24"/>
                <w:szCs w:val="24"/>
              </w:rPr>
              <w:t>/a）。</w:t>
            </w:r>
          </w:p>
          <w:p w14:paraId="22C44C0C">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2" w:firstLine="464" w:firstLineChars="200"/>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4"/>
                <w:sz w:val="24"/>
                <w:szCs w:val="24"/>
              </w:rPr>
              <w:t>地面清洗用水：根据建设单位提供资料，</w:t>
            </w:r>
            <w:r>
              <w:rPr>
                <w:rFonts w:hint="eastAsia" w:ascii="Times New Roman" w:hAnsi="Times New Roman" w:eastAsia="宋体" w:cs="Times New Roman"/>
                <w:color w:val="auto"/>
                <w:spacing w:val="-4"/>
                <w:sz w:val="24"/>
                <w:szCs w:val="24"/>
                <w:lang w:val="en-US" w:eastAsia="zh-CN"/>
              </w:rPr>
              <w:t>搅拌站区域（500m</w:t>
            </w:r>
            <w:r>
              <w:rPr>
                <w:rFonts w:hint="eastAsia" w:ascii="Times New Roman" w:hAnsi="Times New Roman" w:eastAsia="宋体" w:cs="Times New Roman"/>
                <w:color w:val="auto"/>
                <w:spacing w:val="-4"/>
                <w:sz w:val="24"/>
                <w:szCs w:val="24"/>
                <w:vertAlign w:val="superscript"/>
                <w:lang w:val="en-US" w:eastAsia="zh-CN"/>
              </w:rPr>
              <w:t>2</w:t>
            </w:r>
            <w:r>
              <w:rPr>
                <w:rFonts w:hint="eastAsia" w:ascii="Times New Roman" w:hAnsi="Times New Roman" w:eastAsia="宋体" w:cs="Times New Roman"/>
                <w:color w:val="auto"/>
                <w:spacing w:val="-4"/>
                <w:sz w:val="24"/>
                <w:szCs w:val="24"/>
                <w:lang w:val="en-US" w:eastAsia="zh-CN"/>
              </w:rPr>
              <w:t>）</w:t>
            </w:r>
            <w:r>
              <w:rPr>
                <w:rFonts w:hint="default" w:ascii="Times New Roman" w:hAnsi="Times New Roman" w:eastAsia="宋体" w:cs="Times New Roman"/>
                <w:color w:val="auto"/>
                <w:spacing w:val="-4"/>
                <w:sz w:val="24"/>
                <w:szCs w:val="24"/>
              </w:rPr>
              <w:t>地面每日清洗一次，用水</w:t>
            </w:r>
            <w:r>
              <w:rPr>
                <w:rFonts w:hint="default" w:ascii="Times New Roman" w:hAnsi="Times New Roman" w:eastAsia="宋体" w:cs="Times New Roman"/>
                <w:color w:val="auto"/>
                <w:spacing w:val="-2"/>
                <w:sz w:val="24"/>
                <w:szCs w:val="24"/>
              </w:rPr>
              <w:t>量约</w:t>
            </w:r>
            <w:r>
              <w:rPr>
                <w:rFonts w:hint="default" w:ascii="Times New Roman" w:hAnsi="Times New Roman" w:eastAsia="宋体" w:cs="Times New Roman"/>
                <w:color w:val="auto"/>
                <w:spacing w:val="-54"/>
                <w:sz w:val="24"/>
                <w:szCs w:val="24"/>
              </w:rPr>
              <w:t xml:space="preserve"> </w:t>
            </w:r>
            <w:r>
              <w:rPr>
                <w:rFonts w:hint="default" w:ascii="Times New Roman" w:hAnsi="Times New Roman" w:eastAsia="宋体" w:cs="Times New Roman"/>
                <w:color w:val="auto"/>
                <w:spacing w:val="-2"/>
                <w:sz w:val="24"/>
                <w:szCs w:val="24"/>
              </w:rPr>
              <w:t>2L/m</w:t>
            </w:r>
            <w:r>
              <w:rPr>
                <w:rFonts w:hint="eastAsia" w:ascii="Times New Roman" w:hAnsi="Times New Roman" w:eastAsia="宋体" w:cs="Times New Roman"/>
                <w:color w:val="auto"/>
                <w:spacing w:val="-2"/>
                <w:sz w:val="24"/>
                <w:szCs w:val="24"/>
                <w:vertAlign w:val="superscript"/>
                <w:lang w:val="en-US" w:eastAsia="zh-CN"/>
              </w:rPr>
              <w:t>2</w:t>
            </w:r>
            <w:r>
              <w:rPr>
                <w:rFonts w:hint="default" w:ascii="Times New Roman" w:hAnsi="Times New Roman" w:eastAsia="宋体" w:cs="Times New Roman"/>
                <w:color w:val="auto"/>
                <w:spacing w:val="8"/>
                <w:position w:val="7"/>
                <w:sz w:val="24"/>
                <w:szCs w:val="24"/>
              </w:rPr>
              <w:t xml:space="preserve"> </w:t>
            </w:r>
            <w:r>
              <w:rPr>
                <w:rFonts w:hint="default" w:ascii="Times New Roman" w:hAnsi="Times New Roman" w:eastAsia="宋体" w:cs="Times New Roman"/>
                <w:color w:val="auto"/>
                <w:spacing w:val="-4"/>
                <w:sz w:val="24"/>
                <w:szCs w:val="24"/>
              </w:rPr>
              <w:t>·d</w:t>
            </w:r>
            <w:r>
              <w:rPr>
                <w:rFonts w:hint="default" w:ascii="Times New Roman" w:hAnsi="Times New Roman" w:eastAsia="宋体" w:cs="Times New Roman"/>
                <w:color w:val="auto"/>
                <w:spacing w:val="-32"/>
                <w:sz w:val="24"/>
                <w:szCs w:val="24"/>
              </w:rPr>
              <w:t xml:space="preserve"> </w:t>
            </w:r>
            <w:r>
              <w:rPr>
                <w:rFonts w:hint="default" w:ascii="Times New Roman" w:hAnsi="Times New Roman" w:eastAsia="宋体" w:cs="Times New Roman"/>
                <w:color w:val="auto"/>
                <w:spacing w:val="-4"/>
                <w:sz w:val="24"/>
                <w:szCs w:val="24"/>
              </w:rPr>
              <w:t>，地面清洗用水约为</w:t>
            </w:r>
            <w:r>
              <w:rPr>
                <w:rFonts w:hint="default" w:ascii="Times New Roman" w:hAnsi="Times New Roman" w:eastAsia="宋体" w:cs="Times New Roman"/>
                <w:color w:val="auto"/>
                <w:spacing w:val="-51"/>
                <w:sz w:val="24"/>
                <w:szCs w:val="24"/>
              </w:rPr>
              <w:t xml:space="preserve"> </w:t>
            </w:r>
            <w:r>
              <w:rPr>
                <w:rFonts w:hint="eastAsia" w:ascii="Times New Roman" w:hAnsi="Times New Roman" w:eastAsia="宋体" w:cs="Times New Roman"/>
                <w:color w:val="auto"/>
                <w:spacing w:val="-4"/>
                <w:sz w:val="24"/>
                <w:szCs w:val="24"/>
                <w:lang w:val="en-US" w:eastAsia="zh-CN"/>
              </w:rPr>
              <w:t>1</w:t>
            </w:r>
            <w:r>
              <w:rPr>
                <w:rFonts w:hint="default" w:ascii="Times New Roman" w:hAnsi="Times New Roman" w:eastAsia="宋体" w:cs="Times New Roman"/>
                <w:color w:val="auto"/>
                <w:spacing w:val="-4"/>
                <w:sz w:val="24"/>
                <w:szCs w:val="24"/>
              </w:rPr>
              <w:t>m</w:t>
            </w:r>
            <w:r>
              <w:rPr>
                <w:rFonts w:hint="eastAsia" w:ascii="Times New Roman" w:hAnsi="Times New Roman" w:eastAsia="宋体" w:cs="Times New Roman"/>
                <w:color w:val="auto"/>
                <w:spacing w:val="-4"/>
                <w:sz w:val="24"/>
                <w:szCs w:val="24"/>
                <w:vertAlign w:val="superscript"/>
                <w:lang w:val="en-US" w:eastAsia="zh-CN"/>
              </w:rPr>
              <w:t>3</w:t>
            </w:r>
            <w:r>
              <w:rPr>
                <w:rFonts w:hint="default" w:ascii="Times New Roman" w:hAnsi="Times New Roman" w:eastAsia="宋体" w:cs="Times New Roman"/>
                <w:color w:val="auto"/>
                <w:spacing w:val="-4"/>
                <w:sz w:val="24"/>
                <w:szCs w:val="24"/>
              </w:rPr>
              <w:t>/d（</w:t>
            </w:r>
            <w:r>
              <w:rPr>
                <w:rFonts w:hint="eastAsia" w:ascii="Times New Roman" w:hAnsi="Times New Roman" w:eastAsia="宋体" w:cs="Times New Roman"/>
                <w:color w:val="auto"/>
                <w:spacing w:val="-4"/>
                <w:sz w:val="24"/>
                <w:szCs w:val="24"/>
                <w:lang w:val="en-US" w:eastAsia="zh-CN"/>
              </w:rPr>
              <w:t>312</w:t>
            </w:r>
            <w:r>
              <w:rPr>
                <w:rFonts w:hint="default" w:ascii="Times New Roman" w:hAnsi="Times New Roman" w:eastAsia="宋体" w:cs="Times New Roman"/>
                <w:color w:val="auto"/>
                <w:spacing w:val="-4"/>
                <w:sz w:val="24"/>
                <w:szCs w:val="24"/>
              </w:rPr>
              <w:t>m</w:t>
            </w:r>
            <w:r>
              <w:rPr>
                <w:rFonts w:hint="eastAsia" w:ascii="Times New Roman" w:hAnsi="Times New Roman" w:eastAsia="宋体" w:cs="Times New Roman"/>
                <w:color w:val="auto"/>
                <w:spacing w:val="-4"/>
                <w:sz w:val="24"/>
                <w:szCs w:val="24"/>
                <w:vertAlign w:val="superscript"/>
                <w:lang w:val="en-US" w:eastAsia="zh-CN"/>
              </w:rPr>
              <w:t>3</w:t>
            </w:r>
            <w:r>
              <w:rPr>
                <w:rFonts w:hint="default" w:ascii="Times New Roman" w:hAnsi="Times New Roman" w:eastAsia="宋体" w:cs="Times New Roman"/>
                <w:color w:val="auto"/>
                <w:spacing w:val="-4"/>
                <w:sz w:val="24"/>
                <w:szCs w:val="24"/>
              </w:rPr>
              <w:t>/a</w:t>
            </w:r>
            <w:r>
              <w:rPr>
                <w:rFonts w:hint="default" w:ascii="Times New Roman" w:hAnsi="Times New Roman" w:eastAsia="宋体" w:cs="Times New Roman"/>
                <w:color w:val="auto"/>
                <w:spacing w:val="4"/>
                <w:sz w:val="24"/>
                <w:szCs w:val="24"/>
              </w:rPr>
              <w:t>）</w:t>
            </w:r>
            <w:r>
              <w:rPr>
                <w:rFonts w:hint="default" w:ascii="Times New Roman" w:hAnsi="Times New Roman" w:eastAsia="宋体" w:cs="Times New Roman"/>
                <w:color w:val="auto"/>
                <w:spacing w:val="-5"/>
                <w:sz w:val="24"/>
                <w:szCs w:val="24"/>
              </w:rPr>
              <w:t>。</w:t>
            </w:r>
          </w:p>
          <w:p w14:paraId="63B5D5C7">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2" w:firstLine="488" w:firstLineChars="200"/>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pacing w:val="2"/>
                <w:sz w:val="24"/>
                <w:szCs w:val="24"/>
              </w:rPr>
              <w:t>车辆冲洗用水：根据建设单位提供的资料，车辆冲洗</w:t>
            </w:r>
            <w:r>
              <w:rPr>
                <w:rFonts w:hint="eastAsia" w:ascii="Times New Roman" w:hAnsi="Times New Roman" w:cs="Times New Roman"/>
                <w:color w:val="auto"/>
                <w:spacing w:val="2"/>
                <w:sz w:val="24"/>
                <w:szCs w:val="24"/>
                <w:lang w:val="en-US" w:eastAsia="zh-CN"/>
              </w:rPr>
              <w:t>主要包括混凝土运输车辆清洗（水泥罐体及车身、车胎等清洗）以及原料运输车辆清洗，其中混凝土运输车辆清洗</w:t>
            </w:r>
            <w:r>
              <w:rPr>
                <w:rFonts w:hint="default" w:ascii="Times New Roman" w:hAnsi="Times New Roman" w:eastAsia="宋体" w:cs="Times New Roman"/>
                <w:color w:val="auto"/>
                <w:spacing w:val="2"/>
                <w:sz w:val="24"/>
                <w:szCs w:val="24"/>
              </w:rPr>
              <w:t>用水约</w:t>
            </w:r>
            <w:r>
              <w:rPr>
                <w:rFonts w:hint="default" w:ascii="Times New Roman" w:hAnsi="Times New Roman" w:eastAsia="宋体" w:cs="Times New Roman"/>
                <w:color w:val="auto"/>
                <w:spacing w:val="-29"/>
                <w:sz w:val="24"/>
                <w:szCs w:val="24"/>
              </w:rPr>
              <w:t xml:space="preserve"> </w:t>
            </w:r>
            <w:r>
              <w:rPr>
                <w:rFonts w:hint="eastAsia" w:ascii="Times New Roman" w:hAnsi="Times New Roman" w:cs="Times New Roman"/>
                <w:color w:val="auto"/>
                <w:spacing w:val="2"/>
                <w:sz w:val="24"/>
                <w:szCs w:val="24"/>
                <w:lang w:val="en-US" w:eastAsia="zh-CN"/>
              </w:rPr>
              <w:t>0.5</w:t>
            </w:r>
            <w:r>
              <w:rPr>
                <w:rFonts w:hint="default" w:ascii="Times New Roman" w:hAnsi="Times New Roman" w:eastAsia="宋体" w:cs="Times New Roman"/>
                <w:color w:val="auto"/>
                <w:spacing w:val="2"/>
                <w:sz w:val="24"/>
                <w:szCs w:val="24"/>
              </w:rPr>
              <w:t>m</w:t>
            </w:r>
            <w:r>
              <w:rPr>
                <w:rFonts w:hint="eastAsia" w:ascii="Times New Roman" w:hAnsi="Times New Roman" w:eastAsia="宋体" w:cs="Times New Roman"/>
                <w:color w:val="auto"/>
                <w:spacing w:val="2"/>
                <w:sz w:val="24"/>
                <w:szCs w:val="24"/>
                <w:vertAlign w:val="superscript"/>
                <w:lang w:val="en-US" w:eastAsia="zh-CN"/>
              </w:rPr>
              <w:t>3</w:t>
            </w:r>
            <w:r>
              <w:rPr>
                <w:rFonts w:hint="default" w:ascii="Times New Roman" w:hAnsi="Times New Roman" w:eastAsia="宋体" w:cs="Times New Roman"/>
                <w:color w:val="auto"/>
                <w:spacing w:val="1"/>
                <w:sz w:val="24"/>
                <w:szCs w:val="24"/>
              </w:rPr>
              <w:t>/车</w:t>
            </w:r>
            <w:r>
              <w:rPr>
                <w:rFonts w:hint="default" w:ascii="Times New Roman" w:hAnsi="Times New Roman" w:eastAsia="宋体" w:cs="Times New Roman"/>
                <w:color w:val="auto"/>
                <w:spacing w:val="-4"/>
                <w:sz w:val="24"/>
                <w:szCs w:val="24"/>
              </w:rPr>
              <w:t>次，单车装载量约</w:t>
            </w:r>
            <w:r>
              <w:rPr>
                <w:rFonts w:hint="default" w:ascii="Times New Roman" w:hAnsi="Times New Roman" w:eastAsia="宋体" w:cs="Times New Roman"/>
                <w:color w:val="auto"/>
                <w:spacing w:val="-32"/>
                <w:sz w:val="24"/>
                <w:szCs w:val="24"/>
              </w:rPr>
              <w:t xml:space="preserve"> </w:t>
            </w:r>
            <w:r>
              <w:rPr>
                <w:rFonts w:hint="default" w:ascii="Times New Roman" w:hAnsi="Times New Roman" w:eastAsia="宋体" w:cs="Times New Roman"/>
                <w:color w:val="auto"/>
                <w:spacing w:val="-4"/>
                <w:sz w:val="24"/>
                <w:szCs w:val="24"/>
              </w:rPr>
              <w:t>10m</w:t>
            </w:r>
            <w:r>
              <w:rPr>
                <w:rFonts w:hint="eastAsia" w:ascii="Times New Roman" w:hAnsi="Times New Roman" w:eastAsia="宋体" w:cs="Times New Roman"/>
                <w:color w:val="auto"/>
                <w:spacing w:val="-4"/>
                <w:sz w:val="24"/>
                <w:szCs w:val="24"/>
                <w:vertAlign w:val="superscript"/>
                <w:lang w:val="en-US" w:eastAsia="zh-CN"/>
              </w:rPr>
              <w:t>3</w:t>
            </w:r>
            <w:r>
              <w:rPr>
                <w:rFonts w:hint="default" w:ascii="Times New Roman" w:hAnsi="Times New Roman" w:eastAsia="宋体" w:cs="Times New Roman"/>
                <w:color w:val="auto"/>
                <w:spacing w:val="-4"/>
                <w:sz w:val="24"/>
                <w:szCs w:val="24"/>
              </w:rPr>
              <w:t>，项目年产商品混</w:t>
            </w:r>
            <w:r>
              <w:rPr>
                <w:rFonts w:hint="default" w:ascii="Times New Roman" w:hAnsi="Times New Roman" w:eastAsia="宋体" w:cs="Times New Roman"/>
                <w:color w:val="auto"/>
                <w:spacing w:val="-5"/>
                <w:sz w:val="24"/>
                <w:szCs w:val="24"/>
              </w:rPr>
              <w:t>凝土</w:t>
            </w:r>
            <w:r>
              <w:rPr>
                <w:rFonts w:hint="eastAsia" w:ascii="Times New Roman" w:hAnsi="Times New Roman" w:eastAsia="宋体" w:cs="Times New Roman"/>
                <w:color w:val="auto"/>
                <w:spacing w:val="-5"/>
                <w:sz w:val="24"/>
                <w:szCs w:val="24"/>
                <w:lang w:val="en-US" w:eastAsia="zh-CN"/>
              </w:rPr>
              <w:t>5</w:t>
            </w:r>
            <w:r>
              <w:rPr>
                <w:rFonts w:hint="default" w:ascii="Times New Roman" w:hAnsi="Times New Roman" w:eastAsia="宋体" w:cs="Times New Roman"/>
                <w:color w:val="auto"/>
                <w:spacing w:val="-5"/>
                <w:sz w:val="24"/>
                <w:szCs w:val="24"/>
              </w:rPr>
              <w:t>万</w:t>
            </w:r>
            <w:r>
              <w:rPr>
                <w:rFonts w:hint="default" w:ascii="Times New Roman" w:hAnsi="Times New Roman" w:eastAsia="宋体" w:cs="Times New Roman"/>
                <w:color w:val="auto"/>
                <w:spacing w:val="-58"/>
                <w:sz w:val="24"/>
                <w:szCs w:val="24"/>
              </w:rPr>
              <w:t xml:space="preserve"> </w:t>
            </w:r>
            <w:r>
              <w:rPr>
                <w:rFonts w:hint="default" w:ascii="Times New Roman" w:hAnsi="Times New Roman" w:eastAsia="宋体" w:cs="Times New Roman"/>
                <w:color w:val="auto"/>
                <w:spacing w:val="-5"/>
                <w:sz w:val="24"/>
                <w:szCs w:val="24"/>
              </w:rPr>
              <w:t>m</w:t>
            </w:r>
            <w:r>
              <w:rPr>
                <w:rFonts w:hint="eastAsia" w:ascii="Times New Roman" w:hAnsi="Times New Roman" w:eastAsia="宋体" w:cs="Times New Roman"/>
                <w:color w:val="auto"/>
                <w:spacing w:val="-5"/>
                <w:sz w:val="24"/>
                <w:szCs w:val="24"/>
                <w:vertAlign w:val="superscript"/>
                <w:lang w:val="en-US" w:eastAsia="zh-CN"/>
              </w:rPr>
              <w:t>3</w:t>
            </w:r>
            <w:r>
              <w:rPr>
                <w:rFonts w:hint="default" w:ascii="Times New Roman" w:hAnsi="Times New Roman" w:eastAsia="宋体" w:cs="Times New Roman"/>
                <w:color w:val="auto"/>
                <w:spacing w:val="-5"/>
                <w:sz w:val="24"/>
                <w:szCs w:val="24"/>
              </w:rPr>
              <w:t>，总车次</w:t>
            </w:r>
            <w:r>
              <w:rPr>
                <w:rFonts w:hint="eastAsia" w:ascii="Times New Roman" w:hAnsi="Times New Roman" w:eastAsia="宋体" w:cs="Times New Roman"/>
                <w:color w:val="auto"/>
                <w:spacing w:val="-5"/>
                <w:sz w:val="24"/>
                <w:szCs w:val="24"/>
                <w:lang w:val="en-US" w:eastAsia="zh-CN"/>
              </w:rPr>
              <w:t>5000</w:t>
            </w:r>
            <w:r>
              <w:rPr>
                <w:rFonts w:hint="default" w:ascii="Times New Roman" w:hAnsi="Times New Roman" w:eastAsia="宋体" w:cs="Times New Roman"/>
                <w:color w:val="auto"/>
                <w:spacing w:val="-5"/>
                <w:sz w:val="24"/>
                <w:szCs w:val="24"/>
              </w:rPr>
              <w:t>，则</w:t>
            </w:r>
            <w:r>
              <w:rPr>
                <w:rFonts w:hint="eastAsia" w:ascii="Times New Roman" w:hAnsi="Times New Roman" w:cs="Times New Roman"/>
                <w:color w:val="auto"/>
                <w:spacing w:val="-5"/>
                <w:sz w:val="24"/>
                <w:szCs w:val="24"/>
                <w:lang w:val="en-US" w:eastAsia="zh-CN"/>
              </w:rPr>
              <w:t>混凝土运输</w:t>
            </w:r>
            <w:r>
              <w:rPr>
                <w:rFonts w:hint="default" w:ascii="Times New Roman" w:hAnsi="Times New Roman" w:eastAsia="宋体" w:cs="Times New Roman"/>
                <w:color w:val="auto"/>
                <w:spacing w:val="-5"/>
                <w:sz w:val="24"/>
                <w:szCs w:val="24"/>
              </w:rPr>
              <w:t>车</w:t>
            </w:r>
            <w:r>
              <w:rPr>
                <w:rFonts w:hint="default" w:ascii="Times New Roman" w:hAnsi="Times New Roman" w:eastAsia="宋体" w:cs="Times New Roman"/>
                <w:color w:val="auto"/>
                <w:spacing w:val="-1"/>
                <w:sz w:val="24"/>
                <w:szCs w:val="24"/>
              </w:rPr>
              <w:t>辆冲洗用水</w:t>
            </w:r>
            <w:r>
              <w:rPr>
                <w:rFonts w:hint="eastAsia" w:ascii="Times New Roman" w:hAnsi="Times New Roman" w:eastAsia="宋体" w:cs="Times New Roman"/>
                <w:color w:val="auto"/>
                <w:spacing w:val="-1"/>
                <w:sz w:val="24"/>
                <w:szCs w:val="24"/>
                <w:lang w:val="en-US" w:eastAsia="zh-CN"/>
              </w:rPr>
              <w:t>约</w:t>
            </w:r>
            <w:r>
              <w:rPr>
                <w:rFonts w:hint="eastAsia" w:ascii="Times New Roman" w:hAnsi="Times New Roman" w:cs="Times New Roman"/>
                <w:color w:val="auto"/>
                <w:spacing w:val="-1"/>
                <w:sz w:val="24"/>
                <w:szCs w:val="24"/>
                <w:lang w:val="en-US" w:eastAsia="zh-CN"/>
              </w:rPr>
              <w:t>2500</w:t>
            </w:r>
            <w:r>
              <w:rPr>
                <w:rFonts w:hint="default" w:ascii="Times New Roman" w:hAnsi="Times New Roman" w:eastAsia="宋体" w:cs="Times New Roman"/>
                <w:color w:val="auto"/>
                <w:spacing w:val="-1"/>
                <w:sz w:val="24"/>
                <w:szCs w:val="24"/>
              </w:rPr>
              <w:t>m</w:t>
            </w:r>
            <w:r>
              <w:rPr>
                <w:rFonts w:hint="eastAsia" w:ascii="Times New Roman" w:hAnsi="Times New Roman" w:eastAsia="宋体" w:cs="Times New Roman"/>
                <w:color w:val="auto"/>
                <w:spacing w:val="-1"/>
                <w:sz w:val="24"/>
                <w:szCs w:val="24"/>
                <w:vertAlign w:val="superscript"/>
                <w:lang w:val="en-US" w:eastAsia="zh-CN"/>
              </w:rPr>
              <w:t>3</w:t>
            </w:r>
            <w:r>
              <w:rPr>
                <w:rFonts w:hint="default" w:ascii="Times New Roman" w:hAnsi="Times New Roman" w:eastAsia="宋体" w:cs="Times New Roman"/>
                <w:color w:val="auto"/>
                <w:spacing w:val="-1"/>
                <w:sz w:val="24"/>
                <w:szCs w:val="24"/>
              </w:rPr>
              <w:t>/a（</w:t>
            </w:r>
            <w:r>
              <w:rPr>
                <w:rFonts w:hint="eastAsia" w:ascii="Times New Roman" w:hAnsi="Times New Roman" w:cs="Times New Roman"/>
                <w:color w:val="auto"/>
                <w:spacing w:val="-1"/>
                <w:sz w:val="24"/>
                <w:szCs w:val="24"/>
                <w:lang w:val="en-US" w:eastAsia="zh-CN"/>
              </w:rPr>
              <w:t>8.01</w:t>
            </w:r>
            <w:r>
              <w:rPr>
                <w:rFonts w:hint="default" w:ascii="Times New Roman" w:hAnsi="Times New Roman" w:eastAsia="宋体" w:cs="Times New Roman"/>
                <w:color w:val="auto"/>
                <w:spacing w:val="-1"/>
                <w:sz w:val="24"/>
                <w:szCs w:val="24"/>
              </w:rPr>
              <w:t>m</w:t>
            </w:r>
            <w:r>
              <w:rPr>
                <w:rFonts w:hint="eastAsia" w:ascii="Times New Roman" w:hAnsi="Times New Roman" w:eastAsia="宋体" w:cs="Times New Roman"/>
                <w:color w:val="auto"/>
                <w:spacing w:val="-1"/>
                <w:sz w:val="24"/>
                <w:szCs w:val="24"/>
                <w:vertAlign w:val="superscript"/>
                <w:lang w:val="en-US" w:eastAsia="zh-CN"/>
              </w:rPr>
              <w:t>3</w:t>
            </w:r>
            <w:r>
              <w:rPr>
                <w:rFonts w:hint="default" w:ascii="Times New Roman" w:hAnsi="Times New Roman" w:eastAsia="宋体" w:cs="Times New Roman"/>
                <w:color w:val="auto"/>
                <w:spacing w:val="-1"/>
                <w:sz w:val="24"/>
                <w:szCs w:val="24"/>
              </w:rPr>
              <w:t>/d</w:t>
            </w:r>
            <w:r>
              <w:rPr>
                <w:rFonts w:hint="default" w:ascii="Times New Roman" w:hAnsi="Times New Roman" w:eastAsia="宋体" w:cs="Times New Roman"/>
                <w:color w:val="auto"/>
                <w:spacing w:val="4"/>
                <w:sz w:val="24"/>
                <w:szCs w:val="24"/>
              </w:rPr>
              <w:t>）</w:t>
            </w:r>
            <w:r>
              <w:rPr>
                <w:rFonts w:hint="default" w:ascii="Times New Roman" w:hAnsi="Times New Roman" w:eastAsia="宋体" w:cs="Times New Roman"/>
                <w:color w:val="auto"/>
                <w:spacing w:val="-3"/>
                <w:sz w:val="24"/>
                <w:szCs w:val="24"/>
              </w:rPr>
              <w:t>。</w:t>
            </w:r>
            <w:r>
              <w:rPr>
                <w:rFonts w:hint="eastAsia" w:ascii="Times New Roman" w:hAnsi="Times New Roman" w:cs="Times New Roman"/>
                <w:color w:val="auto"/>
                <w:spacing w:val="-3"/>
                <w:sz w:val="24"/>
                <w:szCs w:val="24"/>
                <w:lang w:val="en-US" w:eastAsia="zh-CN"/>
              </w:rPr>
              <w:t>原料运输总量为112636t/a，按照单次装载量30t，则原料运输车次3755车次/年，根据《建筑给水排水设计规范（GB50015-2019）》（载重汽车—高压水枪冲洗），汽车冲洗用水定额为 80~120L/（辆·次），取平均值 100L/（辆·次），则用水量为375.5m</w:t>
            </w:r>
            <w:r>
              <w:rPr>
                <w:rFonts w:hint="eastAsia" w:ascii="Times New Roman" w:hAnsi="Times New Roman" w:cs="Times New Roman"/>
                <w:color w:val="auto"/>
                <w:spacing w:val="-3"/>
                <w:sz w:val="24"/>
                <w:szCs w:val="24"/>
                <w:vertAlign w:val="superscript"/>
                <w:lang w:val="en-US" w:eastAsia="zh-CN"/>
              </w:rPr>
              <w:t>3</w:t>
            </w:r>
            <w:r>
              <w:rPr>
                <w:rFonts w:hint="eastAsia" w:ascii="Times New Roman" w:hAnsi="Times New Roman" w:cs="Times New Roman"/>
                <w:color w:val="auto"/>
                <w:spacing w:val="-3"/>
                <w:sz w:val="24"/>
                <w:szCs w:val="24"/>
                <w:lang w:val="en-US" w:eastAsia="zh-CN"/>
              </w:rPr>
              <w:t>/a。综上可知，项目车辆冲洗用水总量为2875.5m</w:t>
            </w:r>
            <w:r>
              <w:rPr>
                <w:rFonts w:hint="eastAsia" w:ascii="Times New Roman" w:hAnsi="Times New Roman" w:cs="Times New Roman"/>
                <w:color w:val="auto"/>
                <w:spacing w:val="-3"/>
                <w:sz w:val="24"/>
                <w:szCs w:val="24"/>
                <w:vertAlign w:val="superscript"/>
                <w:lang w:val="en-US" w:eastAsia="zh-CN"/>
              </w:rPr>
              <w:t>3</w:t>
            </w:r>
            <w:r>
              <w:rPr>
                <w:rFonts w:hint="eastAsia" w:ascii="Times New Roman" w:hAnsi="Times New Roman" w:cs="Times New Roman"/>
                <w:color w:val="auto"/>
                <w:spacing w:val="-3"/>
                <w:sz w:val="24"/>
                <w:szCs w:val="24"/>
                <w:lang w:val="en-US" w:eastAsia="zh-CN"/>
              </w:rPr>
              <w:t>/a、9.22m</w:t>
            </w:r>
            <w:r>
              <w:rPr>
                <w:rFonts w:hint="eastAsia" w:ascii="Times New Roman" w:hAnsi="Times New Roman" w:cs="Times New Roman"/>
                <w:color w:val="auto"/>
                <w:spacing w:val="-3"/>
                <w:sz w:val="24"/>
                <w:szCs w:val="24"/>
                <w:vertAlign w:val="superscript"/>
                <w:lang w:val="en-US" w:eastAsia="zh-CN"/>
              </w:rPr>
              <w:t>3</w:t>
            </w:r>
            <w:r>
              <w:rPr>
                <w:rFonts w:hint="eastAsia" w:ascii="Times New Roman" w:hAnsi="Times New Roman" w:cs="Times New Roman"/>
                <w:color w:val="auto"/>
                <w:spacing w:val="-3"/>
                <w:sz w:val="24"/>
                <w:szCs w:val="24"/>
                <w:lang w:val="en-US" w:eastAsia="zh-CN"/>
              </w:rPr>
              <w:t>/d。</w:t>
            </w:r>
          </w:p>
          <w:p w14:paraId="6151EC5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2" w:firstLine="464" w:firstLineChars="200"/>
              <w:textAlignment w:val="baseline"/>
              <w:rPr>
                <w:rFonts w:hint="default" w:ascii="Times New Roman" w:hAnsi="Times New Roman" w:eastAsia="宋体" w:cs="Times New Roman"/>
                <w:color w:val="auto"/>
                <w:spacing w:val="-1"/>
                <w:sz w:val="24"/>
                <w:szCs w:val="24"/>
              </w:rPr>
            </w:pPr>
            <w:r>
              <w:rPr>
                <w:rFonts w:hint="default" w:ascii="Times New Roman" w:hAnsi="Times New Roman" w:eastAsia="宋体" w:cs="Times New Roman"/>
                <w:color w:val="auto"/>
                <w:spacing w:val="-4"/>
                <w:sz w:val="24"/>
                <w:szCs w:val="24"/>
              </w:rPr>
              <w:t>降尘</w:t>
            </w:r>
            <w:r>
              <w:rPr>
                <w:rFonts w:hint="eastAsia" w:ascii="Times New Roman" w:hAnsi="Times New Roman" w:cs="Times New Roman"/>
                <w:color w:val="auto"/>
                <w:spacing w:val="-4"/>
                <w:sz w:val="24"/>
                <w:szCs w:val="24"/>
                <w:lang w:val="en-US" w:eastAsia="zh-CN"/>
              </w:rPr>
              <w:t>用</w:t>
            </w:r>
            <w:r>
              <w:rPr>
                <w:rFonts w:hint="default" w:ascii="Times New Roman" w:hAnsi="Times New Roman" w:eastAsia="宋体" w:cs="Times New Roman"/>
                <w:color w:val="auto"/>
                <w:spacing w:val="-4"/>
                <w:sz w:val="24"/>
                <w:szCs w:val="24"/>
              </w:rPr>
              <w:t>水：</w:t>
            </w:r>
            <w:r>
              <w:rPr>
                <w:rFonts w:hint="eastAsia" w:ascii="Times New Roman" w:hAnsi="Times New Roman" w:cs="Times New Roman"/>
                <w:color w:val="auto"/>
                <w:spacing w:val="-4"/>
                <w:sz w:val="24"/>
                <w:szCs w:val="24"/>
                <w:lang w:val="en-US" w:eastAsia="zh-CN"/>
              </w:rPr>
              <w:t>为减少制砂生产线破碎、筛分过程产生的粉尘，以及</w:t>
            </w:r>
            <w:r>
              <w:rPr>
                <w:rFonts w:hint="default" w:ascii="Times New Roman" w:hAnsi="Times New Roman" w:eastAsia="宋体" w:cs="Times New Roman"/>
                <w:color w:val="auto"/>
                <w:spacing w:val="-4"/>
                <w:sz w:val="24"/>
                <w:szCs w:val="24"/>
              </w:rPr>
              <w:t>物料装卸和运输产生的粉尘</w:t>
            </w:r>
            <w:r>
              <w:rPr>
                <w:rFonts w:hint="eastAsia" w:ascii="Times New Roman" w:hAnsi="Times New Roman" w:cs="Times New Roman"/>
                <w:color w:val="auto"/>
                <w:spacing w:val="-4"/>
                <w:sz w:val="24"/>
                <w:szCs w:val="24"/>
                <w:lang w:eastAsia="zh-CN"/>
              </w:rPr>
              <w:t>，</w:t>
            </w:r>
            <w:r>
              <w:rPr>
                <w:rFonts w:hint="eastAsia" w:ascii="Times New Roman" w:hAnsi="Times New Roman" w:cs="Times New Roman"/>
                <w:color w:val="auto"/>
                <w:spacing w:val="-4"/>
                <w:sz w:val="24"/>
                <w:szCs w:val="24"/>
                <w:lang w:val="en-US" w:eastAsia="zh-CN"/>
              </w:rPr>
              <w:t>需要进行洒水降尘。破碎、筛分设备安装喷淋装置，对砂石物料进行喷淋降尘；物料装卸及运输过程进行喷雾降尘</w:t>
            </w:r>
            <w:r>
              <w:rPr>
                <w:rFonts w:hint="default" w:ascii="Times New Roman" w:hAnsi="Times New Roman" w:eastAsia="宋体" w:cs="Times New Roman"/>
                <w:color w:val="auto"/>
                <w:sz w:val="24"/>
                <w:szCs w:val="24"/>
              </w:rPr>
              <w:t>，以减少粉尘的产生量，根据建设单位提</w:t>
            </w:r>
            <w:r>
              <w:rPr>
                <w:rFonts w:hint="default" w:ascii="Times New Roman" w:hAnsi="Times New Roman" w:eastAsia="宋体" w:cs="Times New Roman"/>
                <w:color w:val="auto"/>
                <w:spacing w:val="-1"/>
                <w:sz w:val="24"/>
                <w:szCs w:val="24"/>
              </w:rPr>
              <w:t>供的资料，降尘用水约</w:t>
            </w:r>
            <w:r>
              <w:rPr>
                <w:rFonts w:hint="eastAsia" w:ascii="Times New Roman" w:hAnsi="Times New Roman" w:cs="Times New Roman"/>
                <w:color w:val="auto"/>
                <w:sz w:val="24"/>
                <w:szCs w:val="24"/>
                <w:lang w:val="en-US" w:eastAsia="zh-CN"/>
              </w:rPr>
              <w:t>5</w:t>
            </w:r>
            <w:r>
              <w:rPr>
                <w:rFonts w:hint="default" w:ascii="Times New Roman" w:hAnsi="Times New Roman" w:eastAsia="宋体" w:cs="Times New Roman"/>
                <w:color w:val="auto"/>
                <w:spacing w:val="-1"/>
                <w:sz w:val="24"/>
                <w:szCs w:val="24"/>
              </w:rPr>
              <w:t>m</w:t>
            </w:r>
            <w:r>
              <w:rPr>
                <w:rFonts w:hint="eastAsia" w:ascii="Times New Roman" w:hAnsi="Times New Roman" w:eastAsia="宋体" w:cs="Times New Roman"/>
                <w:color w:val="auto"/>
                <w:spacing w:val="-1"/>
                <w:sz w:val="24"/>
                <w:szCs w:val="24"/>
                <w:vertAlign w:val="superscript"/>
                <w:lang w:val="en-US" w:eastAsia="zh-CN"/>
              </w:rPr>
              <w:t>3</w:t>
            </w:r>
            <w:r>
              <w:rPr>
                <w:rFonts w:hint="default" w:ascii="Times New Roman" w:hAnsi="Times New Roman" w:eastAsia="宋体" w:cs="Times New Roman"/>
                <w:color w:val="auto"/>
                <w:spacing w:val="-1"/>
                <w:sz w:val="24"/>
                <w:szCs w:val="24"/>
              </w:rPr>
              <w:t>/d（</w:t>
            </w:r>
            <w:r>
              <w:rPr>
                <w:rFonts w:hint="eastAsia" w:ascii="Times New Roman" w:hAnsi="Times New Roman" w:cs="Times New Roman"/>
                <w:color w:val="auto"/>
                <w:spacing w:val="-1"/>
                <w:sz w:val="24"/>
                <w:szCs w:val="24"/>
                <w:lang w:val="en-US" w:eastAsia="zh-CN"/>
              </w:rPr>
              <w:t>1560</w:t>
            </w:r>
            <w:r>
              <w:rPr>
                <w:rFonts w:hint="default" w:ascii="Times New Roman" w:hAnsi="Times New Roman" w:eastAsia="宋体" w:cs="Times New Roman"/>
                <w:color w:val="auto"/>
                <w:spacing w:val="-1"/>
                <w:sz w:val="24"/>
                <w:szCs w:val="24"/>
              </w:rPr>
              <w:t>m</w:t>
            </w:r>
            <w:r>
              <w:rPr>
                <w:rFonts w:hint="eastAsia" w:ascii="Times New Roman" w:hAnsi="Times New Roman" w:eastAsia="宋体" w:cs="Times New Roman"/>
                <w:color w:val="auto"/>
                <w:spacing w:val="-1"/>
                <w:sz w:val="24"/>
                <w:szCs w:val="24"/>
                <w:vertAlign w:val="superscript"/>
                <w:lang w:val="en-US" w:eastAsia="zh-CN"/>
              </w:rPr>
              <w:t>3</w:t>
            </w:r>
            <w:r>
              <w:rPr>
                <w:rFonts w:hint="default" w:ascii="Times New Roman" w:hAnsi="Times New Roman" w:eastAsia="宋体" w:cs="Times New Roman"/>
                <w:color w:val="auto"/>
                <w:spacing w:val="-1"/>
                <w:sz w:val="24"/>
                <w:szCs w:val="24"/>
              </w:rPr>
              <w:t>/a</w:t>
            </w:r>
            <w:r>
              <w:rPr>
                <w:rFonts w:hint="default" w:ascii="Times New Roman" w:hAnsi="Times New Roman" w:eastAsia="宋体" w:cs="Times New Roman"/>
                <w:color w:val="auto"/>
                <w:spacing w:val="8"/>
                <w:sz w:val="24"/>
                <w:szCs w:val="24"/>
              </w:rPr>
              <w:t>）</w:t>
            </w:r>
            <w:r>
              <w:rPr>
                <w:rFonts w:hint="default" w:ascii="Times New Roman" w:hAnsi="Times New Roman" w:eastAsia="宋体" w:cs="Times New Roman"/>
                <w:color w:val="auto"/>
                <w:spacing w:val="-1"/>
                <w:sz w:val="24"/>
                <w:szCs w:val="24"/>
              </w:rPr>
              <w:t>。</w:t>
            </w:r>
          </w:p>
          <w:p w14:paraId="56FFEEA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
                <w:sz w:val="24"/>
                <w:szCs w:val="24"/>
              </w:rPr>
              <w:t>2）排水</w:t>
            </w:r>
          </w:p>
          <w:p w14:paraId="66163698">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08" w:right="102" w:firstLine="481"/>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本项目排水系统采用雨污分流制。项目</w:t>
            </w:r>
            <w:r>
              <w:rPr>
                <w:rFonts w:hint="eastAsia" w:ascii="Times New Roman" w:hAnsi="Times New Roman" w:cs="Times New Roman"/>
                <w:color w:val="auto"/>
                <w:sz w:val="24"/>
                <w:szCs w:val="24"/>
                <w:lang w:val="en-US" w:eastAsia="zh-CN"/>
              </w:rPr>
              <w:t>废水</w:t>
            </w:r>
            <w:r>
              <w:rPr>
                <w:rFonts w:hint="default" w:ascii="Times New Roman" w:hAnsi="Times New Roman" w:eastAsia="宋体" w:cs="Times New Roman"/>
                <w:color w:val="auto"/>
                <w:sz w:val="24"/>
                <w:szCs w:val="24"/>
              </w:rPr>
              <w:t>主要为生活污水和生产废水</w:t>
            </w:r>
            <w:r>
              <w:rPr>
                <w:rFonts w:hint="default" w:ascii="Times New Roman" w:hAnsi="Times New Roman" w:eastAsia="宋体" w:cs="Times New Roman"/>
                <w:color w:val="auto"/>
                <w:spacing w:val="12"/>
                <w:sz w:val="24"/>
                <w:szCs w:val="24"/>
              </w:rPr>
              <w:t xml:space="preserve"> </w:t>
            </w:r>
            <w:r>
              <w:rPr>
                <w:rFonts w:hint="default" w:ascii="Times New Roman" w:hAnsi="Times New Roman" w:eastAsia="宋体" w:cs="Times New Roman"/>
                <w:color w:val="auto"/>
                <w:spacing w:val="-1"/>
                <w:sz w:val="24"/>
                <w:szCs w:val="24"/>
              </w:rPr>
              <w:t>以及初期雨水，其中生产废水经沉淀+</w:t>
            </w:r>
            <w:r>
              <w:rPr>
                <w:rFonts w:hint="eastAsia" w:ascii="Times New Roman" w:hAnsi="Times New Roman" w:cs="Times New Roman"/>
                <w:color w:val="auto"/>
                <w:spacing w:val="-1"/>
                <w:sz w:val="24"/>
                <w:szCs w:val="24"/>
                <w:lang w:val="en-US" w:eastAsia="zh-CN"/>
              </w:rPr>
              <w:t>过滤罐</w:t>
            </w:r>
            <w:r>
              <w:rPr>
                <w:rFonts w:hint="default" w:ascii="Times New Roman" w:hAnsi="Times New Roman" w:eastAsia="宋体" w:cs="Times New Roman"/>
                <w:color w:val="auto"/>
                <w:spacing w:val="-1"/>
                <w:sz w:val="24"/>
                <w:szCs w:val="24"/>
              </w:rPr>
              <w:t>+板框压滤后回用，不外排。</w:t>
            </w:r>
          </w:p>
          <w:p w14:paraId="4236352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1" w:right="102" w:firstLine="477"/>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
                <w:sz w:val="24"/>
                <w:szCs w:val="24"/>
              </w:rPr>
              <w:t>①生活污水：项目员工生活用水量为</w:t>
            </w:r>
            <w:r>
              <w:rPr>
                <w:rFonts w:hint="eastAsia" w:ascii="Times New Roman" w:hAnsi="Times New Roman" w:cs="Times New Roman"/>
                <w:color w:val="auto"/>
                <w:spacing w:val="-1"/>
                <w:sz w:val="24"/>
                <w:szCs w:val="24"/>
                <w:lang w:val="en-US" w:eastAsia="zh-CN"/>
              </w:rPr>
              <w:t>110</w:t>
            </w:r>
            <w:r>
              <w:rPr>
                <w:rFonts w:hint="default" w:ascii="Times New Roman" w:hAnsi="Times New Roman" w:eastAsia="宋体" w:cs="Times New Roman"/>
                <w:color w:val="auto"/>
                <w:spacing w:val="-7"/>
                <w:sz w:val="24"/>
                <w:szCs w:val="24"/>
              </w:rPr>
              <w:t>m</w:t>
            </w:r>
            <w:r>
              <w:rPr>
                <w:rFonts w:hint="eastAsia" w:ascii="Times New Roman" w:hAnsi="Times New Roman" w:eastAsia="宋体" w:cs="Times New Roman"/>
                <w:color w:val="auto"/>
                <w:spacing w:val="-7"/>
                <w:sz w:val="24"/>
                <w:szCs w:val="24"/>
                <w:vertAlign w:val="superscript"/>
                <w:lang w:val="en-US" w:eastAsia="zh-CN"/>
              </w:rPr>
              <w:t>3</w:t>
            </w:r>
            <w:r>
              <w:rPr>
                <w:rFonts w:hint="default" w:ascii="Times New Roman" w:hAnsi="Times New Roman" w:eastAsia="宋体" w:cs="Times New Roman"/>
                <w:color w:val="auto"/>
                <w:spacing w:val="-1"/>
                <w:sz w:val="24"/>
                <w:szCs w:val="24"/>
              </w:rPr>
              <w:t>/a（</w:t>
            </w:r>
            <w:r>
              <w:rPr>
                <w:rFonts w:hint="eastAsia" w:ascii="Times New Roman" w:hAnsi="Times New Roman" w:eastAsia="宋体" w:cs="Times New Roman"/>
                <w:color w:val="auto"/>
                <w:spacing w:val="-1"/>
                <w:sz w:val="24"/>
                <w:szCs w:val="24"/>
                <w:lang w:val="en-US" w:eastAsia="zh-CN"/>
              </w:rPr>
              <w:t>0</w:t>
            </w:r>
            <w:r>
              <w:rPr>
                <w:rFonts w:hint="eastAsia" w:ascii="Times New Roman" w:hAnsi="Times New Roman" w:cs="Times New Roman"/>
                <w:color w:val="auto"/>
                <w:spacing w:val="-1"/>
                <w:sz w:val="24"/>
                <w:szCs w:val="24"/>
                <w:lang w:val="en-US" w:eastAsia="zh-CN"/>
              </w:rPr>
              <w:t>.35</w:t>
            </w:r>
            <w:r>
              <w:rPr>
                <w:rFonts w:hint="default" w:ascii="Times New Roman" w:hAnsi="Times New Roman" w:eastAsia="宋体" w:cs="Times New Roman"/>
                <w:color w:val="auto"/>
                <w:spacing w:val="-1"/>
                <w:sz w:val="24"/>
                <w:szCs w:val="24"/>
              </w:rPr>
              <w:t>m</w:t>
            </w:r>
            <w:r>
              <w:rPr>
                <w:rFonts w:hint="eastAsia" w:ascii="Times New Roman" w:hAnsi="Times New Roman" w:eastAsia="宋体" w:cs="Times New Roman"/>
                <w:color w:val="auto"/>
                <w:spacing w:val="-1"/>
                <w:sz w:val="24"/>
                <w:szCs w:val="24"/>
                <w:vertAlign w:val="superscript"/>
                <w:lang w:val="en-US" w:eastAsia="zh-CN"/>
              </w:rPr>
              <w:t>3</w:t>
            </w:r>
            <w:r>
              <w:rPr>
                <w:rFonts w:hint="default" w:ascii="Times New Roman" w:hAnsi="Times New Roman" w:eastAsia="宋体" w:cs="Times New Roman"/>
                <w:color w:val="auto"/>
                <w:spacing w:val="-1"/>
                <w:sz w:val="24"/>
                <w:szCs w:val="24"/>
              </w:rPr>
              <w:t>/d）</w:t>
            </w:r>
            <w:r>
              <w:rPr>
                <w:rFonts w:hint="default" w:ascii="Times New Roman" w:hAnsi="Times New Roman" w:eastAsia="宋体" w:cs="Times New Roman"/>
                <w:color w:val="auto"/>
                <w:spacing w:val="12"/>
                <w:sz w:val="24"/>
                <w:szCs w:val="24"/>
              </w:rPr>
              <w:t>，</w:t>
            </w:r>
            <w:r>
              <w:rPr>
                <w:rFonts w:hint="default" w:ascii="Times New Roman" w:hAnsi="Times New Roman" w:eastAsia="宋体" w:cs="Times New Roman"/>
                <w:color w:val="auto"/>
                <w:spacing w:val="1"/>
                <w:sz w:val="24"/>
                <w:szCs w:val="24"/>
              </w:rPr>
              <w:t>生活污水按</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2"/>
                <w:sz w:val="24"/>
                <w:szCs w:val="24"/>
              </w:rPr>
              <w:t>用水量的</w:t>
            </w:r>
            <w:r>
              <w:rPr>
                <w:rFonts w:hint="default" w:ascii="Times New Roman" w:hAnsi="Times New Roman" w:eastAsia="宋体" w:cs="Times New Roman"/>
                <w:color w:val="auto"/>
                <w:spacing w:val="-37"/>
                <w:sz w:val="24"/>
                <w:szCs w:val="24"/>
              </w:rPr>
              <w:t xml:space="preserve"> </w:t>
            </w:r>
            <w:r>
              <w:rPr>
                <w:rFonts w:hint="default" w:ascii="Times New Roman" w:hAnsi="Times New Roman" w:eastAsia="宋体" w:cs="Times New Roman"/>
                <w:color w:val="auto"/>
                <w:spacing w:val="-2"/>
                <w:sz w:val="24"/>
                <w:szCs w:val="24"/>
              </w:rPr>
              <w:t>90%计，即生活污水为</w:t>
            </w:r>
            <w:r>
              <w:rPr>
                <w:rFonts w:hint="eastAsia" w:ascii="Times New Roman" w:hAnsi="Times New Roman" w:cs="Times New Roman"/>
                <w:color w:val="auto"/>
                <w:spacing w:val="-2"/>
                <w:sz w:val="24"/>
                <w:szCs w:val="24"/>
                <w:lang w:val="en-US" w:eastAsia="zh-CN"/>
              </w:rPr>
              <w:t>99</w:t>
            </w:r>
            <w:r>
              <w:rPr>
                <w:rFonts w:hint="default" w:ascii="Times New Roman" w:hAnsi="Times New Roman" w:eastAsia="宋体" w:cs="Times New Roman"/>
                <w:color w:val="auto"/>
                <w:spacing w:val="-2"/>
                <w:sz w:val="24"/>
                <w:szCs w:val="24"/>
              </w:rPr>
              <w:t>m</w:t>
            </w:r>
            <w:r>
              <w:rPr>
                <w:rFonts w:hint="eastAsia" w:ascii="Times New Roman" w:hAnsi="Times New Roman" w:cs="Times New Roman"/>
                <w:color w:val="auto"/>
                <w:spacing w:val="-2"/>
                <w:sz w:val="24"/>
                <w:szCs w:val="24"/>
                <w:vertAlign w:val="superscript"/>
                <w:lang w:val="en-US" w:eastAsia="zh-CN"/>
              </w:rPr>
              <w:t>3</w:t>
            </w:r>
            <w:r>
              <w:rPr>
                <w:rFonts w:hint="default" w:ascii="Times New Roman" w:hAnsi="Times New Roman" w:eastAsia="宋体" w:cs="Times New Roman"/>
                <w:color w:val="auto"/>
                <w:spacing w:val="-2"/>
                <w:sz w:val="24"/>
                <w:szCs w:val="24"/>
              </w:rPr>
              <w:t>/</w:t>
            </w:r>
            <w:r>
              <w:rPr>
                <w:rFonts w:hint="eastAsia" w:ascii="Times New Roman" w:hAnsi="Times New Roman" w:cs="Times New Roman"/>
                <w:color w:val="auto"/>
                <w:spacing w:val="-2"/>
                <w:sz w:val="24"/>
                <w:szCs w:val="24"/>
                <w:lang w:val="en-US" w:eastAsia="zh-CN"/>
              </w:rPr>
              <w:t>a</w:t>
            </w:r>
            <w:r>
              <w:rPr>
                <w:rFonts w:hint="default" w:ascii="Times New Roman" w:hAnsi="Times New Roman" w:eastAsia="宋体" w:cs="Times New Roman"/>
                <w:color w:val="auto"/>
                <w:spacing w:val="-2"/>
                <w:sz w:val="24"/>
                <w:szCs w:val="24"/>
              </w:rPr>
              <w:t>（</w:t>
            </w:r>
            <w:r>
              <w:rPr>
                <w:rFonts w:hint="eastAsia" w:ascii="Times New Roman" w:hAnsi="Times New Roman" w:cs="Times New Roman"/>
                <w:color w:val="auto"/>
                <w:spacing w:val="-2"/>
                <w:sz w:val="24"/>
                <w:szCs w:val="24"/>
                <w:lang w:val="en-US" w:eastAsia="zh-CN"/>
              </w:rPr>
              <w:t>0.32</w:t>
            </w:r>
            <w:r>
              <w:rPr>
                <w:rFonts w:hint="default" w:ascii="Times New Roman" w:hAnsi="Times New Roman" w:eastAsia="宋体" w:cs="Times New Roman"/>
                <w:color w:val="auto"/>
                <w:spacing w:val="-2"/>
                <w:sz w:val="24"/>
                <w:szCs w:val="24"/>
              </w:rPr>
              <w:t>m</w:t>
            </w:r>
            <w:r>
              <w:rPr>
                <w:rFonts w:hint="eastAsia" w:ascii="Times New Roman" w:hAnsi="Times New Roman" w:cs="Times New Roman"/>
                <w:color w:val="auto"/>
                <w:spacing w:val="-2"/>
                <w:sz w:val="24"/>
                <w:szCs w:val="24"/>
                <w:vertAlign w:val="superscript"/>
                <w:lang w:val="en-US" w:eastAsia="zh-CN"/>
              </w:rPr>
              <w:t>3</w:t>
            </w:r>
            <w:r>
              <w:rPr>
                <w:rFonts w:hint="default" w:ascii="Times New Roman" w:hAnsi="Times New Roman" w:eastAsia="宋体" w:cs="Times New Roman"/>
                <w:color w:val="auto"/>
                <w:spacing w:val="-2"/>
                <w:sz w:val="24"/>
                <w:szCs w:val="24"/>
              </w:rPr>
              <w:t>/a）。生活污水经化粪池处</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1"/>
                <w:sz w:val="24"/>
                <w:szCs w:val="24"/>
              </w:rPr>
              <w:t>理后用于</w:t>
            </w:r>
            <w:r>
              <w:rPr>
                <w:rFonts w:hint="eastAsia" w:ascii="Times New Roman" w:hAnsi="Times New Roman" w:cs="Times New Roman"/>
                <w:color w:val="auto"/>
                <w:spacing w:val="-1"/>
                <w:sz w:val="24"/>
                <w:szCs w:val="24"/>
                <w:lang w:val="en-US" w:eastAsia="zh-CN"/>
              </w:rPr>
              <w:t>周边林地灌溉</w:t>
            </w:r>
            <w:r>
              <w:rPr>
                <w:rFonts w:hint="default" w:ascii="Times New Roman" w:hAnsi="Times New Roman" w:eastAsia="宋体" w:cs="Times New Roman"/>
                <w:color w:val="auto"/>
                <w:spacing w:val="-1"/>
                <w:sz w:val="24"/>
                <w:szCs w:val="24"/>
              </w:rPr>
              <w:t>，不排放。</w:t>
            </w:r>
          </w:p>
          <w:p w14:paraId="5E758739">
            <w:pPr>
              <w:pStyle w:val="22"/>
              <w:spacing w:before="32" w:line="347" w:lineRule="auto"/>
              <w:ind w:left="109" w:right="102" w:firstLine="484"/>
              <w:rPr>
                <w:color w:val="auto"/>
              </w:rPr>
            </w:pPr>
            <w:r>
              <w:rPr>
                <w:rFonts w:hint="default" w:ascii="Times New Roman" w:hAnsi="Times New Roman" w:eastAsia="宋体" w:cs="Times New Roman"/>
                <w:color w:val="auto"/>
                <w:sz w:val="24"/>
                <w:szCs w:val="24"/>
              </w:rPr>
              <w:t>②生产废水：混凝土搅拌站生产过程中工艺用水全部进入产品，</w:t>
            </w:r>
            <w:r>
              <w:rPr>
                <w:rFonts w:hint="eastAsia" w:ascii="Times New Roman" w:hAnsi="Times New Roman" w:cs="Times New Roman"/>
                <w:color w:val="auto"/>
                <w:sz w:val="24"/>
                <w:szCs w:val="24"/>
                <w:lang w:val="en-US" w:eastAsia="zh-CN"/>
              </w:rPr>
              <w:t>降尘用水被砂石料吸收或者蒸发，无废水产生。项目生产</w:t>
            </w:r>
            <w:r>
              <w:rPr>
                <w:rFonts w:hint="default" w:ascii="Times New Roman" w:hAnsi="Times New Roman" w:eastAsia="宋体" w:cs="Times New Roman"/>
                <w:color w:val="auto"/>
                <w:sz w:val="24"/>
                <w:szCs w:val="24"/>
              </w:rPr>
              <w:t>废水主</w:t>
            </w:r>
            <w:r>
              <w:rPr>
                <w:rFonts w:hint="default" w:ascii="Times New Roman" w:hAnsi="Times New Roman" w:eastAsia="宋体" w:cs="Times New Roman"/>
                <w:color w:val="auto"/>
                <w:spacing w:val="-1"/>
                <w:sz w:val="24"/>
                <w:szCs w:val="24"/>
              </w:rPr>
              <w:t>要包括</w:t>
            </w:r>
            <w:r>
              <w:rPr>
                <w:rFonts w:hint="eastAsia" w:ascii="Times New Roman" w:hAnsi="Times New Roman" w:cs="Times New Roman"/>
                <w:color w:val="auto"/>
                <w:spacing w:val="-1"/>
                <w:sz w:val="24"/>
                <w:szCs w:val="24"/>
                <w:lang w:val="en-US" w:eastAsia="zh-CN"/>
              </w:rPr>
              <w:t>洗砂废水、</w:t>
            </w:r>
            <w:r>
              <w:rPr>
                <w:rFonts w:hint="default" w:ascii="Times New Roman" w:hAnsi="Times New Roman" w:eastAsia="宋体" w:cs="Times New Roman"/>
                <w:color w:val="auto"/>
                <w:spacing w:val="-1"/>
                <w:sz w:val="24"/>
                <w:szCs w:val="24"/>
              </w:rPr>
              <w:t>设备清洗废水、地面清洗废水和车辆冲洗废水。</w:t>
            </w:r>
          </w:p>
          <w:p w14:paraId="04302FF3">
            <w:pPr>
              <w:pStyle w:val="22"/>
              <w:keepNext w:val="0"/>
              <w:keepLines w:val="0"/>
              <w:pageBreakBefore w:val="0"/>
              <w:widowControl/>
              <w:kinsoku w:val="0"/>
              <w:wordWrap/>
              <w:overflowPunct/>
              <w:topLinePunct w:val="0"/>
              <w:autoSpaceDE w:val="0"/>
              <w:autoSpaceDN w:val="0"/>
              <w:bidi w:val="0"/>
              <w:adjustRightInd w:val="0"/>
              <w:snapToGrid w:val="0"/>
              <w:spacing w:line="351" w:lineRule="auto"/>
              <w:ind w:left="119" w:firstLine="482"/>
              <w:jc w:val="both"/>
              <w:textAlignment w:val="baseline"/>
              <w:rPr>
                <w:rFonts w:hint="default" w:eastAsia="宋体"/>
                <w:color w:val="auto"/>
                <w:spacing w:val="-2"/>
                <w:lang w:val="en-US" w:eastAsia="zh-CN"/>
              </w:rPr>
            </w:pPr>
            <w:r>
              <w:rPr>
                <w:rFonts w:hint="default" w:ascii="Times New Roman" w:hAnsi="Times New Roman" w:cs="Times New Roman"/>
                <w:color w:val="auto"/>
                <w:spacing w:val="-2"/>
                <w:lang w:val="en-US" w:eastAsia="zh-CN"/>
              </w:rPr>
              <w:t>1</w:t>
            </w:r>
            <w:r>
              <w:rPr>
                <w:rFonts w:hint="eastAsia"/>
                <w:color w:val="auto"/>
                <w:spacing w:val="-2"/>
                <w:lang w:val="en-US" w:eastAsia="zh-CN"/>
              </w:rPr>
              <w:t>）洗砂废水：本项目洗砂用水量为</w:t>
            </w:r>
            <w:r>
              <w:rPr>
                <w:rFonts w:hint="eastAsia" w:ascii="Times New Roman" w:hAnsi="Times New Roman" w:cs="Times New Roman"/>
                <w:color w:val="auto"/>
                <w:spacing w:val="-4"/>
                <w:sz w:val="24"/>
                <w:szCs w:val="24"/>
                <w:lang w:val="en-US" w:eastAsia="zh-CN"/>
              </w:rPr>
              <w:t>47568m</w:t>
            </w:r>
            <w:r>
              <w:rPr>
                <w:rFonts w:hint="eastAsia" w:ascii="Times New Roman" w:hAnsi="Times New Roman" w:cs="Times New Roman"/>
                <w:color w:val="auto"/>
                <w:spacing w:val="-4"/>
                <w:sz w:val="24"/>
                <w:szCs w:val="24"/>
                <w:vertAlign w:val="superscript"/>
                <w:lang w:val="en-US" w:eastAsia="zh-CN"/>
              </w:rPr>
              <w:t>3</w:t>
            </w:r>
            <w:r>
              <w:rPr>
                <w:rFonts w:hint="eastAsia" w:ascii="Times New Roman" w:hAnsi="Times New Roman" w:cs="Times New Roman"/>
                <w:color w:val="auto"/>
                <w:spacing w:val="-4"/>
                <w:sz w:val="24"/>
                <w:szCs w:val="24"/>
                <w:lang w:val="en-US" w:eastAsia="zh-CN"/>
              </w:rPr>
              <w:t>/a（152.46m</w:t>
            </w:r>
            <w:r>
              <w:rPr>
                <w:rFonts w:hint="eastAsia" w:ascii="Times New Roman" w:hAnsi="Times New Roman" w:cs="Times New Roman"/>
                <w:color w:val="auto"/>
                <w:spacing w:val="-4"/>
                <w:sz w:val="24"/>
                <w:szCs w:val="24"/>
                <w:vertAlign w:val="superscript"/>
                <w:lang w:val="en-US" w:eastAsia="zh-CN"/>
              </w:rPr>
              <w:t>3</w:t>
            </w:r>
            <w:r>
              <w:rPr>
                <w:rFonts w:hint="eastAsia" w:ascii="Times New Roman" w:hAnsi="Times New Roman" w:cs="Times New Roman"/>
                <w:color w:val="auto"/>
                <w:spacing w:val="-4"/>
                <w:sz w:val="24"/>
                <w:szCs w:val="24"/>
                <w:lang w:val="en-US" w:eastAsia="zh-CN"/>
              </w:rPr>
              <w:t>/d），产污系数按0.9，则废水量约42811.2m</w:t>
            </w:r>
            <w:r>
              <w:rPr>
                <w:rFonts w:hint="eastAsia" w:ascii="Times New Roman" w:hAnsi="Times New Roman" w:cs="Times New Roman"/>
                <w:color w:val="auto"/>
                <w:spacing w:val="-4"/>
                <w:sz w:val="24"/>
                <w:szCs w:val="24"/>
                <w:vertAlign w:val="superscript"/>
                <w:lang w:val="en-US" w:eastAsia="zh-CN"/>
              </w:rPr>
              <w:t>3</w:t>
            </w:r>
            <w:r>
              <w:rPr>
                <w:rFonts w:hint="eastAsia" w:ascii="Times New Roman" w:hAnsi="Times New Roman" w:cs="Times New Roman"/>
                <w:color w:val="auto"/>
                <w:spacing w:val="-4"/>
                <w:sz w:val="24"/>
                <w:szCs w:val="24"/>
                <w:lang w:val="en-US" w:eastAsia="zh-CN"/>
              </w:rPr>
              <w:t>/a（137.3m</w:t>
            </w:r>
            <w:r>
              <w:rPr>
                <w:rFonts w:hint="eastAsia" w:ascii="Times New Roman" w:hAnsi="Times New Roman" w:cs="Times New Roman"/>
                <w:color w:val="auto"/>
                <w:spacing w:val="-4"/>
                <w:sz w:val="24"/>
                <w:szCs w:val="24"/>
                <w:vertAlign w:val="superscript"/>
                <w:lang w:val="en-US" w:eastAsia="zh-CN"/>
              </w:rPr>
              <w:t>3</w:t>
            </w:r>
            <w:r>
              <w:rPr>
                <w:rFonts w:hint="eastAsia" w:ascii="Times New Roman" w:hAnsi="Times New Roman" w:cs="Times New Roman"/>
                <w:color w:val="auto"/>
                <w:spacing w:val="-4"/>
                <w:sz w:val="24"/>
                <w:szCs w:val="24"/>
                <w:lang w:val="en-US" w:eastAsia="zh-CN"/>
              </w:rPr>
              <w:t>/d），经沉淀+过滤罐+板框压滤处理后回 用于生产，不外排。</w:t>
            </w:r>
          </w:p>
          <w:p w14:paraId="1764314A">
            <w:pPr>
              <w:pStyle w:val="22"/>
              <w:keepNext w:val="0"/>
              <w:keepLines w:val="0"/>
              <w:pageBreakBefore w:val="0"/>
              <w:widowControl/>
              <w:kinsoku w:val="0"/>
              <w:wordWrap/>
              <w:overflowPunct/>
              <w:topLinePunct w:val="0"/>
              <w:autoSpaceDE w:val="0"/>
              <w:autoSpaceDN w:val="0"/>
              <w:bidi w:val="0"/>
              <w:adjustRightInd w:val="0"/>
              <w:snapToGrid w:val="0"/>
              <w:spacing w:line="351" w:lineRule="auto"/>
              <w:ind w:left="119" w:firstLine="482"/>
              <w:jc w:val="both"/>
              <w:textAlignment w:val="baseline"/>
              <w:rPr>
                <w:color w:val="auto"/>
              </w:rPr>
            </w:pPr>
            <w:r>
              <w:rPr>
                <w:rFonts w:hint="default" w:ascii="Times New Roman" w:hAnsi="Times New Roman" w:cs="Times New Roman"/>
                <w:color w:val="auto"/>
                <w:spacing w:val="-2"/>
                <w:lang w:val="en-US" w:eastAsia="zh-CN"/>
              </w:rPr>
              <w:t>2</w:t>
            </w:r>
            <w:r>
              <w:rPr>
                <w:rFonts w:hint="eastAsia"/>
                <w:color w:val="auto"/>
                <w:spacing w:val="-2"/>
                <w:lang w:val="en-US" w:eastAsia="zh-CN"/>
              </w:rPr>
              <w:t>）</w:t>
            </w:r>
            <w:r>
              <w:rPr>
                <w:color w:val="auto"/>
                <w:spacing w:val="-2"/>
              </w:rPr>
              <w:t>设备清洗废水：本项目设备清洗用水量</w:t>
            </w:r>
            <w:r>
              <w:rPr>
                <w:color w:val="auto"/>
                <w:spacing w:val="-55"/>
              </w:rPr>
              <w:t xml:space="preserve"> </w:t>
            </w:r>
            <w:r>
              <w:rPr>
                <w:rFonts w:hint="eastAsia" w:ascii="Times New Roman" w:hAnsi="Times New Roman" w:cs="Times New Roman"/>
                <w:color w:val="auto"/>
                <w:spacing w:val="-2"/>
                <w:lang w:val="en-US" w:eastAsia="zh-CN"/>
              </w:rPr>
              <w:t>1</w:t>
            </w:r>
            <w:r>
              <w:rPr>
                <w:rFonts w:ascii="Times New Roman" w:hAnsi="Times New Roman" w:eastAsia="Times New Roman" w:cs="Times New Roman"/>
                <w:color w:val="auto"/>
                <w:spacing w:val="-2"/>
              </w:rPr>
              <w:t>m</w:t>
            </w:r>
            <w:r>
              <w:rPr>
                <w:rFonts w:ascii="Times New Roman" w:hAnsi="Times New Roman" w:eastAsia="Times New Roman" w:cs="Times New Roman"/>
                <w:color w:val="auto"/>
                <w:spacing w:val="-2"/>
                <w:position w:val="7"/>
                <w:sz w:val="15"/>
                <w:szCs w:val="15"/>
              </w:rPr>
              <w:t>3</w:t>
            </w:r>
            <w:r>
              <w:rPr>
                <w:rFonts w:ascii="Times New Roman" w:hAnsi="Times New Roman" w:eastAsia="Times New Roman" w:cs="Times New Roman"/>
                <w:color w:val="auto"/>
                <w:spacing w:val="-2"/>
              </w:rPr>
              <w:t>/d</w:t>
            </w:r>
            <w:r>
              <w:rPr>
                <w:color w:val="auto"/>
                <w:spacing w:val="-2"/>
              </w:rPr>
              <w:t>（</w:t>
            </w:r>
            <w:r>
              <w:rPr>
                <w:rFonts w:hint="eastAsia" w:ascii="Times New Roman" w:hAnsi="Times New Roman" w:cs="Times New Roman"/>
                <w:color w:val="auto"/>
                <w:spacing w:val="-2"/>
                <w:lang w:val="en-US" w:eastAsia="zh-CN"/>
              </w:rPr>
              <w:t>312</w:t>
            </w:r>
            <w:r>
              <w:rPr>
                <w:rFonts w:ascii="Times New Roman" w:hAnsi="Times New Roman" w:eastAsia="Times New Roman" w:cs="Times New Roman"/>
                <w:color w:val="auto"/>
                <w:spacing w:val="-2"/>
              </w:rPr>
              <w:t>m</w:t>
            </w:r>
            <w:r>
              <w:rPr>
                <w:rFonts w:ascii="Times New Roman" w:hAnsi="Times New Roman" w:eastAsia="Times New Roman" w:cs="Times New Roman"/>
                <w:color w:val="auto"/>
                <w:spacing w:val="-2"/>
                <w:position w:val="7"/>
                <w:sz w:val="15"/>
                <w:szCs w:val="15"/>
              </w:rPr>
              <w:t>3</w:t>
            </w:r>
            <w:r>
              <w:rPr>
                <w:rFonts w:ascii="Times New Roman" w:hAnsi="Times New Roman" w:eastAsia="Times New Roman" w:cs="Times New Roman"/>
                <w:color w:val="auto"/>
                <w:spacing w:val="-2"/>
              </w:rPr>
              <w:t>/a</w:t>
            </w:r>
            <w:r>
              <w:rPr>
                <w:color w:val="auto"/>
                <w:spacing w:val="-15"/>
              </w:rPr>
              <w:t>），</w:t>
            </w:r>
            <w:r>
              <w:rPr>
                <w:color w:val="auto"/>
                <w:spacing w:val="-2"/>
              </w:rPr>
              <w:t>产污系数按</w:t>
            </w:r>
            <w:r>
              <w:rPr>
                <w:color w:val="auto"/>
              </w:rPr>
              <w:t xml:space="preserve"> </w:t>
            </w:r>
            <w:r>
              <w:rPr>
                <w:rFonts w:ascii="Times New Roman" w:hAnsi="Times New Roman" w:eastAsia="Times New Roman" w:cs="Times New Roman"/>
                <w:color w:val="auto"/>
                <w:spacing w:val="-2"/>
              </w:rPr>
              <w:t>0.9</w:t>
            </w:r>
            <w:r>
              <w:rPr>
                <w:color w:val="auto"/>
                <w:spacing w:val="-2"/>
              </w:rPr>
              <w:t>，则废水量约</w:t>
            </w:r>
            <w:r>
              <w:rPr>
                <w:color w:val="auto"/>
                <w:spacing w:val="-49"/>
              </w:rPr>
              <w:t xml:space="preserve"> </w:t>
            </w:r>
            <w:r>
              <w:rPr>
                <w:rFonts w:hint="eastAsia" w:ascii="Times New Roman" w:hAnsi="Times New Roman" w:cs="Times New Roman"/>
                <w:color w:val="auto"/>
                <w:spacing w:val="-2"/>
                <w:lang w:val="en-US" w:eastAsia="zh-CN"/>
              </w:rPr>
              <w:t>0.9</w:t>
            </w:r>
            <w:r>
              <w:rPr>
                <w:rFonts w:ascii="Times New Roman" w:hAnsi="Times New Roman" w:eastAsia="Times New Roman" w:cs="Times New Roman"/>
                <w:color w:val="auto"/>
                <w:spacing w:val="-2"/>
              </w:rPr>
              <w:t>m</w:t>
            </w:r>
            <w:r>
              <w:rPr>
                <w:rFonts w:ascii="Times New Roman" w:hAnsi="Times New Roman" w:eastAsia="Times New Roman" w:cs="Times New Roman"/>
                <w:color w:val="auto"/>
                <w:spacing w:val="-2"/>
                <w:position w:val="7"/>
                <w:sz w:val="15"/>
                <w:szCs w:val="15"/>
              </w:rPr>
              <w:t>3</w:t>
            </w:r>
            <w:r>
              <w:rPr>
                <w:rFonts w:ascii="Times New Roman" w:hAnsi="Times New Roman" w:eastAsia="Times New Roman" w:cs="Times New Roman"/>
                <w:color w:val="auto"/>
                <w:spacing w:val="-2"/>
              </w:rPr>
              <w:t>/d</w:t>
            </w:r>
            <w:r>
              <w:rPr>
                <w:color w:val="auto"/>
                <w:spacing w:val="-2"/>
              </w:rPr>
              <w:t>（</w:t>
            </w:r>
            <w:r>
              <w:rPr>
                <w:rFonts w:hint="eastAsia" w:ascii="Times New Roman" w:hAnsi="Times New Roman" w:cs="Times New Roman"/>
                <w:color w:val="auto"/>
                <w:spacing w:val="-2"/>
                <w:lang w:val="en-US" w:eastAsia="zh-CN"/>
              </w:rPr>
              <w:t>280.8</w:t>
            </w:r>
            <w:r>
              <w:rPr>
                <w:rFonts w:ascii="Times New Roman" w:hAnsi="Times New Roman" w:eastAsia="Times New Roman" w:cs="Times New Roman"/>
                <w:color w:val="auto"/>
                <w:spacing w:val="-2"/>
              </w:rPr>
              <w:t>m</w:t>
            </w:r>
            <w:r>
              <w:rPr>
                <w:rFonts w:ascii="Times New Roman" w:hAnsi="Times New Roman" w:eastAsia="Times New Roman" w:cs="Times New Roman"/>
                <w:color w:val="auto"/>
                <w:spacing w:val="-2"/>
                <w:position w:val="7"/>
                <w:sz w:val="15"/>
                <w:szCs w:val="15"/>
              </w:rPr>
              <w:t>3</w:t>
            </w:r>
            <w:r>
              <w:rPr>
                <w:rFonts w:ascii="Times New Roman" w:hAnsi="Times New Roman" w:eastAsia="Times New Roman" w:cs="Times New Roman"/>
                <w:color w:val="auto"/>
                <w:spacing w:val="-2"/>
              </w:rPr>
              <w:t>/a</w:t>
            </w:r>
            <w:r>
              <w:rPr>
                <w:color w:val="auto"/>
                <w:spacing w:val="-24"/>
              </w:rPr>
              <w:t>），</w:t>
            </w:r>
            <w:r>
              <w:rPr>
                <w:color w:val="auto"/>
                <w:spacing w:val="-2"/>
              </w:rPr>
              <w:t>经沉淀</w:t>
            </w:r>
            <w:r>
              <w:rPr>
                <w:rFonts w:ascii="Times New Roman" w:hAnsi="Times New Roman" w:eastAsia="Times New Roman" w:cs="Times New Roman"/>
                <w:color w:val="auto"/>
                <w:spacing w:val="-2"/>
              </w:rPr>
              <w:t>+</w:t>
            </w:r>
            <w:r>
              <w:rPr>
                <w:rFonts w:hint="eastAsia" w:ascii="Times New Roman" w:hAnsi="Times New Roman" w:cs="Times New Roman"/>
                <w:color w:val="auto"/>
                <w:spacing w:val="-1"/>
                <w:sz w:val="24"/>
                <w:szCs w:val="24"/>
                <w:lang w:val="en-US" w:eastAsia="zh-CN"/>
              </w:rPr>
              <w:t>过滤罐</w:t>
            </w:r>
            <w:r>
              <w:rPr>
                <w:rFonts w:ascii="Times New Roman" w:hAnsi="Times New Roman" w:eastAsia="Times New Roman" w:cs="Times New Roman"/>
                <w:color w:val="auto"/>
                <w:spacing w:val="-2"/>
              </w:rPr>
              <w:t>+</w:t>
            </w:r>
            <w:r>
              <w:rPr>
                <w:color w:val="auto"/>
                <w:spacing w:val="-2"/>
              </w:rPr>
              <w:t>板框压滤处理</w:t>
            </w:r>
            <w:r>
              <w:rPr>
                <w:color w:val="auto"/>
                <w:spacing w:val="-3"/>
              </w:rPr>
              <w:t>后回</w:t>
            </w:r>
            <w:r>
              <w:rPr>
                <w:color w:val="auto"/>
              </w:rPr>
              <w:t xml:space="preserve"> </w:t>
            </w:r>
            <w:r>
              <w:rPr>
                <w:color w:val="auto"/>
                <w:spacing w:val="-1"/>
              </w:rPr>
              <w:t>用于</w:t>
            </w:r>
            <w:r>
              <w:rPr>
                <w:rFonts w:hint="eastAsia"/>
                <w:color w:val="auto"/>
                <w:spacing w:val="-1"/>
                <w:lang w:val="en-US" w:eastAsia="zh-CN"/>
              </w:rPr>
              <w:t>生产</w:t>
            </w:r>
            <w:r>
              <w:rPr>
                <w:color w:val="auto"/>
                <w:spacing w:val="-1"/>
              </w:rPr>
              <w:t>，不外排。</w:t>
            </w:r>
          </w:p>
          <w:p w14:paraId="427807CA">
            <w:pPr>
              <w:pStyle w:val="22"/>
              <w:spacing w:before="36" w:line="350" w:lineRule="auto"/>
              <w:ind w:left="119" w:firstLine="477"/>
              <w:jc w:val="both"/>
              <w:rPr>
                <w:color w:val="auto"/>
              </w:rPr>
            </w:pPr>
            <w:r>
              <w:rPr>
                <w:rFonts w:hint="default" w:ascii="Times New Roman" w:hAnsi="Times New Roman" w:cs="Times New Roman"/>
                <w:color w:val="auto"/>
                <w:spacing w:val="1"/>
                <w:lang w:val="en-US" w:eastAsia="zh-CN"/>
              </w:rPr>
              <w:t>3</w:t>
            </w:r>
            <w:r>
              <w:rPr>
                <w:rFonts w:hint="eastAsia"/>
                <w:color w:val="auto"/>
                <w:spacing w:val="1"/>
                <w:lang w:val="en-US" w:eastAsia="zh-CN"/>
              </w:rPr>
              <w:t>）</w:t>
            </w:r>
            <w:r>
              <w:rPr>
                <w:color w:val="auto"/>
                <w:spacing w:val="1"/>
              </w:rPr>
              <w:t>地面清洗废水：本项目地面清洗用水量</w:t>
            </w:r>
            <w:r>
              <w:rPr>
                <w:rFonts w:hint="default" w:ascii="Times New Roman" w:hAnsi="Times New Roman" w:eastAsia="宋体" w:cs="Times New Roman"/>
                <w:color w:val="auto"/>
                <w:spacing w:val="-51"/>
                <w:sz w:val="24"/>
                <w:szCs w:val="24"/>
              </w:rPr>
              <w:t xml:space="preserve"> </w:t>
            </w:r>
            <w:r>
              <w:rPr>
                <w:rFonts w:hint="eastAsia" w:ascii="Times New Roman" w:hAnsi="Times New Roman" w:eastAsia="宋体" w:cs="Times New Roman"/>
                <w:color w:val="auto"/>
                <w:spacing w:val="-4"/>
                <w:sz w:val="24"/>
                <w:szCs w:val="24"/>
                <w:lang w:val="en-US" w:eastAsia="zh-CN"/>
              </w:rPr>
              <w:t>1</w:t>
            </w:r>
            <w:r>
              <w:rPr>
                <w:rFonts w:hint="default" w:ascii="Times New Roman" w:hAnsi="Times New Roman" w:eastAsia="宋体" w:cs="Times New Roman"/>
                <w:color w:val="auto"/>
                <w:spacing w:val="-4"/>
                <w:sz w:val="24"/>
                <w:szCs w:val="24"/>
              </w:rPr>
              <w:t>m</w:t>
            </w:r>
            <w:r>
              <w:rPr>
                <w:rFonts w:hint="eastAsia" w:ascii="Times New Roman" w:hAnsi="Times New Roman" w:eastAsia="宋体" w:cs="Times New Roman"/>
                <w:color w:val="auto"/>
                <w:spacing w:val="-4"/>
                <w:sz w:val="24"/>
                <w:szCs w:val="24"/>
                <w:vertAlign w:val="superscript"/>
                <w:lang w:val="en-US" w:eastAsia="zh-CN"/>
              </w:rPr>
              <w:t>3</w:t>
            </w:r>
            <w:r>
              <w:rPr>
                <w:rFonts w:hint="default" w:ascii="Times New Roman" w:hAnsi="Times New Roman" w:eastAsia="宋体" w:cs="Times New Roman"/>
                <w:color w:val="auto"/>
                <w:spacing w:val="-4"/>
                <w:sz w:val="24"/>
                <w:szCs w:val="24"/>
              </w:rPr>
              <w:t>/d（</w:t>
            </w:r>
            <w:r>
              <w:rPr>
                <w:rFonts w:hint="eastAsia" w:ascii="Times New Roman" w:hAnsi="Times New Roman" w:eastAsia="宋体" w:cs="Times New Roman"/>
                <w:color w:val="auto"/>
                <w:spacing w:val="-4"/>
                <w:sz w:val="24"/>
                <w:szCs w:val="24"/>
                <w:lang w:val="en-US" w:eastAsia="zh-CN"/>
              </w:rPr>
              <w:t>312</w:t>
            </w:r>
            <w:r>
              <w:rPr>
                <w:rFonts w:hint="default" w:ascii="Times New Roman" w:hAnsi="Times New Roman" w:eastAsia="宋体" w:cs="Times New Roman"/>
                <w:color w:val="auto"/>
                <w:spacing w:val="-4"/>
                <w:sz w:val="24"/>
                <w:szCs w:val="24"/>
              </w:rPr>
              <w:t>m</w:t>
            </w:r>
            <w:r>
              <w:rPr>
                <w:rFonts w:hint="eastAsia" w:ascii="Times New Roman" w:hAnsi="Times New Roman" w:eastAsia="宋体" w:cs="Times New Roman"/>
                <w:color w:val="auto"/>
                <w:spacing w:val="-4"/>
                <w:sz w:val="24"/>
                <w:szCs w:val="24"/>
                <w:vertAlign w:val="superscript"/>
                <w:lang w:val="en-US" w:eastAsia="zh-CN"/>
              </w:rPr>
              <w:t>3</w:t>
            </w:r>
            <w:r>
              <w:rPr>
                <w:rFonts w:hint="default" w:ascii="Times New Roman" w:hAnsi="Times New Roman" w:eastAsia="宋体" w:cs="Times New Roman"/>
                <w:color w:val="auto"/>
                <w:spacing w:val="-4"/>
                <w:sz w:val="24"/>
                <w:szCs w:val="24"/>
              </w:rPr>
              <w:t>/a</w:t>
            </w:r>
            <w:r>
              <w:rPr>
                <w:rFonts w:hint="default" w:ascii="Times New Roman" w:hAnsi="Times New Roman" w:eastAsia="宋体" w:cs="Times New Roman"/>
                <w:color w:val="auto"/>
                <w:spacing w:val="4"/>
                <w:sz w:val="24"/>
                <w:szCs w:val="24"/>
              </w:rPr>
              <w:t>）</w:t>
            </w:r>
            <w:r>
              <w:rPr>
                <w:color w:val="auto"/>
                <w:spacing w:val="19"/>
              </w:rPr>
              <w:t>，</w:t>
            </w:r>
            <w:r>
              <w:rPr>
                <w:color w:val="auto"/>
                <w:spacing w:val="1"/>
              </w:rPr>
              <w:t>产污系数</w:t>
            </w:r>
            <w:r>
              <w:rPr>
                <w:color w:val="auto"/>
              </w:rPr>
              <w:t>按</w:t>
            </w:r>
            <w:r>
              <w:rPr>
                <w:color w:val="auto"/>
                <w:spacing w:val="-52"/>
              </w:rPr>
              <w:t xml:space="preserve"> </w:t>
            </w:r>
            <w:r>
              <w:rPr>
                <w:rFonts w:ascii="Times New Roman" w:hAnsi="Times New Roman" w:eastAsia="Times New Roman" w:cs="Times New Roman"/>
                <w:color w:val="auto"/>
              </w:rPr>
              <w:t>0.9</w:t>
            </w:r>
            <w:r>
              <w:rPr>
                <w:rFonts w:ascii="Times New Roman" w:hAnsi="Times New Roman" w:eastAsia="Times New Roman" w:cs="Times New Roman"/>
                <w:color w:val="auto"/>
                <w:spacing w:val="-28"/>
              </w:rPr>
              <w:t xml:space="preserve"> </w:t>
            </w:r>
            <w:r>
              <w:rPr>
                <w:color w:val="auto"/>
              </w:rPr>
              <w:t>，则废水量约</w:t>
            </w:r>
            <w:r>
              <w:rPr>
                <w:color w:val="auto"/>
                <w:spacing w:val="-47"/>
              </w:rPr>
              <w:t xml:space="preserve"> </w:t>
            </w:r>
            <w:r>
              <w:rPr>
                <w:rFonts w:hint="eastAsia" w:ascii="Times New Roman" w:hAnsi="Times New Roman" w:eastAsia="宋体" w:cs="Times New Roman"/>
                <w:color w:val="auto"/>
                <w:lang w:val="en-US" w:eastAsia="zh-CN"/>
              </w:rPr>
              <w:t>0.9</w:t>
            </w:r>
            <w:r>
              <w:rPr>
                <w:rFonts w:ascii="Times New Roman" w:hAnsi="Times New Roman" w:eastAsia="Times New Roman" w:cs="Times New Roman"/>
                <w:color w:val="auto"/>
              </w:rPr>
              <w:t>m</w:t>
            </w:r>
            <w:r>
              <w:rPr>
                <w:rFonts w:ascii="Times New Roman" w:hAnsi="Times New Roman" w:eastAsia="Times New Roman" w:cs="Times New Roman"/>
                <w:color w:val="auto"/>
                <w:position w:val="7"/>
                <w:sz w:val="15"/>
                <w:szCs w:val="15"/>
              </w:rPr>
              <w:t>3</w:t>
            </w:r>
            <w:r>
              <w:rPr>
                <w:rFonts w:ascii="Times New Roman" w:hAnsi="Times New Roman" w:eastAsia="Times New Roman" w:cs="Times New Roman"/>
                <w:color w:val="auto"/>
              </w:rPr>
              <w:t>/d</w:t>
            </w:r>
            <w:r>
              <w:rPr>
                <w:color w:val="auto"/>
              </w:rPr>
              <w:t>（</w:t>
            </w:r>
            <w:r>
              <w:rPr>
                <w:rFonts w:hint="eastAsia" w:ascii="Times New Roman" w:hAnsi="Times New Roman" w:eastAsia="宋体" w:cs="Times New Roman"/>
                <w:color w:val="auto"/>
                <w:lang w:val="en-US" w:eastAsia="zh-CN"/>
              </w:rPr>
              <w:t>280.8</w:t>
            </w:r>
            <w:r>
              <w:rPr>
                <w:rFonts w:ascii="Times New Roman" w:hAnsi="Times New Roman" w:eastAsia="Times New Roman" w:cs="Times New Roman"/>
                <w:color w:val="auto"/>
              </w:rPr>
              <w:t>m</w:t>
            </w:r>
            <w:r>
              <w:rPr>
                <w:rFonts w:ascii="Times New Roman" w:hAnsi="Times New Roman" w:eastAsia="Times New Roman" w:cs="Times New Roman"/>
                <w:color w:val="auto"/>
                <w:position w:val="7"/>
                <w:sz w:val="15"/>
                <w:szCs w:val="15"/>
              </w:rPr>
              <w:t>3</w:t>
            </w:r>
            <w:r>
              <w:rPr>
                <w:rFonts w:ascii="Times New Roman" w:hAnsi="Times New Roman" w:eastAsia="Times New Roman" w:cs="Times New Roman"/>
                <w:color w:val="auto"/>
                <w:spacing w:val="-1"/>
              </w:rPr>
              <w:t>/a</w:t>
            </w:r>
            <w:r>
              <w:rPr>
                <w:color w:val="auto"/>
                <w:spacing w:val="9"/>
              </w:rPr>
              <w:t>），</w:t>
            </w:r>
            <w:r>
              <w:rPr>
                <w:color w:val="auto"/>
                <w:spacing w:val="-1"/>
              </w:rPr>
              <w:t>经沉淀</w:t>
            </w:r>
            <w:r>
              <w:rPr>
                <w:rFonts w:ascii="Times New Roman" w:hAnsi="Times New Roman" w:eastAsia="Times New Roman" w:cs="Times New Roman"/>
                <w:color w:val="auto"/>
                <w:spacing w:val="-1"/>
              </w:rPr>
              <w:t>+</w:t>
            </w:r>
            <w:r>
              <w:rPr>
                <w:rFonts w:hint="eastAsia" w:ascii="Times New Roman" w:hAnsi="Times New Roman" w:cs="Times New Roman"/>
                <w:color w:val="auto"/>
                <w:spacing w:val="-1"/>
                <w:sz w:val="24"/>
                <w:szCs w:val="24"/>
                <w:lang w:val="en-US" w:eastAsia="zh-CN"/>
              </w:rPr>
              <w:t>过滤罐</w:t>
            </w:r>
            <w:r>
              <w:rPr>
                <w:rFonts w:ascii="Times New Roman" w:hAnsi="Times New Roman" w:eastAsia="Times New Roman" w:cs="Times New Roman"/>
                <w:color w:val="auto"/>
                <w:spacing w:val="-1"/>
              </w:rPr>
              <w:t>+</w:t>
            </w:r>
            <w:r>
              <w:rPr>
                <w:color w:val="auto"/>
                <w:spacing w:val="-1"/>
              </w:rPr>
              <w:t>板框压滤处理后回用于</w:t>
            </w:r>
            <w:r>
              <w:rPr>
                <w:rFonts w:hint="eastAsia"/>
                <w:color w:val="auto"/>
                <w:spacing w:val="-1"/>
                <w:lang w:val="en-US" w:eastAsia="zh-CN"/>
              </w:rPr>
              <w:t>生产</w:t>
            </w:r>
            <w:r>
              <w:rPr>
                <w:color w:val="auto"/>
                <w:spacing w:val="-1"/>
              </w:rPr>
              <w:t>，不外排。</w:t>
            </w:r>
          </w:p>
          <w:p w14:paraId="66BAD340">
            <w:pPr>
              <w:pStyle w:val="22"/>
              <w:spacing w:before="35" w:line="347" w:lineRule="auto"/>
              <w:ind w:left="122" w:firstLine="476"/>
              <w:jc w:val="both"/>
              <w:rPr>
                <w:color w:val="auto"/>
              </w:rPr>
            </w:pPr>
            <w:r>
              <w:rPr>
                <w:rFonts w:hint="default" w:ascii="Times New Roman" w:hAnsi="Times New Roman" w:cs="Times New Roman"/>
                <w:color w:val="auto"/>
                <w:spacing w:val="-1"/>
                <w:lang w:val="en-US" w:eastAsia="zh-CN"/>
              </w:rPr>
              <w:t>4）</w:t>
            </w:r>
            <w:r>
              <w:rPr>
                <w:color w:val="auto"/>
                <w:spacing w:val="-1"/>
              </w:rPr>
              <w:t>车辆冲洗废水：本</w:t>
            </w:r>
            <w:r>
              <w:rPr>
                <w:rFonts w:hint="eastAsia"/>
                <w:color w:val="auto"/>
                <w:spacing w:val="-1"/>
                <w:lang w:val="en-US" w:eastAsia="zh-CN"/>
              </w:rPr>
              <w:t>项目</w:t>
            </w:r>
            <w:r>
              <w:rPr>
                <w:rFonts w:hint="default" w:ascii="Times New Roman" w:hAnsi="Times New Roman" w:eastAsia="宋体" w:cs="Times New Roman"/>
                <w:color w:val="auto"/>
                <w:spacing w:val="-5"/>
                <w:sz w:val="24"/>
                <w:szCs w:val="24"/>
              </w:rPr>
              <w:t>车</w:t>
            </w:r>
            <w:r>
              <w:rPr>
                <w:rFonts w:hint="default" w:ascii="Times New Roman" w:hAnsi="Times New Roman" w:eastAsia="宋体" w:cs="Times New Roman"/>
                <w:color w:val="auto"/>
                <w:spacing w:val="-1"/>
                <w:sz w:val="24"/>
                <w:szCs w:val="24"/>
              </w:rPr>
              <w:t>辆冲洗用水</w:t>
            </w:r>
            <w:r>
              <w:rPr>
                <w:rFonts w:hint="eastAsia" w:ascii="Times New Roman" w:hAnsi="Times New Roman" w:eastAsia="宋体" w:cs="Times New Roman"/>
                <w:color w:val="auto"/>
                <w:spacing w:val="-1"/>
                <w:sz w:val="24"/>
                <w:szCs w:val="24"/>
                <w:lang w:val="en-US" w:eastAsia="zh-CN"/>
              </w:rPr>
              <w:t>约</w:t>
            </w:r>
            <w:r>
              <w:rPr>
                <w:rFonts w:hint="eastAsia" w:ascii="Times New Roman" w:hAnsi="Times New Roman" w:cs="Times New Roman"/>
                <w:color w:val="auto"/>
                <w:spacing w:val="-1"/>
                <w:sz w:val="24"/>
                <w:szCs w:val="24"/>
                <w:lang w:val="en-US" w:eastAsia="zh-CN"/>
              </w:rPr>
              <w:t>28</w:t>
            </w:r>
            <w:r>
              <w:rPr>
                <w:rFonts w:hint="eastAsia" w:ascii="Times New Roman" w:hAnsi="Times New Roman" w:eastAsia="宋体" w:cs="Times New Roman"/>
                <w:color w:val="auto"/>
                <w:spacing w:val="-1"/>
                <w:sz w:val="24"/>
                <w:szCs w:val="24"/>
                <w:lang w:val="en-US" w:eastAsia="zh-CN"/>
              </w:rPr>
              <w:t>7</w:t>
            </w:r>
            <w:r>
              <w:rPr>
                <w:rFonts w:hint="eastAsia" w:ascii="Times New Roman" w:hAnsi="Times New Roman" w:cs="Times New Roman"/>
                <w:color w:val="auto"/>
                <w:spacing w:val="-1"/>
                <w:sz w:val="24"/>
                <w:szCs w:val="24"/>
                <w:lang w:val="en-US" w:eastAsia="zh-CN"/>
              </w:rPr>
              <w:t>5</w:t>
            </w:r>
            <w:r>
              <w:rPr>
                <w:rFonts w:hint="eastAsia" w:ascii="Times New Roman" w:hAnsi="Times New Roman" w:eastAsia="宋体" w:cs="Times New Roman"/>
                <w:color w:val="auto"/>
                <w:spacing w:val="-1"/>
                <w:sz w:val="24"/>
                <w:szCs w:val="24"/>
                <w:lang w:val="en-US" w:eastAsia="zh-CN"/>
              </w:rPr>
              <w:t>.</w:t>
            </w:r>
            <w:r>
              <w:rPr>
                <w:rFonts w:hint="eastAsia" w:ascii="Times New Roman" w:hAnsi="Times New Roman" w:cs="Times New Roman"/>
                <w:color w:val="auto"/>
                <w:spacing w:val="-1"/>
                <w:sz w:val="24"/>
                <w:szCs w:val="24"/>
                <w:lang w:val="en-US" w:eastAsia="zh-CN"/>
              </w:rPr>
              <w:t>5</w:t>
            </w:r>
            <w:r>
              <w:rPr>
                <w:rFonts w:hint="eastAsia" w:ascii="Times New Roman" w:hAnsi="Times New Roman" w:eastAsia="宋体" w:cs="Times New Roman"/>
                <w:color w:val="auto"/>
                <w:spacing w:val="-1"/>
                <w:sz w:val="24"/>
                <w:szCs w:val="24"/>
                <w:lang w:val="en-US" w:eastAsia="zh-CN"/>
              </w:rPr>
              <w:t>m</w:t>
            </w:r>
            <w:r>
              <w:rPr>
                <w:rFonts w:hint="eastAsia" w:ascii="Times New Roman" w:hAnsi="Times New Roman" w:eastAsia="宋体" w:cs="Times New Roman"/>
                <w:color w:val="auto"/>
                <w:spacing w:val="-1"/>
                <w:sz w:val="24"/>
                <w:szCs w:val="24"/>
                <w:vertAlign w:val="superscript"/>
                <w:lang w:val="en-US" w:eastAsia="zh-CN"/>
              </w:rPr>
              <w:t>3</w:t>
            </w:r>
            <w:r>
              <w:rPr>
                <w:rFonts w:hint="eastAsia" w:ascii="Times New Roman" w:hAnsi="Times New Roman" w:eastAsia="宋体" w:cs="Times New Roman"/>
                <w:color w:val="auto"/>
                <w:spacing w:val="-1"/>
                <w:sz w:val="24"/>
                <w:szCs w:val="24"/>
                <w:lang w:val="en-US" w:eastAsia="zh-CN"/>
              </w:rPr>
              <w:t>/a、</w:t>
            </w:r>
            <w:r>
              <w:rPr>
                <w:rFonts w:hint="eastAsia" w:ascii="Times New Roman" w:hAnsi="Times New Roman" w:cs="Times New Roman"/>
                <w:color w:val="auto"/>
                <w:spacing w:val="-1"/>
                <w:sz w:val="24"/>
                <w:szCs w:val="24"/>
                <w:lang w:val="en-US" w:eastAsia="zh-CN"/>
              </w:rPr>
              <w:t>9.22</w:t>
            </w:r>
            <w:r>
              <w:rPr>
                <w:rFonts w:hint="eastAsia" w:ascii="Times New Roman" w:hAnsi="Times New Roman" w:eastAsia="宋体" w:cs="Times New Roman"/>
                <w:color w:val="auto"/>
                <w:spacing w:val="-1"/>
                <w:sz w:val="24"/>
                <w:szCs w:val="24"/>
                <w:lang w:val="en-US" w:eastAsia="zh-CN"/>
              </w:rPr>
              <w:t>m</w:t>
            </w:r>
            <w:r>
              <w:rPr>
                <w:rFonts w:hint="eastAsia" w:ascii="Times New Roman" w:hAnsi="Times New Roman" w:eastAsia="宋体" w:cs="Times New Roman"/>
                <w:color w:val="auto"/>
                <w:spacing w:val="-1"/>
                <w:sz w:val="24"/>
                <w:szCs w:val="24"/>
                <w:vertAlign w:val="superscript"/>
                <w:lang w:val="en-US" w:eastAsia="zh-CN"/>
              </w:rPr>
              <w:t>3</w:t>
            </w:r>
            <w:r>
              <w:rPr>
                <w:rFonts w:hint="eastAsia" w:ascii="Times New Roman" w:hAnsi="Times New Roman" w:eastAsia="宋体" w:cs="Times New Roman"/>
                <w:color w:val="auto"/>
                <w:spacing w:val="-1"/>
                <w:sz w:val="24"/>
                <w:szCs w:val="24"/>
                <w:lang w:val="en-US" w:eastAsia="zh-CN"/>
              </w:rPr>
              <w:t>/d</w:t>
            </w:r>
            <w:r>
              <w:rPr>
                <w:color w:val="auto"/>
              </w:rPr>
              <w:t>，</w:t>
            </w:r>
            <w:r>
              <w:rPr>
                <w:color w:val="auto"/>
                <w:spacing w:val="-1"/>
              </w:rPr>
              <w:t>产污</w:t>
            </w:r>
            <w:r>
              <w:rPr>
                <w:color w:val="auto"/>
                <w:spacing w:val="-2"/>
              </w:rPr>
              <w:t>系数按</w:t>
            </w:r>
            <w:r>
              <w:rPr>
                <w:color w:val="auto"/>
                <w:spacing w:val="-51"/>
              </w:rPr>
              <w:t xml:space="preserve"> </w:t>
            </w:r>
            <w:r>
              <w:rPr>
                <w:rFonts w:ascii="Times New Roman" w:hAnsi="Times New Roman" w:eastAsia="Times New Roman" w:cs="Times New Roman"/>
                <w:color w:val="auto"/>
                <w:spacing w:val="-2"/>
              </w:rPr>
              <w:t>0.9</w:t>
            </w:r>
            <w:r>
              <w:rPr>
                <w:color w:val="auto"/>
                <w:spacing w:val="-2"/>
              </w:rPr>
              <w:t>，则废水量约</w:t>
            </w:r>
            <w:r>
              <w:rPr>
                <w:rFonts w:hint="eastAsia" w:ascii="Times New Roman" w:hAnsi="Times New Roman" w:cs="Times New Roman"/>
                <w:color w:val="auto"/>
                <w:spacing w:val="-2"/>
                <w:lang w:val="en-US" w:eastAsia="zh-CN"/>
              </w:rPr>
              <w:t>2587.95</w:t>
            </w:r>
            <w:r>
              <w:rPr>
                <w:rFonts w:ascii="Times New Roman" w:hAnsi="Times New Roman" w:eastAsia="Times New Roman" w:cs="Times New Roman"/>
                <w:color w:val="auto"/>
                <w:spacing w:val="-2"/>
              </w:rPr>
              <w:t>m</w:t>
            </w:r>
            <w:r>
              <w:rPr>
                <w:rFonts w:ascii="Times New Roman" w:hAnsi="Times New Roman" w:eastAsia="Times New Roman" w:cs="Times New Roman"/>
                <w:color w:val="auto"/>
                <w:spacing w:val="-2"/>
                <w:position w:val="8"/>
                <w:sz w:val="15"/>
                <w:szCs w:val="15"/>
              </w:rPr>
              <w:t>3</w:t>
            </w:r>
            <w:r>
              <w:rPr>
                <w:rFonts w:ascii="Times New Roman" w:hAnsi="Times New Roman" w:eastAsia="Times New Roman" w:cs="Times New Roman"/>
                <w:color w:val="auto"/>
                <w:spacing w:val="-2"/>
              </w:rPr>
              <w:t>/a</w:t>
            </w:r>
            <w:r>
              <w:rPr>
                <w:color w:val="auto"/>
                <w:spacing w:val="-2"/>
              </w:rPr>
              <w:t>（</w:t>
            </w:r>
            <w:r>
              <w:rPr>
                <w:rFonts w:hint="eastAsia" w:ascii="Times New Roman" w:hAnsi="Times New Roman" w:cs="Times New Roman"/>
                <w:color w:val="auto"/>
                <w:spacing w:val="-2"/>
                <w:lang w:val="en-US" w:eastAsia="zh-CN"/>
              </w:rPr>
              <w:t>8.29</w:t>
            </w:r>
            <w:r>
              <w:rPr>
                <w:rFonts w:ascii="Times New Roman" w:hAnsi="Times New Roman" w:eastAsia="Times New Roman" w:cs="Times New Roman"/>
                <w:color w:val="auto"/>
                <w:spacing w:val="-2"/>
              </w:rPr>
              <w:t>m</w:t>
            </w:r>
            <w:r>
              <w:rPr>
                <w:rFonts w:ascii="Times New Roman" w:hAnsi="Times New Roman" w:eastAsia="Times New Roman" w:cs="Times New Roman"/>
                <w:color w:val="auto"/>
                <w:spacing w:val="-3"/>
                <w:position w:val="8"/>
                <w:sz w:val="15"/>
                <w:szCs w:val="15"/>
              </w:rPr>
              <w:t>3</w:t>
            </w:r>
            <w:r>
              <w:rPr>
                <w:rFonts w:ascii="Times New Roman" w:hAnsi="Times New Roman" w:eastAsia="Times New Roman" w:cs="Times New Roman"/>
                <w:color w:val="auto"/>
                <w:spacing w:val="-3"/>
              </w:rPr>
              <w:t>/d</w:t>
            </w:r>
            <w:r>
              <w:rPr>
                <w:color w:val="auto"/>
                <w:spacing w:val="-24"/>
              </w:rPr>
              <w:t>），</w:t>
            </w:r>
            <w:r>
              <w:rPr>
                <w:color w:val="auto"/>
                <w:spacing w:val="-3"/>
              </w:rPr>
              <w:t>经沉淀</w:t>
            </w:r>
            <w:r>
              <w:rPr>
                <w:rFonts w:ascii="Times New Roman" w:hAnsi="Times New Roman" w:eastAsia="Times New Roman" w:cs="Times New Roman"/>
                <w:color w:val="auto"/>
                <w:spacing w:val="-3"/>
              </w:rPr>
              <w:t>+</w:t>
            </w:r>
            <w:r>
              <w:rPr>
                <w:rFonts w:hint="eastAsia" w:ascii="Times New Roman" w:hAnsi="Times New Roman" w:cs="Times New Roman"/>
                <w:color w:val="auto"/>
                <w:spacing w:val="-1"/>
                <w:sz w:val="24"/>
                <w:szCs w:val="24"/>
                <w:lang w:val="en-US" w:eastAsia="zh-CN"/>
              </w:rPr>
              <w:t>过滤罐</w:t>
            </w:r>
            <w:r>
              <w:rPr>
                <w:rFonts w:ascii="Times New Roman" w:hAnsi="Times New Roman" w:eastAsia="Times New Roman" w:cs="Times New Roman"/>
                <w:color w:val="auto"/>
                <w:spacing w:val="-3"/>
              </w:rPr>
              <w:t>+</w:t>
            </w:r>
            <w:r>
              <w:rPr>
                <w:color w:val="auto"/>
                <w:spacing w:val="-3"/>
              </w:rPr>
              <w:t>板框压滤</w:t>
            </w:r>
            <w:r>
              <w:rPr>
                <w:color w:val="auto"/>
                <w:spacing w:val="-1"/>
              </w:rPr>
              <w:t>处理后回用于</w:t>
            </w:r>
            <w:r>
              <w:rPr>
                <w:rFonts w:hint="eastAsia"/>
                <w:color w:val="auto"/>
                <w:spacing w:val="-1"/>
                <w:lang w:val="en-US" w:eastAsia="zh-CN"/>
              </w:rPr>
              <w:t>生产</w:t>
            </w:r>
            <w:r>
              <w:rPr>
                <w:color w:val="auto"/>
                <w:spacing w:val="-1"/>
              </w:rPr>
              <w:t>，不外排。</w:t>
            </w:r>
          </w:p>
          <w:p w14:paraId="6920821F">
            <w:pPr>
              <w:pStyle w:val="22"/>
              <w:spacing w:line="352" w:lineRule="auto"/>
              <w:ind w:left="121" w:firstLine="469"/>
              <w:jc w:val="both"/>
              <w:rPr>
                <w:color w:val="auto"/>
              </w:rPr>
            </w:pPr>
            <w:r>
              <w:rPr>
                <w:color w:val="auto"/>
                <w:spacing w:val="-3"/>
              </w:rPr>
              <w:t>③初期雨水：根据公式</w:t>
            </w:r>
            <w:r>
              <w:rPr>
                <w:color w:val="auto"/>
                <w:spacing w:val="-53"/>
              </w:rPr>
              <w:t xml:space="preserve"> </w:t>
            </w:r>
            <w:r>
              <w:rPr>
                <w:rFonts w:ascii="Times New Roman" w:hAnsi="Times New Roman" w:eastAsia="Times New Roman" w:cs="Times New Roman"/>
                <w:color w:val="auto"/>
                <w:spacing w:val="-3"/>
              </w:rPr>
              <w:t>Q=q</w:t>
            </w:r>
            <w:r>
              <w:rPr>
                <w:color w:val="auto"/>
                <w:spacing w:val="-3"/>
              </w:rPr>
              <w:t>×</w:t>
            </w:r>
            <w:r>
              <w:rPr>
                <w:rFonts w:ascii="Times New Roman" w:hAnsi="Times New Roman" w:eastAsia="Times New Roman" w:cs="Times New Roman"/>
                <w:color w:val="auto"/>
                <w:spacing w:val="-3"/>
              </w:rPr>
              <w:t>F</w:t>
            </w:r>
            <w:r>
              <w:rPr>
                <w:color w:val="auto"/>
                <w:spacing w:val="-3"/>
              </w:rPr>
              <w:t>×Φ×</w:t>
            </w:r>
            <w:r>
              <w:rPr>
                <w:rFonts w:ascii="Times New Roman" w:hAnsi="Times New Roman" w:eastAsia="Times New Roman" w:cs="Times New Roman"/>
                <w:color w:val="auto"/>
                <w:spacing w:val="-3"/>
              </w:rPr>
              <w:t xml:space="preserve">t </w:t>
            </w:r>
            <w:r>
              <w:rPr>
                <w:color w:val="auto"/>
                <w:spacing w:val="-3"/>
              </w:rPr>
              <w:t>计算，其中</w:t>
            </w:r>
            <w:r>
              <w:rPr>
                <w:color w:val="auto"/>
                <w:spacing w:val="-53"/>
              </w:rPr>
              <w:t xml:space="preserve"> </w:t>
            </w:r>
            <w:r>
              <w:rPr>
                <w:rFonts w:ascii="Times New Roman" w:hAnsi="Times New Roman" w:eastAsia="Times New Roman" w:cs="Times New Roman"/>
                <w:color w:val="auto"/>
                <w:spacing w:val="-3"/>
              </w:rPr>
              <w:t xml:space="preserve">q </w:t>
            </w:r>
            <w:r>
              <w:rPr>
                <w:color w:val="auto"/>
                <w:spacing w:val="-3"/>
              </w:rPr>
              <w:t>是年降雨量（乐昌</w:t>
            </w:r>
            <w:r>
              <w:rPr>
                <w:color w:val="auto"/>
              </w:rPr>
              <w:t xml:space="preserve"> </w:t>
            </w:r>
            <w:r>
              <w:rPr>
                <w:color w:val="auto"/>
                <w:spacing w:val="-6"/>
              </w:rPr>
              <w:t>市多年平均降雨量</w:t>
            </w:r>
            <w:r>
              <w:rPr>
                <w:rFonts w:hint="eastAsia" w:ascii="Times New Roman" w:hAnsi="Times New Roman" w:eastAsia="宋体" w:cs="Times New Roman"/>
                <w:color w:val="auto"/>
                <w:spacing w:val="-6"/>
                <w:lang w:val="en-US" w:eastAsia="zh-CN"/>
              </w:rPr>
              <w:t>1482</w:t>
            </w:r>
            <w:r>
              <w:rPr>
                <w:rFonts w:ascii="Times New Roman" w:hAnsi="Times New Roman" w:eastAsia="Times New Roman" w:cs="Times New Roman"/>
                <w:color w:val="auto"/>
                <w:spacing w:val="-6"/>
              </w:rPr>
              <w:t>mm</w:t>
            </w:r>
            <w:r>
              <w:rPr>
                <w:color w:val="auto"/>
                <w:spacing w:val="-15"/>
              </w:rPr>
              <w:t>），</w:t>
            </w:r>
            <w:r>
              <w:rPr>
                <w:rFonts w:ascii="Times New Roman" w:hAnsi="Times New Roman" w:eastAsia="Times New Roman" w:cs="Times New Roman"/>
                <w:color w:val="auto"/>
                <w:spacing w:val="-6"/>
              </w:rPr>
              <w:t>F</w:t>
            </w:r>
            <w:r>
              <w:rPr>
                <w:rFonts w:ascii="Times New Roman" w:hAnsi="Times New Roman" w:eastAsia="Times New Roman" w:cs="Times New Roman"/>
                <w:color w:val="auto"/>
                <w:spacing w:val="14"/>
              </w:rPr>
              <w:t xml:space="preserve"> </w:t>
            </w:r>
            <w:r>
              <w:rPr>
                <w:color w:val="auto"/>
                <w:spacing w:val="-6"/>
              </w:rPr>
              <w:t>汇水面积（本项目</w:t>
            </w:r>
            <w:r>
              <w:rPr>
                <w:rFonts w:hint="eastAsia"/>
                <w:color w:val="auto"/>
                <w:spacing w:val="-6"/>
                <w:lang w:val="en-US" w:eastAsia="zh-CN"/>
              </w:rPr>
              <w:t>生产区、堆场</w:t>
            </w:r>
            <w:r>
              <w:rPr>
                <w:color w:val="auto"/>
                <w:spacing w:val="-6"/>
              </w:rPr>
              <w:t>面积</w:t>
            </w:r>
            <w:r>
              <w:rPr>
                <w:rFonts w:hint="eastAsia"/>
                <w:color w:val="auto"/>
                <w:spacing w:val="-6"/>
                <w:lang w:val="en-US" w:eastAsia="zh-CN"/>
              </w:rPr>
              <w:t>约</w:t>
            </w:r>
            <w:r>
              <w:rPr>
                <w:rFonts w:hint="eastAsia" w:ascii="Times New Roman" w:hAnsi="Times New Roman" w:eastAsia="宋体" w:cs="Times New Roman"/>
                <w:color w:val="auto"/>
                <w:spacing w:val="-6"/>
                <w:lang w:val="en-US" w:eastAsia="zh-CN"/>
              </w:rPr>
              <w:t>40</w:t>
            </w:r>
            <w:r>
              <w:rPr>
                <w:rFonts w:ascii="Times New Roman" w:hAnsi="Times New Roman" w:eastAsia="Times New Roman" w:cs="Times New Roman"/>
                <w:color w:val="auto"/>
                <w:spacing w:val="-6"/>
              </w:rPr>
              <w:t>00m</w:t>
            </w:r>
            <w:r>
              <w:rPr>
                <w:rFonts w:ascii="Times New Roman" w:hAnsi="Times New Roman" w:eastAsia="Times New Roman" w:cs="Times New Roman"/>
                <w:color w:val="auto"/>
                <w:spacing w:val="-6"/>
                <w:position w:val="7"/>
                <w:sz w:val="15"/>
                <w:szCs w:val="15"/>
              </w:rPr>
              <w:t xml:space="preserve">2 </w:t>
            </w:r>
            <w:r>
              <w:rPr>
                <w:color w:val="auto"/>
                <w:spacing w:val="-15"/>
              </w:rPr>
              <w:t>），</w:t>
            </w:r>
            <w:r>
              <w:rPr>
                <w:color w:val="auto"/>
                <w:spacing w:val="-6"/>
              </w:rPr>
              <w:t>Φ</w:t>
            </w:r>
            <w:r>
              <w:rPr>
                <w:color w:val="auto"/>
                <w:spacing w:val="-15"/>
              </w:rPr>
              <w:t>是径流系数（取</w:t>
            </w:r>
            <w:r>
              <w:rPr>
                <w:rFonts w:ascii="Times New Roman" w:hAnsi="Times New Roman" w:eastAsia="Times New Roman" w:cs="Times New Roman"/>
                <w:color w:val="auto"/>
                <w:spacing w:val="-15"/>
              </w:rPr>
              <w:t>0.9</w:t>
            </w:r>
            <w:r>
              <w:rPr>
                <w:rFonts w:hint="eastAsia" w:ascii="Times New Roman" w:hAnsi="Times New Roman" w:eastAsia="宋体" w:cs="Times New Roman"/>
                <w:color w:val="auto"/>
                <w:spacing w:val="-15"/>
                <w:lang w:eastAsia="zh-CN"/>
              </w:rPr>
              <w:t>）</w:t>
            </w:r>
            <w:r>
              <w:rPr>
                <w:color w:val="auto"/>
                <w:spacing w:val="-44"/>
                <w:w w:val="69"/>
              </w:rPr>
              <w:t>，</w:t>
            </w:r>
            <w:r>
              <w:rPr>
                <w:rFonts w:ascii="Times New Roman" w:hAnsi="Times New Roman" w:eastAsia="Times New Roman" w:cs="Times New Roman"/>
                <w:color w:val="auto"/>
                <w:spacing w:val="-15"/>
              </w:rPr>
              <w:t>t</w:t>
            </w:r>
            <w:r>
              <w:rPr>
                <w:rFonts w:ascii="Times New Roman" w:hAnsi="Times New Roman" w:eastAsia="Times New Roman" w:cs="Times New Roman"/>
                <w:color w:val="auto"/>
                <w:spacing w:val="-16"/>
              </w:rPr>
              <w:t xml:space="preserve"> </w:t>
            </w:r>
            <w:r>
              <w:rPr>
                <w:color w:val="auto"/>
                <w:spacing w:val="-15"/>
              </w:rPr>
              <w:t>是降雨历时（降雨历时按</w:t>
            </w:r>
            <w:r>
              <w:rPr>
                <w:rFonts w:ascii="Times New Roman" w:hAnsi="Times New Roman" w:eastAsia="Times New Roman" w:cs="Times New Roman"/>
                <w:color w:val="auto"/>
                <w:spacing w:val="-15"/>
              </w:rPr>
              <w:t>2h</w:t>
            </w:r>
            <w:r>
              <w:rPr>
                <w:rFonts w:hint="eastAsia" w:ascii="Times New Roman" w:hAnsi="Times New Roman" w:eastAsia="宋体" w:cs="Times New Roman"/>
                <w:color w:val="auto"/>
                <w:spacing w:val="-15"/>
                <w:lang w:eastAsia="zh-CN"/>
              </w:rPr>
              <w:t>，</w:t>
            </w:r>
            <w:r>
              <w:rPr>
                <w:color w:val="auto"/>
                <w:spacing w:val="-15"/>
              </w:rPr>
              <w:t>其中初期雨水为前</w:t>
            </w:r>
            <w:r>
              <w:rPr>
                <w:color w:val="auto"/>
                <w:spacing w:val="-61"/>
              </w:rPr>
              <w:t xml:space="preserve"> </w:t>
            </w:r>
            <w:r>
              <w:rPr>
                <w:rFonts w:ascii="Times New Roman" w:hAnsi="Times New Roman" w:eastAsia="Times New Roman" w:cs="Times New Roman"/>
                <w:color w:val="auto"/>
                <w:spacing w:val="-15"/>
              </w:rPr>
              <w:t>15min</w:t>
            </w:r>
            <w:r>
              <w:rPr>
                <w:color w:val="auto"/>
                <w:spacing w:val="-15"/>
              </w:rPr>
              <w:t>）。</w:t>
            </w:r>
          </w:p>
          <w:p w14:paraId="1E78404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2" w:firstLine="484" w:firstLineChars="200"/>
              <w:textAlignment w:val="baseline"/>
              <w:rPr>
                <w:rFonts w:hint="eastAsia"/>
                <w:color w:val="auto"/>
                <w:spacing w:val="12"/>
                <w:lang w:eastAsia="zh-CN"/>
              </w:rPr>
            </w:pPr>
            <w:r>
              <w:rPr>
                <w:color w:val="auto"/>
                <w:spacing w:val="1"/>
              </w:rPr>
              <w:t>经计算，项目范围内初期雨水产生量约为</w:t>
            </w:r>
            <w:r>
              <w:rPr>
                <w:rFonts w:hint="eastAsia" w:ascii="Times New Roman" w:hAnsi="Times New Roman" w:eastAsia="宋体" w:cs="Times New Roman"/>
                <w:color w:val="auto"/>
                <w:spacing w:val="1"/>
                <w:lang w:val="en-US" w:eastAsia="zh-CN"/>
              </w:rPr>
              <w:t>741</w:t>
            </w:r>
            <w:r>
              <w:rPr>
                <w:rFonts w:ascii="Times New Roman" w:hAnsi="Times New Roman" w:eastAsia="Times New Roman" w:cs="Times New Roman"/>
                <w:color w:val="auto"/>
                <w:spacing w:val="1"/>
              </w:rPr>
              <w:t>m</w:t>
            </w:r>
            <w:r>
              <w:rPr>
                <w:rFonts w:ascii="Times New Roman" w:hAnsi="Times New Roman" w:eastAsia="Times New Roman" w:cs="Times New Roman"/>
                <w:color w:val="auto"/>
                <w:spacing w:val="1"/>
                <w:position w:val="7"/>
                <w:sz w:val="15"/>
                <w:szCs w:val="15"/>
              </w:rPr>
              <w:t>3</w:t>
            </w:r>
            <w:r>
              <w:rPr>
                <w:rFonts w:ascii="Times New Roman" w:hAnsi="Times New Roman" w:eastAsia="Times New Roman" w:cs="Times New Roman"/>
                <w:color w:val="auto"/>
                <w:spacing w:val="1"/>
              </w:rPr>
              <w:t>/a</w:t>
            </w:r>
            <w:r>
              <w:rPr>
                <w:color w:val="auto"/>
                <w:spacing w:val="1"/>
              </w:rPr>
              <w:t>（</w:t>
            </w:r>
            <w:r>
              <w:rPr>
                <w:rFonts w:hint="eastAsia" w:ascii="Times New Roman" w:hAnsi="Times New Roman" w:eastAsia="宋体" w:cs="Times New Roman"/>
                <w:color w:val="auto"/>
                <w:spacing w:val="1"/>
                <w:lang w:val="en-US" w:eastAsia="zh-CN"/>
              </w:rPr>
              <w:t>2.38</w:t>
            </w:r>
            <w:r>
              <w:rPr>
                <w:rFonts w:ascii="Times New Roman" w:hAnsi="Times New Roman" w:eastAsia="Times New Roman" w:cs="Times New Roman"/>
                <w:color w:val="auto"/>
                <w:spacing w:val="1"/>
              </w:rPr>
              <w:t>m</w:t>
            </w:r>
            <w:r>
              <w:rPr>
                <w:rFonts w:ascii="Times New Roman" w:hAnsi="Times New Roman" w:eastAsia="Times New Roman" w:cs="Times New Roman"/>
                <w:color w:val="auto"/>
                <w:spacing w:val="1"/>
                <w:position w:val="7"/>
                <w:sz w:val="15"/>
                <w:szCs w:val="15"/>
              </w:rPr>
              <w:t>3</w:t>
            </w:r>
            <w:r>
              <w:rPr>
                <w:rFonts w:ascii="Times New Roman" w:hAnsi="Times New Roman" w:eastAsia="Times New Roman" w:cs="Times New Roman"/>
                <w:color w:val="auto"/>
                <w:spacing w:val="1"/>
              </w:rPr>
              <w:t>/d</w:t>
            </w:r>
            <w:r>
              <w:rPr>
                <w:color w:val="auto"/>
                <w:spacing w:val="1"/>
              </w:rPr>
              <w:t>）。产生</w:t>
            </w:r>
            <w:r>
              <w:rPr>
                <w:color w:val="auto"/>
                <w:spacing w:val="-1"/>
              </w:rPr>
              <w:t>的初期雨水收集经</w:t>
            </w:r>
            <w:r>
              <w:rPr>
                <w:rFonts w:hint="default" w:ascii="Times New Roman" w:hAnsi="Times New Roman" w:eastAsia="宋体" w:cs="Times New Roman"/>
                <w:color w:val="auto"/>
                <w:spacing w:val="-1"/>
                <w:sz w:val="24"/>
                <w:szCs w:val="24"/>
              </w:rPr>
              <w:t>沉淀+</w:t>
            </w:r>
            <w:r>
              <w:rPr>
                <w:rFonts w:hint="eastAsia" w:ascii="Times New Roman" w:hAnsi="Times New Roman" w:cs="Times New Roman"/>
                <w:color w:val="auto"/>
                <w:spacing w:val="-1"/>
                <w:sz w:val="24"/>
                <w:szCs w:val="24"/>
                <w:lang w:val="en-US" w:eastAsia="zh-CN"/>
              </w:rPr>
              <w:t>过滤罐</w:t>
            </w:r>
            <w:r>
              <w:rPr>
                <w:rFonts w:hint="default" w:ascii="Times New Roman" w:hAnsi="Times New Roman" w:eastAsia="宋体" w:cs="Times New Roman"/>
                <w:color w:val="auto"/>
                <w:spacing w:val="-1"/>
                <w:sz w:val="24"/>
                <w:szCs w:val="24"/>
              </w:rPr>
              <w:t>+板框压滤后回用</w:t>
            </w:r>
            <w:r>
              <w:rPr>
                <w:rFonts w:hint="eastAsia" w:ascii="Times New Roman" w:hAnsi="Times New Roman" w:cs="Times New Roman"/>
                <w:color w:val="auto"/>
                <w:spacing w:val="-1"/>
                <w:sz w:val="24"/>
                <w:szCs w:val="24"/>
                <w:lang w:val="en-US" w:eastAsia="zh-CN"/>
              </w:rPr>
              <w:t>于生产，</w:t>
            </w:r>
            <w:r>
              <w:rPr>
                <w:color w:val="auto"/>
                <w:spacing w:val="-1"/>
              </w:rPr>
              <w:t>不</w:t>
            </w:r>
            <w:r>
              <w:rPr>
                <w:color w:val="auto"/>
                <w:spacing w:val="-5"/>
              </w:rPr>
              <w:t>外排。</w:t>
            </w:r>
          </w:p>
          <w:p w14:paraId="67F14FB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color w:val="auto"/>
              </w:rPr>
            </w:pPr>
            <w:r>
              <w:rPr>
                <w:color w:val="auto"/>
                <w:spacing w:val="-5"/>
              </w:rPr>
              <w:t>（</w:t>
            </w:r>
            <w:r>
              <w:rPr>
                <w:rFonts w:ascii="Times New Roman" w:hAnsi="Times New Roman" w:eastAsia="Times New Roman" w:cs="Times New Roman"/>
                <w:color w:val="auto"/>
                <w:spacing w:val="-5"/>
              </w:rPr>
              <w:t>2</w:t>
            </w:r>
            <w:r>
              <w:rPr>
                <w:color w:val="auto"/>
                <w:spacing w:val="-5"/>
              </w:rPr>
              <w:t>）供电</w:t>
            </w:r>
          </w:p>
          <w:p w14:paraId="7285AE0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2" w:firstLine="480" w:firstLineChars="200"/>
              <w:textAlignment w:val="baseline"/>
              <w:rPr>
                <w:color w:val="auto"/>
                <w:spacing w:val="-2"/>
              </w:rPr>
            </w:pPr>
            <w:r>
              <w:rPr>
                <w:color w:val="auto"/>
              </w:rPr>
              <w:t>本项目供电来源于</w:t>
            </w:r>
            <w:r>
              <w:rPr>
                <w:rFonts w:hint="eastAsia"/>
                <w:color w:val="auto"/>
                <w:lang w:val="en-US" w:eastAsia="zh-CN"/>
              </w:rPr>
              <w:t>市政</w:t>
            </w:r>
            <w:r>
              <w:rPr>
                <w:color w:val="auto"/>
              </w:rPr>
              <w:t>电网</w:t>
            </w:r>
            <w:r>
              <w:rPr>
                <w:color w:val="auto"/>
                <w:spacing w:val="-2"/>
              </w:rPr>
              <w:t>，年用电量约</w:t>
            </w:r>
            <w:r>
              <w:rPr>
                <w:rFonts w:hint="eastAsia" w:ascii="Times New Roman" w:hAnsi="Times New Roman" w:cs="Times New Roman"/>
                <w:color w:val="auto"/>
                <w:spacing w:val="-2"/>
                <w:lang w:val="en-US" w:eastAsia="zh-CN"/>
              </w:rPr>
              <w:t>5</w:t>
            </w:r>
            <w:r>
              <w:rPr>
                <w:rFonts w:hint="eastAsia" w:ascii="Times New Roman" w:hAnsi="Times New Roman" w:eastAsia="宋体" w:cs="Times New Roman"/>
                <w:color w:val="auto"/>
                <w:spacing w:val="-2"/>
                <w:lang w:val="en-US" w:eastAsia="zh-CN"/>
              </w:rPr>
              <w:t>0</w:t>
            </w:r>
            <w:r>
              <w:rPr>
                <w:color w:val="auto"/>
                <w:spacing w:val="-2"/>
              </w:rPr>
              <w:t>万</w:t>
            </w:r>
            <w:r>
              <w:rPr>
                <w:color w:val="auto"/>
                <w:spacing w:val="-58"/>
              </w:rPr>
              <w:t xml:space="preserve"> </w:t>
            </w:r>
            <w:r>
              <w:rPr>
                <w:rFonts w:ascii="Times New Roman" w:hAnsi="Times New Roman" w:eastAsia="Times New Roman" w:cs="Times New Roman"/>
                <w:color w:val="auto"/>
                <w:spacing w:val="-2"/>
              </w:rPr>
              <w:t>kWh/a</w:t>
            </w:r>
            <w:r>
              <w:rPr>
                <w:color w:val="auto"/>
                <w:spacing w:val="-2"/>
              </w:rPr>
              <w:t>。</w:t>
            </w:r>
          </w:p>
          <w:p w14:paraId="0A30487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2" w:firstLine="472" w:firstLineChars="200"/>
              <w:textAlignment w:val="baseline"/>
              <w:rPr>
                <w:rFonts w:hint="default" w:eastAsia="宋体"/>
                <w:color w:val="auto"/>
                <w:spacing w:val="-2"/>
                <w:lang w:val="en-US" w:eastAsia="zh-CN"/>
              </w:rPr>
            </w:pPr>
            <w:r>
              <w:rPr>
                <w:rFonts w:hint="default" w:ascii="Times New Roman" w:hAnsi="Times New Roman" w:cs="Times New Roman"/>
                <w:color w:val="auto"/>
                <w:spacing w:val="-2"/>
                <w:lang w:eastAsia="zh-CN"/>
              </w:rPr>
              <w:t>（</w:t>
            </w:r>
            <w:r>
              <w:rPr>
                <w:rFonts w:hint="default" w:ascii="Times New Roman" w:hAnsi="Times New Roman" w:cs="Times New Roman"/>
                <w:color w:val="auto"/>
                <w:spacing w:val="-2"/>
                <w:lang w:val="en-US" w:eastAsia="zh-CN"/>
              </w:rPr>
              <w:t>3</w:t>
            </w:r>
            <w:r>
              <w:rPr>
                <w:rFonts w:hint="default" w:ascii="Times New Roman" w:hAnsi="Times New Roman" w:cs="Times New Roman"/>
                <w:color w:val="auto"/>
                <w:spacing w:val="-2"/>
                <w:lang w:eastAsia="zh-CN"/>
              </w:rPr>
              <w:t>）</w:t>
            </w:r>
            <w:r>
              <w:rPr>
                <w:rFonts w:hint="eastAsia"/>
                <w:color w:val="auto"/>
                <w:spacing w:val="-2"/>
                <w:lang w:val="en-US" w:eastAsia="zh-CN"/>
              </w:rPr>
              <w:t>水平衡</w:t>
            </w:r>
          </w:p>
          <w:p w14:paraId="50EE5B27">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89"/>
              <w:textAlignment w:val="baseline"/>
              <w:rPr>
                <w:rFonts w:hint="eastAsia" w:ascii="Times New Roman" w:hAnsi="Times New Roman" w:eastAsia="宋体" w:cs="Times New Roman"/>
                <w:b w:val="0"/>
                <w:bCs w:val="0"/>
                <w:color w:val="auto"/>
                <w:spacing w:val="-5"/>
                <w:lang w:val="en-US" w:eastAsia="zh-CN"/>
              </w:rPr>
            </w:pPr>
            <w:r>
              <w:rPr>
                <w:rFonts w:hint="eastAsia" w:ascii="Times New Roman" w:hAnsi="Times New Roman" w:eastAsia="宋体" w:cs="Times New Roman"/>
                <w:b w:val="0"/>
                <w:bCs w:val="0"/>
                <w:color w:val="auto"/>
                <w:spacing w:val="-5"/>
                <w:lang w:val="en-US" w:eastAsia="zh-CN"/>
              </w:rPr>
              <w:t>本项目水平衡见图2-1。</w:t>
            </w:r>
          </w:p>
          <w:p w14:paraId="60C3CA4B">
            <w:pPr>
              <w:pStyle w:val="2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宋体" w:cs="Times New Roman"/>
                <w:b w:val="0"/>
                <w:bCs w:val="0"/>
                <w:color w:val="auto"/>
                <w:spacing w:val="-5"/>
                <w:lang w:val="en-US" w:eastAsia="zh-CN"/>
              </w:rPr>
            </w:pPr>
            <w:r>
              <w:rPr>
                <w:color w:val="auto"/>
              </w:rPr>
              <w:drawing>
                <wp:inline distT="0" distB="0" distL="114300" distR="114300">
                  <wp:extent cx="5172710" cy="3705225"/>
                  <wp:effectExtent l="0" t="0" r="8890" b="0"/>
                  <wp:docPr id="8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5"/>
                          <pic:cNvPicPr>
                            <a:picLocks noChangeAspect="1"/>
                          </pic:cNvPicPr>
                        </pic:nvPicPr>
                        <pic:blipFill>
                          <a:blip r:embed="rId21"/>
                          <a:stretch>
                            <a:fillRect/>
                          </a:stretch>
                        </pic:blipFill>
                        <pic:spPr>
                          <a:xfrm>
                            <a:off x="0" y="0"/>
                            <a:ext cx="5172710" cy="3705225"/>
                          </a:xfrm>
                          <a:prstGeom prst="rect">
                            <a:avLst/>
                          </a:prstGeom>
                          <a:noFill/>
                          <a:ln>
                            <a:noFill/>
                          </a:ln>
                        </pic:spPr>
                      </pic:pic>
                    </a:graphicData>
                  </a:graphic>
                </wp:inline>
              </w:drawing>
            </w:r>
          </w:p>
          <w:p w14:paraId="768BCA08">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2"/>
              <w:jc w:val="center"/>
              <w:textAlignment w:val="baseline"/>
              <w:rPr>
                <w:rFonts w:hint="default" w:ascii="Times New Roman" w:hAnsi="Times New Roman" w:cs="Times New Roman"/>
                <w:b/>
                <w:bCs/>
                <w:color w:val="auto"/>
                <w:sz w:val="21"/>
                <w:szCs w:val="21"/>
                <w:lang w:val="en-US" w:eastAsia="zh-CN"/>
              </w:rPr>
            </w:pPr>
            <w:r>
              <w:rPr>
                <w:rFonts w:hint="eastAsia" w:ascii="Times New Roman" w:hAnsi="Times New Roman" w:cs="Times New Roman"/>
                <w:b w:val="0"/>
                <w:bCs w:val="0"/>
                <w:color w:val="auto"/>
                <w:sz w:val="21"/>
                <w:szCs w:val="21"/>
                <w:lang w:val="en-US" w:eastAsia="zh-CN"/>
              </w:rPr>
              <w:t>（注：项目污泥产生量为352.9t/a，含水率约65%，则含水量为229.4m</w:t>
            </w:r>
            <w:r>
              <w:rPr>
                <w:rFonts w:hint="eastAsia" w:ascii="Times New Roman" w:hAnsi="Times New Roman" w:cs="Times New Roman"/>
                <w:b w:val="0"/>
                <w:bCs w:val="0"/>
                <w:color w:val="auto"/>
                <w:sz w:val="21"/>
                <w:szCs w:val="21"/>
                <w:vertAlign w:val="superscript"/>
                <w:lang w:val="en-US" w:eastAsia="zh-CN"/>
              </w:rPr>
              <w:t>3</w:t>
            </w:r>
            <w:r>
              <w:rPr>
                <w:rFonts w:hint="eastAsia" w:ascii="Times New Roman" w:hAnsi="Times New Roman" w:cs="Times New Roman"/>
                <w:b w:val="0"/>
                <w:bCs w:val="0"/>
                <w:color w:val="auto"/>
                <w:sz w:val="21"/>
                <w:szCs w:val="21"/>
                <w:lang w:val="en-US" w:eastAsia="zh-CN"/>
              </w:rPr>
              <w:t>/a、0.74m</w:t>
            </w:r>
            <w:r>
              <w:rPr>
                <w:rFonts w:hint="eastAsia" w:ascii="Times New Roman" w:hAnsi="Times New Roman" w:cs="Times New Roman"/>
                <w:b w:val="0"/>
                <w:bCs w:val="0"/>
                <w:color w:val="auto"/>
                <w:sz w:val="21"/>
                <w:szCs w:val="21"/>
                <w:vertAlign w:val="superscript"/>
                <w:lang w:val="en-US" w:eastAsia="zh-CN"/>
              </w:rPr>
              <w:t>3</w:t>
            </w:r>
            <w:r>
              <w:rPr>
                <w:rFonts w:hint="eastAsia" w:ascii="Times New Roman" w:hAnsi="Times New Roman" w:cs="Times New Roman"/>
                <w:b w:val="0"/>
                <w:bCs w:val="0"/>
                <w:color w:val="auto"/>
                <w:sz w:val="21"/>
                <w:szCs w:val="21"/>
                <w:lang w:val="en-US" w:eastAsia="zh-CN"/>
              </w:rPr>
              <w:t>/d）</w:t>
            </w:r>
          </w:p>
          <w:p w14:paraId="06F2802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2"/>
              <w:jc w:val="center"/>
              <w:textAlignment w:val="baseline"/>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图2-1 项目水平衡图  单位：m</w:t>
            </w:r>
            <w:r>
              <w:rPr>
                <w:rFonts w:hint="default" w:ascii="Times New Roman" w:hAnsi="Times New Roman" w:cs="Times New Roman"/>
                <w:b/>
                <w:bCs/>
                <w:color w:val="auto"/>
                <w:sz w:val="24"/>
                <w:szCs w:val="24"/>
                <w:vertAlign w:val="superscript"/>
                <w:lang w:val="en-US" w:eastAsia="zh-CN"/>
              </w:rPr>
              <w:t>3</w:t>
            </w:r>
            <w:r>
              <w:rPr>
                <w:rFonts w:hint="default" w:ascii="Times New Roman" w:hAnsi="Times New Roman" w:cs="Times New Roman"/>
                <w:b/>
                <w:bCs/>
                <w:color w:val="auto"/>
                <w:sz w:val="24"/>
                <w:szCs w:val="24"/>
                <w:lang w:val="en-US" w:eastAsia="zh-CN"/>
              </w:rPr>
              <w:t>/d</w:t>
            </w:r>
          </w:p>
          <w:p w14:paraId="555D0D42">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89"/>
              <w:textAlignment w:val="baseline"/>
              <w:rPr>
                <w:color w:val="auto"/>
              </w:rPr>
            </w:pPr>
            <w:r>
              <w:rPr>
                <w:rFonts w:hint="eastAsia" w:ascii="Times New Roman" w:hAnsi="Times New Roman" w:eastAsia="宋体" w:cs="Times New Roman"/>
                <w:b/>
                <w:bCs/>
                <w:color w:val="auto"/>
                <w:spacing w:val="-5"/>
                <w:lang w:val="en-US" w:eastAsia="zh-CN"/>
              </w:rPr>
              <w:t>7</w:t>
            </w:r>
            <w:r>
              <w:rPr>
                <w:b/>
                <w:bCs/>
                <w:color w:val="auto"/>
                <w:spacing w:val="-5"/>
              </w:rPr>
              <w:t>、工作过制度及劳动定员</w:t>
            </w:r>
          </w:p>
          <w:p w14:paraId="18A7D974">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color w:val="auto"/>
              </w:rPr>
            </w:pPr>
            <w:r>
              <w:rPr>
                <w:color w:val="auto"/>
                <w:spacing w:val="-1"/>
              </w:rPr>
              <w:t>工作制度：本项目年生产</w:t>
            </w:r>
            <w:r>
              <w:rPr>
                <w:color w:val="auto"/>
                <w:spacing w:val="-50"/>
              </w:rPr>
              <w:t xml:space="preserve"> </w:t>
            </w:r>
            <w:r>
              <w:rPr>
                <w:rFonts w:ascii="Times New Roman" w:hAnsi="Times New Roman" w:eastAsia="Times New Roman" w:cs="Times New Roman"/>
                <w:color w:val="auto"/>
                <w:spacing w:val="-1"/>
              </w:rPr>
              <w:t>3</w:t>
            </w:r>
            <w:r>
              <w:rPr>
                <w:rFonts w:hint="eastAsia" w:ascii="Times New Roman" w:hAnsi="Times New Roman" w:eastAsia="宋体" w:cs="Times New Roman"/>
                <w:color w:val="auto"/>
                <w:spacing w:val="-1"/>
                <w:lang w:val="en-US" w:eastAsia="zh-CN"/>
              </w:rPr>
              <w:t>1</w:t>
            </w:r>
            <w:r>
              <w:rPr>
                <w:rFonts w:hint="eastAsia" w:ascii="Times New Roman" w:hAnsi="Times New Roman" w:cs="Times New Roman"/>
                <w:color w:val="auto"/>
                <w:spacing w:val="-1"/>
                <w:lang w:val="en-US" w:eastAsia="zh-CN"/>
              </w:rPr>
              <w:t>2</w:t>
            </w:r>
            <w:r>
              <w:rPr>
                <w:color w:val="auto"/>
                <w:spacing w:val="-1"/>
              </w:rPr>
              <w:t>天，实行单班制，每班制为</w:t>
            </w:r>
            <w:r>
              <w:rPr>
                <w:color w:val="auto"/>
                <w:spacing w:val="-46"/>
              </w:rPr>
              <w:t xml:space="preserve"> </w:t>
            </w:r>
            <w:r>
              <w:rPr>
                <w:rFonts w:ascii="Times New Roman" w:hAnsi="Times New Roman" w:eastAsia="Times New Roman" w:cs="Times New Roman"/>
                <w:color w:val="auto"/>
                <w:spacing w:val="-1"/>
              </w:rPr>
              <w:t xml:space="preserve">8 </w:t>
            </w:r>
            <w:r>
              <w:rPr>
                <w:color w:val="auto"/>
                <w:spacing w:val="-2"/>
              </w:rPr>
              <w:t>小时。</w:t>
            </w:r>
          </w:p>
          <w:p w14:paraId="06C81DA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2" w:firstLine="484" w:firstLineChars="200"/>
              <w:textAlignment w:val="baseline"/>
              <w:rPr>
                <w:rFonts w:hint="default"/>
                <w:color w:val="auto"/>
                <w:spacing w:val="1"/>
                <w:lang w:val="en-US" w:eastAsia="zh-CN"/>
              </w:rPr>
            </w:pPr>
            <w:r>
              <w:rPr>
                <w:color w:val="auto"/>
                <w:spacing w:val="1"/>
              </w:rPr>
              <w:t>劳动定员：项目劳动定员</w:t>
            </w:r>
            <w:r>
              <w:rPr>
                <w:rFonts w:hint="eastAsia" w:ascii="Times New Roman" w:hAnsi="Times New Roman" w:eastAsia="宋体" w:cs="Times New Roman"/>
                <w:color w:val="auto"/>
                <w:spacing w:val="1"/>
                <w:lang w:val="en-US" w:eastAsia="zh-CN"/>
              </w:rPr>
              <w:t>11</w:t>
            </w:r>
            <w:r>
              <w:rPr>
                <w:color w:val="auto"/>
                <w:spacing w:val="1"/>
              </w:rPr>
              <w:t>人，项目厂区</w:t>
            </w:r>
            <w:r>
              <w:rPr>
                <w:rFonts w:hint="eastAsia"/>
                <w:color w:val="auto"/>
                <w:spacing w:val="1"/>
                <w:lang w:val="en-US" w:eastAsia="zh-CN"/>
              </w:rPr>
              <w:t>不</w:t>
            </w:r>
            <w:r>
              <w:rPr>
                <w:color w:val="auto"/>
                <w:spacing w:val="1"/>
              </w:rPr>
              <w:t>内设食堂，无宿舍。</w:t>
            </w:r>
          </w:p>
        </w:tc>
      </w:tr>
    </w:tbl>
    <w:p w14:paraId="59231921">
      <w:pPr>
        <w:rPr>
          <w:color w:val="auto"/>
        </w:rPr>
        <w:sectPr>
          <w:footerReference r:id="rId8" w:type="default"/>
          <w:pgSz w:w="11906" w:h="16839"/>
          <w:pgMar w:top="1431" w:right="1451" w:bottom="1221" w:left="1451" w:header="0" w:footer="1058" w:gutter="0"/>
          <w:pgNumType w:fmt="numberInDash"/>
          <w:cols w:space="720" w:num="1"/>
        </w:sectPr>
      </w:pPr>
    </w:p>
    <w:tbl>
      <w:tblPr>
        <w:tblStyle w:val="21"/>
        <w:tblW w:w="89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1"/>
        <w:gridCol w:w="8157"/>
      </w:tblGrid>
      <w:tr w14:paraId="1D9E9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69" w:hRule="atLeast"/>
        </w:trPr>
        <w:tc>
          <w:tcPr>
            <w:tcW w:w="831" w:type="dxa"/>
            <w:tcBorders>
              <w:right w:val="single" w:color="000000" w:sz="2" w:space="0"/>
            </w:tcBorders>
            <w:vAlign w:val="top"/>
          </w:tcPr>
          <w:p w14:paraId="3A89D966">
            <w:pPr>
              <w:spacing w:line="243" w:lineRule="auto"/>
              <w:rPr>
                <w:rFonts w:ascii="Arial"/>
                <w:color w:val="auto"/>
                <w:sz w:val="21"/>
              </w:rPr>
            </w:pPr>
          </w:p>
          <w:p w14:paraId="280F3FF8">
            <w:pPr>
              <w:spacing w:line="243" w:lineRule="auto"/>
              <w:rPr>
                <w:rFonts w:ascii="Arial"/>
                <w:color w:val="auto"/>
                <w:sz w:val="21"/>
              </w:rPr>
            </w:pPr>
          </w:p>
          <w:p w14:paraId="480C2031">
            <w:pPr>
              <w:spacing w:line="243" w:lineRule="auto"/>
              <w:rPr>
                <w:rFonts w:ascii="Arial"/>
                <w:color w:val="auto"/>
                <w:sz w:val="21"/>
              </w:rPr>
            </w:pPr>
          </w:p>
          <w:p w14:paraId="7552E976">
            <w:pPr>
              <w:spacing w:line="243" w:lineRule="auto"/>
              <w:rPr>
                <w:rFonts w:ascii="Arial"/>
                <w:color w:val="auto"/>
                <w:sz w:val="21"/>
              </w:rPr>
            </w:pPr>
          </w:p>
          <w:p w14:paraId="142D7E16">
            <w:pPr>
              <w:spacing w:line="243" w:lineRule="auto"/>
              <w:rPr>
                <w:rFonts w:ascii="Arial"/>
                <w:color w:val="auto"/>
                <w:sz w:val="21"/>
              </w:rPr>
            </w:pPr>
          </w:p>
          <w:p w14:paraId="0E964135">
            <w:pPr>
              <w:spacing w:line="243" w:lineRule="auto"/>
              <w:rPr>
                <w:rFonts w:ascii="Arial"/>
                <w:color w:val="auto"/>
                <w:sz w:val="21"/>
              </w:rPr>
            </w:pPr>
          </w:p>
          <w:p w14:paraId="5D49C24E">
            <w:pPr>
              <w:spacing w:line="243" w:lineRule="auto"/>
              <w:rPr>
                <w:rFonts w:ascii="Arial"/>
                <w:color w:val="auto"/>
                <w:sz w:val="21"/>
              </w:rPr>
            </w:pPr>
          </w:p>
          <w:p w14:paraId="19E5FDA9">
            <w:pPr>
              <w:spacing w:line="244" w:lineRule="auto"/>
              <w:rPr>
                <w:rFonts w:ascii="Arial"/>
                <w:color w:val="auto"/>
                <w:sz w:val="21"/>
              </w:rPr>
            </w:pPr>
          </w:p>
          <w:p w14:paraId="3505F096">
            <w:pPr>
              <w:spacing w:line="244" w:lineRule="auto"/>
              <w:rPr>
                <w:rFonts w:ascii="Arial"/>
                <w:color w:val="auto"/>
                <w:sz w:val="21"/>
              </w:rPr>
            </w:pPr>
          </w:p>
          <w:p w14:paraId="6BFBDE87">
            <w:pPr>
              <w:spacing w:line="244" w:lineRule="auto"/>
              <w:rPr>
                <w:rFonts w:ascii="Arial"/>
                <w:color w:val="auto"/>
                <w:sz w:val="21"/>
              </w:rPr>
            </w:pPr>
          </w:p>
          <w:p w14:paraId="75B4541E">
            <w:pPr>
              <w:spacing w:line="244" w:lineRule="auto"/>
              <w:rPr>
                <w:rFonts w:ascii="Arial"/>
                <w:color w:val="auto"/>
                <w:sz w:val="21"/>
              </w:rPr>
            </w:pPr>
          </w:p>
          <w:p w14:paraId="3A423494">
            <w:pPr>
              <w:spacing w:line="244" w:lineRule="auto"/>
              <w:rPr>
                <w:rFonts w:ascii="Arial"/>
                <w:color w:val="auto"/>
                <w:sz w:val="21"/>
              </w:rPr>
            </w:pPr>
          </w:p>
          <w:p w14:paraId="4883E50B">
            <w:pPr>
              <w:spacing w:line="244" w:lineRule="auto"/>
              <w:rPr>
                <w:rFonts w:ascii="Arial"/>
                <w:color w:val="auto"/>
                <w:sz w:val="21"/>
              </w:rPr>
            </w:pPr>
          </w:p>
          <w:p w14:paraId="41E45013">
            <w:pPr>
              <w:spacing w:line="244" w:lineRule="auto"/>
              <w:rPr>
                <w:rFonts w:ascii="Arial"/>
                <w:color w:val="auto"/>
                <w:sz w:val="21"/>
              </w:rPr>
            </w:pPr>
          </w:p>
          <w:p w14:paraId="23E0EDE1">
            <w:pPr>
              <w:spacing w:line="244" w:lineRule="auto"/>
              <w:rPr>
                <w:rFonts w:ascii="Arial"/>
                <w:color w:val="auto"/>
                <w:sz w:val="21"/>
              </w:rPr>
            </w:pPr>
          </w:p>
          <w:p w14:paraId="683A0818">
            <w:pPr>
              <w:spacing w:line="244" w:lineRule="auto"/>
              <w:rPr>
                <w:rFonts w:ascii="Arial"/>
                <w:color w:val="auto"/>
                <w:sz w:val="21"/>
              </w:rPr>
            </w:pPr>
          </w:p>
          <w:p w14:paraId="5DAD54C7">
            <w:pPr>
              <w:spacing w:line="244" w:lineRule="auto"/>
              <w:rPr>
                <w:rFonts w:ascii="Arial"/>
                <w:color w:val="auto"/>
                <w:sz w:val="21"/>
              </w:rPr>
            </w:pPr>
          </w:p>
          <w:p w14:paraId="49E3D660">
            <w:pPr>
              <w:spacing w:line="244" w:lineRule="auto"/>
              <w:rPr>
                <w:rFonts w:ascii="Arial"/>
                <w:color w:val="auto"/>
                <w:sz w:val="21"/>
              </w:rPr>
            </w:pPr>
          </w:p>
          <w:p w14:paraId="5D7F38A9">
            <w:pPr>
              <w:spacing w:line="244" w:lineRule="auto"/>
              <w:rPr>
                <w:rFonts w:ascii="Arial"/>
                <w:color w:val="auto"/>
                <w:sz w:val="21"/>
              </w:rPr>
            </w:pPr>
          </w:p>
          <w:p w14:paraId="471669C2">
            <w:pPr>
              <w:spacing w:line="244" w:lineRule="auto"/>
              <w:rPr>
                <w:rFonts w:ascii="Arial"/>
                <w:color w:val="auto"/>
                <w:sz w:val="21"/>
              </w:rPr>
            </w:pPr>
          </w:p>
          <w:p w14:paraId="52C3D52A">
            <w:pPr>
              <w:spacing w:line="244" w:lineRule="auto"/>
              <w:rPr>
                <w:rFonts w:ascii="Arial"/>
                <w:color w:val="auto"/>
                <w:sz w:val="21"/>
              </w:rPr>
            </w:pPr>
          </w:p>
          <w:p w14:paraId="75E82C26">
            <w:pPr>
              <w:spacing w:line="244" w:lineRule="auto"/>
              <w:rPr>
                <w:rFonts w:ascii="Arial"/>
                <w:color w:val="auto"/>
                <w:sz w:val="21"/>
              </w:rPr>
            </w:pPr>
          </w:p>
          <w:p w14:paraId="0CAC3774">
            <w:pPr>
              <w:spacing w:line="244" w:lineRule="auto"/>
              <w:rPr>
                <w:rFonts w:ascii="Arial"/>
                <w:color w:val="auto"/>
                <w:sz w:val="21"/>
              </w:rPr>
            </w:pPr>
          </w:p>
          <w:p w14:paraId="26E0D63E">
            <w:pPr>
              <w:spacing w:line="244" w:lineRule="auto"/>
              <w:rPr>
                <w:rFonts w:ascii="Arial"/>
                <w:color w:val="auto"/>
                <w:sz w:val="21"/>
              </w:rPr>
            </w:pPr>
          </w:p>
          <w:p w14:paraId="68DBEB92">
            <w:pPr>
              <w:pStyle w:val="22"/>
              <w:spacing w:before="65" w:line="247" w:lineRule="auto"/>
              <w:ind w:left="202" w:right="208" w:firstLine="2"/>
              <w:jc w:val="both"/>
              <w:rPr>
                <w:color w:val="auto"/>
                <w:sz w:val="20"/>
                <w:szCs w:val="20"/>
              </w:rPr>
            </w:pPr>
            <w:r>
              <w:rPr>
                <w:color w:val="auto"/>
                <w:spacing w:val="3"/>
                <w:sz w:val="24"/>
                <w:szCs w:val="24"/>
              </w:rPr>
              <w:t>工艺</w:t>
            </w:r>
            <w:r>
              <w:rPr>
                <w:color w:val="auto"/>
                <w:sz w:val="24"/>
                <w:szCs w:val="24"/>
              </w:rPr>
              <w:t xml:space="preserve"> </w:t>
            </w:r>
            <w:r>
              <w:rPr>
                <w:color w:val="auto"/>
                <w:spacing w:val="4"/>
                <w:sz w:val="24"/>
                <w:szCs w:val="24"/>
              </w:rPr>
              <w:t>流程</w:t>
            </w:r>
            <w:r>
              <w:rPr>
                <w:color w:val="auto"/>
                <w:sz w:val="24"/>
                <w:szCs w:val="24"/>
              </w:rPr>
              <w:t xml:space="preserve"> </w:t>
            </w:r>
            <w:r>
              <w:rPr>
                <w:color w:val="auto"/>
                <w:spacing w:val="4"/>
                <w:sz w:val="24"/>
                <w:szCs w:val="24"/>
              </w:rPr>
              <w:t>和产</w:t>
            </w:r>
            <w:r>
              <w:rPr>
                <w:color w:val="auto"/>
                <w:sz w:val="24"/>
                <w:szCs w:val="24"/>
              </w:rPr>
              <w:t xml:space="preserve"> </w:t>
            </w:r>
            <w:r>
              <w:rPr>
                <w:color w:val="auto"/>
                <w:spacing w:val="4"/>
                <w:sz w:val="24"/>
                <w:szCs w:val="24"/>
              </w:rPr>
              <w:t>排污</w:t>
            </w:r>
            <w:r>
              <w:rPr>
                <w:color w:val="auto"/>
                <w:sz w:val="24"/>
                <w:szCs w:val="24"/>
              </w:rPr>
              <w:t xml:space="preserve"> </w:t>
            </w:r>
            <w:r>
              <w:rPr>
                <w:color w:val="auto"/>
                <w:spacing w:val="4"/>
                <w:sz w:val="24"/>
                <w:szCs w:val="24"/>
              </w:rPr>
              <w:t>环节</w:t>
            </w:r>
          </w:p>
        </w:tc>
        <w:tc>
          <w:tcPr>
            <w:tcW w:w="8157" w:type="dxa"/>
            <w:tcBorders>
              <w:left w:val="single" w:color="000000" w:sz="2" w:space="0"/>
            </w:tcBorders>
            <w:vAlign w:val="top"/>
          </w:tcPr>
          <w:p w14:paraId="14C7D397">
            <w:pPr>
              <w:pStyle w:val="22"/>
              <w:spacing w:before="182" w:line="331" w:lineRule="auto"/>
              <w:ind w:right="65" w:firstLine="470" w:firstLineChars="200"/>
              <w:rPr>
                <w:rFonts w:hint="default" w:ascii="Times New Roman" w:hAnsi="Times New Roman" w:eastAsia="宋体" w:cs="Times New Roman"/>
                <w:b/>
                <w:bCs/>
                <w:color w:val="auto"/>
                <w:spacing w:val="-3"/>
                <w:lang w:val="en-US" w:eastAsia="zh-CN"/>
              </w:rPr>
            </w:pPr>
            <w:r>
              <w:rPr>
                <w:rFonts w:hint="default" w:ascii="Times New Roman" w:hAnsi="Times New Roman" w:cs="Times New Roman"/>
                <w:b/>
                <w:bCs/>
                <w:color w:val="auto"/>
                <w:spacing w:val="-3"/>
                <w:lang w:val="en-US" w:eastAsia="zh-CN"/>
              </w:rPr>
              <w:t>1、生产工艺流程</w:t>
            </w:r>
          </w:p>
          <w:p w14:paraId="22EC4F5D">
            <w:pPr>
              <w:pStyle w:val="22"/>
              <w:spacing w:before="182" w:line="331" w:lineRule="auto"/>
              <w:ind w:right="65"/>
              <w:jc w:val="center"/>
              <w:rPr>
                <w:color w:val="auto"/>
                <w:spacing w:val="-3"/>
              </w:rPr>
            </w:pPr>
            <w:r>
              <w:rPr>
                <w:color w:val="auto"/>
              </w:rPr>
              <w:drawing>
                <wp:inline distT="0" distB="0" distL="114300" distR="114300">
                  <wp:extent cx="5171440" cy="3448050"/>
                  <wp:effectExtent l="0" t="0" r="635" b="0"/>
                  <wp:docPr id="8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6"/>
                          <pic:cNvPicPr>
                            <a:picLocks noChangeAspect="1"/>
                          </pic:cNvPicPr>
                        </pic:nvPicPr>
                        <pic:blipFill>
                          <a:blip r:embed="rId22"/>
                          <a:stretch>
                            <a:fillRect/>
                          </a:stretch>
                        </pic:blipFill>
                        <pic:spPr>
                          <a:xfrm>
                            <a:off x="0" y="0"/>
                            <a:ext cx="5171440" cy="3448050"/>
                          </a:xfrm>
                          <a:prstGeom prst="rect">
                            <a:avLst/>
                          </a:prstGeom>
                          <a:noFill/>
                          <a:ln>
                            <a:noFill/>
                          </a:ln>
                        </pic:spPr>
                      </pic:pic>
                    </a:graphicData>
                  </a:graphic>
                </wp:inline>
              </w:drawing>
            </w:r>
          </w:p>
          <w:p w14:paraId="6F8ED95E">
            <w:pPr>
              <w:pStyle w:val="22"/>
              <w:spacing w:before="182" w:line="331" w:lineRule="auto"/>
              <w:ind w:right="65"/>
              <w:jc w:val="center"/>
              <w:rPr>
                <w:rFonts w:hint="default" w:ascii="Times New Roman" w:hAnsi="Times New Roman" w:eastAsia="宋体" w:cs="Times New Roman"/>
                <w:b/>
                <w:bCs/>
                <w:color w:val="auto"/>
                <w:spacing w:val="-3"/>
                <w:lang w:val="en-US" w:eastAsia="zh-CN"/>
              </w:rPr>
            </w:pPr>
            <w:r>
              <w:rPr>
                <w:rFonts w:hint="default" w:ascii="Times New Roman" w:hAnsi="Times New Roman" w:cs="Times New Roman"/>
                <w:b/>
                <w:bCs/>
                <w:color w:val="auto"/>
                <w:spacing w:val="-3"/>
                <w:lang w:val="en-US" w:eastAsia="zh-CN"/>
              </w:rPr>
              <w:t>图2-2 生产工艺流程及产污节点图</w:t>
            </w:r>
          </w:p>
          <w:p w14:paraId="7E69324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65" w:firstLine="468" w:firstLineChars="200"/>
              <w:textAlignment w:val="baseline"/>
              <w:rPr>
                <w:rFonts w:hint="default" w:eastAsia="宋体"/>
                <w:color w:val="auto"/>
                <w:spacing w:val="-3"/>
                <w:lang w:val="en-US" w:eastAsia="zh-CN"/>
              </w:rPr>
            </w:pPr>
            <w:r>
              <w:rPr>
                <w:rFonts w:hint="eastAsia"/>
                <w:color w:val="auto"/>
                <w:spacing w:val="-3"/>
                <w:lang w:val="en-US" w:eastAsia="zh-CN"/>
              </w:rPr>
              <w:t>工艺简述：</w:t>
            </w:r>
          </w:p>
          <w:p w14:paraId="6E69B777">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08" w:right="62" w:firstLine="493"/>
              <w:textAlignment w:val="baseline"/>
              <w:rPr>
                <w:rFonts w:hint="default" w:eastAsia="宋体"/>
                <w:color w:val="auto"/>
                <w:lang w:val="en-US" w:eastAsia="zh-CN"/>
              </w:rPr>
            </w:pPr>
            <w:r>
              <w:rPr>
                <w:color w:val="auto"/>
                <w:spacing w:val="-3"/>
              </w:rPr>
              <w:t>（</w:t>
            </w:r>
            <w:r>
              <w:rPr>
                <w:rFonts w:ascii="Times New Roman" w:hAnsi="Times New Roman" w:eastAsia="Times New Roman" w:cs="Times New Roman"/>
                <w:color w:val="auto"/>
                <w:spacing w:val="-3"/>
              </w:rPr>
              <w:t>1</w:t>
            </w:r>
            <w:r>
              <w:rPr>
                <w:color w:val="auto"/>
                <w:spacing w:val="-3"/>
              </w:rPr>
              <w:t>）备料：</w:t>
            </w:r>
            <w:r>
              <w:rPr>
                <w:rFonts w:hint="eastAsia"/>
                <w:color w:val="auto"/>
                <w:spacing w:val="-3"/>
                <w:lang w:val="en-US" w:eastAsia="zh-CN"/>
              </w:rPr>
              <w:t>本项目细沙、碎石由企业自行加工生产，原料河卵石经破碎、筛分和水洗后，得到细沙以及不同规格的碎石，满足水泥混凝土生产需求，细沙、碎石在厂内堆场存放</w:t>
            </w:r>
            <w:r>
              <w:rPr>
                <w:color w:val="auto"/>
              </w:rPr>
              <w:t>。</w:t>
            </w:r>
            <w:r>
              <w:rPr>
                <w:rFonts w:hint="eastAsia"/>
                <w:color w:val="auto"/>
                <w:lang w:val="en-US" w:eastAsia="zh-CN"/>
              </w:rPr>
              <w:t>砂石加工过程主要产生粉尘、洗砂废水。</w:t>
            </w:r>
            <w:r>
              <w:rPr>
                <w:color w:val="auto"/>
              </w:rPr>
              <w:t>散装水泥、</w:t>
            </w:r>
            <w:r>
              <w:rPr>
                <w:rFonts w:hint="eastAsia"/>
                <w:color w:val="auto"/>
                <w:lang w:val="en-US" w:eastAsia="zh-CN"/>
              </w:rPr>
              <w:t>粉煤灰</w:t>
            </w:r>
            <w:r>
              <w:rPr>
                <w:color w:val="auto"/>
              </w:rPr>
              <w:t>等粉料由罐车运输到厂，压缩空气吹送至</w:t>
            </w:r>
            <w:r>
              <w:rPr>
                <w:rFonts w:hint="eastAsia"/>
                <w:color w:val="auto"/>
                <w:lang w:val="en-US" w:eastAsia="zh-CN"/>
              </w:rPr>
              <w:t>粉料仓</w:t>
            </w:r>
            <w:r>
              <w:rPr>
                <w:color w:val="auto"/>
              </w:rPr>
              <w:t>储存</w:t>
            </w:r>
            <w:r>
              <w:rPr>
                <w:color w:val="auto"/>
                <w:spacing w:val="-2"/>
              </w:rPr>
              <w:t>。</w:t>
            </w:r>
            <w:r>
              <w:rPr>
                <w:rFonts w:hint="eastAsia"/>
                <w:color w:val="auto"/>
                <w:spacing w:val="-2"/>
                <w:lang w:val="en-US" w:eastAsia="zh-CN"/>
              </w:rPr>
              <w:t>砂石破碎、筛分工序采取喷淋洒水，降低粉尘的排放。</w:t>
            </w:r>
          </w:p>
          <w:p w14:paraId="12A0F8BB">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08" w:right="102" w:firstLine="492"/>
              <w:textAlignment w:val="baseline"/>
              <w:rPr>
                <w:color w:val="auto"/>
              </w:rPr>
            </w:pPr>
            <w:r>
              <w:rPr>
                <w:color w:val="auto"/>
                <w:spacing w:val="-4"/>
              </w:rPr>
              <w:t>（</w:t>
            </w:r>
            <w:r>
              <w:rPr>
                <w:rFonts w:ascii="Times New Roman" w:hAnsi="Times New Roman" w:eastAsia="Times New Roman" w:cs="Times New Roman"/>
                <w:color w:val="auto"/>
                <w:spacing w:val="-4"/>
              </w:rPr>
              <w:t>2</w:t>
            </w:r>
            <w:r>
              <w:rPr>
                <w:color w:val="auto"/>
                <w:spacing w:val="-4"/>
              </w:rPr>
              <w:t>）输送计量：水泥、</w:t>
            </w:r>
            <w:r>
              <w:rPr>
                <w:rFonts w:hint="eastAsia"/>
                <w:color w:val="auto"/>
                <w:spacing w:val="-4"/>
                <w:lang w:val="en-US" w:eastAsia="zh-CN"/>
              </w:rPr>
              <w:t>粉煤灰、细砂</w:t>
            </w:r>
            <w:r>
              <w:rPr>
                <w:color w:val="auto"/>
                <w:spacing w:val="-4"/>
              </w:rPr>
              <w:t>、</w:t>
            </w:r>
            <w:r>
              <w:rPr>
                <w:rFonts w:hint="eastAsia"/>
                <w:color w:val="auto"/>
                <w:spacing w:val="-4"/>
                <w:lang w:val="en-US" w:eastAsia="zh-CN"/>
              </w:rPr>
              <w:t>碎石、</w:t>
            </w:r>
            <w:r>
              <w:rPr>
                <w:color w:val="auto"/>
                <w:spacing w:val="-4"/>
              </w:rPr>
              <w:t>外加剂</w:t>
            </w:r>
            <w:r>
              <w:rPr>
                <w:rFonts w:hint="eastAsia"/>
                <w:color w:val="auto"/>
                <w:spacing w:val="-4"/>
                <w:lang w:eastAsia="zh-CN"/>
              </w:rPr>
              <w:t>、</w:t>
            </w:r>
            <w:r>
              <w:rPr>
                <w:rFonts w:hint="eastAsia"/>
                <w:color w:val="auto"/>
                <w:spacing w:val="-4"/>
                <w:lang w:val="en-US" w:eastAsia="zh-CN"/>
              </w:rPr>
              <w:t>水</w:t>
            </w:r>
            <w:r>
              <w:rPr>
                <w:color w:val="auto"/>
              </w:rPr>
              <w:t>根据物料特性分别采用管道、传送皮带等方式进行输送，经计量后送入</w:t>
            </w:r>
            <w:r>
              <w:rPr>
                <w:color w:val="auto"/>
                <w:spacing w:val="-1"/>
              </w:rPr>
              <w:t>搅拌</w:t>
            </w:r>
            <w:r>
              <w:rPr>
                <w:rFonts w:hint="eastAsia"/>
                <w:color w:val="auto"/>
                <w:spacing w:val="-1"/>
                <w:lang w:val="en-US" w:eastAsia="zh-CN"/>
              </w:rPr>
              <w:t>主</w:t>
            </w:r>
            <w:r>
              <w:rPr>
                <w:color w:val="auto"/>
                <w:spacing w:val="-1"/>
              </w:rPr>
              <w:t>机。</w:t>
            </w:r>
          </w:p>
          <w:p w14:paraId="7FF0327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09" w:right="102" w:firstLine="491"/>
              <w:textAlignment w:val="baseline"/>
              <w:rPr>
                <w:rFonts w:hint="default" w:eastAsia="宋体"/>
                <w:color w:val="auto"/>
                <w:lang w:val="en-US" w:eastAsia="zh-CN"/>
              </w:rPr>
            </w:pPr>
            <w:r>
              <w:rPr>
                <w:color w:val="auto"/>
                <w:spacing w:val="-4"/>
              </w:rPr>
              <w:t>（</w:t>
            </w:r>
            <w:r>
              <w:rPr>
                <w:rFonts w:ascii="Times New Roman" w:hAnsi="Times New Roman" w:eastAsia="Times New Roman" w:cs="Times New Roman"/>
                <w:color w:val="auto"/>
                <w:spacing w:val="-4"/>
              </w:rPr>
              <w:t>3</w:t>
            </w:r>
            <w:r>
              <w:rPr>
                <w:color w:val="auto"/>
                <w:spacing w:val="-4"/>
              </w:rPr>
              <w:t>）搅拌：由计算机进行计量配料，完成后加入搅拌机，并由水</w:t>
            </w:r>
            <w:r>
              <w:rPr>
                <w:color w:val="auto"/>
              </w:rPr>
              <w:t>泵泵入水进行强制搅拌，每天需停机对搅拌机进行清洗。本工序产生的污染</w:t>
            </w:r>
            <w:r>
              <w:rPr>
                <w:color w:val="auto"/>
                <w:spacing w:val="-1"/>
              </w:rPr>
              <w:t>物为粉尘、</w:t>
            </w:r>
            <w:r>
              <w:rPr>
                <w:rFonts w:hint="eastAsia"/>
                <w:color w:val="auto"/>
                <w:spacing w:val="-1"/>
                <w:lang w:val="en-US" w:eastAsia="zh-CN"/>
              </w:rPr>
              <w:t>清洗</w:t>
            </w:r>
            <w:r>
              <w:rPr>
                <w:color w:val="auto"/>
                <w:spacing w:val="-1"/>
              </w:rPr>
              <w:t>废水。</w:t>
            </w:r>
            <w:r>
              <w:rPr>
                <w:rFonts w:hint="eastAsia"/>
                <w:color w:val="auto"/>
                <w:spacing w:val="-1"/>
                <w:lang w:val="en-US" w:eastAsia="zh-CN"/>
              </w:rPr>
              <w:t>经搅拌后得到商品混凝土。</w:t>
            </w:r>
          </w:p>
          <w:p w14:paraId="7301FF3B">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08" w:right="102" w:firstLine="484"/>
              <w:textAlignment w:val="baseline"/>
              <w:rPr>
                <w:rFonts w:hint="eastAsia"/>
                <w:color w:val="auto"/>
                <w:spacing w:val="-4"/>
                <w:lang w:val="en-US" w:eastAsia="zh-CN"/>
              </w:rPr>
            </w:pPr>
            <w:r>
              <w:rPr>
                <w:color w:val="auto"/>
                <w:spacing w:val="-4"/>
              </w:rPr>
              <w:t>（</w:t>
            </w:r>
            <w:r>
              <w:rPr>
                <w:rFonts w:hint="eastAsia" w:ascii="Times New Roman" w:hAnsi="Times New Roman" w:eastAsia="宋体" w:cs="Times New Roman"/>
                <w:color w:val="auto"/>
                <w:spacing w:val="-4"/>
                <w:lang w:val="en-US" w:eastAsia="zh-CN"/>
              </w:rPr>
              <w:t>4</w:t>
            </w:r>
            <w:r>
              <w:rPr>
                <w:color w:val="auto"/>
                <w:spacing w:val="-4"/>
              </w:rPr>
              <w:t>）取样试验</w:t>
            </w:r>
            <w:r>
              <w:rPr>
                <w:rFonts w:hint="eastAsia"/>
                <w:color w:val="auto"/>
                <w:spacing w:val="-4"/>
                <w:lang w:eastAsia="zh-CN"/>
              </w:rPr>
              <w:t>（</w:t>
            </w:r>
            <w:r>
              <w:rPr>
                <w:rFonts w:hint="eastAsia"/>
                <w:color w:val="auto"/>
                <w:spacing w:val="-4"/>
                <w:lang w:val="en-US" w:eastAsia="zh-CN"/>
              </w:rPr>
              <w:t>送外检测</w:t>
            </w:r>
            <w:r>
              <w:rPr>
                <w:rFonts w:hint="eastAsia"/>
                <w:color w:val="auto"/>
                <w:spacing w:val="-4"/>
                <w:lang w:eastAsia="zh-CN"/>
              </w:rPr>
              <w:t>）</w:t>
            </w:r>
            <w:r>
              <w:rPr>
                <w:color w:val="auto"/>
                <w:spacing w:val="-4"/>
              </w:rPr>
              <w:t>：</w:t>
            </w:r>
            <w:r>
              <w:rPr>
                <w:rFonts w:hint="eastAsia"/>
                <w:color w:val="auto"/>
                <w:spacing w:val="-4"/>
              </w:rPr>
              <w:t>原料通过搅拌机搅拌，达到产品要求后，取样品</w:t>
            </w:r>
            <w:r>
              <w:rPr>
                <w:rFonts w:hint="eastAsia"/>
                <w:color w:val="auto"/>
                <w:spacing w:val="-4"/>
                <w:lang w:val="en-US" w:eastAsia="zh-CN"/>
              </w:rPr>
              <w:t>送外</w:t>
            </w:r>
            <w:r>
              <w:rPr>
                <w:rFonts w:hint="eastAsia"/>
                <w:color w:val="auto"/>
                <w:spacing w:val="-4"/>
              </w:rPr>
              <w:t>进行检验</w:t>
            </w:r>
            <w:r>
              <w:rPr>
                <w:rFonts w:hint="eastAsia"/>
                <w:color w:val="auto"/>
                <w:spacing w:val="-4"/>
                <w:lang w:eastAsia="zh-CN"/>
              </w:rPr>
              <w:t>。</w:t>
            </w:r>
          </w:p>
          <w:p w14:paraId="2C566A5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08" w:right="102" w:firstLine="484"/>
              <w:textAlignment w:val="baseline"/>
              <w:rPr>
                <w:rFonts w:hint="eastAsia"/>
                <w:color w:val="auto"/>
                <w:spacing w:val="-4"/>
                <w:lang w:val="en-US" w:eastAsia="zh-CN"/>
              </w:rPr>
            </w:pPr>
            <w:r>
              <w:rPr>
                <w:rFonts w:hint="eastAsia"/>
                <w:color w:val="auto"/>
                <w:spacing w:val="-4"/>
                <w:lang w:val="en-US" w:eastAsia="zh-CN"/>
              </w:rPr>
              <w:t>（</w:t>
            </w:r>
            <w:r>
              <w:rPr>
                <w:rFonts w:hint="default" w:ascii="Times New Roman" w:hAnsi="Times New Roman" w:cs="Times New Roman"/>
                <w:color w:val="auto"/>
                <w:spacing w:val="-4"/>
                <w:lang w:val="en-US" w:eastAsia="zh-CN"/>
              </w:rPr>
              <w:t>5</w:t>
            </w:r>
            <w:r>
              <w:rPr>
                <w:rFonts w:hint="eastAsia"/>
                <w:color w:val="auto"/>
                <w:spacing w:val="-4"/>
                <w:lang w:val="en-US" w:eastAsia="zh-CN"/>
              </w:rPr>
              <w:t>）出厂：成品预拌混凝土通过混凝土搅拌车运至施工现场</w:t>
            </w:r>
            <w:r>
              <w:rPr>
                <w:rFonts w:hint="eastAsia"/>
                <w:color w:val="auto"/>
                <w:lang w:eastAsia="zh-CN"/>
              </w:rPr>
              <w:t>，</w:t>
            </w:r>
            <w:r>
              <w:rPr>
                <w:rFonts w:hint="eastAsia"/>
                <w:color w:val="auto"/>
                <w:lang w:val="en-US" w:eastAsia="zh-CN"/>
              </w:rPr>
              <w:t>项目自备运输车队</w:t>
            </w:r>
            <w:r>
              <w:rPr>
                <w:rFonts w:hint="eastAsia"/>
                <w:color w:val="auto"/>
                <w:spacing w:val="-4"/>
                <w:lang w:val="en-US" w:eastAsia="zh-CN"/>
              </w:rPr>
              <w:t>。</w:t>
            </w:r>
          </w:p>
          <w:p w14:paraId="0C013CA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90"/>
              <w:textAlignment w:val="baseline"/>
              <w:rPr>
                <w:rFonts w:hint="default" w:ascii="Times New Roman" w:hAnsi="Times New Roman" w:cs="Times New Roman"/>
                <w:b/>
                <w:bCs/>
                <w:color w:val="auto"/>
                <w:spacing w:val="-1"/>
                <w:lang w:val="en-US" w:eastAsia="zh-CN"/>
              </w:rPr>
            </w:pPr>
            <w:r>
              <w:rPr>
                <w:rFonts w:hint="default" w:ascii="Times New Roman" w:hAnsi="Times New Roman" w:cs="Times New Roman"/>
                <w:b/>
                <w:bCs/>
                <w:color w:val="auto"/>
                <w:spacing w:val="-1"/>
                <w:lang w:val="en-US" w:eastAsia="zh-CN"/>
              </w:rPr>
              <w:t>2、产排污环节分析</w:t>
            </w:r>
          </w:p>
          <w:p w14:paraId="62EE00F1">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89"/>
              <w:textAlignment w:val="baseline"/>
              <w:rPr>
                <w:rFonts w:hint="default" w:ascii="Times New Roman" w:hAnsi="Times New Roman" w:cs="Times New Roman"/>
                <w:color w:val="auto"/>
              </w:rPr>
            </w:pPr>
            <w:r>
              <w:rPr>
                <w:rFonts w:hint="default" w:ascii="Times New Roman" w:hAnsi="Times New Roman" w:cs="Times New Roman"/>
                <w:color w:val="auto"/>
                <w:spacing w:val="-1"/>
              </w:rPr>
              <w:t>根据前述分析，本项目主要产污环节包括：</w:t>
            </w:r>
          </w:p>
          <w:p w14:paraId="72BE54C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601"/>
              <w:textAlignment w:val="baseline"/>
              <w:rPr>
                <w:rFonts w:hint="default" w:ascii="Times New Roman" w:hAnsi="Times New Roman" w:cs="Times New Roman"/>
                <w:color w:val="auto"/>
              </w:rPr>
            </w:pPr>
            <w:r>
              <w:rPr>
                <w:rFonts w:hint="default" w:ascii="Times New Roman" w:hAnsi="Times New Roman" w:cs="Times New Roman"/>
                <w:color w:val="auto"/>
                <w:spacing w:val="-5"/>
              </w:rPr>
              <w:t>（</w:t>
            </w:r>
            <w:r>
              <w:rPr>
                <w:rFonts w:hint="default" w:ascii="Times New Roman" w:hAnsi="Times New Roman" w:eastAsia="Times New Roman" w:cs="Times New Roman"/>
                <w:color w:val="auto"/>
                <w:spacing w:val="-5"/>
              </w:rPr>
              <w:t>1</w:t>
            </w:r>
            <w:r>
              <w:rPr>
                <w:rFonts w:hint="default" w:ascii="Times New Roman" w:hAnsi="Times New Roman" w:cs="Times New Roman"/>
                <w:color w:val="auto"/>
                <w:spacing w:val="-5"/>
              </w:rPr>
              <w:t>）废水</w:t>
            </w:r>
          </w:p>
          <w:p w14:paraId="34EE638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3" w:right="102" w:firstLine="477"/>
              <w:textAlignment w:val="baseline"/>
              <w:rPr>
                <w:rFonts w:hint="default" w:ascii="Times New Roman" w:hAnsi="Times New Roman" w:cs="Times New Roman"/>
                <w:color w:val="auto"/>
              </w:rPr>
            </w:pPr>
            <w:r>
              <w:rPr>
                <w:rFonts w:hint="default" w:ascii="Times New Roman" w:hAnsi="Times New Roman" w:cs="Times New Roman"/>
                <w:color w:val="auto"/>
                <w:spacing w:val="-3"/>
              </w:rPr>
              <w:t>本项目废水包括</w:t>
            </w:r>
            <w:r>
              <w:rPr>
                <w:rFonts w:hint="eastAsia" w:ascii="Times New Roman" w:hAnsi="Times New Roman" w:cs="Times New Roman"/>
                <w:color w:val="auto"/>
                <w:spacing w:val="-3"/>
                <w:lang w:val="en-US" w:eastAsia="zh-CN"/>
              </w:rPr>
              <w:t>洗砂</w:t>
            </w:r>
            <w:r>
              <w:rPr>
                <w:rFonts w:hint="default" w:ascii="Times New Roman" w:hAnsi="Times New Roman" w:cs="Times New Roman"/>
                <w:color w:val="auto"/>
                <w:spacing w:val="-3"/>
              </w:rPr>
              <w:t>废水</w:t>
            </w:r>
            <w:r>
              <w:rPr>
                <w:rFonts w:hint="eastAsia" w:ascii="Times New Roman" w:hAnsi="Times New Roman" w:cs="Times New Roman"/>
                <w:color w:val="auto"/>
                <w:spacing w:val="-3"/>
                <w:lang w:eastAsia="zh-CN"/>
              </w:rPr>
              <w:t>、</w:t>
            </w:r>
            <w:r>
              <w:rPr>
                <w:rFonts w:hint="eastAsia" w:ascii="Times New Roman" w:hAnsi="Times New Roman" w:cs="Times New Roman"/>
                <w:color w:val="auto"/>
                <w:spacing w:val="-3"/>
                <w:lang w:val="en-US" w:eastAsia="zh-CN"/>
              </w:rPr>
              <w:t>设备清洗废水、车辆清洗废水、地面清洗废水、初期雨水</w:t>
            </w:r>
            <w:r>
              <w:rPr>
                <w:rFonts w:hint="default" w:ascii="Times New Roman" w:hAnsi="Times New Roman" w:cs="Times New Roman"/>
                <w:color w:val="auto"/>
                <w:spacing w:val="-3"/>
              </w:rPr>
              <w:t>和员工生活污水</w:t>
            </w:r>
            <w:r>
              <w:rPr>
                <w:rFonts w:hint="default" w:ascii="Times New Roman" w:hAnsi="Times New Roman" w:cs="Times New Roman"/>
                <w:color w:val="auto"/>
                <w:spacing w:val="-5"/>
              </w:rPr>
              <w:t>。</w:t>
            </w:r>
          </w:p>
          <w:p w14:paraId="4A9DA34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601"/>
              <w:textAlignment w:val="baseline"/>
              <w:rPr>
                <w:rFonts w:hint="default" w:ascii="Times New Roman" w:hAnsi="Times New Roman" w:cs="Times New Roman"/>
                <w:color w:val="auto"/>
              </w:rPr>
            </w:pPr>
            <w:r>
              <w:rPr>
                <w:rFonts w:hint="default" w:ascii="Times New Roman" w:hAnsi="Times New Roman" w:cs="Times New Roman"/>
                <w:color w:val="auto"/>
                <w:spacing w:val="-5"/>
              </w:rPr>
              <w:t>（</w:t>
            </w:r>
            <w:r>
              <w:rPr>
                <w:rFonts w:hint="default" w:ascii="Times New Roman" w:hAnsi="Times New Roman" w:eastAsia="Times New Roman" w:cs="Times New Roman"/>
                <w:color w:val="auto"/>
                <w:spacing w:val="-5"/>
              </w:rPr>
              <w:t>2</w:t>
            </w:r>
            <w:r>
              <w:rPr>
                <w:rFonts w:hint="default" w:ascii="Times New Roman" w:hAnsi="Times New Roman" w:cs="Times New Roman"/>
                <w:color w:val="auto"/>
                <w:spacing w:val="-5"/>
              </w:rPr>
              <w:t>）废气</w:t>
            </w:r>
          </w:p>
          <w:p w14:paraId="10AAA9F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1" w:right="102" w:firstLine="479"/>
              <w:textAlignment w:val="baseline"/>
              <w:rPr>
                <w:rFonts w:hint="default" w:ascii="Times New Roman" w:hAnsi="Times New Roman" w:cs="Times New Roman"/>
                <w:color w:val="auto"/>
              </w:rPr>
            </w:pPr>
            <w:r>
              <w:rPr>
                <w:rFonts w:hint="default" w:ascii="Times New Roman" w:hAnsi="Times New Roman" w:cs="Times New Roman"/>
                <w:color w:val="auto"/>
                <w:spacing w:val="-2"/>
              </w:rPr>
              <w:t>本项目的废气主要有</w:t>
            </w:r>
            <w:r>
              <w:rPr>
                <w:rFonts w:hint="eastAsia" w:ascii="Times New Roman" w:hAnsi="Times New Roman" w:cs="Times New Roman"/>
                <w:color w:val="auto"/>
                <w:spacing w:val="-2"/>
                <w:lang w:val="en-US" w:eastAsia="zh-CN"/>
              </w:rPr>
              <w:t>破碎筛分废气、粉料</w:t>
            </w:r>
            <w:r>
              <w:rPr>
                <w:rFonts w:hint="default" w:ascii="Times New Roman" w:hAnsi="Times New Roman" w:cs="Times New Roman"/>
                <w:color w:val="auto"/>
                <w:spacing w:val="-2"/>
              </w:rPr>
              <w:t>仓粉尘废气、堆场扬尘</w:t>
            </w:r>
            <w:r>
              <w:rPr>
                <w:rFonts w:hint="default" w:ascii="Times New Roman" w:hAnsi="Times New Roman" w:cs="Times New Roman"/>
                <w:color w:val="auto"/>
                <w:spacing w:val="-3"/>
              </w:rPr>
              <w:t>、投料及搅拌过程粉尘废气、厂内道路扬尘</w:t>
            </w:r>
            <w:r>
              <w:rPr>
                <w:rFonts w:hint="default" w:ascii="Times New Roman" w:hAnsi="Times New Roman" w:cs="Times New Roman"/>
                <w:color w:val="auto"/>
                <w:spacing w:val="-4"/>
              </w:rPr>
              <w:t>。</w:t>
            </w:r>
          </w:p>
          <w:p w14:paraId="5742D421">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601"/>
              <w:textAlignment w:val="baseline"/>
              <w:rPr>
                <w:rFonts w:hint="default" w:ascii="Times New Roman" w:hAnsi="Times New Roman" w:cs="Times New Roman"/>
                <w:color w:val="auto"/>
              </w:rPr>
            </w:pPr>
            <w:r>
              <w:rPr>
                <w:rFonts w:hint="default" w:ascii="Times New Roman" w:hAnsi="Times New Roman" w:cs="Times New Roman"/>
                <w:color w:val="auto"/>
                <w:spacing w:val="-1"/>
              </w:rPr>
              <w:t>（</w:t>
            </w:r>
            <w:r>
              <w:rPr>
                <w:rFonts w:hint="default" w:ascii="Times New Roman" w:hAnsi="Times New Roman" w:eastAsia="Times New Roman" w:cs="Times New Roman"/>
                <w:color w:val="auto"/>
                <w:spacing w:val="-1"/>
              </w:rPr>
              <w:t>3</w:t>
            </w:r>
            <w:r>
              <w:rPr>
                <w:rFonts w:hint="default" w:ascii="Times New Roman" w:hAnsi="Times New Roman" w:cs="Times New Roman"/>
                <w:color w:val="auto"/>
                <w:spacing w:val="-1"/>
              </w:rPr>
              <w:t>）噪声：各生产设备运行过程中产生的机械设备噪声。</w:t>
            </w:r>
          </w:p>
          <w:p w14:paraId="337A13B1">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08" w:right="102" w:firstLine="484"/>
              <w:textAlignment w:val="baseline"/>
              <w:rPr>
                <w:color w:val="auto"/>
                <w:spacing w:val="-1"/>
              </w:rPr>
            </w:pPr>
            <w:r>
              <w:rPr>
                <w:rFonts w:hint="default" w:ascii="Times New Roman" w:hAnsi="Times New Roman" w:cs="Times New Roman"/>
                <w:color w:val="auto"/>
                <w:spacing w:val="-4"/>
              </w:rPr>
              <w:t>（</w:t>
            </w:r>
            <w:r>
              <w:rPr>
                <w:rFonts w:hint="default" w:ascii="Times New Roman" w:hAnsi="Times New Roman" w:eastAsia="Times New Roman" w:cs="Times New Roman"/>
                <w:color w:val="auto"/>
                <w:spacing w:val="-4"/>
              </w:rPr>
              <w:t>4</w:t>
            </w:r>
            <w:r>
              <w:rPr>
                <w:rFonts w:hint="default" w:ascii="Times New Roman" w:hAnsi="Times New Roman" w:cs="Times New Roman"/>
                <w:color w:val="auto"/>
                <w:spacing w:val="-4"/>
              </w:rPr>
              <w:t>）固体废物：本项目固体废弃物主要为生产固废（除尘器收集的粉尘</w:t>
            </w:r>
            <w:r>
              <w:rPr>
                <w:rFonts w:hint="default" w:ascii="Times New Roman" w:hAnsi="Times New Roman" w:cs="Times New Roman"/>
                <w:color w:val="auto"/>
                <w:spacing w:val="10"/>
              </w:rPr>
              <w:t xml:space="preserve"> </w:t>
            </w:r>
            <w:r>
              <w:rPr>
                <w:rFonts w:hint="default" w:ascii="Times New Roman" w:hAnsi="Times New Roman" w:cs="Times New Roman"/>
                <w:color w:val="auto"/>
                <w:spacing w:val="-3"/>
              </w:rPr>
              <w:t>、沉淀池污泥</w:t>
            </w:r>
            <w:r>
              <w:rPr>
                <w:rFonts w:hint="default" w:ascii="Times New Roman" w:hAnsi="Times New Roman" w:cs="Times New Roman"/>
                <w:color w:val="auto"/>
                <w:spacing w:val="-45"/>
              </w:rPr>
              <w:t xml:space="preserve">  </w:t>
            </w:r>
            <w:r>
              <w:rPr>
                <w:rFonts w:hint="default" w:ascii="Times New Roman" w:hAnsi="Times New Roman" w:cs="Times New Roman"/>
                <w:color w:val="auto"/>
                <w:spacing w:val="-13"/>
              </w:rPr>
              <w:t>）</w:t>
            </w:r>
            <w:r>
              <w:rPr>
                <w:rFonts w:hint="eastAsia" w:ascii="Times New Roman" w:hAnsi="Times New Roman" w:cs="Times New Roman"/>
                <w:color w:val="auto"/>
                <w:spacing w:val="-13"/>
                <w:lang w:eastAsia="zh-CN"/>
              </w:rPr>
              <w:t>、</w:t>
            </w:r>
            <w:r>
              <w:rPr>
                <w:rFonts w:hint="eastAsia" w:ascii="Times New Roman" w:hAnsi="Times New Roman" w:cs="Times New Roman"/>
                <w:color w:val="auto"/>
                <w:spacing w:val="-13"/>
                <w:lang w:val="en-US" w:eastAsia="zh-CN"/>
              </w:rPr>
              <w:t>废润滑油、废含油抹布</w:t>
            </w:r>
            <w:r>
              <w:rPr>
                <w:rFonts w:hint="default" w:ascii="Times New Roman" w:hAnsi="Times New Roman" w:cs="Times New Roman"/>
                <w:color w:val="auto"/>
                <w:spacing w:val="-5"/>
              </w:rPr>
              <w:t>以及员工生活垃圾</w:t>
            </w:r>
            <w:r>
              <w:rPr>
                <w:rFonts w:hint="default" w:ascii="Times New Roman" w:hAnsi="Times New Roman" w:cs="Times New Roman"/>
                <w:color w:val="auto"/>
                <w:spacing w:val="-45"/>
              </w:rPr>
              <w:t xml:space="preserve"> </w:t>
            </w:r>
            <w:r>
              <w:rPr>
                <w:rFonts w:hint="default" w:ascii="Times New Roman" w:hAnsi="Times New Roman" w:cs="Times New Roman"/>
                <w:color w:val="auto"/>
                <w:spacing w:val="-5"/>
              </w:rPr>
              <w:t>等。</w:t>
            </w:r>
          </w:p>
        </w:tc>
      </w:tr>
      <w:tr w14:paraId="323BC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5" w:hRule="atLeast"/>
        </w:trPr>
        <w:tc>
          <w:tcPr>
            <w:tcW w:w="831" w:type="dxa"/>
            <w:tcBorders>
              <w:right w:val="single" w:color="000000" w:sz="2" w:space="0"/>
            </w:tcBorders>
            <w:vAlign w:val="top"/>
          </w:tcPr>
          <w:p w14:paraId="173846F3">
            <w:pPr>
              <w:spacing w:line="247" w:lineRule="auto"/>
              <w:rPr>
                <w:rFonts w:ascii="Arial"/>
                <w:color w:val="auto"/>
                <w:sz w:val="21"/>
              </w:rPr>
            </w:pPr>
          </w:p>
          <w:p w14:paraId="56E5B6C9">
            <w:pPr>
              <w:pStyle w:val="22"/>
              <w:spacing w:before="65" w:line="247" w:lineRule="auto"/>
              <w:ind w:left="202" w:right="208" w:firstLine="2"/>
              <w:jc w:val="both"/>
              <w:rPr>
                <w:color w:val="auto"/>
                <w:spacing w:val="3"/>
                <w:sz w:val="20"/>
                <w:szCs w:val="20"/>
              </w:rPr>
            </w:pPr>
            <w:r>
              <w:rPr>
                <w:color w:val="auto"/>
                <w:spacing w:val="2"/>
                <w:sz w:val="24"/>
                <w:szCs w:val="24"/>
              </w:rPr>
              <w:t>与项</w:t>
            </w:r>
            <w:r>
              <w:rPr>
                <w:color w:val="auto"/>
                <w:sz w:val="24"/>
                <w:szCs w:val="24"/>
              </w:rPr>
              <w:t xml:space="preserve"> </w:t>
            </w:r>
            <w:r>
              <w:rPr>
                <w:color w:val="auto"/>
                <w:spacing w:val="4"/>
                <w:sz w:val="24"/>
                <w:szCs w:val="24"/>
              </w:rPr>
              <w:t>目有</w:t>
            </w:r>
            <w:r>
              <w:rPr>
                <w:color w:val="auto"/>
                <w:sz w:val="24"/>
                <w:szCs w:val="24"/>
              </w:rPr>
              <w:t xml:space="preserve"> </w:t>
            </w:r>
            <w:r>
              <w:rPr>
                <w:color w:val="auto"/>
                <w:spacing w:val="4"/>
                <w:sz w:val="24"/>
                <w:szCs w:val="24"/>
              </w:rPr>
              <w:t>关的</w:t>
            </w:r>
            <w:r>
              <w:rPr>
                <w:color w:val="auto"/>
                <w:sz w:val="24"/>
                <w:szCs w:val="24"/>
              </w:rPr>
              <w:t xml:space="preserve"> </w:t>
            </w:r>
            <w:r>
              <w:rPr>
                <w:color w:val="auto"/>
                <w:spacing w:val="4"/>
                <w:sz w:val="24"/>
                <w:szCs w:val="24"/>
              </w:rPr>
              <w:t>原有</w:t>
            </w:r>
            <w:r>
              <w:rPr>
                <w:color w:val="auto"/>
                <w:sz w:val="24"/>
                <w:szCs w:val="24"/>
              </w:rPr>
              <w:t xml:space="preserve"> </w:t>
            </w:r>
            <w:r>
              <w:rPr>
                <w:color w:val="auto"/>
                <w:spacing w:val="4"/>
                <w:sz w:val="24"/>
                <w:szCs w:val="24"/>
              </w:rPr>
              <w:t>环境</w:t>
            </w:r>
            <w:r>
              <w:rPr>
                <w:color w:val="auto"/>
                <w:sz w:val="24"/>
                <w:szCs w:val="24"/>
              </w:rPr>
              <w:t xml:space="preserve"> </w:t>
            </w:r>
            <w:r>
              <w:rPr>
                <w:color w:val="auto"/>
                <w:spacing w:val="4"/>
                <w:sz w:val="24"/>
                <w:szCs w:val="24"/>
              </w:rPr>
              <w:t>污染</w:t>
            </w:r>
            <w:r>
              <w:rPr>
                <w:color w:val="auto"/>
                <w:sz w:val="24"/>
                <w:szCs w:val="24"/>
              </w:rPr>
              <w:t xml:space="preserve"> </w:t>
            </w:r>
            <w:r>
              <w:rPr>
                <w:color w:val="auto"/>
                <w:spacing w:val="4"/>
                <w:sz w:val="24"/>
                <w:szCs w:val="24"/>
              </w:rPr>
              <w:t>问题</w:t>
            </w:r>
          </w:p>
        </w:tc>
        <w:tc>
          <w:tcPr>
            <w:tcW w:w="8157" w:type="dxa"/>
            <w:tcBorders>
              <w:left w:val="single" w:color="000000" w:sz="2" w:space="0"/>
            </w:tcBorders>
            <w:vAlign w:val="center"/>
          </w:tcPr>
          <w:p w14:paraId="1B170956">
            <w:pPr>
              <w:pStyle w:val="22"/>
              <w:spacing w:before="180" w:line="347" w:lineRule="auto"/>
              <w:ind w:left="114" w:right="102" w:firstLine="477"/>
              <w:jc w:val="left"/>
              <w:rPr>
                <w:rFonts w:hint="eastAsia"/>
                <w:color w:val="auto"/>
                <w:lang w:val="en-US" w:eastAsia="zh-CN"/>
              </w:rPr>
            </w:pPr>
            <w:r>
              <w:rPr>
                <w:rFonts w:hint="eastAsia"/>
                <w:color w:val="auto"/>
              </w:rPr>
              <w:t>本项目为新建项目，不存在与项目有关的原有环境污染问题。</w:t>
            </w:r>
            <w:r>
              <w:rPr>
                <w:rFonts w:hint="eastAsia"/>
                <w:color w:val="auto"/>
                <w:lang w:val="en-US" w:eastAsia="zh-CN"/>
              </w:rPr>
              <w:t>项目场地原为乐昌市建筑材料厂二车间，主要生产环保砖，现场建筑物已全部拆除，无明显环境污染问题。</w:t>
            </w:r>
          </w:p>
          <w:p w14:paraId="0AD70C99">
            <w:pPr>
              <w:pStyle w:val="22"/>
              <w:keepNext w:val="0"/>
              <w:keepLines w:val="0"/>
              <w:pageBreakBefore w:val="0"/>
              <w:widowControl/>
              <w:kinsoku w:val="0"/>
              <w:wordWrap/>
              <w:overflowPunct/>
              <w:topLinePunct w:val="0"/>
              <w:autoSpaceDE w:val="0"/>
              <w:autoSpaceDN w:val="0"/>
              <w:bidi w:val="0"/>
              <w:adjustRightInd w:val="0"/>
              <w:snapToGrid w:val="0"/>
              <w:spacing w:line="348" w:lineRule="auto"/>
              <w:ind w:left="113" w:right="102" w:firstLine="476"/>
              <w:jc w:val="left"/>
              <w:textAlignment w:val="baseline"/>
              <w:rPr>
                <w:rFonts w:hint="default"/>
                <w:color w:val="auto"/>
                <w:lang w:val="en-US"/>
              </w:rPr>
            </w:pPr>
            <w:r>
              <w:rPr>
                <w:rFonts w:hint="eastAsia"/>
                <w:color w:val="auto"/>
                <w:lang w:val="en-US" w:eastAsia="zh-CN"/>
              </w:rPr>
              <w:t>项目已建成，属于“未批先建”。</w:t>
            </w:r>
            <w:r>
              <w:rPr>
                <w:rFonts w:hint="default" w:ascii="Times New Roman" w:hAnsi="Times New Roman" w:cs="Times New Roman"/>
                <w:color w:val="auto"/>
                <w:lang w:val="en-US" w:eastAsia="zh-CN"/>
              </w:rPr>
              <w:t>2026年3月26日</w:t>
            </w:r>
            <w:r>
              <w:rPr>
                <w:rFonts w:hint="eastAsia" w:ascii="Times New Roman" w:hAnsi="Times New Roman" w:cs="Times New Roman"/>
                <w:color w:val="auto"/>
                <w:lang w:val="en-US" w:eastAsia="zh-CN"/>
              </w:rPr>
              <w:t>，</w:t>
            </w:r>
            <w:r>
              <w:rPr>
                <w:rFonts w:hint="eastAsia"/>
                <w:color w:val="auto"/>
                <w:lang w:val="en-US" w:eastAsia="zh-CN"/>
              </w:rPr>
              <w:t>韶关市生态环境局乐昌分局进行了现场检查，</w:t>
            </w:r>
            <w:r>
              <w:rPr>
                <w:rFonts w:hint="default" w:ascii="Times New Roman" w:hAnsi="Times New Roman" w:cs="Times New Roman"/>
                <w:color w:val="auto"/>
                <w:lang w:val="en-US" w:eastAsia="zh-CN"/>
              </w:rPr>
              <w:t>2026年4月14日下发了《责令改正违法行为决定书》</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韶环（乐昌）责改决[2026]5号</w:t>
            </w:r>
            <w:r>
              <w:rPr>
                <w:rFonts w:hint="eastAsia" w:ascii="Times New Roman" w:hAnsi="Times New Roman" w:cs="Times New Roman"/>
                <w:color w:val="auto"/>
                <w:lang w:val="en-US" w:eastAsia="zh-CN"/>
              </w:rPr>
              <w:t>）。根据《责令改正违法行为决定书》相关要求，建设单位委托环评单位编制环境影响报告表，完善环评手续。经调查，项目无相关环保投诉情况。</w:t>
            </w:r>
          </w:p>
          <w:p w14:paraId="53FB77C8">
            <w:pPr>
              <w:pStyle w:val="22"/>
              <w:spacing w:before="181" w:line="351" w:lineRule="auto"/>
              <w:ind w:left="108" w:right="102" w:firstLine="484"/>
              <w:jc w:val="center"/>
              <w:rPr>
                <w:color w:val="auto"/>
                <w:spacing w:val="-4"/>
              </w:rPr>
            </w:pPr>
          </w:p>
        </w:tc>
      </w:tr>
    </w:tbl>
    <w:p w14:paraId="6CAFFF76">
      <w:pPr>
        <w:pStyle w:val="6"/>
        <w:rPr>
          <w:color w:val="auto"/>
        </w:rPr>
      </w:pPr>
    </w:p>
    <w:p w14:paraId="3DABB3E7">
      <w:pPr>
        <w:rPr>
          <w:color w:val="auto"/>
        </w:rPr>
        <w:sectPr>
          <w:footerReference r:id="rId9" w:type="default"/>
          <w:pgSz w:w="11906" w:h="16839"/>
          <w:pgMar w:top="1431" w:right="1451" w:bottom="1221" w:left="1451" w:header="0" w:footer="1059" w:gutter="0"/>
          <w:pgNumType w:fmt="numberInDash"/>
          <w:cols w:space="720" w:num="1"/>
        </w:sectPr>
      </w:pPr>
    </w:p>
    <w:p w14:paraId="7C9A4D16">
      <w:pPr>
        <w:spacing w:before="315" w:line="222" w:lineRule="auto"/>
        <w:jc w:val="center"/>
        <w:outlineLvl w:val="0"/>
        <w:rPr>
          <w:rFonts w:ascii="黑体" w:hAnsi="黑体" w:eastAsia="黑体" w:cs="黑体"/>
          <w:color w:val="auto"/>
          <w:sz w:val="30"/>
          <w:szCs w:val="30"/>
        </w:rPr>
      </w:pPr>
      <w:bookmarkStart w:id="4" w:name="bookmark6"/>
      <w:bookmarkEnd w:id="4"/>
      <w:bookmarkStart w:id="5" w:name="bookmark5"/>
      <w:bookmarkEnd w:id="5"/>
      <w:r>
        <w:rPr>
          <w:rFonts w:ascii="黑体" w:hAnsi="黑体" w:eastAsia="黑体" w:cs="黑体"/>
          <w:color w:val="auto"/>
          <w:spacing w:val="-1"/>
          <w:sz w:val="30"/>
          <w:szCs w:val="30"/>
        </w:rPr>
        <w:t>三、区域环境质量现状、环境保护目标及评价标准</w:t>
      </w:r>
    </w:p>
    <w:p w14:paraId="4187465C">
      <w:pPr>
        <w:spacing w:before="21"/>
        <w:rPr>
          <w:color w:val="auto"/>
        </w:rPr>
      </w:pPr>
    </w:p>
    <w:tbl>
      <w:tblPr>
        <w:tblStyle w:val="21"/>
        <w:tblW w:w="891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84"/>
        <w:gridCol w:w="8429"/>
      </w:tblGrid>
      <w:tr w14:paraId="73539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77" w:hRule="atLeast"/>
        </w:trPr>
        <w:tc>
          <w:tcPr>
            <w:tcW w:w="484" w:type="dxa"/>
            <w:tcBorders>
              <w:right w:val="single" w:color="000000" w:sz="2" w:space="0"/>
            </w:tcBorders>
            <w:textDirection w:val="tbRlV"/>
            <w:vAlign w:val="top"/>
          </w:tcPr>
          <w:p w14:paraId="3D1071FA">
            <w:pPr>
              <w:pStyle w:val="22"/>
              <w:spacing w:before="122" w:line="208" w:lineRule="auto"/>
              <w:ind w:left="4780"/>
              <w:rPr>
                <w:color w:val="auto"/>
              </w:rPr>
            </w:pPr>
            <w:r>
              <w:rPr>
                <w:color w:val="auto"/>
                <w:spacing w:val="-1"/>
              </w:rPr>
              <w:t>区</w:t>
            </w:r>
            <w:r>
              <w:rPr>
                <w:color w:val="auto"/>
                <w:spacing w:val="-43"/>
              </w:rPr>
              <w:t xml:space="preserve"> </w:t>
            </w:r>
            <w:r>
              <w:rPr>
                <w:color w:val="auto"/>
                <w:spacing w:val="-1"/>
              </w:rPr>
              <w:t>域</w:t>
            </w:r>
            <w:r>
              <w:rPr>
                <w:color w:val="auto"/>
                <w:spacing w:val="-50"/>
              </w:rPr>
              <w:t xml:space="preserve"> </w:t>
            </w:r>
            <w:r>
              <w:rPr>
                <w:color w:val="auto"/>
                <w:spacing w:val="-1"/>
              </w:rPr>
              <w:t>环</w:t>
            </w:r>
            <w:r>
              <w:rPr>
                <w:color w:val="auto"/>
                <w:spacing w:val="-48"/>
              </w:rPr>
              <w:t xml:space="preserve"> </w:t>
            </w:r>
            <w:r>
              <w:rPr>
                <w:color w:val="auto"/>
                <w:spacing w:val="-1"/>
              </w:rPr>
              <w:t>境</w:t>
            </w:r>
            <w:r>
              <w:rPr>
                <w:color w:val="auto"/>
                <w:spacing w:val="-48"/>
              </w:rPr>
              <w:t xml:space="preserve"> </w:t>
            </w:r>
            <w:r>
              <w:rPr>
                <w:color w:val="auto"/>
                <w:spacing w:val="-1"/>
              </w:rPr>
              <w:t>质</w:t>
            </w:r>
            <w:r>
              <w:rPr>
                <w:color w:val="auto"/>
                <w:spacing w:val="-47"/>
              </w:rPr>
              <w:t xml:space="preserve"> </w:t>
            </w:r>
            <w:r>
              <w:rPr>
                <w:color w:val="auto"/>
                <w:spacing w:val="-1"/>
              </w:rPr>
              <w:t>量</w:t>
            </w:r>
            <w:r>
              <w:rPr>
                <w:color w:val="auto"/>
                <w:spacing w:val="-51"/>
              </w:rPr>
              <w:t xml:space="preserve"> </w:t>
            </w:r>
            <w:r>
              <w:rPr>
                <w:color w:val="auto"/>
                <w:spacing w:val="-1"/>
              </w:rPr>
              <w:t>现</w:t>
            </w:r>
            <w:r>
              <w:rPr>
                <w:color w:val="auto"/>
                <w:spacing w:val="-47"/>
              </w:rPr>
              <w:t xml:space="preserve"> </w:t>
            </w:r>
            <w:r>
              <w:rPr>
                <w:color w:val="auto"/>
                <w:spacing w:val="-1"/>
              </w:rPr>
              <w:t>状</w:t>
            </w:r>
          </w:p>
        </w:tc>
        <w:tc>
          <w:tcPr>
            <w:tcW w:w="8429" w:type="dxa"/>
            <w:tcBorders>
              <w:left w:val="single" w:color="000000" w:sz="2" w:space="0"/>
            </w:tcBorders>
            <w:vAlign w:val="top"/>
          </w:tcPr>
          <w:p w14:paraId="3ED09EAC">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93"/>
              <w:textAlignment w:val="baseline"/>
              <w:rPr>
                <w:rFonts w:hint="default" w:ascii="Times New Roman" w:hAnsi="Times New Roman" w:cs="Times New Roman"/>
                <w:color w:val="auto"/>
                <w:sz w:val="24"/>
                <w:szCs w:val="24"/>
              </w:rPr>
            </w:pPr>
            <w:r>
              <w:rPr>
                <w:rFonts w:hint="default" w:ascii="Times New Roman" w:hAnsi="Times New Roman" w:eastAsia="Times New Roman" w:cs="Times New Roman"/>
                <w:b/>
                <w:bCs/>
                <w:color w:val="auto"/>
                <w:spacing w:val="-6"/>
                <w:sz w:val="24"/>
                <w:szCs w:val="24"/>
              </w:rPr>
              <w:t>1</w:t>
            </w:r>
            <w:r>
              <w:rPr>
                <w:rFonts w:hint="default" w:ascii="Times New Roman" w:hAnsi="Times New Roman" w:eastAsia="Times New Roman" w:cs="Times New Roman"/>
                <w:b/>
                <w:bCs/>
                <w:color w:val="auto"/>
                <w:spacing w:val="-33"/>
                <w:sz w:val="24"/>
                <w:szCs w:val="24"/>
              </w:rPr>
              <w:t xml:space="preserve"> </w:t>
            </w:r>
            <w:r>
              <w:rPr>
                <w:rFonts w:hint="default" w:ascii="Times New Roman" w:hAnsi="Times New Roman" w:cs="Times New Roman"/>
                <w:b/>
                <w:bCs/>
                <w:color w:val="auto"/>
                <w:spacing w:val="-6"/>
                <w:sz w:val="24"/>
                <w:szCs w:val="24"/>
              </w:rPr>
              <w:t>、环境空气质量现状</w:t>
            </w:r>
          </w:p>
          <w:p w14:paraId="48C06EB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textAlignment w:val="baseline"/>
              <w:outlineLvl w:val="1"/>
              <w:rPr>
                <w:rFonts w:hint="default" w:ascii="Times New Roman" w:hAnsi="Times New Roman" w:cs="Times New Roman"/>
                <w:color w:val="auto"/>
                <w:sz w:val="24"/>
                <w:szCs w:val="24"/>
              </w:rPr>
            </w:pPr>
            <w:r>
              <w:rPr>
                <w:rFonts w:hint="default" w:ascii="Times New Roman" w:hAnsi="Times New Roman" w:cs="Times New Roman"/>
                <w:color w:val="auto"/>
                <w:spacing w:val="36"/>
                <w:sz w:val="24"/>
                <w:szCs w:val="24"/>
              </w:rPr>
              <w:t>项目位于乐昌市乐城镇</w:t>
            </w:r>
            <w:r>
              <w:rPr>
                <w:rFonts w:hint="default" w:ascii="Times New Roman" w:hAnsi="Times New Roman" w:cs="Times New Roman"/>
                <w:color w:val="auto"/>
                <w:spacing w:val="-28"/>
                <w:sz w:val="24"/>
                <w:szCs w:val="24"/>
              </w:rPr>
              <w:t xml:space="preserve"> </w:t>
            </w:r>
            <w:r>
              <w:rPr>
                <w:rFonts w:hint="default" w:ascii="Times New Roman" w:hAnsi="Times New Roman" w:cs="Times New Roman"/>
                <w:color w:val="auto"/>
                <w:spacing w:val="36"/>
                <w:sz w:val="24"/>
                <w:szCs w:val="24"/>
              </w:rPr>
              <w:t>，</w:t>
            </w:r>
            <w:r>
              <w:rPr>
                <w:rFonts w:hint="default" w:ascii="Times New Roman" w:hAnsi="Times New Roman" w:cs="Times New Roman"/>
                <w:color w:val="auto"/>
                <w:spacing w:val="-63"/>
                <w:sz w:val="24"/>
                <w:szCs w:val="24"/>
              </w:rPr>
              <w:t xml:space="preserve"> </w:t>
            </w:r>
            <w:r>
              <w:rPr>
                <w:rFonts w:hint="default" w:ascii="Times New Roman" w:hAnsi="Times New Roman" w:cs="Times New Roman"/>
                <w:color w:val="auto"/>
                <w:spacing w:val="36"/>
                <w:sz w:val="24"/>
                <w:szCs w:val="24"/>
              </w:rPr>
              <w:t>根据</w:t>
            </w:r>
            <w:r>
              <w:rPr>
                <w:rFonts w:hint="default" w:ascii="Times New Roman" w:hAnsi="Times New Roman" w:cs="Times New Roman"/>
                <w:color w:val="auto"/>
                <w:spacing w:val="-72"/>
                <w:sz w:val="24"/>
                <w:szCs w:val="24"/>
              </w:rPr>
              <w:t xml:space="preserve"> </w:t>
            </w:r>
            <w:r>
              <w:rPr>
                <w:rFonts w:hint="default" w:ascii="Times New Roman" w:hAnsi="Times New Roman" w:cs="Times New Roman"/>
                <w:color w:val="auto"/>
                <w:spacing w:val="36"/>
                <w:sz w:val="24"/>
                <w:szCs w:val="24"/>
              </w:rPr>
              <w:t>《韶关市生态环境保护战略规划</w:t>
            </w:r>
          </w:p>
          <w:p w14:paraId="4DEC7921">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07" w:right="40" w:firstLine="10"/>
              <w:jc w:val="both"/>
              <w:textAlignment w:val="baseline"/>
              <w:rPr>
                <w:rFonts w:hint="default" w:ascii="Times New Roman" w:hAnsi="Times New Roman" w:cs="Times New Roman"/>
                <w:color w:val="auto"/>
                <w:sz w:val="24"/>
                <w:szCs w:val="24"/>
              </w:rPr>
            </w:pPr>
            <w:r>
              <w:rPr>
                <w:rFonts w:hint="default" w:ascii="Times New Roman" w:hAnsi="Times New Roman" w:cs="Times New Roman"/>
                <w:color w:val="auto"/>
                <w:spacing w:val="-6"/>
                <w:sz w:val="24"/>
                <w:szCs w:val="24"/>
              </w:rPr>
              <w:t>（2020-2035）》，项目所在地区</w:t>
            </w:r>
            <w:r>
              <w:rPr>
                <w:rFonts w:hint="default" w:ascii="Times New Roman" w:hAnsi="Times New Roman" w:cs="Times New Roman"/>
                <w:color w:val="auto"/>
                <w:spacing w:val="-7"/>
                <w:sz w:val="24"/>
                <w:szCs w:val="24"/>
              </w:rPr>
              <w:t>域空气环境质量功能区划为二类功能区，因此，</w:t>
            </w:r>
            <w:r>
              <w:rPr>
                <w:rFonts w:hint="default" w:ascii="Times New Roman" w:hAnsi="Times New Roman" w:cs="Times New Roman"/>
                <w:color w:val="auto"/>
                <w:sz w:val="24"/>
                <w:szCs w:val="24"/>
              </w:rPr>
              <w:t xml:space="preserve"> </w:t>
            </w:r>
            <w:r>
              <w:rPr>
                <w:rFonts w:hint="default" w:ascii="Times New Roman" w:hAnsi="Times New Roman" w:cs="Times New Roman"/>
                <w:color w:val="auto"/>
                <w:spacing w:val="-2"/>
                <w:sz w:val="24"/>
                <w:szCs w:val="24"/>
              </w:rPr>
              <w:t>项目所在区域环境空气质量执行国家《环境空气质量标准》（GB3095-</w:t>
            </w:r>
            <w:r>
              <w:rPr>
                <w:rFonts w:hint="default" w:ascii="Times New Roman" w:hAnsi="Times New Roman" w:eastAsia="Times New Roman" w:cs="Times New Roman"/>
                <w:color w:val="auto"/>
                <w:spacing w:val="-3"/>
                <w:sz w:val="24"/>
                <w:szCs w:val="24"/>
              </w:rPr>
              <w:t>20</w:t>
            </w:r>
            <w:r>
              <w:rPr>
                <w:rFonts w:hint="eastAsia" w:ascii="Times New Roman" w:hAnsi="Times New Roman" w:eastAsia="宋体" w:cs="Times New Roman"/>
                <w:color w:val="auto"/>
                <w:spacing w:val="-3"/>
                <w:sz w:val="24"/>
                <w:szCs w:val="24"/>
                <w:lang w:val="en-US" w:eastAsia="zh-CN"/>
              </w:rPr>
              <w:t>26</w:t>
            </w:r>
            <w:r>
              <w:rPr>
                <w:rFonts w:hint="default" w:ascii="Times New Roman" w:hAnsi="Times New Roman" w:cs="Times New Roman"/>
                <w:color w:val="auto"/>
                <w:spacing w:val="-3"/>
                <w:sz w:val="24"/>
                <w:szCs w:val="24"/>
              </w:rPr>
              <w:t>）</w:t>
            </w:r>
            <w:r>
              <w:rPr>
                <w:rFonts w:hint="eastAsia" w:ascii="Times New Roman" w:hAnsi="Times New Roman" w:cs="Times New Roman"/>
                <w:color w:val="auto"/>
                <w:spacing w:val="-3"/>
                <w:sz w:val="24"/>
                <w:szCs w:val="24"/>
                <w:lang w:val="en-US" w:eastAsia="zh-CN"/>
              </w:rPr>
              <w:t>过渡期二级浓度限值</w:t>
            </w:r>
            <w:r>
              <w:rPr>
                <w:rFonts w:hint="default" w:ascii="Times New Roman" w:hAnsi="Times New Roman" w:cs="Times New Roman"/>
                <w:color w:val="auto"/>
                <w:spacing w:val="-2"/>
                <w:sz w:val="24"/>
                <w:szCs w:val="24"/>
              </w:rPr>
              <w:t>。</w:t>
            </w:r>
          </w:p>
          <w:p w14:paraId="153191CC">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01" w:right="21" w:firstLine="485"/>
              <w:jc w:val="both"/>
              <w:textAlignment w:val="baseline"/>
              <w:rPr>
                <w:rFonts w:hint="default" w:ascii="Times New Roman" w:hAnsi="Times New Roman" w:cs="Times New Roman"/>
                <w:color w:val="auto"/>
                <w:sz w:val="24"/>
                <w:szCs w:val="24"/>
              </w:rPr>
            </w:pPr>
            <w:r>
              <w:rPr>
                <w:rFonts w:hint="default" w:ascii="Times New Roman" w:hAnsi="Times New Roman" w:cs="Times New Roman"/>
                <w:color w:val="auto"/>
                <w:spacing w:val="-3"/>
                <w:sz w:val="24"/>
                <w:szCs w:val="24"/>
              </w:rPr>
              <w:t>根据《韶关市生态环境状况公报（</w:t>
            </w:r>
            <w:r>
              <w:rPr>
                <w:rFonts w:hint="default" w:ascii="Times New Roman" w:hAnsi="Times New Roman" w:eastAsia="Times New Roman" w:cs="Times New Roman"/>
                <w:color w:val="auto"/>
                <w:spacing w:val="-3"/>
                <w:sz w:val="24"/>
                <w:szCs w:val="24"/>
              </w:rPr>
              <w:t>202</w:t>
            </w:r>
            <w:r>
              <w:rPr>
                <w:rFonts w:hint="eastAsia" w:ascii="Times New Roman" w:hAnsi="Times New Roman" w:eastAsia="宋体" w:cs="Times New Roman"/>
                <w:color w:val="auto"/>
                <w:spacing w:val="-3"/>
                <w:sz w:val="24"/>
                <w:szCs w:val="24"/>
                <w:lang w:val="en-US" w:eastAsia="zh-CN"/>
              </w:rPr>
              <w:t>4</w:t>
            </w:r>
            <w:r>
              <w:rPr>
                <w:rFonts w:hint="default" w:ascii="Times New Roman" w:hAnsi="Times New Roman" w:cs="Times New Roman"/>
                <w:color w:val="auto"/>
                <w:spacing w:val="-4"/>
                <w:sz w:val="24"/>
                <w:szCs w:val="24"/>
              </w:rPr>
              <w:t>年）》，乐昌市</w:t>
            </w:r>
            <w:r>
              <w:rPr>
                <w:rFonts w:hint="default" w:ascii="Times New Roman" w:hAnsi="Times New Roman" w:cs="Times New Roman"/>
                <w:color w:val="auto"/>
                <w:spacing w:val="-44"/>
                <w:sz w:val="24"/>
                <w:szCs w:val="24"/>
              </w:rPr>
              <w:t xml:space="preserve"> </w:t>
            </w:r>
            <w:r>
              <w:rPr>
                <w:rFonts w:hint="default" w:ascii="Times New Roman" w:hAnsi="Times New Roman" w:eastAsia="Times New Roman" w:cs="Times New Roman"/>
                <w:color w:val="auto"/>
                <w:spacing w:val="-4"/>
                <w:sz w:val="24"/>
                <w:szCs w:val="24"/>
              </w:rPr>
              <w:t>SO</w:t>
            </w:r>
            <w:r>
              <w:rPr>
                <w:rFonts w:hint="default" w:ascii="Times New Roman" w:hAnsi="Times New Roman" w:eastAsia="Times New Roman" w:cs="Times New Roman"/>
                <w:color w:val="auto"/>
                <w:spacing w:val="-4"/>
                <w:position w:val="-1"/>
                <w:sz w:val="24"/>
                <w:szCs w:val="24"/>
                <w:vertAlign w:val="subscript"/>
              </w:rPr>
              <w:t>2</w:t>
            </w:r>
            <w:r>
              <w:rPr>
                <w:rFonts w:hint="default" w:ascii="Times New Roman" w:hAnsi="Times New Roman" w:cs="Times New Roman"/>
                <w:color w:val="auto"/>
                <w:spacing w:val="-4"/>
                <w:sz w:val="24"/>
                <w:szCs w:val="24"/>
              </w:rPr>
              <w:t>、</w:t>
            </w:r>
            <w:r>
              <w:rPr>
                <w:rFonts w:hint="default" w:ascii="Times New Roman" w:hAnsi="Times New Roman" w:eastAsia="Times New Roman" w:cs="Times New Roman"/>
                <w:color w:val="auto"/>
                <w:spacing w:val="-4"/>
                <w:sz w:val="24"/>
                <w:szCs w:val="24"/>
              </w:rPr>
              <w:t>NO</w:t>
            </w:r>
            <w:r>
              <w:rPr>
                <w:rFonts w:hint="default" w:ascii="Times New Roman" w:hAnsi="Times New Roman" w:eastAsia="Times New Roman" w:cs="Times New Roman"/>
                <w:color w:val="auto"/>
                <w:spacing w:val="-4"/>
                <w:position w:val="-1"/>
                <w:sz w:val="24"/>
                <w:szCs w:val="24"/>
                <w:vertAlign w:val="subscript"/>
              </w:rPr>
              <w:t>2</w:t>
            </w:r>
            <w:r>
              <w:rPr>
                <w:rFonts w:hint="default" w:ascii="Times New Roman" w:hAnsi="Times New Roman" w:cs="Times New Roman"/>
                <w:color w:val="auto"/>
                <w:spacing w:val="-4"/>
                <w:sz w:val="24"/>
                <w:szCs w:val="24"/>
              </w:rPr>
              <w:t>、</w:t>
            </w:r>
            <w:r>
              <w:rPr>
                <w:rFonts w:hint="default" w:ascii="Times New Roman" w:hAnsi="Times New Roman" w:eastAsia="Times New Roman" w:cs="Times New Roman"/>
                <w:color w:val="auto"/>
                <w:spacing w:val="-4"/>
                <w:sz w:val="24"/>
                <w:szCs w:val="24"/>
              </w:rPr>
              <w:t>PM</w:t>
            </w:r>
            <w:r>
              <w:rPr>
                <w:rFonts w:hint="default" w:ascii="Times New Roman" w:hAnsi="Times New Roman" w:eastAsia="Times New Roman" w:cs="Times New Roman"/>
                <w:color w:val="auto"/>
                <w:spacing w:val="-4"/>
                <w:position w:val="-1"/>
                <w:sz w:val="24"/>
                <w:szCs w:val="24"/>
                <w:vertAlign w:val="subscript"/>
              </w:rPr>
              <w:t>2.5</w:t>
            </w:r>
            <w:r>
              <w:rPr>
                <w:rFonts w:hint="default" w:ascii="Times New Roman" w:hAnsi="Times New Roman" w:cs="Times New Roman"/>
                <w:color w:val="auto"/>
                <w:spacing w:val="-4"/>
                <w:sz w:val="24"/>
                <w:szCs w:val="24"/>
              </w:rPr>
              <w:t>、</w:t>
            </w:r>
            <w:r>
              <w:rPr>
                <w:rFonts w:hint="default" w:ascii="Times New Roman" w:hAnsi="Times New Roman" w:cs="Times New Roman"/>
                <w:color w:val="auto"/>
                <w:sz w:val="24"/>
                <w:szCs w:val="24"/>
              </w:rPr>
              <w:t xml:space="preserve"> </w:t>
            </w:r>
            <w:r>
              <w:rPr>
                <w:rFonts w:hint="default" w:ascii="Times New Roman" w:hAnsi="Times New Roman" w:eastAsia="Times New Roman" w:cs="Times New Roman"/>
                <w:color w:val="auto"/>
                <w:sz w:val="24"/>
                <w:szCs w:val="24"/>
              </w:rPr>
              <w:t>PM</w:t>
            </w:r>
            <w:r>
              <w:rPr>
                <w:rFonts w:hint="default" w:ascii="Times New Roman" w:hAnsi="Times New Roman" w:eastAsia="Times New Roman" w:cs="Times New Roman"/>
                <w:color w:val="auto"/>
                <w:position w:val="-1"/>
                <w:sz w:val="24"/>
                <w:szCs w:val="24"/>
                <w:vertAlign w:val="subscript"/>
              </w:rPr>
              <w:t>10</w:t>
            </w:r>
            <w:r>
              <w:rPr>
                <w:rFonts w:hint="default" w:ascii="Times New Roman" w:hAnsi="Times New Roman" w:eastAsia="Times New Roman" w:cs="Times New Roman"/>
                <w:color w:val="auto"/>
                <w:spacing w:val="30"/>
                <w:position w:val="-1"/>
                <w:sz w:val="24"/>
                <w:szCs w:val="24"/>
              </w:rPr>
              <w:t xml:space="preserve"> </w:t>
            </w:r>
            <w:r>
              <w:rPr>
                <w:rFonts w:hint="default" w:ascii="Times New Roman" w:hAnsi="Times New Roman" w:cs="Times New Roman"/>
                <w:color w:val="auto"/>
                <w:sz w:val="24"/>
                <w:szCs w:val="24"/>
              </w:rPr>
              <w:t>年均浓度，</w:t>
            </w:r>
            <w:r>
              <w:rPr>
                <w:rFonts w:hint="default" w:ascii="Times New Roman" w:hAnsi="Times New Roman" w:eastAsia="Times New Roman" w:cs="Times New Roman"/>
                <w:color w:val="auto"/>
                <w:sz w:val="24"/>
                <w:szCs w:val="24"/>
              </w:rPr>
              <w:t>SO</w:t>
            </w:r>
            <w:r>
              <w:rPr>
                <w:rFonts w:hint="default" w:ascii="Times New Roman" w:hAnsi="Times New Roman" w:eastAsia="Times New Roman" w:cs="Times New Roman"/>
                <w:color w:val="auto"/>
                <w:position w:val="-1"/>
                <w:sz w:val="24"/>
                <w:szCs w:val="24"/>
                <w:vertAlign w:val="subscript"/>
              </w:rPr>
              <w:t>2</w:t>
            </w:r>
            <w:r>
              <w:rPr>
                <w:rFonts w:hint="default" w:ascii="Times New Roman" w:hAnsi="Times New Roman" w:eastAsia="Times New Roman" w:cs="Times New Roman"/>
                <w:color w:val="auto"/>
                <w:position w:val="-1"/>
                <w:sz w:val="24"/>
                <w:szCs w:val="24"/>
              </w:rPr>
              <w:t xml:space="preserve"> </w:t>
            </w:r>
            <w:r>
              <w:rPr>
                <w:rFonts w:hint="default" w:ascii="Times New Roman" w:hAnsi="Times New Roman" w:cs="Times New Roman"/>
                <w:color w:val="auto"/>
                <w:sz w:val="24"/>
                <w:szCs w:val="24"/>
              </w:rPr>
              <w:t>、</w:t>
            </w:r>
            <w:r>
              <w:rPr>
                <w:rFonts w:hint="default" w:ascii="Times New Roman" w:hAnsi="Times New Roman" w:eastAsia="Times New Roman" w:cs="Times New Roman"/>
                <w:color w:val="auto"/>
                <w:sz w:val="24"/>
                <w:szCs w:val="24"/>
              </w:rPr>
              <w:t>NO</w:t>
            </w:r>
            <w:r>
              <w:rPr>
                <w:rFonts w:hint="default" w:ascii="Times New Roman" w:hAnsi="Times New Roman" w:eastAsia="Times New Roman" w:cs="Times New Roman"/>
                <w:color w:val="auto"/>
                <w:position w:val="-1"/>
                <w:sz w:val="24"/>
                <w:szCs w:val="24"/>
                <w:vertAlign w:val="subscript"/>
              </w:rPr>
              <w:t>2</w:t>
            </w:r>
            <w:r>
              <w:rPr>
                <w:rFonts w:hint="default" w:ascii="Times New Roman" w:hAnsi="Times New Roman" w:eastAsia="Times New Roman" w:cs="Times New Roman"/>
                <w:color w:val="auto"/>
                <w:spacing w:val="-8"/>
                <w:position w:val="-1"/>
                <w:sz w:val="24"/>
                <w:szCs w:val="24"/>
                <w:vertAlign w:val="subscript"/>
              </w:rPr>
              <w:t xml:space="preserve"> </w:t>
            </w:r>
            <w:r>
              <w:rPr>
                <w:rFonts w:hint="default" w:ascii="Times New Roman" w:hAnsi="Times New Roman" w:cs="Times New Roman"/>
                <w:color w:val="auto"/>
                <w:sz w:val="24"/>
                <w:szCs w:val="24"/>
              </w:rPr>
              <w:t>、</w:t>
            </w:r>
            <w:r>
              <w:rPr>
                <w:rFonts w:hint="default" w:ascii="Times New Roman" w:hAnsi="Times New Roman" w:eastAsia="Times New Roman" w:cs="Times New Roman"/>
                <w:color w:val="auto"/>
                <w:sz w:val="24"/>
                <w:szCs w:val="24"/>
              </w:rPr>
              <w:t>PM</w:t>
            </w:r>
            <w:r>
              <w:rPr>
                <w:rFonts w:hint="default" w:ascii="Times New Roman" w:hAnsi="Times New Roman" w:eastAsia="Times New Roman" w:cs="Times New Roman"/>
                <w:color w:val="auto"/>
                <w:position w:val="-1"/>
                <w:sz w:val="24"/>
                <w:szCs w:val="24"/>
                <w:vertAlign w:val="subscript"/>
              </w:rPr>
              <w:t>10</w:t>
            </w:r>
            <w:r>
              <w:rPr>
                <w:rFonts w:hint="default" w:ascii="Times New Roman" w:hAnsi="Times New Roman" w:eastAsia="Times New Roman" w:cs="Times New Roman"/>
                <w:color w:val="auto"/>
                <w:spacing w:val="-8"/>
                <w:position w:val="-1"/>
                <w:sz w:val="24"/>
                <w:szCs w:val="24"/>
              </w:rPr>
              <w:t xml:space="preserve"> </w:t>
            </w:r>
            <w:r>
              <w:rPr>
                <w:rFonts w:hint="default" w:ascii="Times New Roman" w:hAnsi="Times New Roman" w:cs="Times New Roman"/>
                <w:color w:val="auto"/>
                <w:sz w:val="24"/>
                <w:szCs w:val="24"/>
              </w:rPr>
              <w:t>、</w:t>
            </w:r>
            <w:r>
              <w:rPr>
                <w:rFonts w:hint="default" w:ascii="Times New Roman" w:hAnsi="Times New Roman" w:eastAsia="Times New Roman" w:cs="Times New Roman"/>
                <w:color w:val="auto"/>
                <w:sz w:val="24"/>
                <w:szCs w:val="24"/>
              </w:rPr>
              <w:t xml:space="preserve">CO </w:t>
            </w:r>
            <w:r>
              <w:rPr>
                <w:rFonts w:hint="default" w:ascii="Times New Roman" w:hAnsi="Times New Roman" w:cs="Times New Roman"/>
                <w:color w:val="auto"/>
                <w:sz w:val="24"/>
                <w:szCs w:val="24"/>
              </w:rPr>
              <w:t>和</w:t>
            </w:r>
            <w:r>
              <w:rPr>
                <w:rFonts w:hint="default" w:ascii="Times New Roman" w:hAnsi="Times New Roman" w:cs="Times New Roman"/>
                <w:color w:val="auto"/>
                <w:spacing w:val="-44"/>
                <w:sz w:val="24"/>
                <w:szCs w:val="24"/>
              </w:rPr>
              <w:t xml:space="preserve"> </w:t>
            </w:r>
            <w:r>
              <w:rPr>
                <w:rFonts w:hint="default" w:ascii="Times New Roman" w:hAnsi="Times New Roman" w:eastAsia="Times New Roman" w:cs="Times New Roman"/>
                <w:color w:val="auto"/>
                <w:sz w:val="24"/>
                <w:szCs w:val="24"/>
              </w:rPr>
              <w:t>O</w:t>
            </w:r>
            <w:r>
              <w:rPr>
                <w:rFonts w:hint="default" w:ascii="Times New Roman" w:hAnsi="Times New Roman" w:eastAsia="Times New Roman" w:cs="Times New Roman"/>
                <w:color w:val="auto"/>
                <w:position w:val="-1"/>
                <w:sz w:val="24"/>
                <w:szCs w:val="24"/>
                <w:vertAlign w:val="subscript"/>
              </w:rPr>
              <w:t>3</w:t>
            </w:r>
            <w:r>
              <w:rPr>
                <w:rFonts w:hint="default" w:ascii="Times New Roman" w:hAnsi="Times New Roman" w:eastAsia="Times New Roman" w:cs="Times New Roman"/>
                <w:color w:val="auto"/>
                <w:spacing w:val="16"/>
                <w:w w:val="101"/>
                <w:position w:val="-1"/>
                <w:sz w:val="24"/>
                <w:szCs w:val="24"/>
              </w:rPr>
              <w:t xml:space="preserve"> </w:t>
            </w:r>
            <w:r>
              <w:rPr>
                <w:rFonts w:hint="default" w:ascii="Times New Roman" w:hAnsi="Times New Roman" w:cs="Times New Roman"/>
                <w:color w:val="auto"/>
                <w:sz w:val="24"/>
                <w:szCs w:val="24"/>
              </w:rPr>
              <w:t>相应评价百分位数日均值（或</w:t>
            </w:r>
            <w:r>
              <w:rPr>
                <w:rFonts w:hint="default" w:ascii="Times New Roman" w:hAnsi="Times New Roman" w:cs="Times New Roman"/>
                <w:color w:val="auto"/>
                <w:spacing w:val="-41"/>
                <w:sz w:val="24"/>
                <w:szCs w:val="24"/>
              </w:rPr>
              <w:t xml:space="preserve"> </w:t>
            </w:r>
            <w:r>
              <w:rPr>
                <w:rFonts w:hint="default" w:ascii="Times New Roman" w:hAnsi="Times New Roman" w:eastAsia="Times New Roman" w:cs="Times New Roman"/>
                <w:color w:val="auto"/>
                <w:sz w:val="24"/>
                <w:szCs w:val="24"/>
              </w:rPr>
              <w:t xml:space="preserve">8  </w:t>
            </w:r>
            <w:r>
              <w:rPr>
                <w:rFonts w:hint="default" w:ascii="Times New Roman" w:hAnsi="Times New Roman" w:cs="Times New Roman"/>
                <w:color w:val="auto"/>
                <w:spacing w:val="-3"/>
                <w:sz w:val="24"/>
                <w:szCs w:val="24"/>
              </w:rPr>
              <w:t>小时平均浓度）均符合《环境空气质量标准》（</w:t>
            </w:r>
            <w:r>
              <w:rPr>
                <w:rFonts w:hint="default" w:ascii="Times New Roman" w:hAnsi="Times New Roman" w:eastAsia="Times New Roman" w:cs="Times New Roman"/>
                <w:color w:val="auto"/>
                <w:spacing w:val="-3"/>
                <w:sz w:val="24"/>
                <w:szCs w:val="24"/>
              </w:rPr>
              <w:t>GB3095-20</w:t>
            </w:r>
            <w:r>
              <w:rPr>
                <w:rFonts w:hint="eastAsia" w:ascii="Times New Roman" w:hAnsi="Times New Roman" w:eastAsia="宋体" w:cs="Times New Roman"/>
                <w:color w:val="auto"/>
                <w:spacing w:val="-3"/>
                <w:sz w:val="24"/>
                <w:szCs w:val="24"/>
                <w:lang w:val="en-US" w:eastAsia="zh-CN"/>
              </w:rPr>
              <w:t>26</w:t>
            </w:r>
            <w:r>
              <w:rPr>
                <w:rFonts w:hint="default" w:ascii="Times New Roman" w:hAnsi="Times New Roman" w:cs="Times New Roman"/>
                <w:color w:val="auto"/>
                <w:spacing w:val="-3"/>
                <w:sz w:val="24"/>
                <w:szCs w:val="24"/>
              </w:rPr>
              <w:t>）</w:t>
            </w:r>
            <w:r>
              <w:rPr>
                <w:rFonts w:hint="eastAsia" w:ascii="Times New Roman" w:hAnsi="Times New Roman" w:cs="Times New Roman"/>
                <w:color w:val="auto"/>
                <w:spacing w:val="-3"/>
                <w:sz w:val="24"/>
                <w:szCs w:val="24"/>
                <w:lang w:val="en-US" w:eastAsia="zh-CN"/>
              </w:rPr>
              <w:t>过渡期二级浓度限值</w:t>
            </w:r>
            <w:r>
              <w:rPr>
                <w:rFonts w:hint="default" w:ascii="Times New Roman" w:hAnsi="Times New Roman" w:cs="Times New Roman"/>
                <w:color w:val="auto"/>
                <w:sz w:val="24"/>
                <w:szCs w:val="24"/>
              </w:rPr>
              <w:t>，项目所在区域属城市环境空气</w:t>
            </w:r>
            <w:r>
              <w:rPr>
                <w:rFonts w:hint="default" w:ascii="Times New Roman" w:hAnsi="Times New Roman" w:cs="Times New Roman"/>
                <w:color w:val="auto"/>
                <w:spacing w:val="-1"/>
                <w:sz w:val="24"/>
                <w:szCs w:val="24"/>
              </w:rPr>
              <w:t>质量达标区。各监测指标值见表</w:t>
            </w:r>
            <w:r>
              <w:rPr>
                <w:rFonts w:hint="default" w:ascii="Times New Roman" w:hAnsi="Times New Roman" w:cs="Times New Roman"/>
                <w:color w:val="auto"/>
                <w:spacing w:val="-48"/>
                <w:sz w:val="24"/>
                <w:szCs w:val="24"/>
              </w:rPr>
              <w:t xml:space="preserve"> </w:t>
            </w:r>
            <w:r>
              <w:rPr>
                <w:rFonts w:hint="default" w:ascii="Times New Roman" w:hAnsi="Times New Roman" w:eastAsia="Times New Roman" w:cs="Times New Roman"/>
                <w:color w:val="auto"/>
                <w:spacing w:val="-1"/>
                <w:sz w:val="24"/>
                <w:szCs w:val="24"/>
              </w:rPr>
              <w:t>3-1</w:t>
            </w:r>
            <w:r>
              <w:rPr>
                <w:rFonts w:hint="default" w:ascii="Times New Roman" w:hAnsi="Times New Roman" w:cs="Times New Roman"/>
                <w:color w:val="auto"/>
                <w:spacing w:val="-1"/>
                <w:sz w:val="24"/>
                <w:szCs w:val="24"/>
              </w:rPr>
              <w:t>。</w:t>
            </w:r>
          </w:p>
          <w:p w14:paraId="6CBB3C59">
            <w:pPr>
              <w:pStyle w:val="22"/>
              <w:spacing w:before="33" w:line="212" w:lineRule="auto"/>
              <w:ind w:left="535"/>
              <w:jc w:val="center"/>
              <w:rPr>
                <w:rFonts w:ascii="Times New Roman" w:hAnsi="Times New Roman" w:eastAsia="Times New Roman" w:cs="Times New Roman"/>
                <w:color w:val="auto"/>
                <w:sz w:val="15"/>
                <w:szCs w:val="15"/>
              </w:rPr>
            </w:pPr>
            <w:r>
              <w:rPr>
                <w:b/>
                <w:bCs/>
                <w:color w:val="auto"/>
                <w:spacing w:val="-1"/>
              </w:rPr>
              <w:t>表</w:t>
            </w:r>
            <w:r>
              <w:rPr>
                <w:color w:val="auto"/>
                <w:spacing w:val="-57"/>
              </w:rPr>
              <w:t xml:space="preserve"> </w:t>
            </w:r>
            <w:r>
              <w:rPr>
                <w:rFonts w:ascii="Times New Roman" w:hAnsi="Times New Roman" w:eastAsia="Times New Roman" w:cs="Times New Roman"/>
                <w:b/>
                <w:bCs/>
                <w:color w:val="auto"/>
                <w:spacing w:val="-1"/>
              </w:rPr>
              <w:t xml:space="preserve">3-1    </w:t>
            </w:r>
            <w:r>
              <w:rPr>
                <w:b/>
                <w:bCs/>
                <w:color w:val="auto"/>
                <w:spacing w:val="-1"/>
              </w:rPr>
              <w:t>区域环境空气质量监测结果统计</w:t>
            </w:r>
            <w:r>
              <w:rPr>
                <w:color w:val="auto"/>
                <w:spacing w:val="-2"/>
              </w:rPr>
              <w:t xml:space="preserve">   </w:t>
            </w:r>
            <w:r>
              <w:rPr>
                <w:rFonts w:ascii="Times New Roman" w:hAnsi="Times New Roman" w:eastAsia="Times New Roman" w:cs="Times New Roman"/>
                <w:b/>
                <w:bCs/>
                <w:color w:val="auto"/>
                <w:spacing w:val="-2"/>
              </w:rPr>
              <w:t>ug /m</w:t>
            </w:r>
            <w:r>
              <w:rPr>
                <w:rFonts w:ascii="Times New Roman" w:hAnsi="Times New Roman" w:eastAsia="Times New Roman" w:cs="Times New Roman"/>
                <w:b/>
                <w:bCs/>
                <w:color w:val="auto"/>
                <w:spacing w:val="-2"/>
                <w:position w:val="8"/>
                <w:sz w:val="15"/>
                <w:szCs w:val="15"/>
              </w:rPr>
              <w:t>3</w:t>
            </w:r>
            <w:r>
              <w:rPr>
                <w:rFonts w:ascii="Times New Roman" w:hAnsi="Times New Roman" w:eastAsia="Times New Roman" w:cs="Times New Roman"/>
                <w:b/>
                <w:bCs/>
                <w:color w:val="auto"/>
                <w:spacing w:val="-9"/>
                <w:position w:val="8"/>
                <w:sz w:val="15"/>
                <w:szCs w:val="15"/>
              </w:rPr>
              <w:t xml:space="preserve"> </w:t>
            </w:r>
            <w:r>
              <w:rPr>
                <w:b/>
                <w:bCs/>
                <w:color w:val="auto"/>
                <w:spacing w:val="-2"/>
              </w:rPr>
              <w:t>，</w:t>
            </w:r>
            <w:r>
              <w:rPr>
                <w:rFonts w:ascii="Times New Roman" w:hAnsi="Times New Roman" w:eastAsia="Times New Roman" w:cs="Times New Roman"/>
                <w:b/>
                <w:bCs/>
                <w:color w:val="auto"/>
                <w:spacing w:val="-2"/>
              </w:rPr>
              <w:t xml:space="preserve">CO </w:t>
            </w:r>
            <w:r>
              <w:rPr>
                <w:b/>
                <w:bCs/>
                <w:color w:val="auto"/>
                <w:spacing w:val="-2"/>
              </w:rPr>
              <w:t>单位：</w:t>
            </w:r>
            <w:r>
              <w:rPr>
                <w:rFonts w:ascii="Times New Roman" w:hAnsi="Times New Roman" w:eastAsia="Times New Roman" w:cs="Times New Roman"/>
                <w:b/>
                <w:bCs/>
                <w:color w:val="auto"/>
                <w:spacing w:val="-2"/>
              </w:rPr>
              <w:t>mg /m</w:t>
            </w:r>
            <w:r>
              <w:rPr>
                <w:rFonts w:ascii="Times New Roman" w:hAnsi="Times New Roman" w:eastAsia="Times New Roman" w:cs="Times New Roman"/>
                <w:b/>
                <w:bCs/>
                <w:color w:val="auto"/>
                <w:spacing w:val="-2"/>
                <w:position w:val="8"/>
                <w:sz w:val="15"/>
                <w:szCs w:val="15"/>
              </w:rPr>
              <w:t>3</w:t>
            </w:r>
          </w:p>
          <w:p w14:paraId="5F588EA6">
            <w:pPr>
              <w:spacing w:line="158" w:lineRule="exact"/>
              <w:rPr>
                <w:color w:val="auto"/>
              </w:rPr>
            </w:pPr>
          </w:p>
          <w:tbl>
            <w:tblPr>
              <w:tblStyle w:val="19"/>
              <w:tblW w:w="47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2138"/>
              <w:gridCol w:w="1117"/>
              <w:gridCol w:w="968"/>
              <w:gridCol w:w="1044"/>
              <w:gridCol w:w="1203"/>
            </w:tblGrid>
            <w:tr w14:paraId="5A89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41" w:type="pct"/>
                  <w:vAlign w:val="center"/>
                </w:tcPr>
                <w:p w14:paraId="62A6BB4D">
                  <w:pPr>
                    <w:widowControl w:val="0"/>
                    <w:tabs>
                      <w:tab w:val="left" w:pos="630"/>
                    </w:tabs>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w:t>
                  </w:r>
                </w:p>
              </w:tc>
              <w:tc>
                <w:tcPr>
                  <w:tcW w:w="1341" w:type="pct"/>
                  <w:vAlign w:val="center"/>
                </w:tcPr>
                <w:p w14:paraId="2C26B168">
                  <w:pPr>
                    <w:widowControl w:val="0"/>
                    <w:tabs>
                      <w:tab w:val="left" w:pos="630"/>
                    </w:tabs>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eastAsia="zh-CN"/>
                    </w:rPr>
                    <w:t>年度</w:t>
                  </w:r>
                  <w:r>
                    <w:rPr>
                      <w:rFonts w:hint="default" w:ascii="Times New Roman" w:hAnsi="Times New Roman" w:eastAsia="宋体" w:cs="Times New Roman"/>
                      <w:b/>
                      <w:bCs/>
                      <w:color w:val="auto"/>
                      <w:sz w:val="21"/>
                      <w:szCs w:val="21"/>
                    </w:rPr>
                    <w:t>评价指标</w:t>
                  </w:r>
                </w:p>
              </w:tc>
              <w:tc>
                <w:tcPr>
                  <w:tcW w:w="700" w:type="pct"/>
                  <w:vAlign w:val="center"/>
                </w:tcPr>
                <w:p w14:paraId="12C7597F">
                  <w:pPr>
                    <w:widowControl w:val="0"/>
                    <w:tabs>
                      <w:tab w:val="left" w:pos="630"/>
                    </w:tabs>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现状浓度</w:t>
                  </w:r>
                </w:p>
              </w:tc>
              <w:tc>
                <w:tcPr>
                  <w:tcW w:w="607" w:type="pct"/>
                  <w:vAlign w:val="center"/>
                </w:tcPr>
                <w:p w14:paraId="413D8AB6">
                  <w:pPr>
                    <w:widowControl w:val="0"/>
                    <w:tabs>
                      <w:tab w:val="left" w:pos="630"/>
                    </w:tabs>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标准值</w:t>
                  </w:r>
                </w:p>
              </w:tc>
              <w:tc>
                <w:tcPr>
                  <w:tcW w:w="654" w:type="pct"/>
                  <w:vAlign w:val="center"/>
                </w:tcPr>
                <w:p w14:paraId="5C40A656">
                  <w:pPr>
                    <w:widowControl w:val="0"/>
                    <w:tabs>
                      <w:tab w:val="left" w:pos="630"/>
                    </w:tabs>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占标率</w:t>
                  </w:r>
                </w:p>
              </w:tc>
              <w:tc>
                <w:tcPr>
                  <w:tcW w:w="754" w:type="pct"/>
                  <w:shd w:val="clear" w:color="auto" w:fill="auto"/>
                  <w:vAlign w:val="center"/>
                </w:tcPr>
                <w:p w14:paraId="2627EECC">
                  <w:pPr>
                    <w:widowControl w:val="0"/>
                    <w:tabs>
                      <w:tab w:val="left" w:pos="630"/>
                    </w:tabs>
                    <w:adjustRightInd w:val="0"/>
                    <w:snapToGrid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sz w:val="21"/>
                      <w:szCs w:val="21"/>
                    </w:rPr>
                    <w:t>达标情况</w:t>
                  </w:r>
                </w:p>
              </w:tc>
            </w:tr>
            <w:tr w14:paraId="0CBE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41" w:type="pct"/>
                  <w:vAlign w:val="center"/>
                </w:tcPr>
                <w:p w14:paraId="5EF902CB">
                  <w:pPr>
                    <w:widowControl w:val="0"/>
                    <w:tabs>
                      <w:tab w:val="left" w:pos="630"/>
                    </w:tabs>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1341" w:type="pct"/>
                  <w:vAlign w:val="center"/>
                </w:tcPr>
                <w:p w14:paraId="1F67E5A4">
                  <w:pPr>
                    <w:widowControl w:val="0"/>
                    <w:tabs>
                      <w:tab w:val="left" w:pos="630"/>
                    </w:tabs>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年平均质量浓度</w:t>
                  </w:r>
                </w:p>
              </w:tc>
              <w:tc>
                <w:tcPr>
                  <w:tcW w:w="700" w:type="pct"/>
                  <w:vAlign w:val="center"/>
                </w:tcPr>
                <w:p w14:paraId="1D7E5E5D">
                  <w:pPr>
                    <w:widowControl w:val="0"/>
                    <w:tabs>
                      <w:tab w:val="left" w:pos="630"/>
                    </w:tabs>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607" w:type="pct"/>
                  <w:vAlign w:val="center"/>
                </w:tcPr>
                <w:p w14:paraId="102E49ED">
                  <w:pPr>
                    <w:widowControl w:val="0"/>
                    <w:tabs>
                      <w:tab w:val="left" w:pos="630"/>
                    </w:tabs>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60</w:t>
                  </w:r>
                </w:p>
              </w:tc>
              <w:tc>
                <w:tcPr>
                  <w:tcW w:w="654" w:type="pct"/>
                  <w:vAlign w:val="center"/>
                </w:tcPr>
                <w:p w14:paraId="3F94C737">
                  <w:pPr>
                    <w:widowControl w:val="0"/>
                    <w:tabs>
                      <w:tab w:val="left" w:pos="630"/>
                    </w:tabs>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754" w:type="pct"/>
                  <w:shd w:val="clear" w:color="auto" w:fill="auto"/>
                  <w:vAlign w:val="center"/>
                </w:tcPr>
                <w:p w14:paraId="57935890">
                  <w:pPr>
                    <w:widowControl w:val="0"/>
                    <w:tabs>
                      <w:tab w:val="left" w:pos="630"/>
                    </w:tabs>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达标</w:t>
                  </w:r>
                </w:p>
              </w:tc>
            </w:tr>
            <w:tr w14:paraId="3C41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41" w:type="pct"/>
                  <w:vAlign w:val="center"/>
                </w:tcPr>
                <w:p w14:paraId="18679D31">
                  <w:pPr>
                    <w:widowControl w:val="0"/>
                    <w:tabs>
                      <w:tab w:val="left" w:pos="630"/>
                    </w:tabs>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2</w:t>
                  </w:r>
                </w:p>
              </w:tc>
              <w:tc>
                <w:tcPr>
                  <w:tcW w:w="1341" w:type="pct"/>
                  <w:vAlign w:val="center"/>
                </w:tcPr>
                <w:p w14:paraId="03494000">
                  <w:pPr>
                    <w:widowControl w:val="0"/>
                    <w:tabs>
                      <w:tab w:val="left" w:pos="630"/>
                    </w:tabs>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年平均质量浓度</w:t>
                  </w:r>
                </w:p>
              </w:tc>
              <w:tc>
                <w:tcPr>
                  <w:tcW w:w="700" w:type="pct"/>
                  <w:vAlign w:val="center"/>
                </w:tcPr>
                <w:p w14:paraId="78483AD7">
                  <w:pPr>
                    <w:widowControl w:val="0"/>
                    <w:tabs>
                      <w:tab w:val="left" w:pos="630"/>
                    </w:tabs>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12</w:t>
                  </w:r>
                </w:p>
              </w:tc>
              <w:tc>
                <w:tcPr>
                  <w:tcW w:w="607" w:type="pct"/>
                  <w:vAlign w:val="center"/>
                </w:tcPr>
                <w:p w14:paraId="2A8A3A6A">
                  <w:pPr>
                    <w:widowControl w:val="0"/>
                    <w:tabs>
                      <w:tab w:val="left" w:pos="630"/>
                    </w:tabs>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40</w:t>
                  </w:r>
                </w:p>
              </w:tc>
              <w:tc>
                <w:tcPr>
                  <w:tcW w:w="654" w:type="pct"/>
                  <w:vAlign w:val="center"/>
                </w:tcPr>
                <w:p w14:paraId="5C31E3C5">
                  <w:pPr>
                    <w:widowControl w:val="0"/>
                    <w:tabs>
                      <w:tab w:val="left" w:pos="630"/>
                    </w:tabs>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30%</w:t>
                  </w:r>
                </w:p>
              </w:tc>
              <w:tc>
                <w:tcPr>
                  <w:tcW w:w="754" w:type="pct"/>
                  <w:shd w:val="clear" w:color="auto" w:fill="auto"/>
                  <w:vAlign w:val="center"/>
                </w:tcPr>
                <w:p w14:paraId="4111B07C">
                  <w:pPr>
                    <w:widowControl w:val="0"/>
                    <w:tabs>
                      <w:tab w:val="left" w:pos="630"/>
                    </w:tabs>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达标</w:t>
                  </w:r>
                </w:p>
              </w:tc>
            </w:tr>
            <w:tr w14:paraId="4F44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41" w:type="pct"/>
                  <w:vAlign w:val="center"/>
                </w:tcPr>
                <w:p w14:paraId="283F236A">
                  <w:pPr>
                    <w:widowControl w:val="0"/>
                    <w:tabs>
                      <w:tab w:val="left" w:pos="630"/>
                    </w:tabs>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10</w:t>
                  </w:r>
                </w:p>
              </w:tc>
              <w:tc>
                <w:tcPr>
                  <w:tcW w:w="1341" w:type="pct"/>
                  <w:vAlign w:val="center"/>
                </w:tcPr>
                <w:p w14:paraId="0A9E2D53">
                  <w:pPr>
                    <w:widowControl w:val="0"/>
                    <w:tabs>
                      <w:tab w:val="left" w:pos="630"/>
                    </w:tabs>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年平均质量浓度</w:t>
                  </w:r>
                </w:p>
              </w:tc>
              <w:tc>
                <w:tcPr>
                  <w:tcW w:w="700" w:type="pct"/>
                  <w:vAlign w:val="center"/>
                </w:tcPr>
                <w:p w14:paraId="092C5E5B">
                  <w:pPr>
                    <w:widowControl w:val="0"/>
                    <w:tabs>
                      <w:tab w:val="left" w:pos="630"/>
                    </w:tabs>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31</w:t>
                  </w:r>
                </w:p>
              </w:tc>
              <w:tc>
                <w:tcPr>
                  <w:tcW w:w="607" w:type="pct"/>
                  <w:vAlign w:val="center"/>
                </w:tcPr>
                <w:p w14:paraId="7C435055">
                  <w:pPr>
                    <w:widowControl w:val="0"/>
                    <w:tabs>
                      <w:tab w:val="left" w:pos="630"/>
                    </w:tabs>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60</w:t>
                  </w:r>
                </w:p>
              </w:tc>
              <w:tc>
                <w:tcPr>
                  <w:tcW w:w="654" w:type="pct"/>
                  <w:vAlign w:val="center"/>
                </w:tcPr>
                <w:p w14:paraId="04092858">
                  <w:pPr>
                    <w:widowControl w:val="0"/>
                    <w:tabs>
                      <w:tab w:val="left" w:pos="630"/>
                    </w:tabs>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51.7%</w:t>
                  </w:r>
                </w:p>
              </w:tc>
              <w:tc>
                <w:tcPr>
                  <w:tcW w:w="754" w:type="pct"/>
                  <w:shd w:val="clear" w:color="auto" w:fill="auto"/>
                  <w:vAlign w:val="center"/>
                </w:tcPr>
                <w:p w14:paraId="1CAE371C">
                  <w:pPr>
                    <w:widowControl w:val="0"/>
                    <w:tabs>
                      <w:tab w:val="left" w:pos="630"/>
                    </w:tabs>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达标</w:t>
                  </w:r>
                </w:p>
              </w:tc>
            </w:tr>
            <w:tr w14:paraId="5ED1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41" w:type="pct"/>
                  <w:vAlign w:val="center"/>
                </w:tcPr>
                <w:p w14:paraId="184BAA22">
                  <w:pPr>
                    <w:widowControl w:val="0"/>
                    <w:tabs>
                      <w:tab w:val="left" w:pos="630"/>
                    </w:tabs>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2.5</w:t>
                  </w:r>
                </w:p>
              </w:tc>
              <w:tc>
                <w:tcPr>
                  <w:tcW w:w="1341" w:type="pct"/>
                  <w:vAlign w:val="center"/>
                </w:tcPr>
                <w:p w14:paraId="65C1E0C6">
                  <w:pPr>
                    <w:widowControl w:val="0"/>
                    <w:tabs>
                      <w:tab w:val="left" w:pos="630"/>
                    </w:tabs>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年平均质量浓度</w:t>
                  </w:r>
                </w:p>
              </w:tc>
              <w:tc>
                <w:tcPr>
                  <w:tcW w:w="700" w:type="pct"/>
                  <w:vAlign w:val="center"/>
                </w:tcPr>
                <w:p w14:paraId="059BEE3A">
                  <w:pPr>
                    <w:widowControl w:val="0"/>
                    <w:tabs>
                      <w:tab w:val="left" w:pos="630"/>
                    </w:tabs>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21</w:t>
                  </w:r>
                </w:p>
              </w:tc>
              <w:tc>
                <w:tcPr>
                  <w:tcW w:w="607" w:type="pct"/>
                  <w:vAlign w:val="center"/>
                </w:tcPr>
                <w:p w14:paraId="4A6FC4FE">
                  <w:pPr>
                    <w:widowControl w:val="0"/>
                    <w:tabs>
                      <w:tab w:val="left" w:pos="630"/>
                    </w:tabs>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30</w:t>
                  </w:r>
                </w:p>
              </w:tc>
              <w:tc>
                <w:tcPr>
                  <w:tcW w:w="654" w:type="pct"/>
                  <w:vAlign w:val="center"/>
                </w:tcPr>
                <w:p w14:paraId="5609C5ED">
                  <w:pPr>
                    <w:widowControl w:val="0"/>
                    <w:tabs>
                      <w:tab w:val="left" w:pos="630"/>
                    </w:tabs>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70%</w:t>
                  </w:r>
                </w:p>
              </w:tc>
              <w:tc>
                <w:tcPr>
                  <w:tcW w:w="754" w:type="pct"/>
                  <w:shd w:val="clear" w:color="auto" w:fill="auto"/>
                  <w:vAlign w:val="center"/>
                </w:tcPr>
                <w:p w14:paraId="254DF8D6">
                  <w:pPr>
                    <w:widowControl w:val="0"/>
                    <w:tabs>
                      <w:tab w:val="left" w:pos="630"/>
                    </w:tabs>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达标</w:t>
                  </w:r>
                </w:p>
              </w:tc>
            </w:tr>
            <w:tr w14:paraId="391A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1" w:type="pct"/>
                  <w:vAlign w:val="center"/>
                </w:tcPr>
                <w:p w14:paraId="7A801AA9">
                  <w:pPr>
                    <w:widowControl w:val="0"/>
                    <w:tabs>
                      <w:tab w:val="left" w:pos="630"/>
                    </w:tabs>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1341" w:type="pct"/>
                  <w:vAlign w:val="center"/>
                </w:tcPr>
                <w:p w14:paraId="4E35409C">
                  <w:pPr>
                    <w:widowControl w:val="0"/>
                    <w:tabs>
                      <w:tab w:val="left" w:pos="630"/>
                    </w:tabs>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日均值第95百分位数</w:t>
                  </w:r>
                </w:p>
                <w:p w14:paraId="2D995E6B">
                  <w:pPr>
                    <w:widowControl w:val="0"/>
                    <w:tabs>
                      <w:tab w:val="left" w:pos="630"/>
                    </w:tabs>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质量浓度</w:t>
                  </w:r>
                </w:p>
              </w:tc>
              <w:tc>
                <w:tcPr>
                  <w:tcW w:w="700" w:type="pct"/>
                  <w:vAlign w:val="center"/>
                </w:tcPr>
                <w:p w14:paraId="6A7F643C">
                  <w:pPr>
                    <w:widowControl w:val="0"/>
                    <w:tabs>
                      <w:tab w:val="left" w:pos="630"/>
                    </w:tabs>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607" w:type="pct"/>
                  <w:vAlign w:val="center"/>
                </w:tcPr>
                <w:p w14:paraId="0E608850">
                  <w:pPr>
                    <w:widowControl w:val="0"/>
                    <w:tabs>
                      <w:tab w:val="left" w:pos="630"/>
                    </w:tabs>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4</w:t>
                  </w:r>
                </w:p>
              </w:tc>
              <w:tc>
                <w:tcPr>
                  <w:tcW w:w="654" w:type="pct"/>
                  <w:vAlign w:val="center"/>
                </w:tcPr>
                <w:p w14:paraId="7A75453F">
                  <w:pPr>
                    <w:widowControl w:val="0"/>
                    <w:tabs>
                      <w:tab w:val="left" w:pos="630"/>
                    </w:tabs>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25%</w:t>
                  </w:r>
                </w:p>
              </w:tc>
              <w:tc>
                <w:tcPr>
                  <w:tcW w:w="754" w:type="pct"/>
                  <w:shd w:val="clear" w:color="auto" w:fill="auto"/>
                  <w:vAlign w:val="center"/>
                </w:tcPr>
                <w:p w14:paraId="3D3A2994">
                  <w:pPr>
                    <w:widowControl w:val="0"/>
                    <w:tabs>
                      <w:tab w:val="left" w:pos="630"/>
                    </w:tabs>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达标</w:t>
                  </w:r>
                </w:p>
              </w:tc>
            </w:tr>
            <w:tr w14:paraId="04B0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41" w:type="pct"/>
                  <w:vAlign w:val="center"/>
                </w:tcPr>
                <w:p w14:paraId="7196953D">
                  <w:pPr>
                    <w:widowControl w:val="0"/>
                    <w:tabs>
                      <w:tab w:val="left" w:pos="630"/>
                    </w:tabs>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O</w:t>
                  </w:r>
                  <w:r>
                    <w:rPr>
                      <w:rFonts w:hint="default" w:ascii="Times New Roman" w:hAnsi="Times New Roman" w:eastAsia="宋体" w:cs="Times New Roman"/>
                      <w:color w:val="auto"/>
                      <w:sz w:val="21"/>
                      <w:szCs w:val="21"/>
                      <w:vertAlign w:val="subscript"/>
                    </w:rPr>
                    <w:t>3</w:t>
                  </w:r>
                </w:p>
              </w:tc>
              <w:tc>
                <w:tcPr>
                  <w:tcW w:w="1341" w:type="pct"/>
                  <w:vAlign w:val="center"/>
                </w:tcPr>
                <w:p w14:paraId="595EF18D">
                  <w:pPr>
                    <w:widowControl w:val="0"/>
                    <w:tabs>
                      <w:tab w:val="left" w:pos="630"/>
                    </w:tabs>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日最大8小时均值第</w:t>
                  </w:r>
                </w:p>
                <w:p w14:paraId="2BC565BA">
                  <w:pPr>
                    <w:widowControl w:val="0"/>
                    <w:tabs>
                      <w:tab w:val="left" w:pos="630"/>
                    </w:tabs>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90百分位数质量浓度</w:t>
                  </w:r>
                </w:p>
              </w:tc>
              <w:tc>
                <w:tcPr>
                  <w:tcW w:w="700" w:type="pct"/>
                  <w:vAlign w:val="center"/>
                </w:tcPr>
                <w:p w14:paraId="37AB0481">
                  <w:pPr>
                    <w:widowControl w:val="0"/>
                    <w:tabs>
                      <w:tab w:val="left" w:pos="630"/>
                    </w:tabs>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108</w:t>
                  </w:r>
                </w:p>
              </w:tc>
              <w:tc>
                <w:tcPr>
                  <w:tcW w:w="607" w:type="pct"/>
                  <w:vAlign w:val="center"/>
                </w:tcPr>
                <w:p w14:paraId="015496C8">
                  <w:pPr>
                    <w:widowControl w:val="0"/>
                    <w:tabs>
                      <w:tab w:val="left" w:pos="630"/>
                    </w:tabs>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160</w:t>
                  </w:r>
                </w:p>
              </w:tc>
              <w:tc>
                <w:tcPr>
                  <w:tcW w:w="654" w:type="pct"/>
                  <w:vAlign w:val="center"/>
                </w:tcPr>
                <w:p w14:paraId="3A1DA557">
                  <w:pPr>
                    <w:widowControl w:val="0"/>
                    <w:tabs>
                      <w:tab w:val="left" w:pos="630"/>
                    </w:tabs>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67.5%</w:t>
                  </w:r>
                </w:p>
              </w:tc>
              <w:tc>
                <w:tcPr>
                  <w:tcW w:w="754" w:type="pct"/>
                  <w:shd w:val="clear" w:color="auto" w:fill="auto"/>
                  <w:vAlign w:val="center"/>
                </w:tcPr>
                <w:p w14:paraId="0A73D7C3">
                  <w:pPr>
                    <w:widowControl w:val="0"/>
                    <w:tabs>
                      <w:tab w:val="left" w:pos="630"/>
                    </w:tabs>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达标</w:t>
                  </w:r>
                </w:p>
              </w:tc>
            </w:tr>
          </w:tbl>
          <w:p w14:paraId="44561551">
            <w:pPr>
              <w:pStyle w:val="22"/>
              <w:spacing w:before="155" w:line="345" w:lineRule="auto"/>
              <w:ind w:left="108" w:right="161" w:firstLine="478"/>
              <w:rPr>
                <w:rFonts w:hint="eastAsia" w:ascii="Times New Roman" w:hAnsi="Times New Roman" w:cs="Times New Roman"/>
                <w:color w:val="auto"/>
                <w:spacing w:val="-6"/>
                <w:lang w:val="en-US" w:eastAsia="zh-CN"/>
              </w:rPr>
            </w:pPr>
            <w:r>
              <w:rPr>
                <w:color w:val="auto"/>
              </w:rPr>
              <w:t>根据编制指南要求：“</w:t>
            </w:r>
            <w:r>
              <w:rPr>
                <w:rFonts w:hint="default" w:ascii="Times New Roman" w:hAnsi="Times New Roman" w:cs="Times New Roman"/>
                <w:color w:val="auto"/>
              </w:rPr>
              <w:t>排放国家、地方环境空气</w:t>
            </w:r>
            <w:r>
              <w:rPr>
                <w:rFonts w:hint="default" w:ascii="Times New Roman" w:hAnsi="Times New Roman" w:cs="Times New Roman"/>
                <w:color w:val="auto"/>
                <w:spacing w:val="-1"/>
              </w:rPr>
              <w:t>质量标准中有标准限值要</w:t>
            </w:r>
            <w:r>
              <w:rPr>
                <w:rFonts w:hint="default" w:ascii="Times New Roman" w:hAnsi="Times New Roman" w:cs="Times New Roman"/>
                <w:color w:val="auto"/>
              </w:rPr>
              <w:t xml:space="preserve"> </w:t>
            </w:r>
            <w:r>
              <w:rPr>
                <w:rFonts w:hint="default" w:ascii="Times New Roman" w:hAnsi="Times New Roman" w:cs="Times New Roman"/>
                <w:color w:val="auto"/>
                <w:spacing w:val="-2"/>
              </w:rPr>
              <w:t>求的特征污染物时，引用建设项目周边</w:t>
            </w:r>
            <w:r>
              <w:rPr>
                <w:rFonts w:hint="default" w:ascii="Times New Roman" w:hAnsi="Times New Roman" w:cs="Times New Roman"/>
                <w:color w:val="auto"/>
                <w:spacing w:val="-39"/>
              </w:rPr>
              <w:t xml:space="preserve"> </w:t>
            </w:r>
            <w:r>
              <w:rPr>
                <w:rFonts w:hint="default" w:ascii="Times New Roman" w:hAnsi="Times New Roman" w:cs="Times New Roman"/>
                <w:color w:val="auto"/>
                <w:spacing w:val="-2"/>
              </w:rPr>
              <w:t>5</w:t>
            </w:r>
            <w:r>
              <w:rPr>
                <w:rFonts w:hint="default" w:ascii="Times New Roman" w:hAnsi="Times New Roman" w:cs="Times New Roman"/>
                <w:color w:val="auto"/>
                <w:spacing w:val="-50"/>
              </w:rPr>
              <w:t xml:space="preserve"> </w:t>
            </w:r>
            <w:r>
              <w:rPr>
                <w:rFonts w:hint="default" w:ascii="Times New Roman" w:hAnsi="Times New Roman" w:cs="Times New Roman"/>
                <w:color w:val="auto"/>
                <w:spacing w:val="-2"/>
              </w:rPr>
              <w:t>千米范围内近</w:t>
            </w:r>
            <w:r>
              <w:rPr>
                <w:rFonts w:hint="default" w:ascii="Times New Roman" w:hAnsi="Times New Roman" w:cs="Times New Roman"/>
                <w:color w:val="auto"/>
                <w:spacing w:val="-46"/>
              </w:rPr>
              <w:t xml:space="preserve"> </w:t>
            </w:r>
            <w:r>
              <w:rPr>
                <w:rFonts w:hint="default" w:ascii="Times New Roman" w:hAnsi="Times New Roman" w:cs="Times New Roman"/>
                <w:color w:val="auto"/>
                <w:spacing w:val="-2"/>
              </w:rPr>
              <w:t>3</w:t>
            </w:r>
            <w:r>
              <w:rPr>
                <w:rFonts w:hint="default" w:ascii="Times New Roman" w:hAnsi="Times New Roman" w:cs="Times New Roman"/>
                <w:color w:val="auto"/>
                <w:spacing w:val="-50"/>
              </w:rPr>
              <w:t xml:space="preserve"> </w:t>
            </w:r>
            <w:r>
              <w:rPr>
                <w:rFonts w:hint="default" w:ascii="Times New Roman" w:hAnsi="Times New Roman" w:cs="Times New Roman"/>
                <w:color w:val="auto"/>
                <w:spacing w:val="-2"/>
              </w:rPr>
              <w:t>年的现有监测数据，</w:t>
            </w:r>
            <w:r>
              <w:rPr>
                <w:rFonts w:hint="default" w:ascii="Times New Roman" w:hAnsi="Times New Roman" w:cs="Times New Roman"/>
                <w:color w:val="auto"/>
                <w:spacing w:val="-6"/>
              </w:rPr>
              <w:t>无相关数据的选择当季主导风向下风向</w:t>
            </w:r>
            <w:r>
              <w:rPr>
                <w:rFonts w:hint="default" w:ascii="Times New Roman" w:hAnsi="Times New Roman" w:cs="Times New Roman"/>
                <w:color w:val="auto"/>
                <w:spacing w:val="-32"/>
              </w:rPr>
              <w:t xml:space="preserve"> </w:t>
            </w:r>
            <w:r>
              <w:rPr>
                <w:rFonts w:hint="default" w:ascii="Times New Roman" w:hAnsi="Times New Roman" w:cs="Times New Roman"/>
                <w:color w:val="auto"/>
                <w:spacing w:val="-6"/>
              </w:rPr>
              <w:t>1</w:t>
            </w:r>
            <w:r>
              <w:rPr>
                <w:rFonts w:hint="default" w:ascii="Times New Roman" w:hAnsi="Times New Roman" w:cs="Times New Roman"/>
                <w:color w:val="auto"/>
                <w:spacing w:val="-51"/>
              </w:rPr>
              <w:t xml:space="preserve"> </w:t>
            </w:r>
            <w:r>
              <w:rPr>
                <w:rFonts w:hint="default" w:ascii="Times New Roman" w:hAnsi="Times New Roman" w:cs="Times New Roman"/>
                <w:color w:val="auto"/>
                <w:spacing w:val="-6"/>
              </w:rPr>
              <w:t>个点位补充不少于</w:t>
            </w:r>
            <w:r>
              <w:rPr>
                <w:rFonts w:hint="default" w:ascii="Times New Roman" w:hAnsi="Times New Roman" w:cs="Times New Roman"/>
                <w:color w:val="auto"/>
                <w:spacing w:val="-46"/>
              </w:rPr>
              <w:t xml:space="preserve"> </w:t>
            </w:r>
            <w:r>
              <w:rPr>
                <w:rFonts w:hint="default" w:ascii="Times New Roman" w:hAnsi="Times New Roman" w:cs="Times New Roman"/>
                <w:color w:val="auto"/>
                <w:spacing w:val="-6"/>
              </w:rPr>
              <w:t>3</w:t>
            </w:r>
            <w:r>
              <w:rPr>
                <w:rFonts w:hint="default" w:ascii="Times New Roman" w:hAnsi="Times New Roman" w:cs="Times New Roman"/>
                <w:color w:val="auto"/>
                <w:spacing w:val="-46"/>
              </w:rPr>
              <w:t xml:space="preserve"> </w:t>
            </w:r>
            <w:r>
              <w:rPr>
                <w:rFonts w:hint="default" w:ascii="Times New Roman" w:hAnsi="Times New Roman" w:cs="Times New Roman"/>
                <w:color w:val="auto"/>
                <w:spacing w:val="-6"/>
              </w:rPr>
              <w:t>天的监测数据</w:t>
            </w:r>
            <w:r>
              <w:rPr>
                <w:color w:val="auto"/>
                <w:spacing w:val="-88"/>
              </w:rPr>
              <w:t xml:space="preserve"> </w:t>
            </w:r>
            <w:r>
              <w:rPr>
                <w:color w:val="auto"/>
                <w:spacing w:val="-6"/>
              </w:rPr>
              <w:t>”。</w:t>
            </w:r>
            <w:r>
              <w:rPr>
                <w:rFonts w:hint="eastAsia"/>
                <w:color w:val="auto"/>
                <w:spacing w:val="-6"/>
                <w:lang w:val="en-US" w:eastAsia="zh-CN"/>
              </w:rPr>
              <w:t>本次评价特征因子</w:t>
            </w:r>
            <w:r>
              <w:rPr>
                <w:rFonts w:hint="default" w:ascii="Times New Roman" w:hAnsi="Times New Roman" w:cs="Times New Roman"/>
                <w:color w:val="auto"/>
                <w:spacing w:val="-6"/>
                <w:lang w:val="en-US" w:eastAsia="zh-CN"/>
              </w:rPr>
              <w:t>TSP</w:t>
            </w:r>
            <w:r>
              <w:rPr>
                <w:rFonts w:hint="eastAsia"/>
                <w:color w:val="auto"/>
                <w:spacing w:val="-6"/>
                <w:lang w:val="en-US" w:eastAsia="zh-CN"/>
              </w:rPr>
              <w:t>现状浓度引用</w:t>
            </w:r>
            <w:r>
              <w:rPr>
                <w:rFonts w:hint="default" w:ascii="Times New Roman" w:hAnsi="Times New Roman" w:cs="Times New Roman"/>
                <w:color w:val="auto"/>
                <w:spacing w:val="-6"/>
                <w:lang w:val="en-US" w:eastAsia="zh-CN"/>
              </w:rPr>
              <w:t>《乐昌产业转移工业园2023 年度环境管理状况评估报告》</w:t>
            </w:r>
            <w:r>
              <w:rPr>
                <w:rFonts w:hint="eastAsia" w:ascii="Times New Roman" w:hAnsi="Times New Roman" w:cs="Times New Roman"/>
                <w:color w:val="auto"/>
                <w:spacing w:val="-6"/>
                <w:lang w:val="en-US" w:eastAsia="zh-CN"/>
              </w:rPr>
              <w:t>中的监测数据，监测点与本项目距离约4km，监测日期为2023 年12 月19~12 月25 日，检测结果见下表：</w:t>
            </w:r>
          </w:p>
          <w:p w14:paraId="511DBD24">
            <w:pPr>
              <w:pStyle w:val="22"/>
              <w:keepNext w:val="0"/>
              <w:keepLines w:val="0"/>
              <w:pageBreakBefore w:val="0"/>
              <w:widowControl/>
              <w:kinsoku w:val="0"/>
              <w:wordWrap/>
              <w:overflowPunct/>
              <w:topLinePunct w:val="0"/>
              <w:autoSpaceDE w:val="0"/>
              <w:autoSpaceDN w:val="0"/>
              <w:bidi w:val="0"/>
              <w:adjustRightInd w:val="0"/>
              <w:snapToGrid w:val="0"/>
              <w:spacing w:line="346" w:lineRule="auto"/>
              <w:ind w:right="159"/>
              <w:jc w:val="center"/>
              <w:textAlignment w:val="baseline"/>
              <w:rPr>
                <w:rFonts w:hint="default" w:ascii="Times New Roman" w:hAnsi="Times New Roman" w:cs="Times New Roman"/>
                <w:b/>
                <w:bCs/>
                <w:color w:val="auto"/>
                <w:spacing w:val="-6"/>
                <w:lang w:val="en-US" w:eastAsia="zh-CN"/>
              </w:rPr>
            </w:pPr>
            <w:r>
              <w:rPr>
                <w:rFonts w:hint="eastAsia" w:ascii="Times New Roman" w:hAnsi="Times New Roman" w:cs="Times New Roman"/>
                <w:b/>
                <w:bCs/>
                <w:color w:val="auto"/>
                <w:spacing w:val="-6"/>
                <w:lang w:val="en-US" w:eastAsia="zh-CN"/>
              </w:rPr>
              <w:t>表3-2 TSP现状监测结果一览表   单位：mg/m</w:t>
            </w:r>
            <w:r>
              <w:rPr>
                <w:rFonts w:hint="eastAsia" w:ascii="Times New Roman" w:hAnsi="Times New Roman" w:cs="Times New Roman"/>
                <w:b/>
                <w:bCs/>
                <w:color w:val="auto"/>
                <w:spacing w:val="-6"/>
                <w:vertAlign w:val="superscript"/>
                <w:lang w:val="en-US" w:eastAsia="zh-CN"/>
              </w:rPr>
              <w:t>3</w:t>
            </w:r>
          </w:p>
          <w:tbl>
            <w:tblPr>
              <w:tblStyle w:val="19"/>
              <w:tblW w:w="45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800"/>
              <w:gridCol w:w="1758"/>
              <w:gridCol w:w="1162"/>
              <w:gridCol w:w="1441"/>
            </w:tblGrid>
            <w:tr w14:paraId="34FA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pct"/>
                  <w:vAlign w:val="center"/>
                </w:tcPr>
                <w:p w14:paraId="7D2DE10E">
                  <w:pPr>
                    <w:widowControl w:val="0"/>
                    <w:tabs>
                      <w:tab w:val="left" w:pos="630"/>
                    </w:tabs>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w:t>
                  </w:r>
                </w:p>
              </w:tc>
              <w:tc>
                <w:tcPr>
                  <w:tcW w:w="1174" w:type="pct"/>
                  <w:vAlign w:val="center"/>
                </w:tcPr>
                <w:p w14:paraId="669DD4CC">
                  <w:pPr>
                    <w:widowControl w:val="0"/>
                    <w:tabs>
                      <w:tab w:val="left" w:pos="630"/>
                    </w:tabs>
                    <w:adjustRightInd w:val="0"/>
                    <w:snapToGrid w:val="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监测点位</w:t>
                  </w:r>
                </w:p>
              </w:tc>
              <w:tc>
                <w:tcPr>
                  <w:tcW w:w="1147" w:type="pct"/>
                  <w:vAlign w:val="center"/>
                </w:tcPr>
                <w:p w14:paraId="23DA1A66">
                  <w:pPr>
                    <w:widowControl w:val="0"/>
                    <w:tabs>
                      <w:tab w:val="left" w:pos="630"/>
                    </w:tabs>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现状浓度</w:t>
                  </w:r>
                </w:p>
              </w:tc>
              <w:tc>
                <w:tcPr>
                  <w:tcW w:w="758" w:type="pct"/>
                  <w:vAlign w:val="center"/>
                </w:tcPr>
                <w:p w14:paraId="50FC2AE3">
                  <w:pPr>
                    <w:widowControl w:val="0"/>
                    <w:tabs>
                      <w:tab w:val="left" w:pos="630"/>
                    </w:tabs>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标准值</w:t>
                  </w:r>
                </w:p>
              </w:tc>
              <w:tc>
                <w:tcPr>
                  <w:tcW w:w="940" w:type="pct"/>
                  <w:shd w:val="clear" w:color="auto" w:fill="auto"/>
                  <w:vAlign w:val="center"/>
                </w:tcPr>
                <w:p w14:paraId="6F01477C">
                  <w:pPr>
                    <w:widowControl w:val="0"/>
                    <w:tabs>
                      <w:tab w:val="left" w:pos="630"/>
                    </w:tabs>
                    <w:adjustRightInd w:val="0"/>
                    <w:snapToGrid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sz w:val="21"/>
                      <w:szCs w:val="21"/>
                    </w:rPr>
                    <w:t>达标情况</w:t>
                  </w:r>
                </w:p>
              </w:tc>
            </w:tr>
            <w:tr w14:paraId="487F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pct"/>
                  <w:vAlign w:val="center"/>
                </w:tcPr>
                <w:p w14:paraId="20698B6D">
                  <w:pPr>
                    <w:widowControl w:val="0"/>
                    <w:tabs>
                      <w:tab w:val="left" w:pos="630"/>
                    </w:tabs>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TSP</w:t>
                  </w:r>
                </w:p>
              </w:tc>
              <w:tc>
                <w:tcPr>
                  <w:tcW w:w="1174" w:type="pct"/>
                  <w:vAlign w:val="center"/>
                </w:tcPr>
                <w:p w14:paraId="180C9295">
                  <w:pPr>
                    <w:widowControl w:val="0"/>
                    <w:tabs>
                      <w:tab w:val="left" w:pos="630"/>
                    </w:tabs>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园区居住区G2</w:t>
                  </w:r>
                </w:p>
              </w:tc>
              <w:tc>
                <w:tcPr>
                  <w:tcW w:w="1147" w:type="pct"/>
                  <w:vAlign w:val="center"/>
                </w:tcPr>
                <w:p w14:paraId="0875AB44">
                  <w:pPr>
                    <w:widowControl w:val="0"/>
                    <w:tabs>
                      <w:tab w:val="left" w:pos="630"/>
                    </w:tabs>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758" w:type="pct"/>
                  <w:vAlign w:val="center"/>
                </w:tcPr>
                <w:p w14:paraId="002DDCEA">
                  <w:pPr>
                    <w:widowControl w:val="0"/>
                    <w:tabs>
                      <w:tab w:val="left" w:pos="630"/>
                    </w:tabs>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w:t>
                  </w:r>
                </w:p>
              </w:tc>
              <w:tc>
                <w:tcPr>
                  <w:tcW w:w="940" w:type="pct"/>
                  <w:shd w:val="clear" w:color="auto" w:fill="auto"/>
                  <w:vAlign w:val="center"/>
                </w:tcPr>
                <w:p w14:paraId="38703D70">
                  <w:pPr>
                    <w:widowControl w:val="0"/>
                    <w:tabs>
                      <w:tab w:val="left" w:pos="630"/>
                    </w:tabs>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达标</w:t>
                  </w:r>
                </w:p>
              </w:tc>
            </w:tr>
          </w:tbl>
          <w:p w14:paraId="24C7E135">
            <w:pPr>
              <w:pStyle w:val="22"/>
              <w:keepNext w:val="0"/>
              <w:keepLines w:val="0"/>
              <w:pageBreakBefore w:val="0"/>
              <w:widowControl/>
              <w:kinsoku w:val="0"/>
              <w:wordWrap/>
              <w:overflowPunct/>
              <w:topLinePunct w:val="0"/>
              <w:autoSpaceDE w:val="0"/>
              <w:autoSpaceDN w:val="0"/>
              <w:bidi w:val="0"/>
              <w:adjustRightInd w:val="0"/>
              <w:snapToGrid w:val="0"/>
              <w:spacing w:before="0" w:beforeLines="50" w:line="346" w:lineRule="auto"/>
              <w:ind w:right="159"/>
              <w:jc w:val="both"/>
              <w:textAlignment w:val="baseline"/>
              <w:rPr>
                <w:rFonts w:hint="default"/>
                <w:color w:val="auto"/>
                <w:lang w:val="en-US"/>
              </w:rPr>
            </w:pPr>
            <w:r>
              <w:rPr>
                <w:rFonts w:hint="eastAsia" w:ascii="Times New Roman" w:hAnsi="Times New Roman" w:cs="Times New Roman"/>
                <w:color w:val="auto"/>
                <w:spacing w:val="-6"/>
                <w:lang w:val="en-US" w:eastAsia="zh-CN"/>
              </w:rPr>
              <w:t xml:space="preserve">      根据检测结果可知，项目所在区域TSP现状浓度满足《环境空气质量标准》（GB3095-2026）二级浓度限值要求。</w:t>
            </w:r>
          </w:p>
        </w:tc>
      </w:tr>
    </w:tbl>
    <w:p w14:paraId="356B4CEA">
      <w:pPr>
        <w:pStyle w:val="6"/>
        <w:rPr>
          <w:color w:val="auto"/>
        </w:rPr>
      </w:pPr>
    </w:p>
    <w:p w14:paraId="128B2C31">
      <w:pPr>
        <w:rPr>
          <w:color w:val="auto"/>
        </w:rPr>
        <w:sectPr>
          <w:footerReference r:id="rId10" w:type="default"/>
          <w:pgSz w:w="11907" w:h="16840"/>
          <w:pgMar w:top="1431" w:right="1489" w:bottom="1220" w:left="1489" w:header="0" w:footer="1058" w:gutter="0"/>
          <w:pgNumType w:fmt="numberInDash"/>
          <w:cols w:space="720" w:num="1"/>
        </w:sectPr>
      </w:pPr>
    </w:p>
    <w:p w14:paraId="4D786565">
      <w:pPr>
        <w:spacing w:before="28"/>
        <w:rPr>
          <w:color w:val="auto"/>
        </w:rPr>
      </w:pPr>
    </w:p>
    <w:tbl>
      <w:tblPr>
        <w:tblStyle w:val="21"/>
        <w:tblW w:w="891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84"/>
        <w:gridCol w:w="8429"/>
      </w:tblGrid>
      <w:tr w14:paraId="019BC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58" w:hRule="atLeast"/>
        </w:trPr>
        <w:tc>
          <w:tcPr>
            <w:tcW w:w="484" w:type="dxa"/>
            <w:tcBorders>
              <w:right w:val="single" w:color="000000" w:sz="2" w:space="0"/>
            </w:tcBorders>
            <w:vAlign w:val="top"/>
          </w:tcPr>
          <w:p w14:paraId="5D3060CA">
            <w:pPr>
              <w:rPr>
                <w:rFonts w:ascii="Arial"/>
                <w:color w:val="auto"/>
                <w:sz w:val="21"/>
              </w:rPr>
            </w:pPr>
          </w:p>
        </w:tc>
        <w:tc>
          <w:tcPr>
            <w:tcW w:w="8429" w:type="dxa"/>
            <w:tcBorders>
              <w:left w:val="single" w:color="000000" w:sz="2" w:space="0"/>
            </w:tcBorders>
            <w:vAlign w:val="top"/>
          </w:tcPr>
          <w:p w14:paraId="216271DD">
            <w:pPr>
              <w:pStyle w:val="22"/>
              <w:keepNext w:val="0"/>
              <w:keepLines w:val="0"/>
              <w:pageBreakBefore w:val="0"/>
              <w:widowControl/>
              <w:kinsoku w:val="0"/>
              <w:wordWrap/>
              <w:overflowPunct/>
              <w:topLinePunct w:val="0"/>
              <w:autoSpaceDE w:val="0"/>
              <w:autoSpaceDN w:val="0"/>
              <w:bidi w:val="0"/>
              <w:adjustRightInd w:val="0"/>
              <w:snapToGrid w:val="0"/>
              <w:spacing w:line="219" w:lineRule="auto"/>
              <w:ind w:firstLine="460" w:firstLineChars="200"/>
              <w:textAlignment w:val="baseline"/>
              <w:rPr>
                <w:color w:val="auto"/>
              </w:rPr>
            </w:pPr>
            <w:r>
              <w:rPr>
                <w:rFonts w:ascii="Times New Roman" w:hAnsi="Times New Roman" w:eastAsia="Times New Roman" w:cs="Times New Roman"/>
                <w:b/>
                <w:bCs/>
                <w:color w:val="auto"/>
                <w:spacing w:val="-5"/>
              </w:rPr>
              <w:t>2</w:t>
            </w:r>
            <w:r>
              <w:rPr>
                <w:rFonts w:ascii="Times New Roman" w:hAnsi="Times New Roman" w:eastAsia="Times New Roman" w:cs="Times New Roman"/>
                <w:b/>
                <w:bCs/>
                <w:color w:val="auto"/>
                <w:spacing w:val="-28"/>
              </w:rPr>
              <w:t xml:space="preserve"> </w:t>
            </w:r>
            <w:r>
              <w:rPr>
                <w:b/>
                <w:bCs/>
                <w:color w:val="auto"/>
                <w:spacing w:val="-5"/>
              </w:rPr>
              <w:t>、地表水环境质量现状</w:t>
            </w:r>
          </w:p>
          <w:p w14:paraId="0041ED14">
            <w:pPr>
              <w:pStyle w:val="22"/>
              <w:spacing w:before="186" w:line="354" w:lineRule="auto"/>
              <w:ind w:right="101" w:firstLine="472" w:firstLineChars="200"/>
              <w:jc w:val="both"/>
              <w:rPr>
                <w:color w:val="auto"/>
                <w:spacing w:val="-2"/>
              </w:rPr>
            </w:pPr>
            <w:r>
              <w:rPr>
                <w:rFonts w:hint="default" w:ascii="Times New Roman" w:hAnsi="Times New Roman" w:cs="Times New Roman"/>
                <w:color w:val="auto"/>
                <w:spacing w:val="-2"/>
              </w:rPr>
              <w:t>本项目附近水体为武水（乐昌城～</w:t>
            </w:r>
            <w:r>
              <w:rPr>
                <w:rFonts w:hint="default" w:ascii="Times New Roman" w:hAnsi="Times New Roman" w:cs="Times New Roman"/>
                <w:color w:val="auto"/>
                <w:spacing w:val="-2"/>
                <w:lang w:val="en-US" w:eastAsia="zh-CN"/>
              </w:rPr>
              <w:t>梨市</w:t>
            </w:r>
            <w:r>
              <w:rPr>
                <w:rFonts w:hint="default" w:ascii="Times New Roman" w:hAnsi="Times New Roman" w:cs="Times New Roman"/>
                <w:color w:val="auto"/>
                <w:spacing w:val="-2"/>
              </w:rPr>
              <w:t>）河段，根据《广东省地表水环境功能区划》（粤府函〔2011〕29号文），该河段为</w:t>
            </w:r>
            <w:r>
              <w:rPr>
                <w:rFonts w:hint="default" w:ascii="Times New Roman" w:hAnsi="Times New Roman" w:eastAsia="仿宋_GB2312" w:cs="Times New Roman"/>
                <w:color w:val="auto"/>
                <w:spacing w:val="-2"/>
              </w:rPr>
              <w:t>Ⅲ</w:t>
            </w:r>
            <w:r>
              <w:rPr>
                <w:rFonts w:hint="default" w:ascii="Times New Roman" w:hAnsi="Times New Roman" w:cs="Times New Roman"/>
                <w:color w:val="auto"/>
                <w:spacing w:val="-2"/>
              </w:rPr>
              <w:t>类功能区，执行《地表水环境质量标准》（GB3838-2002）中的</w:t>
            </w:r>
            <w:r>
              <w:rPr>
                <w:rFonts w:hint="default" w:ascii="Times New Roman" w:hAnsi="Times New Roman" w:eastAsia="仿宋_GB2312" w:cs="Times New Roman"/>
                <w:color w:val="auto"/>
                <w:spacing w:val="-2"/>
              </w:rPr>
              <w:t>Ⅲ</w:t>
            </w:r>
            <w:r>
              <w:rPr>
                <w:rFonts w:hint="default" w:ascii="Times New Roman" w:hAnsi="Times New Roman" w:cs="Times New Roman"/>
                <w:color w:val="auto"/>
                <w:spacing w:val="-2"/>
              </w:rPr>
              <w:t>类标准</w:t>
            </w:r>
            <w:r>
              <w:rPr>
                <w:rFonts w:hint="eastAsia"/>
                <w:color w:val="auto"/>
                <w:spacing w:val="-2"/>
              </w:rPr>
              <w:t>。根据韶关市生态环境局发布的《2024年韶关市生态环境状况公报》：</w:t>
            </w:r>
            <w:r>
              <w:rPr>
                <w:rFonts w:hint="default" w:ascii="Times New Roman" w:hAnsi="Times New Roman" w:cs="Times New Roman"/>
                <w:color w:val="auto"/>
                <w:spacing w:val="-2"/>
              </w:rPr>
              <w:t>“2024 年，韶关市11条主要江河（北江、武江、浈江、南水河、墨江、锦江、马坝河、滃江、新丰江、横石水和大潭河）34个市考以上手工监测断面水质优良率为100%，与2023年持平，其中Ⅰ类比例为2.9%、Ⅱ类比例为88.2%、Ⅲ类比例为8.8%。”可知，</w:t>
            </w:r>
            <w:r>
              <w:rPr>
                <w:rFonts w:hint="default" w:ascii="Times New Roman" w:hAnsi="Times New Roman" w:cs="Times New Roman"/>
                <w:color w:val="auto"/>
                <w:spacing w:val="-2"/>
                <w:lang w:val="en-US" w:eastAsia="zh-CN"/>
              </w:rPr>
              <w:t>项目所在区域地表水环境质量现状良好</w:t>
            </w:r>
            <w:r>
              <w:rPr>
                <w:color w:val="auto"/>
                <w:spacing w:val="-2"/>
              </w:rPr>
              <w:t>。</w:t>
            </w:r>
          </w:p>
          <w:p w14:paraId="6AACFDA8">
            <w:pPr>
              <w:pStyle w:val="22"/>
              <w:keepNext w:val="0"/>
              <w:keepLines w:val="0"/>
              <w:pageBreakBefore w:val="0"/>
              <w:widowControl/>
              <w:kinsoku w:val="0"/>
              <w:wordWrap/>
              <w:overflowPunct/>
              <w:topLinePunct w:val="0"/>
              <w:autoSpaceDE w:val="0"/>
              <w:autoSpaceDN w:val="0"/>
              <w:bidi w:val="0"/>
              <w:adjustRightInd w:val="0"/>
              <w:snapToGrid w:val="0"/>
              <w:spacing w:line="219" w:lineRule="auto"/>
              <w:ind w:left="578"/>
              <w:textAlignment w:val="baseline"/>
              <w:rPr>
                <w:color w:val="auto"/>
              </w:rPr>
            </w:pPr>
            <w:r>
              <w:rPr>
                <w:rFonts w:ascii="Times New Roman" w:hAnsi="Times New Roman" w:eastAsia="Times New Roman" w:cs="Times New Roman"/>
                <w:b/>
                <w:bCs/>
                <w:color w:val="auto"/>
                <w:spacing w:val="-2"/>
              </w:rPr>
              <w:t>3.</w:t>
            </w:r>
            <w:r>
              <w:rPr>
                <w:b/>
                <w:bCs/>
                <w:color w:val="auto"/>
                <w:spacing w:val="-2"/>
              </w:rPr>
              <w:t>声环境质量现状</w:t>
            </w:r>
          </w:p>
          <w:p w14:paraId="40A0D9BB">
            <w:pPr>
              <w:pStyle w:val="22"/>
              <w:spacing w:before="180" w:line="351" w:lineRule="auto"/>
              <w:ind w:left="100" w:right="101" w:firstLine="487"/>
              <w:jc w:val="both"/>
              <w:rPr>
                <w:color w:val="auto"/>
              </w:rPr>
            </w:pPr>
            <w:r>
              <w:rPr>
                <w:color w:val="auto"/>
                <w:spacing w:val="1"/>
              </w:rPr>
              <w:t>根据</w:t>
            </w:r>
            <w:r>
              <w:rPr>
                <w:rFonts w:hint="default" w:ascii="Times New Roman" w:hAnsi="Times New Roman" w:cs="Times New Roman"/>
                <w:color w:val="auto"/>
                <w:spacing w:val="1"/>
              </w:rPr>
              <w:t>《乐昌市声环境功能区划方案（2025年修订版）</w:t>
            </w:r>
            <w:r>
              <w:rPr>
                <w:color w:val="auto"/>
                <w:spacing w:val="1"/>
              </w:rPr>
              <w:t>，项</w:t>
            </w:r>
            <w:r>
              <w:rPr>
                <w:color w:val="auto"/>
                <w:spacing w:val="-3"/>
              </w:rPr>
              <w:t>目所在区域执行执行《声环境质量标准》（</w:t>
            </w:r>
            <w:r>
              <w:rPr>
                <w:rFonts w:ascii="Times New Roman" w:hAnsi="Times New Roman" w:eastAsia="Times New Roman" w:cs="Times New Roman"/>
                <w:color w:val="auto"/>
                <w:spacing w:val="-3"/>
              </w:rPr>
              <w:t>GB3096-2008</w:t>
            </w:r>
            <w:r>
              <w:rPr>
                <w:color w:val="auto"/>
                <w:spacing w:val="-3"/>
              </w:rPr>
              <w:t>）中</w:t>
            </w:r>
            <w:r>
              <w:rPr>
                <w:color w:val="auto"/>
                <w:spacing w:val="-55"/>
              </w:rPr>
              <w:t xml:space="preserve"> </w:t>
            </w:r>
            <w:r>
              <w:rPr>
                <w:rFonts w:ascii="Times New Roman" w:hAnsi="Times New Roman" w:eastAsia="Times New Roman" w:cs="Times New Roman"/>
                <w:color w:val="auto"/>
                <w:spacing w:val="-3"/>
              </w:rPr>
              <w:t xml:space="preserve">2 </w:t>
            </w:r>
            <w:r>
              <w:rPr>
                <w:color w:val="auto"/>
                <w:spacing w:val="-3"/>
              </w:rPr>
              <w:t>类标准（昼间</w:t>
            </w:r>
            <w:r>
              <w:rPr>
                <w:color w:val="auto"/>
              </w:rPr>
              <w:t xml:space="preserve"> </w:t>
            </w:r>
            <w:r>
              <w:rPr>
                <w:rFonts w:ascii="Times New Roman" w:hAnsi="Times New Roman" w:eastAsia="Times New Roman" w:cs="Times New Roman"/>
                <w:color w:val="auto"/>
                <w:spacing w:val="-1"/>
              </w:rPr>
              <w:t>≤60dB(A)</w:t>
            </w:r>
            <w:r>
              <w:rPr>
                <w:rFonts w:ascii="Times New Roman" w:hAnsi="Times New Roman" w:eastAsia="Times New Roman" w:cs="Times New Roman"/>
                <w:color w:val="auto"/>
                <w:spacing w:val="-30"/>
              </w:rPr>
              <w:t xml:space="preserve"> </w:t>
            </w:r>
            <w:r>
              <w:rPr>
                <w:color w:val="auto"/>
                <w:spacing w:val="-1"/>
              </w:rPr>
              <w:t>，夜间</w:t>
            </w:r>
            <w:r>
              <w:rPr>
                <w:rFonts w:ascii="Times New Roman" w:hAnsi="Times New Roman" w:eastAsia="Times New Roman" w:cs="Times New Roman"/>
                <w:color w:val="auto"/>
                <w:spacing w:val="-1"/>
              </w:rPr>
              <w:t>≤50dB(A)</w:t>
            </w:r>
            <w:r>
              <w:rPr>
                <w:color w:val="auto"/>
                <w:spacing w:val="-1"/>
              </w:rPr>
              <w:t>）。项目厂界周边</w:t>
            </w:r>
            <w:r>
              <w:rPr>
                <w:rFonts w:hint="default" w:ascii="Times New Roman" w:hAnsi="Times New Roman" w:cs="Times New Roman"/>
                <w:color w:val="auto"/>
                <w:spacing w:val="-45"/>
              </w:rPr>
              <w:t xml:space="preserve"> </w:t>
            </w:r>
            <w:r>
              <w:rPr>
                <w:rFonts w:hint="default" w:ascii="Times New Roman" w:hAnsi="Times New Roman" w:cs="Times New Roman"/>
                <w:color w:val="auto"/>
                <w:spacing w:val="-1"/>
              </w:rPr>
              <w:t>50m</w:t>
            </w:r>
            <w:r>
              <w:rPr>
                <w:rFonts w:hint="default" w:ascii="Times New Roman" w:hAnsi="Times New Roman" w:cs="Times New Roman"/>
                <w:color w:val="auto"/>
                <w:spacing w:val="-45"/>
              </w:rPr>
              <w:t xml:space="preserve"> </w:t>
            </w:r>
            <w:r>
              <w:rPr>
                <w:color w:val="auto"/>
                <w:spacing w:val="-1"/>
              </w:rPr>
              <w:t>范围</w:t>
            </w:r>
            <w:r>
              <w:rPr>
                <w:color w:val="auto"/>
                <w:spacing w:val="-2"/>
              </w:rPr>
              <w:t>无声环境敏感目标，故</w:t>
            </w:r>
            <w:r>
              <w:rPr>
                <w:color w:val="auto"/>
                <w:spacing w:val="-1"/>
              </w:rPr>
              <w:t>未</w:t>
            </w:r>
            <w:r>
              <w:rPr>
                <w:rFonts w:hint="eastAsia"/>
                <w:color w:val="auto"/>
                <w:spacing w:val="-1"/>
                <w:lang w:val="en-US" w:eastAsia="zh-CN"/>
              </w:rPr>
              <w:t>开展现状监测</w:t>
            </w:r>
            <w:r>
              <w:rPr>
                <w:color w:val="auto"/>
                <w:spacing w:val="-1"/>
              </w:rPr>
              <w:t>。</w:t>
            </w:r>
          </w:p>
          <w:p w14:paraId="4C56DA52">
            <w:pPr>
              <w:pStyle w:val="22"/>
              <w:spacing w:before="44" w:line="219" w:lineRule="auto"/>
              <w:ind w:left="583"/>
              <w:rPr>
                <w:color w:val="auto"/>
              </w:rPr>
            </w:pPr>
            <w:r>
              <w:rPr>
                <w:rFonts w:ascii="Times New Roman" w:hAnsi="Times New Roman" w:eastAsia="Times New Roman" w:cs="Times New Roman"/>
                <w:b/>
                <w:bCs/>
                <w:color w:val="auto"/>
                <w:spacing w:val="-2"/>
              </w:rPr>
              <w:t>4.</w:t>
            </w:r>
            <w:r>
              <w:rPr>
                <w:b/>
                <w:bCs/>
                <w:color w:val="auto"/>
                <w:spacing w:val="-2"/>
              </w:rPr>
              <w:t>地下水环境</w:t>
            </w:r>
          </w:p>
          <w:p w14:paraId="14081624">
            <w:pPr>
              <w:pStyle w:val="22"/>
              <w:spacing w:before="181" w:line="352" w:lineRule="auto"/>
              <w:ind w:left="107" w:right="40" w:firstLine="479"/>
              <w:jc w:val="both"/>
              <w:rPr>
                <w:color w:val="auto"/>
              </w:rPr>
            </w:pPr>
            <w:r>
              <w:rPr>
                <w:color w:val="auto"/>
                <w:spacing w:val="-2"/>
              </w:rPr>
              <w:t>根据《建设项目环境影响报告表编制技术指南</w:t>
            </w:r>
            <w:r>
              <w:rPr>
                <w:color w:val="auto"/>
                <w:spacing w:val="-3"/>
              </w:rPr>
              <w:t>（污染影响类</w:t>
            </w:r>
            <w:r>
              <w:rPr>
                <w:color w:val="auto"/>
                <w:spacing w:val="-28"/>
              </w:rPr>
              <w:t>）（</w:t>
            </w:r>
            <w:r>
              <w:rPr>
                <w:color w:val="auto"/>
                <w:spacing w:val="-3"/>
              </w:rPr>
              <w:t>试行）》，</w:t>
            </w:r>
            <w:r>
              <w:rPr>
                <w:color w:val="auto"/>
              </w:rPr>
              <w:t xml:space="preserve"> </w:t>
            </w:r>
            <w:r>
              <w:rPr>
                <w:color w:val="auto"/>
                <w:spacing w:val="1"/>
              </w:rPr>
              <w:t>原则上不开展地下水环境质量现状调查，本项目正常情况下厂区内将全面硬底</w:t>
            </w:r>
            <w:r>
              <w:rPr>
                <w:color w:val="auto"/>
                <w:spacing w:val="12"/>
              </w:rPr>
              <w:t xml:space="preserve"> </w:t>
            </w:r>
            <w:r>
              <w:rPr>
                <w:color w:val="auto"/>
                <w:spacing w:val="1"/>
              </w:rPr>
              <w:t>化，并按本报告要求实施分区防渗措施，有效切断地下水污染途径，因此本报</w:t>
            </w:r>
            <w:r>
              <w:rPr>
                <w:color w:val="auto"/>
                <w:spacing w:val="12"/>
              </w:rPr>
              <w:t xml:space="preserve"> </w:t>
            </w:r>
            <w:r>
              <w:rPr>
                <w:color w:val="auto"/>
                <w:spacing w:val="-1"/>
              </w:rPr>
              <w:t>告不开展地下水环境现状调查。</w:t>
            </w:r>
          </w:p>
          <w:p w14:paraId="06D7F2A6">
            <w:pPr>
              <w:pStyle w:val="22"/>
              <w:spacing w:before="35" w:line="220" w:lineRule="auto"/>
              <w:ind w:left="585"/>
              <w:rPr>
                <w:color w:val="auto"/>
              </w:rPr>
            </w:pPr>
            <w:r>
              <w:rPr>
                <w:rFonts w:ascii="Times New Roman" w:hAnsi="Times New Roman" w:eastAsia="Times New Roman" w:cs="Times New Roman"/>
                <w:b/>
                <w:bCs/>
                <w:color w:val="auto"/>
                <w:spacing w:val="-5"/>
              </w:rPr>
              <w:t>5.</w:t>
            </w:r>
            <w:r>
              <w:rPr>
                <w:rFonts w:ascii="Times New Roman" w:hAnsi="Times New Roman" w:eastAsia="Times New Roman" w:cs="Times New Roman"/>
                <w:b/>
                <w:bCs/>
                <w:color w:val="auto"/>
                <w:spacing w:val="4"/>
              </w:rPr>
              <w:t xml:space="preserve">   </w:t>
            </w:r>
            <w:r>
              <w:rPr>
                <w:b/>
                <w:bCs/>
                <w:color w:val="auto"/>
                <w:spacing w:val="-5"/>
              </w:rPr>
              <w:t>土壤环境</w:t>
            </w:r>
          </w:p>
          <w:p w14:paraId="482DF4BE">
            <w:pPr>
              <w:pStyle w:val="22"/>
              <w:spacing w:before="181" w:line="353" w:lineRule="auto"/>
              <w:ind w:left="108" w:right="40" w:firstLine="478"/>
              <w:jc w:val="both"/>
              <w:rPr>
                <w:color w:val="auto"/>
              </w:rPr>
            </w:pPr>
            <w:r>
              <w:rPr>
                <w:color w:val="auto"/>
                <w:spacing w:val="-2"/>
              </w:rPr>
              <w:t>根据《建设项目环境影响报告表编制技术指南</w:t>
            </w:r>
            <w:r>
              <w:rPr>
                <w:color w:val="auto"/>
                <w:spacing w:val="-3"/>
              </w:rPr>
              <w:t>（污染影响类</w:t>
            </w:r>
            <w:r>
              <w:rPr>
                <w:color w:val="auto"/>
                <w:spacing w:val="-28"/>
              </w:rPr>
              <w:t>）（</w:t>
            </w:r>
            <w:r>
              <w:rPr>
                <w:color w:val="auto"/>
                <w:spacing w:val="-3"/>
              </w:rPr>
              <w:t>试行）》，</w:t>
            </w:r>
            <w:r>
              <w:rPr>
                <w:color w:val="auto"/>
              </w:rPr>
              <w:t xml:space="preserve"> </w:t>
            </w:r>
            <w:r>
              <w:rPr>
                <w:color w:val="auto"/>
                <w:spacing w:val="-4"/>
              </w:rPr>
              <w:t>原则上不开展土壤环境质量现状调查，本项目正常情况下厂区内将全面硬底化，</w:t>
            </w:r>
            <w:r>
              <w:rPr>
                <w:color w:val="auto"/>
                <w:spacing w:val="9"/>
              </w:rPr>
              <w:t xml:space="preserve"> </w:t>
            </w:r>
            <w:r>
              <w:rPr>
                <w:color w:val="auto"/>
                <w:spacing w:val="1"/>
              </w:rPr>
              <w:t>并按本报告要求实施分区防渗措施，有效切断土壤污染途径，因此本报告不开</w:t>
            </w:r>
            <w:r>
              <w:rPr>
                <w:color w:val="auto"/>
                <w:spacing w:val="11"/>
              </w:rPr>
              <w:t xml:space="preserve"> </w:t>
            </w:r>
            <w:r>
              <w:rPr>
                <w:color w:val="auto"/>
                <w:spacing w:val="-2"/>
              </w:rPr>
              <w:t>展土壤环境现状调查。</w:t>
            </w:r>
          </w:p>
          <w:p w14:paraId="678AB3BB">
            <w:pPr>
              <w:pStyle w:val="22"/>
              <w:spacing w:before="33" w:line="220" w:lineRule="auto"/>
              <w:ind w:left="586"/>
              <w:rPr>
                <w:color w:val="auto"/>
              </w:rPr>
            </w:pPr>
            <w:r>
              <w:rPr>
                <w:rFonts w:ascii="Times New Roman" w:hAnsi="Times New Roman" w:eastAsia="Times New Roman" w:cs="Times New Roman"/>
                <w:b/>
                <w:bCs/>
                <w:color w:val="auto"/>
                <w:spacing w:val="-3"/>
              </w:rPr>
              <w:t>6.</w:t>
            </w:r>
            <w:r>
              <w:rPr>
                <w:b/>
                <w:bCs/>
                <w:color w:val="auto"/>
                <w:spacing w:val="-3"/>
              </w:rPr>
              <w:t>生态环境</w:t>
            </w:r>
          </w:p>
          <w:p w14:paraId="7A21F826">
            <w:pPr>
              <w:pStyle w:val="22"/>
              <w:spacing w:before="186" w:line="354" w:lineRule="auto"/>
              <w:ind w:right="101" w:firstLine="472" w:firstLineChars="200"/>
              <w:jc w:val="both"/>
              <w:rPr>
                <w:color w:val="auto"/>
                <w:spacing w:val="-2"/>
              </w:rPr>
            </w:pPr>
            <w:r>
              <w:rPr>
                <w:color w:val="auto"/>
                <w:spacing w:val="-2"/>
              </w:rPr>
              <w:t>根据《建设项目环境影响报告表编制技术指南</w:t>
            </w:r>
            <w:r>
              <w:rPr>
                <w:color w:val="auto"/>
                <w:spacing w:val="-3"/>
              </w:rPr>
              <w:t>（污染影响类</w:t>
            </w:r>
            <w:r>
              <w:rPr>
                <w:color w:val="auto"/>
                <w:spacing w:val="-28"/>
              </w:rPr>
              <w:t>）（</w:t>
            </w:r>
            <w:r>
              <w:rPr>
                <w:color w:val="auto"/>
                <w:spacing w:val="-3"/>
              </w:rPr>
              <w:t>试行）》，</w:t>
            </w:r>
            <w:r>
              <w:rPr>
                <w:color w:val="auto"/>
              </w:rPr>
              <w:t xml:space="preserve"> </w:t>
            </w:r>
            <w:r>
              <w:rPr>
                <w:color w:val="auto"/>
                <w:spacing w:val="2"/>
              </w:rPr>
              <w:t>“产业园区外建设单位新增用地且用地范围内含有生态</w:t>
            </w:r>
            <w:r>
              <w:rPr>
                <w:color w:val="auto"/>
                <w:spacing w:val="1"/>
              </w:rPr>
              <w:t>环境保护目标时，应进</w:t>
            </w:r>
            <w:r>
              <w:rPr>
                <w:color w:val="auto"/>
              </w:rPr>
              <w:t xml:space="preserve"> </w:t>
            </w:r>
            <w:r>
              <w:rPr>
                <w:color w:val="auto"/>
                <w:spacing w:val="1"/>
              </w:rPr>
              <w:t>行生态现状调查</w:t>
            </w:r>
            <w:r>
              <w:rPr>
                <w:color w:val="auto"/>
                <w:spacing w:val="-86"/>
              </w:rPr>
              <w:t xml:space="preserve"> </w:t>
            </w:r>
            <w:r>
              <w:rPr>
                <w:color w:val="auto"/>
                <w:spacing w:val="1"/>
              </w:rPr>
              <w:t>”，本项目用地范围</w:t>
            </w:r>
            <w:r>
              <w:rPr>
                <w:color w:val="auto"/>
              </w:rPr>
              <w:t>内，不涉及自然</w:t>
            </w:r>
            <w:r>
              <w:rPr>
                <w:color w:val="auto"/>
                <w:spacing w:val="2"/>
              </w:rPr>
              <w:t>保护区、风景名胜区、世界文化和自然遗产地、饮用水</w:t>
            </w:r>
            <w:r>
              <w:rPr>
                <w:color w:val="auto"/>
                <w:spacing w:val="1"/>
              </w:rPr>
              <w:t>源保护区和其他需要特</w:t>
            </w:r>
            <w:r>
              <w:rPr>
                <w:color w:val="auto"/>
              </w:rPr>
              <w:t>殊保护的区域，因此本报告不开展生态现状调查。</w:t>
            </w:r>
          </w:p>
        </w:tc>
      </w:tr>
    </w:tbl>
    <w:p w14:paraId="7B5E6166">
      <w:pPr>
        <w:pStyle w:val="6"/>
        <w:rPr>
          <w:color w:val="auto"/>
        </w:rPr>
      </w:pPr>
    </w:p>
    <w:p w14:paraId="571AA394">
      <w:pPr>
        <w:rPr>
          <w:color w:val="auto"/>
        </w:rPr>
        <w:sectPr>
          <w:footerReference r:id="rId11" w:type="default"/>
          <w:pgSz w:w="11907" w:h="16840"/>
          <w:pgMar w:top="1431" w:right="1489" w:bottom="1220" w:left="1489" w:header="0" w:footer="1058" w:gutter="0"/>
          <w:pgNumType w:fmt="numberInDash"/>
          <w:cols w:space="720" w:num="1"/>
        </w:sectPr>
      </w:pPr>
    </w:p>
    <w:tbl>
      <w:tblPr>
        <w:tblStyle w:val="21"/>
        <w:tblW w:w="891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84"/>
        <w:gridCol w:w="8429"/>
      </w:tblGrid>
      <w:tr w14:paraId="6F41C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92" w:hRule="atLeast"/>
        </w:trPr>
        <w:tc>
          <w:tcPr>
            <w:tcW w:w="484" w:type="dxa"/>
            <w:tcBorders>
              <w:top w:val="single" w:color="000000" w:sz="2" w:space="0"/>
              <w:right w:val="single" w:color="000000" w:sz="2" w:space="0"/>
            </w:tcBorders>
            <w:textDirection w:val="tbRlV"/>
            <w:vAlign w:val="top"/>
          </w:tcPr>
          <w:p w14:paraId="02745476">
            <w:pPr>
              <w:pStyle w:val="22"/>
              <w:spacing w:before="137" w:line="207" w:lineRule="auto"/>
              <w:ind w:left="3161"/>
              <w:rPr>
                <w:color w:val="auto"/>
                <w:sz w:val="20"/>
                <w:szCs w:val="20"/>
              </w:rPr>
            </w:pPr>
            <w:r>
              <w:rPr>
                <w:color w:val="auto"/>
                <w:spacing w:val="8"/>
                <w:sz w:val="24"/>
                <w:szCs w:val="24"/>
              </w:rPr>
              <w:t>环</w:t>
            </w:r>
            <w:r>
              <w:rPr>
                <w:color w:val="auto"/>
                <w:spacing w:val="-34"/>
                <w:sz w:val="24"/>
                <w:szCs w:val="24"/>
              </w:rPr>
              <w:t xml:space="preserve"> </w:t>
            </w:r>
            <w:r>
              <w:rPr>
                <w:color w:val="auto"/>
                <w:spacing w:val="8"/>
                <w:sz w:val="24"/>
                <w:szCs w:val="24"/>
              </w:rPr>
              <w:t>境</w:t>
            </w:r>
            <w:r>
              <w:rPr>
                <w:color w:val="auto"/>
                <w:spacing w:val="-36"/>
                <w:sz w:val="24"/>
                <w:szCs w:val="24"/>
              </w:rPr>
              <w:t xml:space="preserve"> </w:t>
            </w:r>
            <w:r>
              <w:rPr>
                <w:color w:val="auto"/>
                <w:spacing w:val="8"/>
                <w:sz w:val="24"/>
                <w:szCs w:val="24"/>
              </w:rPr>
              <w:t>保</w:t>
            </w:r>
            <w:r>
              <w:rPr>
                <w:color w:val="auto"/>
                <w:spacing w:val="-37"/>
                <w:sz w:val="24"/>
                <w:szCs w:val="24"/>
              </w:rPr>
              <w:t xml:space="preserve"> </w:t>
            </w:r>
            <w:r>
              <w:rPr>
                <w:color w:val="auto"/>
                <w:spacing w:val="8"/>
                <w:sz w:val="24"/>
                <w:szCs w:val="24"/>
              </w:rPr>
              <w:t>护</w:t>
            </w:r>
            <w:r>
              <w:rPr>
                <w:color w:val="auto"/>
                <w:spacing w:val="-35"/>
                <w:sz w:val="24"/>
                <w:szCs w:val="24"/>
              </w:rPr>
              <w:t xml:space="preserve"> </w:t>
            </w:r>
            <w:r>
              <w:rPr>
                <w:color w:val="auto"/>
                <w:spacing w:val="8"/>
                <w:position w:val="1"/>
                <w:sz w:val="24"/>
                <w:szCs w:val="24"/>
              </w:rPr>
              <w:t>目</w:t>
            </w:r>
            <w:r>
              <w:rPr>
                <w:color w:val="auto"/>
                <w:spacing w:val="-38"/>
                <w:position w:val="1"/>
                <w:sz w:val="24"/>
                <w:szCs w:val="24"/>
              </w:rPr>
              <w:t xml:space="preserve"> </w:t>
            </w:r>
            <w:r>
              <w:rPr>
                <w:color w:val="auto"/>
                <w:spacing w:val="8"/>
                <w:sz w:val="24"/>
                <w:szCs w:val="24"/>
              </w:rPr>
              <w:t>标</w:t>
            </w:r>
          </w:p>
        </w:tc>
        <w:tc>
          <w:tcPr>
            <w:tcW w:w="8429" w:type="dxa"/>
            <w:tcBorders>
              <w:top w:val="single" w:color="000000" w:sz="2" w:space="0"/>
              <w:left w:val="single" w:color="000000" w:sz="2" w:space="0"/>
            </w:tcBorders>
            <w:vAlign w:val="top"/>
          </w:tcPr>
          <w:p w14:paraId="24A98E39">
            <w:pPr>
              <w:spacing w:line="373" w:lineRule="auto"/>
              <w:rPr>
                <w:rFonts w:ascii="Arial"/>
                <w:color w:val="auto"/>
                <w:sz w:val="21"/>
              </w:rPr>
            </w:pPr>
          </w:p>
          <w:p w14:paraId="0AD66F4C">
            <w:pPr>
              <w:pStyle w:val="22"/>
              <w:spacing w:before="78" w:line="220" w:lineRule="auto"/>
              <w:ind w:left="593"/>
              <w:rPr>
                <w:color w:val="auto"/>
              </w:rPr>
            </w:pPr>
            <w:r>
              <w:rPr>
                <w:rFonts w:ascii="Times New Roman" w:hAnsi="Times New Roman" w:eastAsia="Times New Roman" w:cs="Times New Roman"/>
                <w:b/>
                <w:bCs/>
                <w:color w:val="auto"/>
                <w:spacing w:val="-3"/>
              </w:rPr>
              <w:t>1.</w:t>
            </w:r>
            <w:r>
              <w:rPr>
                <w:b/>
                <w:bCs/>
                <w:color w:val="auto"/>
                <w:spacing w:val="-3"/>
              </w:rPr>
              <w:t>大气环境保护目标</w:t>
            </w:r>
          </w:p>
          <w:p w14:paraId="655BCB8E">
            <w:pPr>
              <w:pStyle w:val="22"/>
              <w:spacing w:before="181" w:line="345" w:lineRule="auto"/>
              <w:ind w:left="107" w:right="101" w:firstLine="480"/>
              <w:rPr>
                <w:color w:val="auto"/>
                <w:spacing w:val="-1"/>
              </w:rPr>
            </w:pPr>
            <w:r>
              <w:rPr>
                <w:color w:val="auto"/>
                <w:spacing w:val="1"/>
              </w:rPr>
              <w:t>本项目厂界外</w:t>
            </w:r>
            <w:r>
              <w:rPr>
                <w:color w:val="auto"/>
                <w:spacing w:val="-46"/>
              </w:rPr>
              <w:t xml:space="preserve"> </w:t>
            </w:r>
            <w:r>
              <w:rPr>
                <w:rFonts w:hint="default" w:ascii="Times New Roman" w:hAnsi="Times New Roman" w:eastAsia="Times New Roman" w:cs="Times New Roman"/>
                <w:color w:val="auto"/>
                <w:spacing w:val="1"/>
              </w:rPr>
              <w:t xml:space="preserve">500 </w:t>
            </w:r>
            <w:r>
              <w:rPr>
                <w:rFonts w:hint="default" w:ascii="Times New Roman" w:hAnsi="Times New Roman" w:cs="Times New Roman"/>
                <w:color w:val="auto"/>
                <w:spacing w:val="1"/>
              </w:rPr>
              <w:t>米范围内不存在自然保护区、风景名胜区、文化区等保</w:t>
            </w:r>
            <w:r>
              <w:rPr>
                <w:rFonts w:hint="default" w:ascii="Times New Roman" w:hAnsi="Times New Roman" w:cs="Times New Roman"/>
                <w:color w:val="auto"/>
              </w:rPr>
              <w:t xml:space="preserve"> </w:t>
            </w:r>
            <w:r>
              <w:rPr>
                <w:rFonts w:hint="default" w:ascii="Times New Roman" w:hAnsi="Times New Roman" w:cs="Times New Roman"/>
                <w:color w:val="auto"/>
                <w:spacing w:val="-1"/>
              </w:rPr>
              <w:t>护目标，</w:t>
            </w:r>
            <w:r>
              <w:rPr>
                <w:rFonts w:hint="default" w:ascii="Times New Roman" w:hAnsi="Times New Roman" w:cs="Times New Roman"/>
                <w:color w:val="auto"/>
                <w:spacing w:val="-1"/>
                <w:lang w:val="en-US" w:eastAsia="zh-CN"/>
              </w:rPr>
              <w:t>500米</w:t>
            </w:r>
            <w:r>
              <w:rPr>
                <w:rFonts w:hint="eastAsia"/>
                <w:color w:val="auto"/>
                <w:spacing w:val="-1"/>
                <w:lang w:val="en-US" w:eastAsia="zh-CN"/>
              </w:rPr>
              <w:t>范围内大气环境保护目标主要为居民区，具体见下表</w:t>
            </w:r>
            <w:r>
              <w:rPr>
                <w:color w:val="auto"/>
                <w:spacing w:val="-1"/>
              </w:rPr>
              <w:t>。</w:t>
            </w:r>
          </w:p>
          <w:p w14:paraId="485B1A55">
            <w:pPr>
              <w:pStyle w:val="22"/>
              <w:keepNext w:val="0"/>
              <w:keepLines w:val="0"/>
              <w:pageBreakBefore w:val="0"/>
              <w:widowControl/>
              <w:kinsoku w:val="0"/>
              <w:wordWrap/>
              <w:overflowPunct/>
              <w:topLinePunct w:val="0"/>
              <w:autoSpaceDE w:val="0"/>
              <w:autoSpaceDN w:val="0"/>
              <w:bidi w:val="0"/>
              <w:adjustRightInd w:val="0"/>
              <w:snapToGrid w:val="0"/>
              <w:spacing w:line="346" w:lineRule="auto"/>
              <w:ind w:right="102"/>
              <w:jc w:val="center"/>
              <w:textAlignment w:val="baseline"/>
              <w:rPr>
                <w:rFonts w:hint="default" w:ascii="Times New Roman" w:hAnsi="Times New Roman" w:cs="Times New Roman"/>
                <w:b/>
                <w:bCs/>
                <w:color w:val="auto"/>
                <w:spacing w:val="-1"/>
                <w:lang w:val="en-US" w:eastAsia="zh-CN"/>
              </w:rPr>
            </w:pPr>
            <w:r>
              <w:rPr>
                <w:rFonts w:hint="default" w:ascii="Times New Roman" w:hAnsi="Times New Roman" w:cs="Times New Roman"/>
                <w:b/>
                <w:bCs/>
                <w:color w:val="auto"/>
                <w:spacing w:val="-1"/>
                <w:lang w:val="en-US" w:eastAsia="zh-CN"/>
              </w:rPr>
              <w:t>表3-3 大气环境保护目标</w:t>
            </w:r>
          </w:p>
          <w:tbl>
            <w:tblPr>
              <w:tblStyle w:val="18"/>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178"/>
              <w:gridCol w:w="1290"/>
              <w:gridCol w:w="1642"/>
              <w:gridCol w:w="930"/>
              <w:gridCol w:w="1414"/>
            </w:tblGrid>
            <w:tr w14:paraId="1124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6" w:type="dxa"/>
                  <w:vMerge w:val="restart"/>
                  <w:vAlign w:val="center"/>
                </w:tcPr>
                <w:p w14:paraId="12C87FB4">
                  <w:pPr>
                    <w:adjustRightInd w:val="0"/>
                    <w:snapToGrid w:val="0"/>
                    <w:spacing w:line="240" w:lineRule="auto"/>
                    <w:ind w:left="0" w:leftChars="0"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名称</w:t>
                  </w:r>
                </w:p>
              </w:tc>
              <w:tc>
                <w:tcPr>
                  <w:tcW w:w="1178" w:type="dxa"/>
                  <w:vMerge w:val="restart"/>
                  <w:vAlign w:val="center"/>
                </w:tcPr>
                <w:p w14:paraId="082C491D">
                  <w:pPr>
                    <w:adjustRightInd w:val="0"/>
                    <w:snapToGrid w:val="0"/>
                    <w:spacing w:line="240" w:lineRule="auto"/>
                    <w:ind w:left="0" w:leftChars="0"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保护对象</w:t>
                  </w:r>
                </w:p>
              </w:tc>
              <w:tc>
                <w:tcPr>
                  <w:tcW w:w="1290" w:type="dxa"/>
                  <w:vMerge w:val="restart"/>
                  <w:vAlign w:val="center"/>
                </w:tcPr>
                <w:p w14:paraId="36EEF3D8">
                  <w:pPr>
                    <w:adjustRightInd w:val="0"/>
                    <w:snapToGrid w:val="0"/>
                    <w:spacing w:line="240" w:lineRule="auto"/>
                    <w:ind w:left="0" w:leftChars="0"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保护内容</w:t>
                  </w:r>
                </w:p>
              </w:tc>
              <w:tc>
                <w:tcPr>
                  <w:tcW w:w="1642" w:type="dxa"/>
                  <w:vMerge w:val="restart"/>
                  <w:vAlign w:val="center"/>
                </w:tcPr>
                <w:p w14:paraId="7EF0820C">
                  <w:pPr>
                    <w:adjustRightInd w:val="0"/>
                    <w:snapToGrid w:val="0"/>
                    <w:spacing w:line="240" w:lineRule="auto"/>
                    <w:ind w:left="0" w:leftChars="0"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功能区划</w:t>
                  </w:r>
                </w:p>
              </w:tc>
              <w:tc>
                <w:tcPr>
                  <w:tcW w:w="930" w:type="dxa"/>
                  <w:vMerge w:val="restart"/>
                  <w:vAlign w:val="center"/>
                </w:tcPr>
                <w:p w14:paraId="140E3EF5">
                  <w:pPr>
                    <w:adjustRightInd w:val="0"/>
                    <w:snapToGrid w:val="0"/>
                    <w:spacing w:line="240" w:lineRule="auto"/>
                    <w:ind w:left="0" w:leftChars="0"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方位</w:t>
                  </w:r>
                </w:p>
              </w:tc>
              <w:tc>
                <w:tcPr>
                  <w:tcW w:w="1414" w:type="dxa"/>
                  <w:vMerge w:val="restart"/>
                  <w:vAlign w:val="center"/>
                </w:tcPr>
                <w:p w14:paraId="5D0BCFCD">
                  <w:pPr>
                    <w:adjustRightInd w:val="0"/>
                    <w:snapToGrid w:val="0"/>
                    <w:spacing w:line="240" w:lineRule="auto"/>
                    <w:ind w:left="0" w:leftChars="0"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与厂界最近距离/m</w:t>
                  </w:r>
                </w:p>
              </w:tc>
            </w:tr>
            <w:tr w14:paraId="6E9B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16" w:type="dxa"/>
                  <w:vMerge w:val="continue"/>
                  <w:vAlign w:val="center"/>
                </w:tcPr>
                <w:p w14:paraId="428DFB36">
                  <w:pPr>
                    <w:adjustRightInd w:val="0"/>
                    <w:snapToGrid w:val="0"/>
                    <w:spacing w:line="240" w:lineRule="auto"/>
                    <w:jc w:val="center"/>
                    <w:rPr>
                      <w:rFonts w:hint="default" w:ascii="Times New Roman" w:hAnsi="Times New Roman" w:eastAsia="宋体" w:cs="Times New Roman"/>
                      <w:b/>
                      <w:bCs/>
                      <w:color w:val="auto"/>
                      <w:kern w:val="0"/>
                      <w:sz w:val="21"/>
                      <w:szCs w:val="21"/>
                    </w:rPr>
                  </w:pPr>
                </w:p>
              </w:tc>
              <w:tc>
                <w:tcPr>
                  <w:tcW w:w="1178" w:type="dxa"/>
                  <w:vMerge w:val="continue"/>
                  <w:vAlign w:val="center"/>
                </w:tcPr>
                <w:p w14:paraId="20431C19">
                  <w:pPr>
                    <w:adjustRightInd w:val="0"/>
                    <w:snapToGrid w:val="0"/>
                    <w:spacing w:line="240" w:lineRule="auto"/>
                    <w:jc w:val="center"/>
                    <w:rPr>
                      <w:rFonts w:hint="default" w:ascii="Times New Roman" w:hAnsi="Times New Roman" w:eastAsia="宋体" w:cs="Times New Roman"/>
                      <w:b/>
                      <w:bCs/>
                      <w:color w:val="auto"/>
                      <w:kern w:val="0"/>
                      <w:sz w:val="21"/>
                      <w:szCs w:val="21"/>
                    </w:rPr>
                  </w:pPr>
                </w:p>
              </w:tc>
              <w:tc>
                <w:tcPr>
                  <w:tcW w:w="1290" w:type="dxa"/>
                  <w:vMerge w:val="continue"/>
                  <w:vAlign w:val="center"/>
                </w:tcPr>
                <w:p w14:paraId="7C9F853A">
                  <w:pPr>
                    <w:adjustRightInd w:val="0"/>
                    <w:snapToGrid w:val="0"/>
                    <w:spacing w:line="240" w:lineRule="auto"/>
                    <w:jc w:val="center"/>
                    <w:rPr>
                      <w:rFonts w:hint="default" w:ascii="Times New Roman" w:hAnsi="Times New Roman" w:eastAsia="宋体" w:cs="Times New Roman"/>
                      <w:b/>
                      <w:bCs/>
                      <w:color w:val="auto"/>
                      <w:kern w:val="0"/>
                      <w:sz w:val="21"/>
                      <w:szCs w:val="21"/>
                    </w:rPr>
                  </w:pPr>
                </w:p>
              </w:tc>
              <w:tc>
                <w:tcPr>
                  <w:tcW w:w="1642" w:type="dxa"/>
                  <w:vMerge w:val="continue"/>
                  <w:vAlign w:val="center"/>
                </w:tcPr>
                <w:p w14:paraId="0A244FE2">
                  <w:pPr>
                    <w:adjustRightInd w:val="0"/>
                    <w:snapToGrid w:val="0"/>
                    <w:spacing w:line="240" w:lineRule="auto"/>
                    <w:jc w:val="center"/>
                    <w:rPr>
                      <w:rFonts w:hint="default" w:ascii="Times New Roman" w:hAnsi="Times New Roman" w:eastAsia="宋体" w:cs="Times New Roman"/>
                      <w:b/>
                      <w:bCs/>
                      <w:color w:val="auto"/>
                      <w:kern w:val="0"/>
                      <w:sz w:val="21"/>
                      <w:szCs w:val="21"/>
                    </w:rPr>
                  </w:pPr>
                </w:p>
              </w:tc>
              <w:tc>
                <w:tcPr>
                  <w:tcW w:w="930" w:type="dxa"/>
                  <w:vMerge w:val="continue"/>
                  <w:vAlign w:val="center"/>
                </w:tcPr>
                <w:p w14:paraId="43548438">
                  <w:pPr>
                    <w:adjustRightInd w:val="0"/>
                    <w:snapToGrid w:val="0"/>
                    <w:spacing w:line="240" w:lineRule="auto"/>
                    <w:jc w:val="center"/>
                    <w:rPr>
                      <w:rFonts w:hint="default" w:ascii="Times New Roman" w:hAnsi="Times New Roman" w:eastAsia="宋体" w:cs="Times New Roman"/>
                      <w:b/>
                      <w:bCs/>
                      <w:color w:val="auto"/>
                      <w:kern w:val="0"/>
                      <w:sz w:val="21"/>
                      <w:szCs w:val="21"/>
                    </w:rPr>
                  </w:pPr>
                </w:p>
              </w:tc>
              <w:tc>
                <w:tcPr>
                  <w:tcW w:w="1414" w:type="dxa"/>
                  <w:vMerge w:val="continue"/>
                  <w:vAlign w:val="center"/>
                </w:tcPr>
                <w:p w14:paraId="4AB58C37">
                  <w:pPr>
                    <w:adjustRightInd w:val="0"/>
                    <w:snapToGrid w:val="0"/>
                    <w:spacing w:line="240" w:lineRule="auto"/>
                    <w:jc w:val="center"/>
                    <w:rPr>
                      <w:rFonts w:hint="default" w:ascii="Times New Roman" w:hAnsi="Times New Roman" w:eastAsia="宋体" w:cs="Times New Roman"/>
                      <w:b/>
                      <w:bCs/>
                      <w:color w:val="auto"/>
                      <w:kern w:val="0"/>
                      <w:sz w:val="21"/>
                      <w:szCs w:val="21"/>
                    </w:rPr>
                  </w:pPr>
                </w:p>
              </w:tc>
            </w:tr>
            <w:tr w14:paraId="27BD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6" w:type="dxa"/>
                  <w:vAlign w:val="center"/>
                </w:tcPr>
                <w:p w14:paraId="3E665EA0">
                  <w:pPr>
                    <w:adjustRightInd w:val="0"/>
                    <w:snapToGrid w:val="0"/>
                    <w:spacing w:line="240" w:lineRule="auto"/>
                    <w:ind w:left="0" w:leftChars="0" w:firstLine="0" w:firstLineChars="0"/>
                    <w:jc w:val="center"/>
                    <w:rPr>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auto"/>
                      <w:sz w:val="21"/>
                      <w:szCs w:val="21"/>
                      <w:lang w:val="en-US" w:eastAsia="zh-CN"/>
                    </w:rPr>
                    <w:t>练塘</w:t>
                  </w:r>
                  <w:r>
                    <w:rPr>
                      <w:rFonts w:hint="default" w:ascii="Times New Roman" w:hAnsi="Times New Roman" w:eastAsia="宋体" w:cs="Times New Roman"/>
                      <w:color w:val="auto"/>
                      <w:sz w:val="21"/>
                      <w:szCs w:val="21"/>
                      <w:lang w:val="en-US" w:eastAsia="zh-CN"/>
                    </w:rPr>
                    <w:t>村</w:t>
                  </w:r>
                </w:p>
              </w:tc>
              <w:tc>
                <w:tcPr>
                  <w:tcW w:w="1178" w:type="dxa"/>
                  <w:vAlign w:val="center"/>
                </w:tcPr>
                <w:p w14:paraId="6FAA971D">
                  <w:pPr>
                    <w:adjustRightInd w:val="0"/>
                    <w:snapToGrid w:val="0"/>
                    <w:spacing w:line="240" w:lineRule="auto"/>
                    <w:ind w:left="0" w:leftChars="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居民</w:t>
                  </w:r>
                </w:p>
              </w:tc>
              <w:tc>
                <w:tcPr>
                  <w:tcW w:w="1290" w:type="dxa"/>
                  <w:vAlign w:val="center"/>
                </w:tcPr>
                <w:p w14:paraId="6E3985F7">
                  <w:pPr>
                    <w:adjustRightInd w:val="0"/>
                    <w:snapToGrid w:val="0"/>
                    <w:spacing w:line="240" w:lineRule="auto"/>
                    <w:ind w:left="0" w:leftChars="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大气环境</w:t>
                  </w:r>
                </w:p>
              </w:tc>
              <w:tc>
                <w:tcPr>
                  <w:tcW w:w="1642" w:type="dxa"/>
                  <w:vAlign w:val="center"/>
                </w:tcPr>
                <w:p w14:paraId="7970263D">
                  <w:pPr>
                    <w:adjustRightInd w:val="0"/>
                    <w:snapToGrid w:val="0"/>
                    <w:spacing w:line="240" w:lineRule="auto"/>
                    <w:ind w:left="0" w:leftChars="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大气二类区</w:t>
                  </w:r>
                </w:p>
              </w:tc>
              <w:tc>
                <w:tcPr>
                  <w:tcW w:w="930" w:type="dxa"/>
                  <w:vAlign w:val="center"/>
                </w:tcPr>
                <w:p w14:paraId="44589F81">
                  <w:pPr>
                    <w:adjustRightInd w:val="0"/>
                    <w:snapToGrid w:val="0"/>
                    <w:spacing w:line="240" w:lineRule="auto"/>
                    <w:ind w:left="0" w:leftChars="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东</w:t>
                  </w:r>
                  <w:r>
                    <w:rPr>
                      <w:rFonts w:hint="eastAsia" w:ascii="Times New Roman" w:hAnsi="Times New Roman" w:eastAsia="宋体" w:cs="Times New Roman"/>
                      <w:color w:val="auto"/>
                      <w:kern w:val="0"/>
                      <w:sz w:val="21"/>
                      <w:szCs w:val="21"/>
                      <w:lang w:val="en-US" w:eastAsia="zh-CN"/>
                    </w:rPr>
                    <w:t>南</w:t>
                  </w:r>
                  <w:r>
                    <w:rPr>
                      <w:rFonts w:hint="default" w:ascii="Times New Roman" w:hAnsi="Times New Roman" w:eastAsia="宋体" w:cs="Times New Roman"/>
                      <w:color w:val="auto"/>
                      <w:kern w:val="0"/>
                      <w:sz w:val="21"/>
                      <w:szCs w:val="21"/>
                    </w:rPr>
                    <w:t>面</w:t>
                  </w:r>
                </w:p>
              </w:tc>
              <w:tc>
                <w:tcPr>
                  <w:tcW w:w="1414" w:type="dxa"/>
                  <w:vAlign w:val="center"/>
                </w:tcPr>
                <w:p w14:paraId="63A71FC6">
                  <w:pPr>
                    <w:adjustRightInd w:val="0"/>
                    <w:snapToGrid w:val="0"/>
                    <w:spacing w:line="240" w:lineRule="auto"/>
                    <w:ind w:left="0" w:lef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73</w:t>
                  </w:r>
                </w:p>
              </w:tc>
            </w:tr>
            <w:tr w14:paraId="19AA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6" w:type="dxa"/>
                  <w:vAlign w:val="center"/>
                </w:tcPr>
                <w:p w14:paraId="4163708A">
                  <w:pPr>
                    <w:adjustRightInd w:val="0"/>
                    <w:snapToGrid w:val="0"/>
                    <w:spacing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长岭头</w:t>
                  </w:r>
                </w:p>
              </w:tc>
              <w:tc>
                <w:tcPr>
                  <w:tcW w:w="1178" w:type="dxa"/>
                  <w:vAlign w:val="center"/>
                </w:tcPr>
                <w:p w14:paraId="1B8AF7C6">
                  <w:pPr>
                    <w:adjustRightInd w:val="0"/>
                    <w:snapToGrid w:val="0"/>
                    <w:spacing w:line="240" w:lineRule="auto"/>
                    <w:ind w:left="0" w:leftChars="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居民</w:t>
                  </w:r>
                </w:p>
              </w:tc>
              <w:tc>
                <w:tcPr>
                  <w:tcW w:w="1290" w:type="dxa"/>
                  <w:vAlign w:val="center"/>
                </w:tcPr>
                <w:p w14:paraId="21042BA5">
                  <w:pPr>
                    <w:adjustRightInd w:val="0"/>
                    <w:snapToGrid w:val="0"/>
                    <w:spacing w:line="240" w:lineRule="auto"/>
                    <w:ind w:left="0" w:leftChars="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大气环境</w:t>
                  </w:r>
                </w:p>
              </w:tc>
              <w:tc>
                <w:tcPr>
                  <w:tcW w:w="1642" w:type="dxa"/>
                  <w:vAlign w:val="center"/>
                </w:tcPr>
                <w:p w14:paraId="0AC84003">
                  <w:pPr>
                    <w:adjustRightInd w:val="0"/>
                    <w:snapToGrid w:val="0"/>
                    <w:spacing w:line="240" w:lineRule="auto"/>
                    <w:ind w:left="0" w:leftChars="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大气二类区</w:t>
                  </w:r>
                </w:p>
              </w:tc>
              <w:tc>
                <w:tcPr>
                  <w:tcW w:w="930" w:type="dxa"/>
                  <w:vAlign w:val="center"/>
                </w:tcPr>
                <w:p w14:paraId="4DE4F4EA">
                  <w:pPr>
                    <w:adjustRightInd w:val="0"/>
                    <w:snapToGrid w:val="0"/>
                    <w:spacing w:line="240" w:lineRule="auto"/>
                    <w:ind w:left="0" w:lef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西北面</w:t>
                  </w:r>
                </w:p>
              </w:tc>
              <w:tc>
                <w:tcPr>
                  <w:tcW w:w="1414" w:type="dxa"/>
                  <w:vAlign w:val="center"/>
                </w:tcPr>
                <w:p w14:paraId="6FD949C4">
                  <w:pPr>
                    <w:adjustRightInd w:val="0"/>
                    <w:snapToGrid w:val="0"/>
                    <w:spacing w:line="240" w:lineRule="auto"/>
                    <w:ind w:left="0" w:lef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230</w:t>
                  </w:r>
                </w:p>
              </w:tc>
            </w:tr>
          </w:tbl>
          <w:p w14:paraId="6179A938">
            <w:pPr>
              <w:pStyle w:val="22"/>
              <w:keepNext w:val="0"/>
              <w:keepLines w:val="0"/>
              <w:pageBreakBefore w:val="0"/>
              <w:widowControl/>
              <w:kinsoku w:val="0"/>
              <w:wordWrap/>
              <w:overflowPunct/>
              <w:topLinePunct w:val="0"/>
              <w:autoSpaceDE w:val="0"/>
              <w:autoSpaceDN w:val="0"/>
              <w:bidi w:val="0"/>
              <w:adjustRightInd w:val="0"/>
              <w:snapToGrid w:val="0"/>
              <w:spacing w:before="40" w:line="219" w:lineRule="auto"/>
              <w:ind w:left="584"/>
              <w:textAlignment w:val="baseline"/>
              <w:rPr>
                <w:rFonts w:ascii="Times New Roman" w:hAnsi="Times New Roman" w:eastAsia="Times New Roman" w:cs="Times New Roman"/>
                <w:b/>
                <w:bCs/>
                <w:color w:val="auto"/>
                <w:spacing w:val="-2"/>
              </w:rPr>
            </w:pPr>
          </w:p>
          <w:p w14:paraId="2F7FF07E">
            <w:pPr>
              <w:pStyle w:val="22"/>
              <w:spacing w:before="33" w:line="220" w:lineRule="auto"/>
              <w:ind w:left="581"/>
              <w:rPr>
                <w:color w:val="auto"/>
              </w:rPr>
            </w:pPr>
            <w:r>
              <w:rPr>
                <w:rFonts w:hint="eastAsia" w:ascii="Times New Roman" w:hAnsi="Times New Roman" w:eastAsia="宋体" w:cs="Times New Roman"/>
                <w:b/>
                <w:bCs/>
                <w:color w:val="auto"/>
                <w:spacing w:val="-2"/>
                <w:lang w:val="en-US" w:eastAsia="zh-CN"/>
              </w:rPr>
              <w:t>2</w:t>
            </w:r>
            <w:r>
              <w:rPr>
                <w:rFonts w:ascii="Times New Roman" w:hAnsi="Times New Roman" w:eastAsia="Times New Roman" w:cs="Times New Roman"/>
                <w:b/>
                <w:bCs/>
                <w:color w:val="auto"/>
                <w:spacing w:val="-2"/>
              </w:rPr>
              <w:t>.</w:t>
            </w:r>
            <w:r>
              <w:rPr>
                <w:b/>
                <w:bCs/>
                <w:color w:val="auto"/>
                <w:spacing w:val="-2"/>
              </w:rPr>
              <w:t>声环境保护目标</w:t>
            </w:r>
          </w:p>
          <w:p w14:paraId="4535C60B">
            <w:pPr>
              <w:pStyle w:val="22"/>
              <w:spacing w:before="182" w:line="219" w:lineRule="auto"/>
              <w:ind w:left="587"/>
              <w:rPr>
                <w:color w:val="auto"/>
              </w:rPr>
            </w:pPr>
            <w:r>
              <w:rPr>
                <w:color w:val="auto"/>
                <w:spacing w:val="-1"/>
              </w:rPr>
              <w:t>本项目厂界外周边</w:t>
            </w:r>
            <w:r>
              <w:rPr>
                <w:color w:val="auto"/>
                <w:spacing w:val="-48"/>
              </w:rPr>
              <w:t xml:space="preserve"> </w:t>
            </w:r>
            <w:r>
              <w:rPr>
                <w:rFonts w:ascii="Times New Roman" w:hAnsi="Times New Roman" w:eastAsia="Times New Roman" w:cs="Times New Roman"/>
                <w:color w:val="auto"/>
                <w:spacing w:val="-1"/>
              </w:rPr>
              <w:t xml:space="preserve">50 </w:t>
            </w:r>
            <w:r>
              <w:rPr>
                <w:color w:val="auto"/>
                <w:spacing w:val="-1"/>
              </w:rPr>
              <w:t>米范围内无声环境保护目标。</w:t>
            </w:r>
          </w:p>
          <w:p w14:paraId="0BA483F1">
            <w:pPr>
              <w:pStyle w:val="22"/>
              <w:spacing w:before="182" w:line="219" w:lineRule="auto"/>
              <w:ind w:left="583"/>
              <w:rPr>
                <w:color w:val="auto"/>
              </w:rPr>
            </w:pPr>
            <w:r>
              <w:rPr>
                <w:rFonts w:hint="eastAsia" w:ascii="Times New Roman" w:hAnsi="Times New Roman" w:eastAsia="宋体" w:cs="Times New Roman"/>
                <w:b/>
                <w:bCs/>
                <w:color w:val="auto"/>
                <w:spacing w:val="-2"/>
                <w:lang w:val="en-US" w:eastAsia="zh-CN"/>
              </w:rPr>
              <w:t>3</w:t>
            </w:r>
            <w:r>
              <w:rPr>
                <w:rFonts w:ascii="Times New Roman" w:hAnsi="Times New Roman" w:eastAsia="Times New Roman" w:cs="Times New Roman"/>
                <w:b/>
                <w:bCs/>
                <w:color w:val="auto"/>
                <w:spacing w:val="-2"/>
              </w:rPr>
              <w:t>.</w:t>
            </w:r>
            <w:r>
              <w:rPr>
                <w:b/>
                <w:bCs/>
                <w:color w:val="auto"/>
                <w:spacing w:val="-2"/>
              </w:rPr>
              <w:t>地下水环境保护目标</w:t>
            </w:r>
          </w:p>
          <w:p w14:paraId="76A5B6B2">
            <w:pPr>
              <w:pStyle w:val="22"/>
              <w:spacing w:before="182" w:line="360" w:lineRule="auto"/>
              <w:ind w:left="105" w:right="143" w:firstLine="481"/>
              <w:rPr>
                <w:rFonts w:hint="default" w:ascii="Times New Roman" w:hAnsi="Times New Roman" w:cs="Times New Roman"/>
                <w:color w:val="auto"/>
              </w:rPr>
            </w:pPr>
            <w:r>
              <w:rPr>
                <w:rFonts w:hint="default" w:ascii="Times New Roman" w:hAnsi="Times New Roman" w:cs="Times New Roman"/>
                <w:color w:val="auto"/>
              </w:rPr>
              <w:t>本项目厂界外周边</w:t>
            </w:r>
            <w:r>
              <w:rPr>
                <w:rFonts w:hint="default" w:ascii="Times New Roman" w:hAnsi="Times New Roman" w:cs="Times New Roman"/>
                <w:color w:val="auto"/>
                <w:spacing w:val="-46"/>
              </w:rPr>
              <w:t xml:space="preserve"> </w:t>
            </w:r>
            <w:r>
              <w:rPr>
                <w:rFonts w:hint="default" w:ascii="Times New Roman" w:hAnsi="Times New Roman" w:eastAsia="Times New Roman" w:cs="Times New Roman"/>
                <w:color w:val="auto"/>
              </w:rPr>
              <w:t xml:space="preserve">500 </w:t>
            </w:r>
            <w:r>
              <w:rPr>
                <w:rFonts w:hint="default" w:ascii="Times New Roman" w:hAnsi="Times New Roman" w:cs="Times New Roman"/>
                <w:color w:val="auto"/>
              </w:rPr>
              <w:t>米范围内不存在地下水集中式饮</w:t>
            </w:r>
            <w:r>
              <w:rPr>
                <w:rFonts w:hint="default" w:ascii="Times New Roman" w:hAnsi="Times New Roman" w:cs="Times New Roman"/>
                <w:color w:val="auto"/>
                <w:spacing w:val="-1"/>
              </w:rPr>
              <w:t>用水水源和热水、</w:t>
            </w:r>
            <w:r>
              <w:rPr>
                <w:rFonts w:hint="default" w:ascii="Times New Roman" w:hAnsi="Times New Roman" w:cs="Times New Roman"/>
                <w:color w:val="auto"/>
              </w:rPr>
              <w:t xml:space="preserve"> </w:t>
            </w:r>
            <w:r>
              <w:rPr>
                <w:rFonts w:hint="default" w:ascii="Times New Roman" w:hAnsi="Times New Roman" w:cs="Times New Roman"/>
                <w:color w:val="auto"/>
                <w:spacing w:val="-1"/>
              </w:rPr>
              <w:t>矿泉水、温泉等特殊地下水资源。</w:t>
            </w:r>
          </w:p>
          <w:p w14:paraId="7C19C545">
            <w:pPr>
              <w:pStyle w:val="22"/>
              <w:numPr>
                <w:ilvl w:val="0"/>
                <w:numId w:val="2"/>
              </w:numPr>
              <w:spacing w:before="37" w:line="360" w:lineRule="auto"/>
              <w:ind w:left="585"/>
              <w:rPr>
                <w:rFonts w:hint="default" w:ascii="Times New Roman" w:hAnsi="Times New Roman" w:cs="Times New Roman"/>
                <w:b/>
                <w:bCs/>
                <w:color w:val="auto"/>
                <w:spacing w:val="-3"/>
              </w:rPr>
            </w:pPr>
            <w:r>
              <w:rPr>
                <w:rFonts w:hint="default" w:ascii="Times New Roman" w:hAnsi="Times New Roman" w:cs="Times New Roman"/>
                <w:b/>
                <w:bCs/>
                <w:color w:val="auto"/>
                <w:spacing w:val="-3"/>
              </w:rPr>
              <w:t>生态环境保护目标</w:t>
            </w:r>
          </w:p>
          <w:p w14:paraId="6C8C8B9A">
            <w:pPr>
              <w:pStyle w:val="22"/>
              <w:numPr>
                <w:ilvl w:val="0"/>
                <w:numId w:val="0"/>
              </w:numPr>
              <w:spacing w:before="37" w:line="360" w:lineRule="auto"/>
              <w:ind w:firstLine="472" w:firstLineChars="200"/>
              <w:rPr>
                <w:rFonts w:hint="default" w:ascii="Times New Roman" w:hAnsi="Times New Roman" w:eastAsia="宋体" w:cs="Times New Roman"/>
                <w:b/>
                <w:bCs/>
                <w:color w:val="auto"/>
                <w:spacing w:val="-3"/>
                <w:lang w:eastAsia="zh-CN"/>
              </w:rPr>
            </w:pPr>
            <w:r>
              <w:rPr>
                <w:rFonts w:hint="default" w:ascii="Times New Roman" w:hAnsi="Times New Roman" w:cs="Times New Roman"/>
                <w:color w:val="auto"/>
                <w:spacing w:val="-2"/>
              </w:rPr>
              <w:t>本项目位于乐昌市乐城镇练塘路旁原乐昌市建筑材料厂二车间</w:t>
            </w:r>
            <w:r>
              <w:rPr>
                <w:rFonts w:hint="default" w:ascii="Times New Roman" w:hAnsi="Times New Roman" w:cs="Times New Roman"/>
                <w:color w:val="auto"/>
                <w:spacing w:val="-2"/>
                <w:lang w:eastAsia="zh-CN"/>
              </w:rPr>
              <w:t>，用地范围内无生态保护目标。</w:t>
            </w:r>
          </w:p>
          <w:p w14:paraId="479287CE">
            <w:pPr>
              <w:pStyle w:val="22"/>
              <w:spacing w:before="181" w:line="346" w:lineRule="auto"/>
              <w:ind w:left="588" w:right="1161" w:hanging="1"/>
              <w:rPr>
                <w:color w:val="auto"/>
              </w:rPr>
            </w:pPr>
          </w:p>
          <w:p w14:paraId="616DB436">
            <w:pPr>
              <w:pStyle w:val="22"/>
              <w:spacing w:before="181" w:line="346" w:lineRule="auto"/>
              <w:ind w:left="588" w:right="1161" w:hanging="1"/>
              <w:rPr>
                <w:color w:val="auto"/>
              </w:rPr>
            </w:pPr>
          </w:p>
          <w:p w14:paraId="419B2067">
            <w:pPr>
              <w:pStyle w:val="22"/>
              <w:spacing w:before="181" w:line="346" w:lineRule="auto"/>
              <w:ind w:left="588" w:right="1161" w:hanging="1"/>
              <w:rPr>
                <w:color w:val="auto"/>
              </w:rPr>
            </w:pPr>
          </w:p>
          <w:p w14:paraId="0584714B">
            <w:pPr>
              <w:pStyle w:val="22"/>
              <w:spacing w:before="181" w:line="346" w:lineRule="auto"/>
              <w:ind w:left="588" w:right="1161" w:hanging="1"/>
              <w:rPr>
                <w:color w:val="auto"/>
              </w:rPr>
            </w:pPr>
          </w:p>
          <w:p w14:paraId="3BAF14A7">
            <w:pPr>
              <w:pStyle w:val="22"/>
              <w:spacing w:before="181" w:line="346" w:lineRule="auto"/>
              <w:ind w:left="588" w:right="1161" w:hanging="1"/>
              <w:rPr>
                <w:color w:val="auto"/>
              </w:rPr>
            </w:pPr>
          </w:p>
          <w:p w14:paraId="7BFCB25F">
            <w:pPr>
              <w:pStyle w:val="22"/>
              <w:spacing w:before="181" w:line="346" w:lineRule="auto"/>
              <w:ind w:left="588" w:right="1161" w:hanging="1"/>
              <w:rPr>
                <w:color w:val="auto"/>
              </w:rPr>
            </w:pPr>
          </w:p>
          <w:p w14:paraId="4A32F1D8">
            <w:pPr>
              <w:pStyle w:val="22"/>
              <w:spacing w:before="181" w:line="346" w:lineRule="auto"/>
              <w:ind w:left="588" w:right="1161" w:hanging="1"/>
              <w:rPr>
                <w:color w:val="auto"/>
              </w:rPr>
            </w:pPr>
          </w:p>
          <w:p w14:paraId="37D594A7">
            <w:pPr>
              <w:pStyle w:val="22"/>
              <w:spacing w:before="181" w:line="346" w:lineRule="auto"/>
              <w:ind w:left="588" w:right="1161" w:hanging="1"/>
              <w:rPr>
                <w:color w:val="auto"/>
              </w:rPr>
            </w:pPr>
          </w:p>
          <w:p w14:paraId="5B5D0F99">
            <w:pPr>
              <w:pStyle w:val="22"/>
              <w:spacing w:before="181" w:line="346" w:lineRule="auto"/>
              <w:ind w:left="588" w:right="1161" w:hanging="1"/>
              <w:rPr>
                <w:color w:val="auto"/>
              </w:rPr>
            </w:pPr>
          </w:p>
          <w:p w14:paraId="49DA6C63">
            <w:pPr>
              <w:pStyle w:val="22"/>
              <w:spacing w:before="181" w:line="346" w:lineRule="auto"/>
              <w:ind w:left="588" w:right="1161" w:hanging="1"/>
              <w:rPr>
                <w:color w:val="auto"/>
              </w:rPr>
            </w:pPr>
          </w:p>
        </w:tc>
      </w:tr>
    </w:tbl>
    <w:p w14:paraId="4C01B7D6">
      <w:pPr>
        <w:pStyle w:val="6"/>
        <w:rPr>
          <w:color w:val="auto"/>
        </w:rPr>
      </w:pPr>
    </w:p>
    <w:tbl>
      <w:tblPr>
        <w:tblStyle w:val="21"/>
        <w:tblW w:w="891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84"/>
        <w:gridCol w:w="8429"/>
      </w:tblGrid>
      <w:tr w14:paraId="047AD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982" w:hRule="atLeast"/>
        </w:trPr>
        <w:tc>
          <w:tcPr>
            <w:tcW w:w="484" w:type="dxa"/>
            <w:tcBorders>
              <w:top w:val="single" w:color="000000" w:sz="2" w:space="0"/>
              <w:bottom w:val="single" w:color="000000" w:sz="2" w:space="0"/>
              <w:right w:val="single" w:color="000000" w:sz="2" w:space="0"/>
            </w:tcBorders>
            <w:textDirection w:val="tbRlV"/>
            <w:vAlign w:val="top"/>
          </w:tcPr>
          <w:p w14:paraId="38D783EB">
            <w:pPr>
              <w:pStyle w:val="22"/>
              <w:spacing w:before="137" w:line="217" w:lineRule="auto"/>
              <w:ind w:left="3858"/>
              <w:jc w:val="center"/>
              <w:rPr>
                <w:color w:val="auto"/>
                <w:sz w:val="20"/>
                <w:szCs w:val="20"/>
              </w:rPr>
            </w:pPr>
            <w:r>
              <w:rPr>
                <w:b/>
                <w:bCs/>
                <w:color w:val="auto"/>
                <w:spacing w:val="8"/>
                <w:sz w:val="24"/>
                <w:szCs w:val="24"/>
              </w:rPr>
              <w:t>污</w:t>
            </w:r>
            <w:r>
              <w:rPr>
                <w:b/>
                <w:bCs/>
                <w:color w:val="auto"/>
                <w:spacing w:val="-32"/>
                <w:sz w:val="24"/>
                <w:szCs w:val="24"/>
              </w:rPr>
              <w:t xml:space="preserve"> </w:t>
            </w:r>
            <w:r>
              <w:rPr>
                <w:b/>
                <w:bCs/>
                <w:color w:val="auto"/>
                <w:spacing w:val="8"/>
                <w:sz w:val="24"/>
                <w:szCs w:val="24"/>
              </w:rPr>
              <w:t>染</w:t>
            </w:r>
            <w:r>
              <w:rPr>
                <w:b/>
                <w:bCs/>
                <w:color w:val="auto"/>
                <w:spacing w:val="-38"/>
                <w:sz w:val="24"/>
                <w:szCs w:val="24"/>
              </w:rPr>
              <w:t xml:space="preserve"> </w:t>
            </w:r>
            <w:r>
              <w:rPr>
                <w:b/>
                <w:bCs/>
                <w:color w:val="auto"/>
                <w:spacing w:val="8"/>
                <w:sz w:val="24"/>
                <w:szCs w:val="24"/>
              </w:rPr>
              <w:t>物</w:t>
            </w:r>
            <w:r>
              <w:rPr>
                <w:b/>
                <w:bCs/>
                <w:color w:val="auto"/>
                <w:spacing w:val="-35"/>
                <w:sz w:val="24"/>
                <w:szCs w:val="24"/>
              </w:rPr>
              <w:t xml:space="preserve"> </w:t>
            </w:r>
            <w:r>
              <w:rPr>
                <w:b/>
                <w:bCs/>
                <w:color w:val="auto"/>
                <w:spacing w:val="8"/>
                <w:sz w:val="24"/>
                <w:szCs w:val="24"/>
              </w:rPr>
              <w:t>排</w:t>
            </w:r>
            <w:r>
              <w:rPr>
                <w:b/>
                <w:bCs/>
                <w:color w:val="auto"/>
                <w:spacing w:val="-37"/>
                <w:sz w:val="24"/>
                <w:szCs w:val="24"/>
              </w:rPr>
              <w:t xml:space="preserve"> </w:t>
            </w:r>
            <w:r>
              <w:rPr>
                <w:b/>
                <w:bCs/>
                <w:color w:val="auto"/>
                <w:spacing w:val="8"/>
                <w:sz w:val="24"/>
                <w:szCs w:val="24"/>
              </w:rPr>
              <w:t>放</w:t>
            </w:r>
            <w:r>
              <w:rPr>
                <w:b/>
                <w:bCs/>
                <w:color w:val="auto"/>
                <w:spacing w:val="-36"/>
                <w:sz w:val="24"/>
                <w:szCs w:val="24"/>
              </w:rPr>
              <w:t xml:space="preserve"> </w:t>
            </w:r>
            <w:r>
              <w:rPr>
                <w:b/>
                <w:bCs/>
                <w:color w:val="auto"/>
                <w:spacing w:val="8"/>
                <w:sz w:val="24"/>
                <w:szCs w:val="24"/>
              </w:rPr>
              <w:t>控</w:t>
            </w:r>
            <w:r>
              <w:rPr>
                <w:b/>
                <w:bCs/>
                <w:color w:val="auto"/>
                <w:spacing w:val="-37"/>
                <w:sz w:val="24"/>
                <w:szCs w:val="24"/>
              </w:rPr>
              <w:t xml:space="preserve"> </w:t>
            </w:r>
            <w:r>
              <w:rPr>
                <w:b/>
                <w:bCs/>
                <w:color w:val="auto"/>
                <w:spacing w:val="8"/>
                <w:sz w:val="24"/>
                <w:szCs w:val="24"/>
              </w:rPr>
              <w:t>制</w:t>
            </w:r>
            <w:r>
              <w:rPr>
                <w:b/>
                <w:bCs/>
                <w:color w:val="auto"/>
                <w:spacing w:val="-35"/>
                <w:sz w:val="24"/>
                <w:szCs w:val="24"/>
              </w:rPr>
              <w:t xml:space="preserve"> </w:t>
            </w:r>
            <w:r>
              <w:rPr>
                <w:b/>
                <w:bCs/>
                <w:color w:val="auto"/>
                <w:spacing w:val="8"/>
                <w:sz w:val="24"/>
                <w:szCs w:val="24"/>
              </w:rPr>
              <w:t>标</w:t>
            </w:r>
            <w:r>
              <w:rPr>
                <w:b/>
                <w:bCs/>
                <w:color w:val="auto"/>
                <w:spacing w:val="-38"/>
                <w:sz w:val="24"/>
                <w:szCs w:val="24"/>
              </w:rPr>
              <w:t xml:space="preserve"> </w:t>
            </w:r>
            <w:r>
              <w:rPr>
                <w:b/>
                <w:bCs/>
                <w:color w:val="auto"/>
                <w:spacing w:val="8"/>
                <w:sz w:val="24"/>
                <w:szCs w:val="24"/>
              </w:rPr>
              <w:t>准</w:t>
            </w:r>
          </w:p>
        </w:tc>
        <w:tc>
          <w:tcPr>
            <w:tcW w:w="8429" w:type="dxa"/>
            <w:tcBorders>
              <w:top w:val="single" w:color="000000" w:sz="2" w:space="0"/>
              <w:left w:val="single" w:color="000000" w:sz="2" w:space="0"/>
              <w:bottom w:val="single" w:color="000000" w:sz="2" w:space="0"/>
            </w:tcBorders>
            <w:vAlign w:val="top"/>
          </w:tcPr>
          <w:p w14:paraId="448DC667">
            <w:pPr>
              <w:pStyle w:val="22"/>
              <w:spacing w:before="159" w:line="220" w:lineRule="auto"/>
              <w:ind w:left="593"/>
              <w:rPr>
                <w:color w:val="auto"/>
              </w:rPr>
            </w:pPr>
            <w:r>
              <w:rPr>
                <w:rFonts w:ascii="Times New Roman" w:hAnsi="Times New Roman" w:eastAsia="Times New Roman" w:cs="Times New Roman"/>
                <w:b/>
                <w:bCs/>
                <w:color w:val="auto"/>
                <w:spacing w:val="-4"/>
              </w:rPr>
              <w:t>1.</w:t>
            </w:r>
            <w:r>
              <w:rPr>
                <w:b/>
                <w:bCs/>
                <w:color w:val="auto"/>
                <w:spacing w:val="-4"/>
              </w:rPr>
              <w:t>废气排放标准</w:t>
            </w:r>
          </w:p>
          <w:p w14:paraId="591C28A9">
            <w:pPr>
              <w:pStyle w:val="22"/>
              <w:spacing w:before="179" w:line="345" w:lineRule="auto"/>
              <w:ind w:left="129" w:right="2" w:firstLine="461"/>
              <w:rPr>
                <w:color w:val="auto"/>
              </w:rPr>
            </w:pPr>
            <w:r>
              <w:rPr>
                <w:color w:val="auto"/>
                <w:spacing w:val="-7"/>
              </w:rPr>
              <w:t>项目运营期</w:t>
            </w:r>
            <w:r>
              <w:rPr>
                <w:rFonts w:hint="eastAsia"/>
                <w:color w:val="auto"/>
                <w:spacing w:val="-7"/>
                <w:lang w:val="en-US" w:eastAsia="zh-CN"/>
              </w:rPr>
              <w:t>颗粒物</w:t>
            </w:r>
            <w:r>
              <w:rPr>
                <w:color w:val="auto"/>
                <w:spacing w:val="-7"/>
              </w:rPr>
              <w:t>执行《水泥工业大气污染物排放标准》（</w:t>
            </w:r>
            <w:r>
              <w:rPr>
                <w:rFonts w:ascii="Times New Roman" w:hAnsi="Times New Roman" w:eastAsia="Times New Roman" w:cs="Times New Roman"/>
                <w:color w:val="auto"/>
                <w:spacing w:val="-7"/>
              </w:rPr>
              <w:t>GB4915-2013</w:t>
            </w:r>
            <w:r>
              <w:rPr>
                <w:color w:val="auto"/>
                <w:spacing w:val="-7"/>
              </w:rPr>
              <w:t>）</w:t>
            </w:r>
            <w:r>
              <w:rPr>
                <w:rFonts w:hint="default" w:ascii="Times New Roman" w:hAnsi="Times New Roman" w:cs="Times New Roman"/>
                <w:color w:val="auto"/>
                <w:spacing w:val="-7"/>
                <w:lang w:val="en-US" w:eastAsia="zh-CN"/>
              </w:rPr>
              <w:t>及2025</w:t>
            </w:r>
            <w:r>
              <w:rPr>
                <w:rFonts w:hint="eastAsia" w:ascii="Times New Roman" w:hAnsi="Times New Roman" w:cs="Times New Roman"/>
                <w:color w:val="auto"/>
                <w:spacing w:val="-7"/>
                <w:lang w:val="en-US" w:eastAsia="zh-CN"/>
              </w:rPr>
              <w:t>年</w:t>
            </w:r>
            <w:r>
              <w:rPr>
                <w:rFonts w:hint="default" w:ascii="Times New Roman" w:hAnsi="Times New Roman" w:cs="Times New Roman"/>
                <w:color w:val="auto"/>
                <w:spacing w:val="-7"/>
                <w:lang w:val="en-US" w:eastAsia="zh-CN"/>
              </w:rPr>
              <w:t>修</w:t>
            </w:r>
            <w:r>
              <w:rPr>
                <w:rFonts w:hint="default" w:ascii="Times New Roman" w:hAnsi="Times New Roman" w:cs="Times New Roman"/>
                <w:color w:val="auto"/>
                <w:lang w:val="en-US" w:eastAsia="zh-CN"/>
              </w:rPr>
              <w:t>改单</w:t>
            </w:r>
            <w:r>
              <w:rPr>
                <w:rFonts w:hint="default" w:ascii="Times New Roman" w:hAnsi="Times New Roman" w:cs="Times New Roman"/>
                <w:color w:val="auto"/>
              </w:rPr>
              <w:t>中表2大气污染物特别排放限值表3 大气污染物无组织排放限值</w:t>
            </w:r>
            <w:r>
              <w:rPr>
                <w:color w:val="auto"/>
                <w:spacing w:val="-3"/>
              </w:rPr>
              <w:t>，见下表</w:t>
            </w:r>
            <w:r>
              <w:rPr>
                <w:color w:val="auto"/>
                <w:spacing w:val="-50"/>
              </w:rPr>
              <w:t xml:space="preserve"> </w:t>
            </w:r>
            <w:r>
              <w:rPr>
                <w:rFonts w:ascii="Times New Roman" w:hAnsi="Times New Roman" w:eastAsia="Times New Roman" w:cs="Times New Roman"/>
                <w:color w:val="auto"/>
                <w:spacing w:val="-3"/>
              </w:rPr>
              <w:t>3-5</w:t>
            </w:r>
            <w:r>
              <w:rPr>
                <w:color w:val="auto"/>
                <w:spacing w:val="-3"/>
              </w:rPr>
              <w:t>。</w:t>
            </w:r>
          </w:p>
          <w:p w14:paraId="597B3271">
            <w:pPr>
              <w:pStyle w:val="22"/>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color w:val="auto"/>
                <w:lang w:val="en-US" w:eastAsia="zh-CN"/>
              </w:rPr>
            </w:pPr>
            <w:r>
              <w:rPr>
                <w:b/>
                <w:bCs/>
                <w:color w:val="auto"/>
                <w:spacing w:val="-2"/>
              </w:rPr>
              <w:t>表</w:t>
            </w:r>
            <w:r>
              <w:rPr>
                <w:color w:val="auto"/>
                <w:spacing w:val="-57"/>
              </w:rPr>
              <w:t xml:space="preserve"> </w:t>
            </w:r>
            <w:r>
              <w:rPr>
                <w:rFonts w:ascii="Times New Roman" w:hAnsi="Times New Roman" w:eastAsia="Times New Roman" w:cs="Times New Roman"/>
                <w:b/>
                <w:bCs/>
                <w:color w:val="auto"/>
                <w:spacing w:val="-2"/>
              </w:rPr>
              <w:t>3-5</w:t>
            </w:r>
            <w:r>
              <w:rPr>
                <w:rFonts w:ascii="Times New Roman" w:hAnsi="Times New Roman" w:eastAsia="Times New Roman" w:cs="Times New Roman"/>
                <w:b/>
                <w:bCs/>
                <w:color w:val="auto"/>
              </w:rPr>
              <w:t xml:space="preserve">    </w:t>
            </w:r>
            <w:r>
              <w:rPr>
                <w:rFonts w:hint="eastAsia" w:eastAsia="宋体"/>
                <w:b/>
                <w:bCs/>
                <w:color w:val="auto"/>
                <w:spacing w:val="-2"/>
                <w:lang w:val="en-US" w:eastAsia="zh-CN"/>
              </w:rPr>
              <w:t>大气污染物排放标准</w:t>
            </w:r>
          </w:p>
          <w:p w14:paraId="79DFE86D">
            <w:pPr>
              <w:spacing w:line="147" w:lineRule="exact"/>
              <w:rPr>
                <w:color w:val="auto"/>
              </w:rPr>
            </w:pPr>
          </w:p>
          <w:tbl>
            <w:tblPr>
              <w:tblStyle w:val="21"/>
              <w:tblW w:w="8209"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4"/>
              <w:gridCol w:w="1785"/>
              <w:gridCol w:w="1935"/>
              <w:gridCol w:w="3265"/>
            </w:tblGrid>
            <w:tr w14:paraId="3C727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24" w:type="dxa"/>
                  <w:vAlign w:val="center"/>
                </w:tcPr>
                <w:p w14:paraId="716F1BCF">
                  <w:pPr>
                    <w:pStyle w:val="22"/>
                    <w:spacing w:before="98" w:line="228" w:lineRule="auto"/>
                    <w:jc w:val="center"/>
                    <w:rPr>
                      <w:rFonts w:hint="default" w:ascii="Times New Roman" w:hAnsi="Times New Roman" w:cs="Times New Roman"/>
                      <w:color w:val="auto"/>
                      <w:sz w:val="20"/>
                      <w:szCs w:val="20"/>
                    </w:rPr>
                  </w:pPr>
                  <w:r>
                    <w:rPr>
                      <w:rFonts w:hint="default" w:ascii="Times New Roman" w:hAnsi="Times New Roman" w:cs="Times New Roman"/>
                      <w:b/>
                      <w:bCs/>
                      <w:color w:val="auto"/>
                      <w:spacing w:val="5"/>
                      <w:sz w:val="20"/>
                      <w:szCs w:val="20"/>
                    </w:rPr>
                    <w:t>污染物</w:t>
                  </w:r>
                </w:p>
              </w:tc>
              <w:tc>
                <w:tcPr>
                  <w:tcW w:w="1785" w:type="dxa"/>
                  <w:vAlign w:val="center"/>
                </w:tcPr>
                <w:p w14:paraId="1F008317">
                  <w:pPr>
                    <w:pStyle w:val="22"/>
                    <w:spacing w:before="98" w:line="228" w:lineRule="auto"/>
                    <w:jc w:val="center"/>
                    <w:rPr>
                      <w:rFonts w:hint="default" w:ascii="Times New Roman" w:hAnsi="Times New Roman" w:eastAsia="宋体" w:cs="Times New Roman"/>
                      <w:color w:val="auto"/>
                      <w:sz w:val="20"/>
                      <w:szCs w:val="20"/>
                      <w:lang w:val="en-US" w:eastAsia="zh-CN"/>
                    </w:rPr>
                  </w:pPr>
                  <w:r>
                    <w:rPr>
                      <w:rFonts w:hint="default" w:ascii="Times New Roman" w:hAnsi="Times New Roman" w:cs="Times New Roman"/>
                      <w:b/>
                      <w:bCs/>
                      <w:color w:val="auto"/>
                      <w:sz w:val="20"/>
                      <w:szCs w:val="20"/>
                      <w:lang w:val="en-US" w:eastAsia="zh-CN"/>
                    </w:rPr>
                    <w:t>有组织排放限值</w:t>
                  </w:r>
                </w:p>
              </w:tc>
              <w:tc>
                <w:tcPr>
                  <w:tcW w:w="1935" w:type="dxa"/>
                  <w:vAlign w:val="center"/>
                </w:tcPr>
                <w:p w14:paraId="62989F1E">
                  <w:pPr>
                    <w:pStyle w:val="22"/>
                    <w:spacing w:before="98" w:line="228" w:lineRule="auto"/>
                    <w:jc w:val="center"/>
                    <w:rPr>
                      <w:rFonts w:hint="default" w:ascii="Times New Roman" w:hAnsi="Times New Roman" w:eastAsia="宋体" w:cs="Times New Roman"/>
                      <w:b/>
                      <w:bCs/>
                      <w:color w:val="auto"/>
                      <w:spacing w:val="7"/>
                      <w:sz w:val="20"/>
                      <w:szCs w:val="20"/>
                      <w:lang w:eastAsia="zh-CN"/>
                    </w:rPr>
                  </w:pPr>
                  <w:r>
                    <w:rPr>
                      <w:rFonts w:hint="default" w:ascii="Times New Roman" w:hAnsi="Times New Roman" w:cs="Times New Roman"/>
                      <w:b/>
                      <w:bCs/>
                      <w:color w:val="auto"/>
                      <w:spacing w:val="7"/>
                      <w:sz w:val="20"/>
                      <w:szCs w:val="20"/>
                    </w:rPr>
                    <w:t>无组织排放</w:t>
                  </w:r>
                  <w:r>
                    <w:rPr>
                      <w:rFonts w:hint="default" w:ascii="Times New Roman" w:hAnsi="Times New Roman" w:cs="Times New Roman"/>
                      <w:b/>
                      <w:bCs/>
                      <w:color w:val="auto"/>
                      <w:spacing w:val="7"/>
                      <w:sz w:val="20"/>
                      <w:szCs w:val="20"/>
                      <w:lang w:val="en-US" w:eastAsia="zh-CN"/>
                    </w:rPr>
                    <w:t>限值</w:t>
                  </w:r>
                </w:p>
              </w:tc>
              <w:tc>
                <w:tcPr>
                  <w:tcW w:w="3265" w:type="dxa"/>
                  <w:vAlign w:val="center"/>
                </w:tcPr>
                <w:p w14:paraId="1D0EE1D5">
                  <w:pPr>
                    <w:pStyle w:val="22"/>
                    <w:spacing w:before="97" w:line="228" w:lineRule="auto"/>
                    <w:jc w:val="center"/>
                    <w:rPr>
                      <w:rFonts w:hint="default" w:ascii="Times New Roman" w:hAnsi="Times New Roman" w:eastAsia="宋体" w:cs="Times New Roman"/>
                      <w:color w:val="auto"/>
                      <w:sz w:val="20"/>
                      <w:szCs w:val="20"/>
                      <w:lang w:val="en-US" w:eastAsia="zh-CN"/>
                    </w:rPr>
                  </w:pPr>
                  <w:r>
                    <w:rPr>
                      <w:rFonts w:hint="default" w:ascii="Times New Roman" w:hAnsi="Times New Roman" w:cs="Times New Roman"/>
                      <w:b/>
                      <w:bCs/>
                      <w:color w:val="auto"/>
                      <w:spacing w:val="5"/>
                      <w:sz w:val="20"/>
                      <w:szCs w:val="20"/>
                      <w:lang w:val="en-US" w:eastAsia="zh-CN"/>
                    </w:rPr>
                    <w:t>评价标准</w:t>
                  </w:r>
                </w:p>
              </w:tc>
            </w:tr>
            <w:tr w14:paraId="55C98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224" w:type="dxa"/>
                  <w:vAlign w:val="center"/>
                </w:tcPr>
                <w:p w14:paraId="74BE13C3">
                  <w:pPr>
                    <w:pStyle w:val="22"/>
                    <w:spacing w:before="95" w:line="228" w:lineRule="auto"/>
                    <w:jc w:val="center"/>
                    <w:rPr>
                      <w:rFonts w:hint="default" w:ascii="Times New Roman" w:hAnsi="Times New Roman" w:cs="Times New Roman"/>
                      <w:color w:val="auto"/>
                      <w:sz w:val="20"/>
                      <w:szCs w:val="20"/>
                    </w:rPr>
                  </w:pPr>
                  <w:r>
                    <w:rPr>
                      <w:rFonts w:hint="default" w:ascii="Times New Roman" w:hAnsi="Times New Roman" w:cs="Times New Roman"/>
                      <w:color w:val="auto"/>
                      <w:spacing w:val="7"/>
                      <w:sz w:val="20"/>
                      <w:szCs w:val="20"/>
                    </w:rPr>
                    <w:t>颗粒物</w:t>
                  </w:r>
                </w:p>
              </w:tc>
              <w:tc>
                <w:tcPr>
                  <w:tcW w:w="1785" w:type="dxa"/>
                  <w:vAlign w:val="center"/>
                </w:tcPr>
                <w:p w14:paraId="76FC72AC">
                  <w:pPr>
                    <w:pStyle w:val="22"/>
                    <w:spacing w:before="95" w:line="228" w:lineRule="auto"/>
                    <w:jc w:val="center"/>
                    <w:rPr>
                      <w:rFonts w:hint="default" w:ascii="Times New Roman" w:hAnsi="Times New Roman" w:eastAsia="宋体" w:cs="Times New Roman"/>
                      <w:color w:val="auto"/>
                      <w:sz w:val="20"/>
                      <w:szCs w:val="20"/>
                      <w:lang w:val="en-US" w:eastAsia="zh-CN"/>
                    </w:rPr>
                  </w:pPr>
                  <w:r>
                    <w:rPr>
                      <w:rFonts w:hint="eastAsia" w:ascii="Times New Roman" w:hAnsi="Times New Roman" w:cs="Times New Roman"/>
                      <w:color w:val="auto"/>
                      <w:sz w:val="20"/>
                      <w:szCs w:val="20"/>
                      <w:lang w:val="en-US" w:eastAsia="zh-CN"/>
                    </w:rPr>
                    <w:t>10</w:t>
                  </w:r>
                  <w:r>
                    <w:rPr>
                      <w:rFonts w:hint="default" w:ascii="Times New Roman" w:hAnsi="Times New Roman" w:eastAsia="Times New Roman" w:cs="Times New Roman"/>
                      <w:color w:val="auto"/>
                      <w:sz w:val="20"/>
                      <w:szCs w:val="20"/>
                    </w:rPr>
                    <w:t>mg</w:t>
                  </w:r>
                  <w:r>
                    <w:rPr>
                      <w:rFonts w:hint="default" w:ascii="Times New Roman" w:hAnsi="Times New Roman" w:eastAsia="Times New Roman" w:cs="Times New Roman"/>
                      <w:color w:val="auto"/>
                      <w:spacing w:val="5"/>
                      <w:sz w:val="20"/>
                      <w:szCs w:val="20"/>
                    </w:rPr>
                    <w:t>/m</w:t>
                  </w:r>
                  <w:r>
                    <w:rPr>
                      <w:rFonts w:hint="default" w:ascii="Times New Roman" w:hAnsi="Times New Roman" w:eastAsia="Times New Roman" w:cs="Times New Roman"/>
                      <w:color w:val="auto"/>
                      <w:spacing w:val="5"/>
                      <w:position w:val="6"/>
                      <w:sz w:val="13"/>
                      <w:szCs w:val="13"/>
                    </w:rPr>
                    <w:t>3</w:t>
                  </w:r>
                </w:p>
              </w:tc>
              <w:tc>
                <w:tcPr>
                  <w:tcW w:w="1935" w:type="dxa"/>
                  <w:vAlign w:val="center"/>
                </w:tcPr>
                <w:p w14:paraId="71FC1808">
                  <w:pPr>
                    <w:pStyle w:val="22"/>
                    <w:spacing w:before="95" w:line="228" w:lineRule="auto"/>
                    <w:jc w:val="center"/>
                    <w:rPr>
                      <w:rFonts w:hint="default" w:ascii="Times New Roman" w:hAnsi="Times New Roman" w:cs="Times New Roman"/>
                      <w:color w:val="auto"/>
                      <w:spacing w:val="8"/>
                      <w:sz w:val="20"/>
                      <w:szCs w:val="20"/>
                    </w:rPr>
                  </w:pPr>
                  <w:r>
                    <w:rPr>
                      <w:rFonts w:hint="default" w:ascii="Times New Roman" w:hAnsi="Times New Roman" w:eastAsia="Times New Roman" w:cs="Times New Roman"/>
                      <w:color w:val="auto"/>
                      <w:spacing w:val="5"/>
                      <w:sz w:val="20"/>
                      <w:szCs w:val="20"/>
                    </w:rPr>
                    <w:t xml:space="preserve">0.5 </w:t>
                  </w:r>
                  <w:r>
                    <w:rPr>
                      <w:rFonts w:hint="default" w:ascii="Times New Roman" w:hAnsi="Times New Roman" w:eastAsia="Times New Roman" w:cs="Times New Roman"/>
                      <w:color w:val="auto"/>
                      <w:sz w:val="20"/>
                      <w:szCs w:val="20"/>
                    </w:rPr>
                    <w:t>mg</w:t>
                  </w:r>
                  <w:r>
                    <w:rPr>
                      <w:rFonts w:hint="default" w:ascii="Times New Roman" w:hAnsi="Times New Roman" w:eastAsia="Times New Roman" w:cs="Times New Roman"/>
                      <w:color w:val="auto"/>
                      <w:spacing w:val="5"/>
                      <w:sz w:val="20"/>
                      <w:szCs w:val="20"/>
                    </w:rPr>
                    <w:t>/m</w:t>
                  </w:r>
                  <w:r>
                    <w:rPr>
                      <w:rFonts w:hint="default" w:ascii="Times New Roman" w:hAnsi="Times New Roman" w:eastAsia="Times New Roman" w:cs="Times New Roman"/>
                      <w:color w:val="auto"/>
                      <w:spacing w:val="5"/>
                      <w:position w:val="6"/>
                      <w:sz w:val="13"/>
                      <w:szCs w:val="13"/>
                    </w:rPr>
                    <w:t>3</w:t>
                  </w:r>
                </w:p>
              </w:tc>
              <w:tc>
                <w:tcPr>
                  <w:tcW w:w="3265" w:type="dxa"/>
                  <w:vAlign w:val="center"/>
                </w:tcPr>
                <w:p w14:paraId="7735ED3B">
                  <w:pPr>
                    <w:pStyle w:val="22"/>
                    <w:spacing w:before="95" w:line="228" w:lineRule="auto"/>
                    <w:jc w:val="both"/>
                    <w:rPr>
                      <w:rFonts w:hint="default" w:ascii="Times New Roman" w:hAnsi="Times New Roman" w:eastAsia="宋体" w:cs="Times New Roman"/>
                      <w:color w:val="auto"/>
                      <w:sz w:val="13"/>
                      <w:szCs w:val="13"/>
                      <w:lang w:val="en-US" w:eastAsia="zh-CN"/>
                    </w:rPr>
                  </w:pPr>
                  <w:r>
                    <w:rPr>
                      <w:rFonts w:hint="default" w:ascii="Times New Roman" w:hAnsi="Times New Roman" w:cs="Times New Roman"/>
                      <w:color w:val="auto"/>
                      <w:spacing w:val="8"/>
                      <w:sz w:val="20"/>
                      <w:szCs w:val="20"/>
                    </w:rPr>
                    <w:t>《水泥工业大气污染物排放标准》（GB4915-2013）</w:t>
                  </w:r>
                  <w:r>
                    <w:rPr>
                      <w:rFonts w:hint="eastAsia" w:ascii="Times New Roman" w:hAnsi="Times New Roman" w:cs="Times New Roman"/>
                      <w:color w:val="auto"/>
                      <w:spacing w:val="8"/>
                      <w:sz w:val="20"/>
                      <w:szCs w:val="20"/>
                      <w:lang w:val="en-US" w:eastAsia="zh-CN"/>
                    </w:rPr>
                    <w:t>及2023年修改单</w:t>
                  </w:r>
                </w:p>
              </w:tc>
            </w:tr>
          </w:tbl>
          <w:p w14:paraId="72AA2784">
            <w:pPr>
              <w:pStyle w:val="22"/>
              <w:spacing w:before="155" w:line="219" w:lineRule="auto"/>
              <w:ind w:left="583"/>
              <w:rPr>
                <w:color w:val="auto"/>
              </w:rPr>
            </w:pPr>
            <w:r>
              <w:rPr>
                <w:rFonts w:ascii="Times New Roman" w:hAnsi="Times New Roman" w:eastAsia="Times New Roman" w:cs="Times New Roman"/>
                <w:b/>
                <w:bCs/>
                <w:color w:val="auto"/>
                <w:spacing w:val="-3"/>
              </w:rPr>
              <w:t>2.</w:t>
            </w:r>
            <w:r>
              <w:rPr>
                <w:b/>
                <w:bCs/>
                <w:color w:val="auto"/>
                <w:spacing w:val="-3"/>
              </w:rPr>
              <w:t>废水排放标准</w:t>
            </w:r>
          </w:p>
          <w:p w14:paraId="2360FF54">
            <w:pPr>
              <w:pStyle w:val="22"/>
              <w:spacing w:before="181" w:line="351" w:lineRule="auto"/>
              <w:ind w:left="106" w:right="2" w:firstLine="483"/>
              <w:jc w:val="both"/>
              <w:rPr>
                <w:color w:val="auto"/>
              </w:rPr>
            </w:pPr>
            <w:r>
              <w:rPr>
                <w:color w:val="auto"/>
              </w:rPr>
              <w:t>项目运营期生产废水全部收集经沉淀</w:t>
            </w:r>
            <w:r>
              <w:rPr>
                <w:rFonts w:ascii="Times New Roman" w:hAnsi="Times New Roman" w:eastAsia="Times New Roman" w:cs="Times New Roman"/>
                <w:color w:val="auto"/>
              </w:rPr>
              <w:t>+</w:t>
            </w:r>
            <w:r>
              <w:rPr>
                <w:rFonts w:hint="eastAsia" w:eastAsia="宋体"/>
                <w:color w:val="auto"/>
                <w:lang w:val="en-US" w:eastAsia="zh-CN"/>
              </w:rPr>
              <w:t>过滤罐</w:t>
            </w:r>
            <w:r>
              <w:rPr>
                <w:rFonts w:ascii="Times New Roman" w:hAnsi="Times New Roman" w:eastAsia="Times New Roman" w:cs="Times New Roman"/>
                <w:color w:val="auto"/>
              </w:rPr>
              <w:t>+</w:t>
            </w:r>
            <w:r>
              <w:rPr>
                <w:color w:val="auto"/>
              </w:rPr>
              <w:t>板框压滤处理后回用于生</w:t>
            </w:r>
            <w:r>
              <w:rPr>
                <w:color w:val="auto"/>
                <w:spacing w:val="6"/>
              </w:rPr>
              <w:t xml:space="preserve">  </w:t>
            </w:r>
            <w:r>
              <w:rPr>
                <w:color w:val="auto"/>
                <w:spacing w:val="-6"/>
              </w:rPr>
              <w:t>产，不外排；生活污水经化粪池处理达到《农田灌</w:t>
            </w:r>
            <w:r>
              <w:rPr>
                <w:color w:val="auto"/>
                <w:spacing w:val="-7"/>
              </w:rPr>
              <w:t>溉水质标准》（</w:t>
            </w:r>
            <w:r>
              <w:rPr>
                <w:rFonts w:ascii="Times New Roman" w:hAnsi="Times New Roman" w:eastAsia="Times New Roman" w:cs="Times New Roman"/>
                <w:color w:val="auto"/>
                <w:spacing w:val="-7"/>
              </w:rPr>
              <w:t>GB5084-2021</w:t>
            </w:r>
            <w:r>
              <w:rPr>
                <w:color w:val="auto"/>
                <w:spacing w:val="-7"/>
              </w:rPr>
              <w:t>）</w:t>
            </w:r>
            <w:r>
              <w:rPr>
                <w:color w:val="auto"/>
              </w:rPr>
              <w:t xml:space="preserve"> </w:t>
            </w:r>
            <w:r>
              <w:rPr>
                <w:color w:val="auto"/>
                <w:spacing w:val="-1"/>
              </w:rPr>
              <w:t>中</w:t>
            </w:r>
            <w:r>
              <w:rPr>
                <w:rFonts w:hint="eastAsia"/>
                <w:color w:val="auto"/>
                <w:spacing w:val="-1"/>
                <w:lang w:val="en-US" w:eastAsia="zh-CN"/>
              </w:rPr>
              <w:t>旱地</w:t>
            </w:r>
            <w:r>
              <w:rPr>
                <w:color w:val="auto"/>
                <w:spacing w:val="-1"/>
              </w:rPr>
              <w:t>作物标准要求后用于</w:t>
            </w:r>
            <w:r>
              <w:rPr>
                <w:rFonts w:hint="eastAsia"/>
                <w:color w:val="auto"/>
                <w:spacing w:val="-1"/>
                <w:lang w:val="en-US" w:eastAsia="zh-CN"/>
              </w:rPr>
              <w:t>周边林地</w:t>
            </w:r>
            <w:r>
              <w:rPr>
                <w:color w:val="auto"/>
                <w:spacing w:val="-1"/>
              </w:rPr>
              <w:t>浇灌，不外排。具体标准见表</w:t>
            </w:r>
            <w:r>
              <w:rPr>
                <w:color w:val="auto"/>
                <w:spacing w:val="-39"/>
              </w:rPr>
              <w:t xml:space="preserve"> </w:t>
            </w:r>
            <w:r>
              <w:rPr>
                <w:rFonts w:ascii="Times New Roman" w:hAnsi="Times New Roman" w:eastAsia="Times New Roman" w:cs="Times New Roman"/>
                <w:color w:val="auto"/>
                <w:spacing w:val="-1"/>
              </w:rPr>
              <w:t>3-6</w:t>
            </w:r>
            <w:r>
              <w:rPr>
                <w:color w:val="auto"/>
                <w:spacing w:val="-1"/>
              </w:rPr>
              <w:t>。</w:t>
            </w:r>
          </w:p>
          <w:p w14:paraId="2664D82D">
            <w:pPr>
              <w:pStyle w:val="22"/>
              <w:spacing w:before="32" w:line="212" w:lineRule="auto"/>
              <w:ind w:left="1303"/>
              <w:rPr>
                <w:rFonts w:ascii="Times New Roman" w:hAnsi="Times New Roman" w:eastAsia="Times New Roman" w:cs="Times New Roman"/>
                <w:color w:val="auto"/>
              </w:rPr>
            </w:pPr>
            <w:r>
              <w:rPr>
                <w:b/>
                <w:bCs/>
                <w:color w:val="auto"/>
                <w:spacing w:val="-1"/>
              </w:rPr>
              <w:t>表</w:t>
            </w:r>
            <w:r>
              <w:rPr>
                <w:color w:val="auto"/>
                <w:spacing w:val="-56"/>
              </w:rPr>
              <w:t xml:space="preserve"> </w:t>
            </w:r>
            <w:r>
              <w:rPr>
                <w:rFonts w:ascii="Times New Roman" w:hAnsi="Times New Roman" w:eastAsia="Times New Roman" w:cs="Times New Roman"/>
                <w:b/>
                <w:bCs/>
                <w:color w:val="auto"/>
                <w:spacing w:val="-1"/>
              </w:rPr>
              <w:t xml:space="preserve">3-6  </w:t>
            </w:r>
            <w:r>
              <w:rPr>
                <w:b/>
                <w:bCs/>
                <w:color w:val="auto"/>
                <w:spacing w:val="-1"/>
              </w:rPr>
              <w:t>《农田灌溉水质标准》（摘录）</w:t>
            </w:r>
            <w:r>
              <w:rPr>
                <w:color w:val="auto"/>
                <w:spacing w:val="-1"/>
              </w:rPr>
              <w:t xml:space="preserve">   </w:t>
            </w:r>
            <w:r>
              <w:rPr>
                <w:color w:val="auto"/>
                <w:spacing w:val="-2"/>
              </w:rPr>
              <w:t xml:space="preserve"> 单位：</w:t>
            </w:r>
            <w:r>
              <w:rPr>
                <w:rFonts w:ascii="Times New Roman" w:hAnsi="Times New Roman" w:eastAsia="Times New Roman" w:cs="Times New Roman"/>
                <w:color w:val="auto"/>
                <w:spacing w:val="-2"/>
              </w:rPr>
              <w:t>mg/L</w:t>
            </w:r>
          </w:p>
          <w:p w14:paraId="26FF829C">
            <w:pPr>
              <w:spacing w:line="156" w:lineRule="exact"/>
              <w:rPr>
                <w:color w:val="auto"/>
              </w:rPr>
            </w:pPr>
          </w:p>
          <w:tbl>
            <w:tblPr>
              <w:tblStyle w:val="21"/>
              <w:tblW w:w="8212"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997"/>
              <w:gridCol w:w="857"/>
              <w:gridCol w:w="1142"/>
              <w:gridCol w:w="712"/>
              <w:gridCol w:w="856"/>
              <w:gridCol w:w="1283"/>
              <w:gridCol w:w="1598"/>
            </w:tblGrid>
            <w:tr w14:paraId="60D53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767" w:type="dxa"/>
                  <w:vAlign w:val="top"/>
                </w:tcPr>
                <w:p w14:paraId="4E6AEF8E">
                  <w:pPr>
                    <w:pStyle w:val="22"/>
                    <w:spacing w:before="247" w:line="228" w:lineRule="auto"/>
                    <w:ind w:left="179"/>
                    <w:rPr>
                      <w:color w:val="auto"/>
                      <w:sz w:val="20"/>
                      <w:szCs w:val="20"/>
                    </w:rPr>
                  </w:pPr>
                  <w:r>
                    <w:rPr>
                      <w:b/>
                      <w:bCs/>
                      <w:color w:val="auto"/>
                      <w:spacing w:val="2"/>
                      <w:sz w:val="20"/>
                      <w:szCs w:val="20"/>
                    </w:rPr>
                    <w:t>指标</w:t>
                  </w:r>
                </w:p>
              </w:tc>
              <w:tc>
                <w:tcPr>
                  <w:tcW w:w="997" w:type="dxa"/>
                  <w:vAlign w:val="top"/>
                </w:tcPr>
                <w:p w14:paraId="5A9DC79B">
                  <w:pPr>
                    <w:pStyle w:val="22"/>
                    <w:spacing w:before="113"/>
                    <w:ind w:left="187" w:right="147" w:hanging="40"/>
                    <w:rPr>
                      <w:color w:val="auto"/>
                      <w:sz w:val="20"/>
                      <w:szCs w:val="20"/>
                    </w:rPr>
                  </w:pPr>
                  <w:r>
                    <w:rPr>
                      <w:rFonts w:ascii="Times New Roman" w:hAnsi="Times New Roman" w:eastAsia="Times New Roman" w:cs="Times New Roman"/>
                      <w:b/>
                      <w:bCs/>
                      <w:color w:val="auto"/>
                      <w:sz w:val="20"/>
                      <w:szCs w:val="20"/>
                    </w:rPr>
                    <w:t>pH</w:t>
                  </w:r>
                  <w:r>
                    <w:rPr>
                      <w:b/>
                      <w:bCs/>
                      <w:color w:val="auto"/>
                      <w:spacing w:val="13"/>
                      <w:sz w:val="20"/>
                      <w:szCs w:val="20"/>
                    </w:rPr>
                    <w:t>（无</w:t>
                  </w:r>
                  <w:r>
                    <w:rPr>
                      <w:color w:val="auto"/>
                      <w:sz w:val="20"/>
                      <w:szCs w:val="20"/>
                    </w:rPr>
                    <w:t xml:space="preserve"> </w:t>
                  </w:r>
                  <w:r>
                    <w:rPr>
                      <w:b/>
                      <w:bCs/>
                      <w:color w:val="auto"/>
                      <w:spacing w:val="1"/>
                      <w:sz w:val="20"/>
                      <w:szCs w:val="20"/>
                    </w:rPr>
                    <w:t>量纲）</w:t>
                  </w:r>
                </w:p>
              </w:tc>
              <w:tc>
                <w:tcPr>
                  <w:tcW w:w="857" w:type="dxa"/>
                  <w:vAlign w:val="top"/>
                </w:tcPr>
                <w:p w14:paraId="296AFA46">
                  <w:pPr>
                    <w:pStyle w:val="22"/>
                    <w:spacing w:before="112" w:line="239" w:lineRule="auto"/>
                    <w:ind w:left="222" w:right="111" w:hanging="105"/>
                    <w:rPr>
                      <w:color w:val="auto"/>
                      <w:sz w:val="20"/>
                      <w:szCs w:val="20"/>
                    </w:rPr>
                  </w:pPr>
                  <w:r>
                    <w:rPr>
                      <w:b/>
                      <w:bCs/>
                      <w:color w:val="auto"/>
                      <w:spacing w:val="5"/>
                      <w:sz w:val="20"/>
                      <w:szCs w:val="20"/>
                    </w:rPr>
                    <w:t>化学需</w:t>
                  </w:r>
                  <w:r>
                    <w:rPr>
                      <w:color w:val="auto"/>
                      <w:sz w:val="20"/>
                      <w:szCs w:val="20"/>
                    </w:rPr>
                    <w:t xml:space="preserve"> </w:t>
                  </w:r>
                  <w:r>
                    <w:rPr>
                      <w:b/>
                      <w:bCs/>
                      <w:color w:val="auto"/>
                      <w:spacing w:val="3"/>
                      <w:sz w:val="20"/>
                      <w:szCs w:val="20"/>
                    </w:rPr>
                    <w:t>氧量</w:t>
                  </w:r>
                </w:p>
              </w:tc>
              <w:tc>
                <w:tcPr>
                  <w:tcW w:w="1142" w:type="dxa"/>
                  <w:vAlign w:val="top"/>
                </w:tcPr>
                <w:p w14:paraId="394C8332">
                  <w:pPr>
                    <w:pStyle w:val="22"/>
                    <w:spacing w:before="112" w:line="239" w:lineRule="auto"/>
                    <w:ind w:left="271" w:right="147" w:hanging="113"/>
                    <w:rPr>
                      <w:color w:val="auto"/>
                      <w:sz w:val="20"/>
                      <w:szCs w:val="20"/>
                    </w:rPr>
                  </w:pPr>
                  <w:r>
                    <w:rPr>
                      <w:b/>
                      <w:bCs/>
                      <w:color w:val="auto"/>
                      <w:spacing w:val="5"/>
                      <w:sz w:val="20"/>
                      <w:szCs w:val="20"/>
                    </w:rPr>
                    <w:t>五日生化</w:t>
                  </w:r>
                  <w:r>
                    <w:rPr>
                      <w:color w:val="auto"/>
                      <w:spacing w:val="1"/>
                      <w:sz w:val="20"/>
                      <w:szCs w:val="20"/>
                    </w:rPr>
                    <w:t xml:space="preserve"> </w:t>
                  </w:r>
                  <w:r>
                    <w:rPr>
                      <w:b/>
                      <w:bCs/>
                      <w:color w:val="auto"/>
                      <w:spacing w:val="1"/>
                      <w:sz w:val="20"/>
                      <w:szCs w:val="20"/>
                    </w:rPr>
                    <w:t>需氧量</w:t>
                  </w:r>
                </w:p>
              </w:tc>
              <w:tc>
                <w:tcPr>
                  <w:tcW w:w="712" w:type="dxa"/>
                  <w:vAlign w:val="top"/>
                </w:tcPr>
                <w:p w14:paraId="6D6A7186">
                  <w:pPr>
                    <w:pStyle w:val="22"/>
                    <w:spacing w:before="247" w:line="227" w:lineRule="auto"/>
                    <w:ind w:left="150"/>
                    <w:rPr>
                      <w:color w:val="auto"/>
                      <w:sz w:val="20"/>
                      <w:szCs w:val="20"/>
                    </w:rPr>
                  </w:pPr>
                  <w:r>
                    <w:rPr>
                      <w:b/>
                      <w:bCs/>
                      <w:color w:val="auto"/>
                      <w:spacing w:val="3"/>
                      <w:sz w:val="20"/>
                      <w:szCs w:val="20"/>
                    </w:rPr>
                    <w:t>氨氮</w:t>
                  </w:r>
                </w:p>
              </w:tc>
              <w:tc>
                <w:tcPr>
                  <w:tcW w:w="856" w:type="dxa"/>
                  <w:vAlign w:val="top"/>
                </w:tcPr>
                <w:p w14:paraId="3759572C">
                  <w:pPr>
                    <w:pStyle w:val="22"/>
                    <w:spacing w:before="247" w:line="229" w:lineRule="auto"/>
                    <w:ind w:left="120"/>
                    <w:rPr>
                      <w:color w:val="auto"/>
                      <w:sz w:val="20"/>
                      <w:szCs w:val="20"/>
                    </w:rPr>
                  </w:pPr>
                  <w:r>
                    <w:rPr>
                      <w:b/>
                      <w:bCs/>
                      <w:color w:val="auto"/>
                      <w:spacing w:val="4"/>
                      <w:sz w:val="20"/>
                      <w:szCs w:val="20"/>
                    </w:rPr>
                    <w:t>悬浮物</w:t>
                  </w:r>
                </w:p>
              </w:tc>
              <w:tc>
                <w:tcPr>
                  <w:tcW w:w="1283" w:type="dxa"/>
                  <w:vAlign w:val="top"/>
                </w:tcPr>
                <w:p w14:paraId="6B5B1D4C">
                  <w:pPr>
                    <w:pStyle w:val="22"/>
                    <w:spacing w:before="112" w:line="239" w:lineRule="auto"/>
                    <w:ind w:left="335" w:right="113" w:hanging="198"/>
                    <w:rPr>
                      <w:color w:val="auto"/>
                      <w:sz w:val="20"/>
                      <w:szCs w:val="20"/>
                    </w:rPr>
                  </w:pPr>
                  <w:r>
                    <w:rPr>
                      <w:b/>
                      <w:bCs/>
                      <w:color w:val="auto"/>
                      <w:spacing w:val="3"/>
                      <w:sz w:val="20"/>
                      <w:szCs w:val="20"/>
                    </w:rPr>
                    <w:t>阴离子表面</w:t>
                  </w:r>
                  <w:r>
                    <w:rPr>
                      <w:color w:val="auto"/>
                      <w:sz w:val="20"/>
                      <w:szCs w:val="20"/>
                    </w:rPr>
                    <w:t xml:space="preserve"> </w:t>
                  </w:r>
                  <w:r>
                    <w:rPr>
                      <w:b/>
                      <w:bCs/>
                      <w:color w:val="auto"/>
                      <w:spacing w:val="4"/>
                      <w:sz w:val="20"/>
                      <w:szCs w:val="20"/>
                    </w:rPr>
                    <w:t>活性剂</w:t>
                  </w:r>
                </w:p>
              </w:tc>
              <w:tc>
                <w:tcPr>
                  <w:tcW w:w="1598" w:type="dxa"/>
                  <w:vAlign w:val="top"/>
                </w:tcPr>
                <w:p w14:paraId="35CA2117">
                  <w:pPr>
                    <w:pStyle w:val="22"/>
                    <w:spacing w:before="113" w:line="245" w:lineRule="auto"/>
                    <w:ind w:left="266" w:right="166" w:hanging="92"/>
                    <w:rPr>
                      <w:color w:val="auto"/>
                      <w:sz w:val="20"/>
                      <w:szCs w:val="20"/>
                    </w:rPr>
                  </w:pPr>
                  <w:r>
                    <w:rPr>
                      <w:b/>
                      <w:bCs/>
                      <w:color w:val="auto"/>
                      <w:spacing w:val="6"/>
                      <w:sz w:val="20"/>
                      <w:szCs w:val="20"/>
                    </w:rPr>
                    <w:t>粪大肠菌群数</w:t>
                  </w:r>
                  <w:r>
                    <w:rPr>
                      <w:color w:val="auto"/>
                      <w:spacing w:val="3"/>
                      <w:sz w:val="20"/>
                      <w:szCs w:val="20"/>
                    </w:rPr>
                    <w:t xml:space="preserve"> </w:t>
                  </w:r>
                  <w:r>
                    <w:rPr>
                      <w:b/>
                      <w:bCs/>
                      <w:color w:val="auto"/>
                      <w:spacing w:val="4"/>
                      <w:sz w:val="20"/>
                      <w:szCs w:val="20"/>
                    </w:rPr>
                    <w:t>（</w:t>
                  </w:r>
                  <w:r>
                    <w:rPr>
                      <w:rFonts w:ascii="Times New Roman" w:hAnsi="Times New Roman" w:eastAsia="Times New Roman" w:cs="Times New Roman"/>
                      <w:b/>
                      <w:bCs/>
                      <w:color w:val="auto"/>
                      <w:sz w:val="20"/>
                      <w:szCs w:val="20"/>
                    </w:rPr>
                    <w:t>MPN</w:t>
                  </w:r>
                  <w:r>
                    <w:rPr>
                      <w:rFonts w:ascii="Times New Roman" w:hAnsi="Times New Roman" w:eastAsia="Times New Roman" w:cs="Times New Roman"/>
                      <w:b/>
                      <w:bCs/>
                      <w:color w:val="auto"/>
                      <w:spacing w:val="4"/>
                      <w:sz w:val="20"/>
                      <w:szCs w:val="20"/>
                    </w:rPr>
                    <w:t>/L</w:t>
                  </w:r>
                  <w:r>
                    <w:rPr>
                      <w:b/>
                      <w:bCs/>
                      <w:color w:val="auto"/>
                      <w:spacing w:val="4"/>
                      <w:sz w:val="20"/>
                      <w:szCs w:val="20"/>
                    </w:rPr>
                    <w:t>）</w:t>
                  </w:r>
                </w:p>
              </w:tc>
            </w:tr>
            <w:tr w14:paraId="7959F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67" w:type="dxa"/>
                  <w:vAlign w:val="top"/>
                </w:tcPr>
                <w:p w14:paraId="2C200F65">
                  <w:pPr>
                    <w:pStyle w:val="22"/>
                    <w:spacing w:before="32" w:line="235" w:lineRule="auto"/>
                    <w:ind w:left="193" w:right="173" w:hanging="13"/>
                    <w:rPr>
                      <w:color w:val="auto"/>
                      <w:sz w:val="20"/>
                      <w:szCs w:val="20"/>
                    </w:rPr>
                  </w:pPr>
                  <w:r>
                    <w:rPr>
                      <w:color w:val="auto"/>
                      <w:spacing w:val="4"/>
                      <w:sz w:val="20"/>
                      <w:szCs w:val="20"/>
                    </w:rPr>
                    <w:t>标准</w:t>
                  </w:r>
                  <w:r>
                    <w:rPr>
                      <w:color w:val="auto"/>
                      <w:sz w:val="20"/>
                      <w:szCs w:val="20"/>
                    </w:rPr>
                    <w:t xml:space="preserve"> </w:t>
                  </w:r>
                  <w:r>
                    <w:rPr>
                      <w:color w:val="auto"/>
                      <w:spacing w:val="-3"/>
                      <w:sz w:val="20"/>
                      <w:szCs w:val="20"/>
                    </w:rPr>
                    <w:t>限值</w:t>
                  </w:r>
                </w:p>
              </w:tc>
              <w:tc>
                <w:tcPr>
                  <w:tcW w:w="997" w:type="dxa"/>
                  <w:vAlign w:val="top"/>
                </w:tcPr>
                <w:p w14:paraId="14D026F6">
                  <w:pPr>
                    <w:spacing w:before="204" w:line="195" w:lineRule="auto"/>
                    <w:ind w:left="184"/>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3"/>
                      <w:sz w:val="20"/>
                      <w:szCs w:val="20"/>
                    </w:rPr>
                    <w:t>5.5~8.5</w:t>
                  </w:r>
                </w:p>
              </w:tc>
              <w:tc>
                <w:tcPr>
                  <w:tcW w:w="857" w:type="dxa"/>
                  <w:vAlign w:val="top"/>
                </w:tcPr>
                <w:p w14:paraId="0FB9BAAA">
                  <w:pPr>
                    <w:spacing w:before="204" w:line="195" w:lineRule="auto"/>
                    <w:ind w:left="291"/>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pacing w:val="-3"/>
                      <w:sz w:val="20"/>
                      <w:szCs w:val="20"/>
                      <w:lang w:val="en-US" w:eastAsia="zh-CN"/>
                    </w:rPr>
                    <w:t>200</w:t>
                  </w:r>
                </w:p>
              </w:tc>
              <w:tc>
                <w:tcPr>
                  <w:tcW w:w="1142" w:type="dxa"/>
                  <w:vAlign w:val="top"/>
                </w:tcPr>
                <w:p w14:paraId="0ADD8B3D">
                  <w:pPr>
                    <w:spacing w:before="204" w:line="195" w:lineRule="auto"/>
                    <w:ind w:left="472"/>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100</w:t>
                  </w:r>
                </w:p>
              </w:tc>
              <w:tc>
                <w:tcPr>
                  <w:tcW w:w="712" w:type="dxa"/>
                  <w:vAlign w:val="top"/>
                </w:tcPr>
                <w:p w14:paraId="3659A06F">
                  <w:pPr>
                    <w:pStyle w:val="22"/>
                    <w:spacing w:before="267" w:line="136" w:lineRule="exact"/>
                    <w:ind w:left="254"/>
                    <w:rPr>
                      <w:color w:val="auto"/>
                      <w:sz w:val="20"/>
                      <w:szCs w:val="20"/>
                    </w:rPr>
                  </w:pPr>
                  <w:r>
                    <w:rPr>
                      <w:color w:val="auto"/>
                      <w:spacing w:val="2"/>
                      <w:position w:val="-3"/>
                      <w:sz w:val="20"/>
                      <w:szCs w:val="20"/>
                    </w:rPr>
                    <w:t>—</w:t>
                  </w:r>
                </w:p>
              </w:tc>
              <w:tc>
                <w:tcPr>
                  <w:tcW w:w="856" w:type="dxa"/>
                  <w:vAlign w:val="top"/>
                </w:tcPr>
                <w:p w14:paraId="37B19411">
                  <w:pPr>
                    <w:spacing w:before="204" w:line="195" w:lineRule="auto"/>
                    <w:ind w:left="333"/>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pacing w:val="-2"/>
                      <w:sz w:val="20"/>
                      <w:szCs w:val="20"/>
                      <w:lang w:val="en-US" w:eastAsia="zh-CN"/>
                    </w:rPr>
                    <w:t>100</w:t>
                  </w:r>
                </w:p>
              </w:tc>
              <w:tc>
                <w:tcPr>
                  <w:tcW w:w="1283" w:type="dxa"/>
                  <w:vAlign w:val="top"/>
                </w:tcPr>
                <w:p w14:paraId="58E7D27D">
                  <w:pPr>
                    <w:spacing w:before="207" w:line="192" w:lineRule="auto"/>
                    <w:ind w:left="598"/>
                    <w:rPr>
                      <w:rFonts w:hint="eastAsia" w:ascii="Times New Roman" w:hAnsi="Times New Roman" w:eastAsia="宋体" w:cs="Times New Roman"/>
                      <w:color w:val="auto"/>
                      <w:sz w:val="20"/>
                      <w:szCs w:val="20"/>
                      <w:lang w:eastAsia="zh-CN"/>
                    </w:rPr>
                  </w:pPr>
                  <w:r>
                    <w:rPr>
                      <w:rFonts w:hint="eastAsia" w:ascii="Times New Roman" w:hAnsi="Times New Roman" w:eastAsia="宋体" w:cs="Times New Roman"/>
                      <w:color w:val="auto"/>
                      <w:sz w:val="20"/>
                      <w:szCs w:val="20"/>
                      <w:lang w:val="en-US" w:eastAsia="zh-CN"/>
                    </w:rPr>
                    <w:t>8</w:t>
                  </w:r>
                </w:p>
              </w:tc>
              <w:tc>
                <w:tcPr>
                  <w:tcW w:w="1598" w:type="dxa"/>
                  <w:vAlign w:val="top"/>
                </w:tcPr>
                <w:p w14:paraId="7E73162C">
                  <w:pPr>
                    <w:spacing w:before="204" w:line="195" w:lineRule="auto"/>
                    <w:ind w:left="590"/>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sz w:val="20"/>
                      <w:szCs w:val="20"/>
                    </w:rPr>
                    <w:t>4000</w:t>
                  </w:r>
                </w:p>
              </w:tc>
            </w:tr>
          </w:tbl>
          <w:p w14:paraId="4A929E45">
            <w:pPr>
              <w:pStyle w:val="22"/>
              <w:spacing w:before="156" w:line="220" w:lineRule="auto"/>
              <w:ind w:left="583"/>
              <w:rPr>
                <w:color w:val="auto"/>
              </w:rPr>
            </w:pPr>
            <w:r>
              <w:rPr>
                <w:rFonts w:ascii="Times New Roman" w:hAnsi="Times New Roman" w:eastAsia="Times New Roman" w:cs="Times New Roman"/>
                <w:b/>
                <w:bCs/>
                <w:color w:val="auto"/>
                <w:spacing w:val="-2"/>
              </w:rPr>
              <w:t>3.</w:t>
            </w:r>
            <w:r>
              <w:rPr>
                <w:b/>
                <w:bCs/>
                <w:color w:val="auto"/>
                <w:spacing w:val="-2"/>
              </w:rPr>
              <w:t>噪声排放标准</w:t>
            </w:r>
          </w:p>
          <w:p w14:paraId="59B85D0A">
            <w:pPr>
              <w:pStyle w:val="22"/>
              <w:spacing w:before="179" w:line="347" w:lineRule="auto"/>
              <w:ind w:left="123" w:right="101" w:firstLine="466"/>
              <w:rPr>
                <w:color w:val="auto"/>
              </w:rPr>
            </w:pPr>
            <w:r>
              <w:rPr>
                <w:color w:val="auto"/>
              </w:rPr>
              <w:t>建设期执行</w:t>
            </w:r>
            <w:r>
              <w:rPr>
                <w:rFonts w:hint="default" w:ascii="Times New Roman" w:hAnsi="Times New Roman" w:cs="Times New Roman"/>
                <w:color w:val="auto"/>
              </w:rPr>
              <w:t>《建筑施工噪声排放标准》（GB12523-2025）</w:t>
            </w:r>
            <w:r>
              <w:rPr>
                <w:color w:val="auto"/>
                <w:spacing w:val="-1"/>
              </w:rPr>
              <w:t>中噪声</w:t>
            </w:r>
            <w:r>
              <w:rPr>
                <w:color w:val="auto"/>
                <w:spacing w:val="-2"/>
              </w:rPr>
              <w:t>限值，即昼间低于</w:t>
            </w:r>
            <w:r>
              <w:rPr>
                <w:color w:val="auto"/>
                <w:spacing w:val="-51"/>
              </w:rPr>
              <w:t xml:space="preserve"> </w:t>
            </w:r>
            <w:r>
              <w:rPr>
                <w:rFonts w:ascii="Times New Roman" w:hAnsi="Times New Roman" w:eastAsia="Times New Roman" w:cs="Times New Roman"/>
                <w:color w:val="auto"/>
                <w:spacing w:val="-2"/>
              </w:rPr>
              <w:t>70dB</w:t>
            </w:r>
            <w:r>
              <w:rPr>
                <w:color w:val="auto"/>
                <w:spacing w:val="-2"/>
              </w:rPr>
              <w:t>（</w:t>
            </w:r>
            <w:r>
              <w:rPr>
                <w:rFonts w:ascii="Times New Roman" w:hAnsi="Times New Roman" w:eastAsia="Times New Roman" w:cs="Times New Roman"/>
                <w:color w:val="auto"/>
                <w:spacing w:val="-2"/>
              </w:rPr>
              <w:t>A</w:t>
            </w:r>
            <w:r>
              <w:rPr>
                <w:color w:val="auto"/>
                <w:spacing w:val="6"/>
              </w:rPr>
              <w:t>），</w:t>
            </w:r>
            <w:r>
              <w:rPr>
                <w:color w:val="auto"/>
                <w:spacing w:val="-2"/>
              </w:rPr>
              <w:t>夜间低于</w:t>
            </w:r>
            <w:r>
              <w:rPr>
                <w:color w:val="auto"/>
                <w:spacing w:val="-48"/>
              </w:rPr>
              <w:t xml:space="preserve"> </w:t>
            </w:r>
            <w:r>
              <w:rPr>
                <w:rFonts w:ascii="Times New Roman" w:hAnsi="Times New Roman" w:eastAsia="Times New Roman" w:cs="Times New Roman"/>
                <w:color w:val="auto"/>
                <w:spacing w:val="-2"/>
              </w:rPr>
              <w:t xml:space="preserve">55 </w:t>
            </w:r>
            <w:r>
              <w:rPr>
                <w:rFonts w:ascii="Times New Roman" w:hAnsi="Times New Roman" w:eastAsia="Times New Roman" w:cs="Times New Roman"/>
                <w:color w:val="auto"/>
                <w:spacing w:val="-3"/>
              </w:rPr>
              <w:t>dB</w:t>
            </w:r>
            <w:r>
              <w:rPr>
                <w:color w:val="auto"/>
                <w:spacing w:val="-3"/>
              </w:rPr>
              <w:t>（</w:t>
            </w:r>
            <w:r>
              <w:rPr>
                <w:rFonts w:ascii="Times New Roman" w:hAnsi="Times New Roman" w:eastAsia="Times New Roman" w:cs="Times New Roman"/>
                <w:color w:val="auto"/>
                <w:spacing w:val="-3"/>
              </w:rPr>
              <w:t>A</w:t>
            </w:r>
            <w:r>
              <w:rPr>
                <w:color w:val="auto"/>
                <w:spacing w:val="-3"/>
              </w:rPr>
              <w:t>）。</w:t>
            </w:r>
          </w:p>
          <w:p w14:paraId="2A0669E4">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06" w:right="101" w:firstLine="479"/>
              <w:textAlignment w:val="baseline"/>
              <w:rPr>
                <w:color w:val="auto"/>
                <w:spacing w:val="-2"/>
              </w:rPr>
            </w:pPr>
            <w:r>
              <w:rPr>
                <w:color w:val="auto"/>
              </w:rPr>
              <w:t>运营期执行《工业企业厂界环境噪声排放标准》（</w:t>
            </w:r>
            <w:r>
              <w:rPr>
                <w:rFonts w:ascii="Times New Roman" w:hAnsi="Times New Roman" w:eastAsia="Times New Roman" w:cs="Times New Roman"/>
                <w:color w:val="auto"/>
              </w:rPr>
              <w:t>GB123</w:t>
            </w:r>
            <w:r>
              <w:rPr>
                <w:rFonts w:ascii="Times New Roman" w:hAnsi="Times New Roman" w:eastAsia="Times New Roman" w:cs="Times New Roman"/>
                <w:color w:val="auto"/>
                <w:spacing w:val="-1"/>
              </w:rPr>
              <w:t>48-2008</w:t>
            </w:r>
            <w:r>
              <w:rPr>
                <w:color w:val="auto"/>
                <w:spacing w:val="-1"/>
              </w:rPr>
              <w:t>）中</w:t>
            </w:r>
            <w:r>
              <w:rPr>
                <w:color w:val="auto"/>
                <w:spacing w:val="-52"/>
              </w:rPr>
              <w:t xml:space="preserve"> </w:t>
            </w:r>
            <w:r>
              <w:rPr>
                <w:rFonts w:ascii="Times New Roman" w:hAnsi="Times New Roman" w:eastAsia="Times New Roman" w:cs="Times New Roman"/>
                <w:color w:val="auto"/>
                <w:spacing w:val="-1"/>
              </w:rPr>
              <w:t xml:space="preserve">2 </w:t>
            </w:r>
            <w:r>
              <w:rPr>
                <w:color w:val="auto"/>
                <w:spacing w:val="-1"/>
              </w:rPr>
              <w:t>类</w:t>
            </w:r>
            <w:r>
              <w:rPr>
                <w:color w:val="auto"/>
              </w:rPr>
              <w:t xml:space="preserve"> </w:t>
            </w:r>
            <w:r>
              <w:rPr>
                <w:color w:val="auto"/>
                <w:spacing w:val="-2"/>
              </w:rPr>
              <w:t>排放标准要求，即昼间低于</w:t>
            </w:r>
            <w:r>
              <w:rPr>
                <w:color w:val="auto"/>
                <w:spacing w:val="-50"/>
              </w:rPr>
              <w:t xml:space="preserve"> </w:t>
            </w:r>
            <w:r>
              <w:rPr>
                <w:rFonts w:ascii="Times New Roman" w:hAnsi="Times New Roman" w:eastAsia="Times New Roman" w:cs="Times New Roman"/>
                <w:color w:val="auto"/>
                <w:spacing w:val="-2"/>
              </w:rPr>
              <w:t>60dB</w:t>
            </w:r>
            <w:r>
              <w:rPr>
                <w:color w:val="auto"/>
                <w:spacing w:val="-2"/>
              </w:rPr>
              <w:t>（</w:t>
            </w:r>
            <w:r>
              <w:rPr>
                <w:rFonts w:ascii="Times New Roman" w:hAnsi="Times New Roman" w:eastAsia="Times New Roman" w:cs="Times New Roman"/>
                <w:color w:val="auto"/>
                <w:spacing w:val="-2"/>
              </w:rPr>
              <w:t>A</w:t>
            </w:r>
            <w:r>
              <w:rPr>
                <w:color w:val="auto"/>
                <w:spacing w:val="14"/>
              </w:rPr>
              <w:t>），</w:t>
            </w:r>
            <w:r>
              <w:rPr>
                <w:color w:val="auto"/>
                <w:spacing w:val="-2"/>
              </w:rPr>
              <w:t>夜间低于</w:t>
            </w:r>
            <w:r>
              <w:rPr>
                <w:color w:val="auto"/>
                <w:spacing w:val="-48"/>
              </w:rPr>
              <w:t xml:space="preserve"> </w:t>
            </w:r>
            <w:r>
              <w:rPr>
                <w:rFonts w:ascii="Times New Roman" w:hAnsi="Times New Roman" w:eastAsia="Times New Roman" w:cs="Times New Roman"/>
                <w:color w:val="auto"/>
                <w:spacing w:val="-2"/>
              </w:rPr>
              <w:t>50dB</w:t>
            </w:r>
            <w:r>
              <w:rPr>
                <w:color w:val="auto"/>
                <w:spacing w:val="-2"/>
              </w:rPr>
              <w:t>（</w:t>
            </w:r>
            <w:r>
              <w:rPr>
                <w:rFonts w:ascii="Times New Roman" w:hAnsi="Times New Roman" w:eastAsia="Times New Roman" w:cs="Times New Roman"/>
                <w:color w:val="auto"/>
                <w:spacing w:val="-2"/>
              </w:rPr>
              <w:t>A</w:t>
            </w:r>
            <w:r>
              <w:rPr>
                <w:color w:val="auto"/>
                <w:spacing w:val="-2"/>
              </w:rPr>
              <w:t>）。</w:t>
            </w:r>
          </w:p>
          <w:p w14:paraId="3195B84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83"/>
              <w:textAlignment w:val="baseline"/>
              <w:rPr>
                <w:color w:val="auto"/>
              </w:rPr>
            </w:pPr>
            <w:r>
              <w:rPr>
                <w:rFonts w:ascii="Times New Roman" w:hAnsi="Times New Roman" w:eastAsia="Times New Roman" w:cs="Times New Roman"/>
                <w:b/>
                <w:bCs/>
                <w:color w:val="auto"/>
                <w:spacing w:val="-5"/>
              </w:rPr>
              <w:t>4.</w:t>
            </w:r>
            <w:r>
              <w:rPr>
                <w:rFonts w:ascii="Times New Roman" w:hAnsi="Times New Roman" w:eastAsia="Times New Roman" w:cs="Times New Roman"/>
                <w:b/>
                <w:bCs/>
                <w:color w:val="auto"/>
                <w:spacing w:val="-28"/>
              </w:rPr>
              <w:t xml:space="preserve"> </w:t>
            </w:r>
            <w:r>
              <w:rPr>
                <w:b/>
                <w:bCs/>
                <w:color w:val="auto"/>
                <w:spacing w:val="-5"/>
              </w:rPr>
              <w:t>固体废弃物执行标准</w:t>
            </w:r>
          </w:p>
          <w:p w14:paraId="7224AAD7">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06" w:right="101" w:firstLine="479"/>
              <w:textAlignment w:val="baseline"/>
              <w:rPr>
                <w:color w:val="auto"/>
                <w:spacing w:val="-1"/>
              </w:rPr>
            </w:pPr>
            <w:r>
              <w:rPr>
                <w:color w:val="auto"/>
                <w:spacing w:val="-1"/>
              </w:rPr>
              <w:t>项目一般工业固废贮存、处置执行《一般工业固体废物贮存和填埋污染控</w:t>
            </w:r>
            <w:r>
              <w:rPr>
                <w:color w:val="auto"/>
                <w:spacing w:val="7"/>
              </w:rPr>
              <w:t xml:space="preserve">  </w:t>
            </w:r>
            <w:r>
              <w:rPr>
                <w:color w:val="auto"/>
                <w:spacing w:val="-3"/>
              </w:rPr>
              <w:t>制标准》（</w:t>
            </w:r>
            <w:r>
              <w:rPr>
                <w:rFonts w:ascii="Times New Roman" w:hAnsi="Times New Roman" w:eastAsia="Times New Roman" w:cs="Times New Roman"/>
                <w:color w:val="auto"/>
                <w:spacing w:val="-3"/>
              </w:rPr>
              <w:t>GB18599-2020</w:t>
            </w:r>
            <w:r>
              <w:rPr>
                <w:color w:val="auto"/>
                <w:spacing w:val="-14"/>
              </w:rPr>
              <w:t>）</w:t>
            </w:r>
            <w:r>
              <w:rPr>
                <w:rFonts w:hint="eastAsia"/>
                <w:color w:val="auto"/>
                <w:spacing w:val="-14"/>
                <w:lang w:eastAsia="zh-CN"/>
              </w:rPr>
              <w:t>，厂内危废暂存执行《危险废物贮存污染控制标准》 （</w:t>
            </w:r>
            <w:r>
              <w:rPr>
                <w:rFonts w:hint="default" w:ascii="Times New Roman" w:hAnsi="Times New Roman" w:cs="Times New Roman"/>
                <w:color w:val="auto"/>
                <w:spacing w:val="-14"/>
                <w:lang w:eastAsia="zh-CN"/>
              </w:rPr>
              <w:t>GB18597-2023</w:t>
            </w:r>
            <w:r>
              <w:rPr>
                <w:rFonts w:hint="eastAsia"/>
                <w:color w:val="auto"/>
                <w:spacing w:val="-14"/>
                <w:lang w:eastAsia="zh-CN"/>
              </w:rPr>
              <w:t>）要求</w:t>
            </w:r>
            <w:r>
              <w:rPr>
                <w:rFonts w:hint="eastAsia"/>
                <w:color w:val="auto"/>
                <w:spacing w:val="-1"/>
                <w:lang w:eastAsia="zh-CN"/>
              </w:rPr>
              <w:t>。</w:t>
            </w:r>
          </w:p>
        </w:tc>
      </w:tr>
      <w:tr w14:paraId="6324D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7" w:hRule="atLeast"/>
        </w:trPr>
        <w:tc>
          <w:tcPr>
            <w:tcW w:w="484" w:type="dxa"/>
            <w:tcBorders>
              <w:top w:val="single" w:color="000000" w:sz="2" w:space="0"/>
              <w:bottom w:val="single" w:color="000000" w:sz="2" w:space="0"/>
              <w:right w:val="single" w:color="000000" w:sz="2" w:space="0"/>
            </w:tcBorders>
            <w:textDirection w:val="tbRlV"/>
            <w:vAlign w:val="center"/>
          </w:tcPr>
          <w:p w14:paraId="6390F8B9">
            <w:pPr>
              <w:pStyle w:val="22"/>
              <w:spacing w:before="137" w:line="217" w:lineRule="auto"/>
              <w:jc w:val="center"/>
              <w:rPr>
                <w:rFonts w:hint="default" w:eastAsia="宋体"/>
                <w:b/>
                <w:bCs/>
                <w:color w:val="auto"/>
                <w:spacing w:val="8"/>
                <w:sz w:val="24"/>
                <w:szCs w:val="24"/>
                <w:lang w:val="en-US" w:eastAsia="zh-CN"/>
              </w:rPr>
            </w:pPr>
            <w:r>
              <w:rPr>
                <w:rFonts w:hint="eastAsia"/>
                <w:b/>
                <w:bCs/>
                <w:color w:val="auto"/>
                <w:spacing w:val="8"/>
                <w:sz w:val="24"/>
                <w:szCs w:val="24"/>
                <w:lang w:val="en-US" w:eastAsia="zh-CN"/>
              </w:rPr>
              <w:t>总量控制指标</w:t>
            </w:r>
          </w:p>
        </w:tc>
        <w:tc>
          <w:tcPr>
            <w:tcW w:w="8429" w:type="dxa"/>
            <w:tcBorders>
              <w:top w:val="single" w:color="000000" w:sz="2" w:space="0"/>
              <w:left w:val="single" w:color="000000" w:sz="2" w:space="0"/>
              <w:bottom w:val="single" w:color="000000" w:sz="2" w:space="0"/>
            </w:tcBorders>
            <w:vAlign w:val="top"/>
          </w:tcPr>
          <w:p w14:paraId="1316FAC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06" w:right="101" w:firstLine="479"/>
              <w:textAlignment w:val="baseline"/>
              <w:rPr>
                <w:color w:val="auto"/>
                <w:spacing w:val="1"/>
              </w:rPr>
            </w:pPr>
          </w:p>
          <w:p w14:paraId="4263990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06" w:right="101" w:firstLine="479"/>
              <w:textAlignment w:val="baseline"/>
              <w:rPr>
                <w:rFonts w:hint="default" w:ascii="Times New Roman" w:hAnsi="Times New Roman" w:eastAsia="宋体" w:cs="Times New Roman"/>
                <w:color w:val="auto"/>
                <w:spacing w:val="-2"/>
              </w:rPr>
            </w:pPr>
            <w:r>
              <w:rPr>
                <w:color w:val="auto"/>
                <w:spacing w:val="1"/>
              </w:rPr>
              <w:t>本项目运营期无废水排放，</w:t>
            </w:r>
            <w:r>
              <w:rPr>
                <w:rFonts w:hint="eastAsia"/>
                <w:color w:val="auto"/>
                <w:spacing w:val="1"/>
                <w:lang w:val="en-US" w:eastAsia="zh-CN"/>
              </w:rPr>
              <w:t>无需分配废水总量指标；</w:t>
            </w:r>
            <w:r>
              <w:rPr>
                <w:color w:val="auto"/>
                <w:spacing w:val="1"/>
              </w:rPr>
              <w:t>废气主要为</w:t>
            </w:r>
            <w:r>
              <w:rPr>
                <w:rFonts w:hint="eastAsia"/>
                <w:color w:val="auto"/>
                <w:spacing w:val="1"/>
                <w:lang w:val="en-US" w:eastAsia="zh-CN"/>
              </w:rPr>
              <w:t>颗粒物，排放总量为</w:t>
            </w:r>
            <w:r>
              <w:rPr>
                <w:rFonts w:hint="eastAsia" w:ascii="Times New Roman" w:hAnsi="Times New Roman" w:eastAsia="宋体" w:cs="Times New Roman"/>
                <w:color w:val="auto"/>
                <w:spacing w:val="1"/>
                <w:lang w:val="en-US" w:eastAsia="zh-CN"/>
              </w:rPr>
              <w:t>7.81</w:t>
            </w:r>
            <w:r>
              <w:rPr>
                <w:rFonts w:hint="default" w:ascii="Times New Roman" w:hAnsi="Times New Roman" w:eastAsia="宋体" w:cs="Times New Roman"/>
                <w:color w:val="auto"/>
                <w:spacing w:val="1"/>
                <w:lang w:val="en-US" w:eastAsia="zh-CN"/>
              </w:rPr>
              <w:t>t/a（其中有组织0.047t/a、无组织</w:t>
            </w:r>
            <w:r>
              <w:rPr>
                <w:rFonts w:hint="eastAsia" w:ascii="Times New Roman" w:hAnsi="Times New Roman" w:eastAsia="宋体" w:cs="Times New Roman"/>
                <w:color w:val="auto"/>
                <w:spacing w:val="1"/>
                <w:lang w:val="en-US" w:eastAsia="zh-CN"/>
              </w:rPr>
              <w:t>7.763</w:t>
            </w:r>
            <w:r>
              <w:rPr>
                <w:rFonts w:hint="default" w:ascii="Times New Roman" w:hAnsi="Times New Roman" w:eastAsia="宋体" w:cs="Times New Roman"/>
                <w:color w:val="auto"/>
                <w:spacing w:val="1"/>
                <w:lang w:val="en-US" w:eastAsia="zh-CN"/>
              </w:rPr>
              <w:t>t/a）</w:t>
            </w:r>
            <w:r>
              <w:rPr>
                <w:rFonts w:hint="default" w:ascii="Times New Roman" w:hAnsi="Times New Roman" w:eastAsia="宋体" w:cs="Times New Roman"/>
                <w:color w:val="auto"/>
                <w:spacing w:val="-2"/>
              </w:rPr>
              <w:t>。</w:t>
            </w:r>
          </w:p>
          <w:p w14:paraId="4980027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1"/>
              <w:textAlignment w:val="baseline"/>
              <w:rPr>
                <w:color w:val="auto"/>
                <w:spacing w:val="-2"/>
              </w:rPr>
            </w:pPr>
          </w:p>
        </w:tc>
      </w:tr>
    </w:tbl>
    <w:p w14:paraId="0E258E8E">
      <w:pPr>
        <w:spacing w:before="315" w:line="222" w:lineRule="auto"/>
        <w:ind w:left="71"/>
        <w:outlineLvl w:val="0"/>
        <w:rPr>
          <w:rFonts w:ascii="黑体" w:hAnsi="黑体" w:eastAsia="黑体" w:cs="黑体"/>
          <w:color w:val="auto"/>
          <w:sz w:val="30"/>
          <w:szCs w:val="30"/>
        </w:rPr>
      </w:pPr>
      <w:bookmarkStart w:id="6" w:name="bookmark7"/>
      <w:bookmarkEnd w:id="6"/>
      <w:bookmarkStart w:id="7" w:name="bookmark8"/>
      <w:bookmarkEnd w:id="7"/>
      <w:r>
        <w:rPr>
          <w:rFonts w:ascii="黑体" w:hAnsi="黑体" w:eastAsia="黑体" w:cs="黑体"/>
          <w:color w:val="auto"/>
          <w:spacing w:val="-3"/>
          <w:sz w:val="30"/>
          <w:szCs w:val="30"/>
        </w:rPr>
        <w:t>四、主要环境影响和保护措施</w:t>
      </w:r>
    </w:p>
    <w:p w14:paraId="004533AE">
      <w:pPr>
        <w:spacing w:before="21"/>
        <w:rPr>
          <w:color w:val="auto"/>
        </w:rPr>
      </w:pPr>
    </w:p>
    <w:tbl>
      <w:tblPr>
        <w:tblStyle w:val="21"/>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54"/>
        <w:gridCol w:w="8158"/>
      </w:tblGrid>
      <w:tr w14:paraId="0E351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0" w:hRule="atLeast"/>
        </w:trPr>
        <w:tc>
          <w:tcPr>
            <w:tcW w:w="754" w:type="dxa"/>
            <w:tcBorders>
              <w:bottom w:val="single" w:color="000000" w:sz="2" w:space="0"/>
              <w:right w:val="single" w:color="000000" w:sz="2" w:space="0"/>
            </w:tcBorders>
            <w:vAlign w:val="center"/>
          </w:tcPr>
          <w:p w14:paraId="639A761E">
            <w:pPr>
              <w:pStyle w:val="22"/>
              <w:spacing w:before="78" w:line="222" w:lineRule="auto"/>
              <w:jc w:val="both"/>
              <w:rPr>
                <w:b/>
                <w:bCs/>
                <w:color w:val="auto"/>
              </w:rPr>
            </w:pPr>
            <w:r>
              <w:rPr>
                <w:b/>
                <w:bCs/>
                <w:color w:val="auto"/>
                <w:spacing w:val="-5"/>
              </w:rPr>
              <w:t>施工</w:t>
            </w:r>
            <w:r>
              <w:rPr>
                <w:b/>
                <w:bCs/>
                <w:color w:val="auto"/>
                <w:spacing w:val="-7"/>
              </w:rPr>
              <w:t>期环</w:t>
            </w:r>
            <w:r>
              <w:rPr>
                <w:b/>
                <w:bCs/>
                <w:color w:val="auto"/>
                <w:spacing w:val="-6"/>
              </w:rPr>
              <w:t>境保</w:t>
            </w:r>
          </w:p>
          <w:p w14:paraId="7A9F9861">
            <w:pPr>
              <w:pStyle w:val="22"/>
              <w:spacing w:before="25" w:line="220" w:lineRule="auto"/>
              <w:jc w:val="both"/>
              <w:rPr>
                <w:color w:val="auto"/>
              </w:rPr>
            </w:pPr>
            <w:r>
              <w:rPr>
                <w:b/>
                <w:bCs/>
                <w:color w:val="auto"/>
                <w:spacing w:val="-6"/>
              </w:rPr>
              <w:t>护措</w:t>
            </w:r>
            <w:r>
              <w:rPr>
                <w:b/>
                <w:bCs/>
                <w:color w:val="auto"/>
              </w:rPr>
              <w:t>施</w:t>
            </w:r>
          </w:p>
        </w:tc>
        <w:tc>
          <w:tcPr>
            <w:tcW w:w="8158" w:type="dxa"/>
            <w:tcBorders>
              <w:left w:val="single" w:color="000000" w:sz="2" w:space="0"/>
              <w:bottom w:val="single" w:color="000000" w:sz="2" w:space="0"/>
            </w:tcBorders>
            <w:vAlign w:val="top"/>
          </w:tcPr>
          <w:p w14:paraId="1C0C65B5">
            <w:pPr>
              <w:pStyle w:val="22"/>
              <w:keepNext w:val="0"/>
              <w:keepLines w:val="0"/>
              <w:pageBreakBefore w:val="0"/>
              <w:widowControl/>
              <w:kinsoku w:val="0"/>
              <w:wordWrap/>
              <w:overflowPunct/>
              <w:topLinePunct w:val="0"/>
              <w:autoSpaceDE w:val="0"/>
              <w:autoSpaceDN w:val="0"/>
              <w:bidi w:val="0"/>
              <w:adjustRightInd w:val="0"/>
              <w:snapToGrid w:val="0"/>
              <w:spacing w:before="40" w:line="360" w:lineRule="auto"/>
              <w:ind w:right="51" w:firstLine="480" w:firstLineChars="200"/>
              <w:jc w:val="left"/>
              <w:textAlignment w:val="baseline"/>
              <w:rPr>
                <w:color w:val="auto"/>
              </w:rPr>
            </w:pPr>
            <w:r>
              <w:rPr>
                <w:rFonts w:hint="eastAsia" w:ascii="Times New Roman" w:hAnsi="Times New Roman" w:eastAsia="宋体" w:cs="Times New Roman"/>
                <w:color w:val="auto"/>
                <w:kern w:val="0"/>
                <w:sz w:val="24"/>
                <w:szCs w:val="24"/>
                <w:lang w:eastAsia="zh-CN"/>
              </w:rPr>
              <w:t>本项目</w:t>
            </w:r>
            <w:r>
              <w:rPr>
                <w:rFonts w:hint="eastAsia" w:ascii="Times New Roman" w:hAnsi="Times New Roman" w:cs="Times New Roman"/>
                <w:color w:val="auto"/>
                <w:kern w:val="0"/>
                <w:sz w:val="24"/>
                <w:szCs w:val="24"/>
                <w:lang w:val="en-US" w:eastAsia="zh-CN"/>
              </w:rPr>
              <w:t>已建设完成，施工期</w:t>
            </w:r>
            <w:r>
              <w:rPr>
                <w:rFonts w:hint="eastAsia" w:ascii="Times New Roman" w:hAnsi="Times New Roman" w:eastAsia="宋体" w:cs="Times New Roman"/>
                <w:color w:val="auto"/>
                <w:kern w:val="0"/>
                <w:sz w:val="24"/>
                <w:szCs w:val="24"/>
                <w:lang w:eastAsia="zh-CN"/>
              </w:rPr>
              <w:t>已结束</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lang w:val="en-US" w:eastAsia="zh-CN"/>
              </w:rPr>
              <w:t>项目</w:t>
            </w:r>
            <w:r>
              <w:rPr>
                <w:rFonts w:hint="eastAsia" w:ascii="Times New Roman" w:hAnsi="Times New Roman" w:eastAsia="宋体" w:cs="Times New Roman"/>
                <w:color w:val="auto"/>
                <w:kern w:val="0"/>
                <w:sz w:val="24"/>
                <w:szCs w:val="24"/>
                <w:lang w:eastAsia="zh-CN"/>
              </w:rPr>
              <w:t>施工期主要</w:t>
            </w:r>
            <w:r>
              <w:rPr>
                <w:rFonts w:hint="eastAsia" w:ascii="Times New Roman" w:hAnsi="Times New Roman" w:cs="Times New Roman"/>
                <w:color w:val="auto"/>
                <w:kern w:val="0"/>
                <w:sz w:val="24"/>
                <w:szCs w:val="24"/>
                <w:lang w:val="en-US" w:eastAsia="zh-CN"/>
              </w:rPr>
              <w:t>内容</w:t>
            </w:r>
            <w:r>
              <w:rPr>
                <w:rFonts w:hint="eastAsia" w:ascii="Times New Roman" w:hAnsi="Times New Roman" w:eastAsia="宋体" w:cs="Times New Roman"/>
                <w:color w:val="auto"/>
                <w:kern w:val="0"/>
                <w:sz w:val="24"/>
                <w:szCs w:val="24"/>
                <w:lang w:eastAsia="zh-CN"/>
              </w:rPr>
              <w:t>为设备安装调试</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lang w:val="en-US" w:eastAsia="zh-CN"/>
              </w:rPr>
              <w:t>沉淀池、堆场等建设</w:t>
            </w:r>
            <w:r>
              <w:rPr>
                <w:rFonts w:hint="eastAsia" w:ascii="Times New Roman" w:hAnsi="Times New Roman" w:eastAsia="宋体" w:cs="Times New Roman"/>
                <w:color w:val="auto"/>
                <w:kern w:val="0"/>
                <w:sz w:val="24"/>
                <w:szCs w:val="24"/>
                <w:lang w:eastAsia="zh-CN"/>
              </w:rPr>
              <w:t>，工程量较小，施工期较短且工艺较简单，环境影响较小，因此本评价不对其进行详细描述。</w:t>
            </w:r>
          </w:p>
        </w:tc>
      </w:tr>
      <w:tr w14:paraId="2DAF1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99" w:hRule="atLeast"/>
        </w:trPr>
        <w:tc>
          <w:tcPr>
            <w:tcW w:w="754" w:type="dxa"/>
            <w:tcBorders>
              <w:top w:val="single" w:color="000000" w:sz="2" w:space="0"/>
              <w:right w:val="single" w:color="000000" w:sz="2" w:space="0"/>
            </w:tcBorders>
            <w:vAlign w:val="center"/>
          </w:tcPr>
          <w:p w14:paraId="6E9D7F40">
            <w:pPr>
              <w:spacing w:line="243" w:lineRule="auto"/>
              <w:jc w:val="center"/>
              <w:rPr>
                <w:rFonts w:ascii="Arial"/>
                <w:color w:val="auto"/>
                <w:sz w:val="21"/>
              </w:rPr>
            </w:pPr>
          </w:p>
          <w:p w14:paraId="29BA6CA3">
            <w:pPr>
              <w:spacing w:line="243" w:lineRule="auto"/>
              <w:jc w:val="center"/>
              <w:rPr>
                <w:rFonts w:ascii="Arial"/>
                <w:color w:val="auto"/>
                <w:sz w:val="21"/>
              </w:rPr>
            </w:pPr>
          </w:p>
          <w:p w14:paraId="593B54E4">
            <w:pPr>
              <w:spacing w:line="243" w:lineRule="auto"/>
              <w:jc w:val="center"/>
              <w:rPr>
                <w:rFonts w:ascii="Arial"/>
                <w:color w:val="auto"/>
                <w:sz w:val="21"/>
              </w:rPr>
            </w:pPr>
          </w:p>
          <w:p w14:paraId="2EF3312B">
            <w:pPr>
              <w:spacing w:line="243" w:lineRule="auto"/>
              <w:jc w:val="center"/>
              <w:rPr>
                <w:rFonts w:ascii="Arial"/>
                <w:color w:val="auto"/>
                <w:sz w:val="21"/>
              </w:rPr>
            </w:pPr>
          </w:p>
          <w:p w14:paraId="7F3CAA2E">
            <w:pPr>
              <w:spacing w:line="243" w:lineRule="auto"/>
              <w:jc w:val="center"/>
              <w:rPr>
                <w:rFonts w:ascii="Arial"/>
                <w:color w:val="auto"/>
                <w:sz w:val="21"/>
              </w:rPr>
            </w:pPr>
          </w:p>
          <w:p w14:paraId="7E956B72">
            <w:pPr>
              <w:spacing w:line="243" w:lineRule="auto"/>
              <w:jc w:val="center"/>
              <w:rPr>
                <w:rFonts w:ascii="Arial"/>
                <w:color w:val="auto"/>
                <w:sz w:val="21"/>
              </w:rPr>
            </w:pPr>
          </w:p>
          <w:p w14:paraId="14203711">
            <w:pPr>
              <w:spacing w:line="243" w:lineRule="auto"/>
              <w:jc w:val="center"/>
              <w:rPr>
                <w:rFonts w:ascii="Arial"/>
                <w:color w:val="auto"/>
                <w:sz w:val="21"/>
              </w:rPr>
            </w:pPr>
          </w:p>
          <w:p w14:paraId="4F9B02E2">
            <w:pPr>
              <w:spacing w:line="244" w:lineRule="auto"/>
              <w:jc w:val="center"/>
              <w:rPr>
                <w:rFonts w:ascii="Arial"/>
                <w:color w:val="auto"/>
                <w:sz w:val="21"/>
              </w:rPr>
            </w:pPr>
          </w:p>
          <w:p w14:paraId="5CC17312">
            <w:pPr>
              <w:spacing w:line="244" w:lineRule="auto"/>
              <w:jc w:val="center"/>
              <w:rPr>
                <w:rFonts w:ascii="Arial"/>
                <w:color w:val="auto"/>
                <w:sz w:val="21"/>
              </w:rPr>
            </w:pPr>
          </w:p>
          <w:p w14:paraId="0B93DC15">
            <w:pPr>
              <w:spacing w:line="244" w:lineRule="auto"/>
              <w:jc w:val="center"/>
              <w:rPr>
                <w:rFonts w:ascii="Arial"/>
                <w:color w:val="auto"/>
                <w:sz w:val="21"/>
              </w:rPr>
            </w:pPr>
          </w:p>
          <w:p w14:paraId="1228229F">
            <w:pPr>
              <w:spacing w:line="244" w:lineRule="auto"/>
              <w:jc w:val="center"/>
              <w:rPr>
                <w:rFonts w:ascii="Arial"/>
                <w:b/>
                <w:bCs/>
                <w:color w:val="auto"/>
                <w:sz w:val="24"/>
                <w:szCs w:val="24"/>
              </w:rPr>
            </w:pPr>
          </w:p>
          <w:p w14:paraId="6AD27D1B">
            <w:pPr>
              <w:pStyle w:val="22"/>
              <w:spacing w:before="65" w:line="247" w:lineRule="auto"/>
              <w:ind w:left="164" w:right="169"/>
              <w:jc w:val="center"/>
              <w:rPr>
                <w:color w:val="auto"/>
                <w:sz w:val="20"/>
                <w:szCs w:val="20"/>
              </w:rPr>
            </w:pPr>
            <w:r>
              <w:rPr>
                <w:b/>
                <w:bCs/>
                <w:color w:val="auto"/>
                <w:spacing w:val="4"/>
                <w:sz w:val="24"/>
                <w:szCs w:val="24"/>
              </w:rPr>
              <w:t>运营</w:t>
            </w:r>
            <w:r>
              <w:rPr>
                <w:b/>
                <w:bCs/>
                <w:color w:val="auto"/>
                <w:sz w:val="24"/>
                <w:szCs w:val="24"/>
              </w:rPr>
              <w:t xml:space="preserve"> </w:t>
            </w:r>
            <w:r>
              <w:rPr>
                <w:b/>
                <w:bCs/>
                <w:color w:val="auto"/>
                <w:spacing w:val="4"/>
                <w:sz w:val="24"/>
                <w:szCs w:val="24"/>
              </w:rPr>
              <w:t>期环</w:t>
            </w:r>
            <w:r>
              <w:rPr>
                <w:b/>
                <w:bCs/>
                <w:color w:val="auto"/>
                <w:sz w:val="24"/>
                <w:szCs w:val="24"/>
              </w:rPr>
              <w:t xml:space="preserve"> </w:t>
            </w:r>
            <w:r>
              <w:rPr>
                <w:b/>
                <w:bCs/>
                <w:color w:val="auto"/>
                <w:spacing w:val="4"/>
                <w:sz w:val="24"/>
                <w:szCs w:val="24"/>
              </w:rPr>
              <w:t>境影</w:t>
            </w:r>
            <w:r>
              <w:rPr>
                <w:b/>
                <w:bCs/>
                <w:color w:val="auto"/>
                <w:sz w:val="24"/>
                <w:szCs w:val="24"/>
              </w:rPr>
              <w:t xml:space="preserve"> </w:t>
            </w:r>
            <w:r>
              <w:rPr>
                <w:b/>
                <w:bCs/>
                <w:color w:val="auto"/>
                <w:spacing w:val="4"/>
                <w:sz w:val="24"/>
                <w:szCs w:val="24"/>
              </w:rPr>
              <w:t>响和</w:t>
            </w:r>
            <w:r>
              <w:rPr>
                <w:b/>
                <w:bCs/>
                <w:color w:val="auto"/>
                <w:sz w:val="24"/>
                <w:szCs w:val="24"/>
              </w:rPr>
              <w:t xml:space="preserve"> </w:t>
            </w:r>
            <w:r>
              <w:rPr>
                <w:b/>
                <w:bCs/>
                <w:color w:val="auto"/>
                <w:spacing w:val="4"/>
                <w:sz w:val="24"/>
                <w:szCs w:val="24"/>
              </w:rPr>
              <w:t>保护</w:t>
            </w:r>
            <w:r>
              <w:rPr>
                <w:b/>
                <w:bCs/>
                <w:color w:val="auto"/>
                <w:sz w:val="24"/>
                <w:szCs w:val="24"/>
              </w:rPr>
              <w:t xml:space="preserve"> </w:t>
            </w:r>
            <w:r>
              <w:rPr>
                <w:b/>
                <w:bCs/>
                <w:color w:val="auto"/>
                <w:spacing w:val="4"/>
                <w:sz w:val="24"/>
                <w:szCs w:val="24"/>
              </w:rPr>
              <w:t>措施</w:t>
            </w:r>
          </w:p>
        </w:tc>
        <w:tc>
          <w:tcPr>
            <w:tcW w:w="8158" w:type="dxa"/>
            <w:tcBorders>
              <w:top w:val="single" w:color="000000" w:sz="2" w:space="0"/>
              <w:left w:val="single" w:color="000000" w:sz="2" w:space="0"/>
            </w:tcBorders>
            <w:vAlign w:val="top"/>
          </w:tcPr>
          <w:p w14:paraId="1CE79C62">
            <w:pPr>
              <w:pStyle w:val="22"/>
              <w:spacing w:before="161" w:line="220" w:lineRule="auto"/>
              <w:ind w:left="594"/>
              <w:rPr>
                <w:color w:val="auto"/>
              </w:rPr>
            </w:pPr>
            <w:r>
              <w:rPr>
                <w:rFonts w:ascii="Times New Roman" w:hAnsi="Times New Roman" w:eastAsia="Times New Roman" w:cs="Times New Roman"/>
                <w:b/>
                <w:bCs/>
                <w:color w:val="auto"/>
                <w:spacing w:val="-6"/>
              </w:rPr>
              <w:t>1.</w:t>
            </w:r>
            <w:r>
              <w:rPr>
                <w:b/>
                <w:bCs/>
                <w:color w:val="auto"/>
                <w:spacing w:val="-6"/>
              </w:rPr>
              <w:t>废气</w:t>
            </w:r>
          </w:p>
          <w:p w14:paraId="2F47AE2B">
            <w:pPr>
              <w:pStyle w:val="22"/>
              <w:spacing w:before="181" w:line="345" w:lineRule="auto"/>
              <w:ind w:left="109" w:right="129" w:firstLine="479"/>
              <w:rPr>
                <w:color w:val="auto"/>
              </w:rPr>
            </w:pPr>
            <w:r>
              <w:rPr>
                <w:rFonts w:hint="eastAsia"/>
                <w:color w:val="auto"/>
              </w:rPr>
              <w:t>本项目的废气主要有破碎筛分废气、粉料仓粉尘废气、堆场扬尘、投料及搅拌过程粉尘废气、</w:t>
            </w:r>
            <w:r>
              <w:rPr>
                <w:rFonts w:hint="eastAsia"/>
                <w:color w:val="auto"/>
                <w:lang w:val="en-US" w:eastAsia="zh-CN"/>
              </w:rPr>
              <w:t>卸料扬尘、</w:t>
            </w:r>
            <w:r>
              <w:rPr>
                <w:rFonts w:hint="eastAsia"/>
                <w:color w:val="auto"/>
              </w:rPr>
              <w:t>厂内道路扬尘</w:t>
            </w:r>
            <w:r>
              <w:rPr>
                <w:color w:val="auto"/>
                <w:spacing w:val="-2"/>
              </w:rPr>
              <w:t>等。</w:t>
            </w:r>
          </w:p>
          <w:p w14:paraId="3ED055C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601"/>
              <w:textAlignment w:val="baseline"/>
              <w:rPr>
                <w:rFonts w:hint="default" w:eastAsia="宋体"/>
                <w:b/>
                <w:bCs/>
                <w:color w:val="auto"/>
                <w:spacing w:val="-3"/>
                <w:lang w:val="en-US" w:eastAsia="zh-CN"/>
              </w:rPr>
            </w:pPr>
            <w:r>
              <w:rPr>
                <w:rFonts w:hint="eastAsia"/>
                <w:b/>
                <w:bCs/>
                <w:color w:val="auto"/>
                <w:spacing w:val="-3"/>
                <w:lang w:eastAsia="zh-CN"/>
              </w:rPr>
              <w:t>（</w:t>
            </w:r>
            <w:r>
              <w:rPr>
                <w:rFonts w:hint="default" w:ascii="Times New Roman" w:hAnsi="Times New Roman" w:cs="Times New Roman"/>
                <w:b/>
                <w:bCs/>
                <w:color w:val="auto"/>
                <w:spacing w:val="-3"/>
                <w:lang w:val="en-US" w:eastAsia="zh-CN"/>
              </w:rPr>
              <w:t>1</w:t>
            </w:r>
            <w:r>
              <w:rPr>
                <w:rFonts w:hint="eastAsia"/>
                <w:b/>
                <w:bCs/>
                <w:color w:val="auto"/>
                <w:spacing w:val="-3"/>
                <w:lang w:eastAsia="zh-CN"/>
              </w:rPr>
              <w:t>）</w:t>
            </w:r>
            <w:r>
              <w:rPr>
                <w:rFonts w:hint="eastAsia"/>
                <w:b/>
                <w:bCs/>
                <w:color w:val="auto"/>
                <w:spacing w:val="-3"/>
                <w:lang w:val="en-US" w:eastAsia="zh-CN"/>
              </w:rPr>
              <w:t>破碎、筛分废气</w:t>
            </w:r>
          </w:p>
          <w:p w14:paraId="533CE4C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textAlignment w:val="baseline"/>
              <w:rPr>
                <w:rFonts w:hint="default" w:eastAsia="宋体"/>
                <w:color w:val="auto"/>
                <w:spacing w:val="-3"/>
                <w:lang w:val="en-US" w:eastAsia="zh-CN"/>
              </w:rPr>
            </w:pPr>
            <w:r>
              <w:rPr>
                <w:rFonts w:hint="eastAsia"/>
                <w:color w:val="auto"/>
                <w:spacing w:val="-3"/>
                <w:lang w:val="en-US" w:eastAsia="zh-CN"/>
              </w:rPr>
              <w:t>项目石料破碎、筛分过程会产生粉尘废气，河卵石经过粗碎后就进行清洗，因此原料中含有水份，湿度较大，在后续的细碎、筛分过程中粉尘产生量不大，且安装喷淋装置进行喷淋洒水除尘，因此粉尘主要产生于原料粗碎阶段，参考《逸散性工业粉尘控制技术》（中国环境科学出版社）中的粒料加工厂</w:t>
            </w:r>
            <w:r>
              <w:rPr>
                <w:rFonts w:hint="default" w:ascii="Times New Roman" w:hAnsi="Times New Roman" w:cs="Times New Roman"/>
                <w:color w:val="auto"/>
                <w:spacing w:val="-3"/>
                <w:lang w:val="en-US" w:eastAsia="zh-CN"/>
              </w:rPr>
              <w:t>中碎石逸散尘排放因子：破碎和筛选碎石粉尘产生系数为0.25kg/t（</w:t>
            </w:r>
            <w:r>
              <w:rPr>
                <w:rFonts w:hint="eastAsia"/>
                <w:color w:val="auto"/>
                <w:spacing w:val="-3"/>
                <w:lang w:val="en-US" w:eastAsia="zh-CN"/>
              </w:rPr>
              <w:t>破碎料），项目河卵石加工量约为</w:t>
            </w:r>
            <w:r>
              <w:rPr>
                <w:rFonts w:hint="eastAsia" w:ascii="Times New Roman" w:hAnsi="Times New Roman" w:cs="Times New Roman"/>
                <w:color w:val="auto"/>
                <w:spacing w:val="-3"/>
                <w:lang w:val="en-US" w:eastAsia="zh-CN"/>
              </w:rPr>
              <w:t>95136</w:t>
            </w:r>
            <w:r>
              <w:rPr>
                <w:rFonts w:hint="default" w:ascii="Times New Roman" w:hAnsi="Times New Roman" w:cs="Times New Roman"/>
                <w:color w:val="auto"/>
                <w:spacing w:val="-3"/>
                <w:lang w:val="en-US" w:eastAsia="zh-CN"/>
              </w:rPr>
              <w:t>t/a，则粉尘产生量为23.</w:t>
            </w:r>
            <w:r>
              <w:rPr>
                <w:rFonts w:hint="eastAsia" w:ascii="Times New Roman" w:hAnsi="Times New Roman" w:cs="Times New Roman"/>
                <w:color w:val="auto"/>
                <w:spacing w:val="-3"/>
                <w:lang w:val="en-US" w:eastAsia="zh-CN"/>
              </w:rPr>
              <w:t>78</w:t>
            </w:r>
            <w:r>
              <w:rPr>
                <w:rFonts w:hint="default" w:ascii="Times New Roman" w:hAnsi="Times New Roman" w:cs="Times New Roman"/>
                <w:color w:val="auto"/>
                <w:spacing w:val="-3"/>
                <w:lang w:val="en-US" w:eastAsia="zh-CN"/>
              </w:rPr>
              <w:t>t/a</w:t>
            </w:r>
            <w:r>
              <w:rPr>
                <w:rFonts w:hint="eastAsia" w:ascii="Times New Roman" w:hAnsi="Times New Roman" w:cs="Times New Roman"/>
                <w:color w:val="auto"/>
                <w:spacing w:val="-3"/>
                <w:lang w:val="en-US" w:eastAsia="zh-CN"/>
              </w:rPr>
              <w:t>，根据</w:t>
            </w:r>
            <w:r>
              <w:rPr>
                <w:rFonts w:hint="eastAsia"/>
                <w:color w:val="auto"/>
                <w:spacing w:val="-3"/>
                <w:lang w:val="en-US" w:eastAsia="zh-CN"/>
              </w:rPr>
              <w:t>《逸散性工业粉尘控制技术》中“粒料加工厂逸散尘控制技术、效率表”，喷淋洒水</w:t>
            </w:r>
            <w:r>
              <w:rPr>
                <w:rFonts w:hint="eastAsia" w:ascii="Times New Roman" w:hAnsi="Times New Roman" w:cs="Times New Roman"/>
                <w:color w:val="auto"/>
                <w:spacing w:val="-4"/>
                <w:sz w:val="24"/>
                <w:szCs w:val="24"/>
                <w:lang w:val="en-US" w:eastAsia="zh-CN"/>
              </w:rPr>
              <w:t>粉尘的去除效率为70%，则破碎、筛分无组织粉尘排放量为7.135t/a。</w:t>
            </w:r>
          </w:p>
          <w:p w14:paraId="52803AB9">
            <w:pPr>
              <w:pStyle w:val="22"/>
              <w:spacing w:before="37" w:line="360" w:lineRule="auto"/>
              <w:ind w:left="599"/>
              <w:rPr>
                <w:b/>
                <w:bCs/>
                <w:color w:val="auto"/>
              </w:rPr>
            </w:pPr>
            <w:r>
              <w:rPr>
                <w:b/>
                <w:bCs/>
                <w:color w:val="auto"/>
                <w:spacing w:val="-3"/>
              </w:rPr>
              <w:t>（</w:t>
            </w:r>
            <w:r>
              <w:rPr>
                <w:rFonts w:hint="eastAsia" w:ascii="Times New Roman" w:hAnsi="Times New Roman" w:eastAsia="宋体" w:cs="Times New Roman"/>
                <w:b/>
                <w:bCs/>
                <w:color w:val="auto"/>
                <w:spacing w:val="-3"/>
                <w:lang w:val="en-US" w:eastAsia="zh-CN"/>
              </w:rPr>
              <w:t>2</w:t>
            </w:r>
            <w:r>
              <w:rPr>
                <w:b/>
                <w:bCs/>
                <w:color w:val="auto"/>
                <w:spacing w:val="-3"/>
              </w:rPr>
              <w:t>）</w:t>
            </w:r>
            <w:r>
              <w:rPr>
                <w:rFonts w:hint="eastAsia"/>
                <w:b/>
                <w:bCs/>
                <w:color w:val="auto"/>
                <w:spacing w:val="-3"/>
                <w:lang w:val="en-US" w:eastAsia="zh-CN"/>
              </w:rPr>
              <w:t>粉料</w:t>
            </w:r>
            <w:r>
              <w:rPr>
                <w:b/>
                <w:bCs/>
                <w:color w:val="auto"/>
                <w:spacing w:val="-3"/>
              </w:rPr>
              <w:t>仓粉尘</w:t>
            </w:r>
          </w:p>
          <w:p w14:paraId="34DE09B5">
            <w:pPr>
              <w:pStyle w:val="22"/>
              <w:keepNext w:val="0"/>
              <w:keepLines w:val="0"/>
              <w:pageBreakBefore w:val="0"/>
              <w:widowControl/>
              <w:kinsoku w:val="0"/>
              <w:wordWrap/>
              <w:overflowPunct/>
              <w:topLinePunct w:val="0"/>
              <w:autoSpaceDE w:val="0"/>
              <w:autoSpaceDN w:val="0"/>
              <w:bidi w:val="0"/>
              <w:adjustRightInd w:val="0"/>
              <w:snapToGrid w:val="0"/>
              <w:spacing w:line="351" w:lineRule="auto"/>
              <w:ind w:left="113" w:right="102" w:firstLine="482"/>
              <w:textAlignment w:val="baseline"/>
              <w:rPr>
                <w:color w:val="auto"/>
              </w:rPr>
            </w:pPr>
            <w:r>
              <w:rPr>
                <w:color w:val="auto"/>
              </w:rPr>
              <w:t>项目所需的水泥、</w:t>
            </w:r>
            <w:r>
              <w:rPr>
                <w:rFonts w:hint="eastAsia"/>
                <w:color w:val="auto"/>
                <w:lang w:val="en-US" w:eastAsia="zh-CN"/>
              </w:rPr>
              <w:t>粉煤灰</w:t>
            </w:r>
            <w:r>
              <w:rPr>
                <w:color w:val="auto"/>
              </w:rPr>
              <w:t>通过槽罐车运输进厂，由槽罐车自带的空压机</w:t>
            </w:r>
            <w:r>
              <w:rPr>
                <w:color w:val="auto"/>
                <w:spacing w:val="12"/>
              </w:rPr>
              <w:t xml:space="preserve"> </w:t>
            </w:r>
            <w:r>
              <w:rPr>
                <w:color w:val="auto"/>
              </w:rPr>
              <w:t>打入</w:t>
            </w:r>
            <w:r>
              <w:rPr>
                <w:rFonts w:hint="eastAsia"/>
                <w:color w:val="auto"/>
                <w:spacing w:val="-3"/>
                <w:lang w:val="en-US" w:eastAsia="zh-CN"/>
              </w:rPr>
              <w:t>粉料</w:t>
            </w:r>
            <w:r>
              <w:rPr>
                <w:color w:val="auto"/>
                <w:spacing w:val="-3"/>
              </w:rPr>
              <w:t>仓</w:t>
            </w:r>
            <w:r>
              <w:rPr>
                <w:color w:val="auto"/>
              </w:rPr>
              <w:t>，此时产生的含尘废气由仓顶部自带的仓顶除尘器处理，处理后</w:t>
            </w:r>
            <w:r>
              <w:rPr>
                <w:color w:val="auto"/>
                <w:spacing w:val="12"/>
              </w:rPr>
              <w:t xml:space="preserve"> </w:t>
            </w:r>
            <w:r>
              <w:rPr>
                <w:color w:val="auto"/>
                <w:spacing w:val="-1"/>
              </w:rPr>
              <w:t>的含尘废气通过在仓顶设置的排气口排放，属无组织排放。</w:t>
            </w:r>
          </w:p>
          <w:p w14:paraId="3B9DDBD7">
            <w:pPr>
              <w:pStyle w:val="22"/>
              <w:spacing w:before="37" w:line="360" w:lineRule="auto"/>
              <w:ind w:left="102" w:right="102" w:firstLine="485"/>
              <w:rPr>
                <w:color w:val="auto"/>
              </w:rPr>
            </w:pPr>
            <w:r>
              <w:rPr>
                <w:color w:val="auto"/>
                <w:spacing w:val="-2"/>
              </w:rPr>
              <w:t>根据《排放源统计调查产排污核算方法和系数手册》（</w:t>
            </w:r>
            <w:r>
              <w:rPr>
                <w:rFonts w:ascii="Times New Roman" w:hAnsi="Times New Roman" w:eastAsia="Times New Roman" w:cs="Times New Roman"/>
                <w:color w:val="auto"/>
                <w:spacing w:val="-2"/>
              </w:rPr>
              <w:t>2021</w:t>
            </w:r>
            <w:r>
              <w:rPr>
                <w:color w:val="auto"/>
                <w:spacing w:val="-2"/>
              </w:rPr>
              <w:t>版）中</w:t>
            </w:r>
            <w:r>
              <w:rPr>
                <w:color w:val="auto"/>
                <w:spacing w:val="-34"/>
              </w:rPr>
              <w:t xml:space="preserve"> </w:t>
            </w:r>
            <w:r>
              <w:rPr>
                <w:rFonts w:ascii="Times New Roman" w:hAnsi="Times New Roman" w:eastAsia="Times New Roman" w:cs="Times New Roman"/>
                <w:color w:val="auto"/>
                <w:spacing w:val="-2"/>
              </w:rPr>
              <w:t>3021</w:t>
            </w:r>
            <w:r>
              <w:rPr>
                <w:rFonts w:ascii="Times New Roman" w:hAnsi="Times New Roman" w:eastAsia="Times New Roman" w:cs="Times New Roman"/>
                <w:color w:val="auto"/>
              </w:rPr>
              <w:t xml:space="preserve"> </w:t>
            </w:r>
            <w:r>
              <w:rPr>
                <w:color w:val="auto"/>
                <w:spacing w:val="-1"/>
              </w:rPr>
              <w:t>水泥制品制造，其物料输送储存粉尘产生量按</w:t>
            </w:r>
            <w:r>
              <w:rPr>
                <w:color w:val="auto"/>
                <w:spacing w:val="-51"/>
              </w:rPr>
              <w:t xml:space="preserve"> </w:t>
            </w:r>
            <w:r>
              <w:rPr>
                <w:rFonts w:ascii="Times New Roman" w:hAnsi="Times New Roman" w:eastAsia="Times New Roman" w:cs="Times New Roman"/>
                <w:color w:val="auto"/>
                <w:spacing w:val="-1"/>
              </w:rPr>
              <w:t>0.</w:t>
            </w:r>
            <w:r>
              <w:rPr>
                <w:rFonts w:ascii="Times New Roman" w:hAnsi="Times New Roman" w:eastAsia="Times New Roman" w:cs="Times New Roman"/>
                <w:color w:val="auto"/>
                <w:spacing w:val="-32"/>
              </w:rPr>
              <w:t xml:space="preserve"> </w:t>
            </w:r>
            <w:r>
              <w:rPr>
                <w:rFonts w:ascii="Times New Roman" w:hAnsi="Times New Roman" w:eastAsia="Times New Roman" w:cs="Times New Roman"/>
                <w:color w:val="auto"/>
                <w:spacing w:val="-1"/>
              </w:rPr>
              <w:t>12kg/t-</w:t>
            </w:r>
            <w:r>
              <w:rPr>
                <w:color w:val="auto"/>
                <w:spacing w:val="-1"/>
              </w:rPr>
              <w:t>产品计。本</w:t>
            </w:r>
            <w:r>
              <w:rPr>
                <w:color w:val="auto"/>
                <w:spacing w:val="-2"/>
              </w:rPr>
              <w:t>项目年产</w:t>
            </w:r>
            <w:r>
              <w:rPr>
                <w:color w:val="auto"/>
              </w:rPr>
              <w:t xml:space="preserve"> </w:t>
            </w:r>
            <w:r>
              <w:rPr>
                <w:rFonts w:hint="eastAsia" w:ascii="Times New Roman" w:hAnsi="Times New Roman" w:eastAsia="宋体" w:cs="Times New Roman"/>
                <w:color w:val="auto"/>
                <w:spacing w:val="-2"/>
                <w:lang w:val="en-US" w:eastAsia="zh-CN"/>
              </w:rPr>
              <w:t>5</w:t>
            </w:r>
            <w:r>
              <w:rPr>
                <w:color w:val="auto"/>
                <w:spacing w:val="-2"/>
              </w:rPr>
              <w:t>万立方商品混凝土（约</w:t>
            </w:r>
            <w:r>
              <w:rPr>
                <w:color w:val="auto"/>
                <w:spacing w:val="-51"/>
              </w:rPr>
              <w:t xml:space="preserve"> </w:t>
            </w:r>
            <w:r>
              <w:rPr>
                <w:rFonts w:hint="eastAsia" w:ascii="Times New Roman" w:hAnsi="Times New Roman" w:eastAsia="宋体" w:cs="Times New Roman"/>
                <w:color w:val="auto"/>
                <w:spacing w:val="-2"/>
                <w:lang w:val="en-US" w:eastAsia="zh-CN"/>
              </w:rPr>
              <w:t>12</w:t>
            </w:r>
            <w:r>
              <w:rPr>
                <w:color w:val="auto"/>
                <w:spacing w:val="-2"/>
              </w:rPr>
              <w:t>万吨</w:t>
            </w:r>
            <w:r>
              <w:rPr>
                <w:color w:val="auto"/>
                <w:spacing w:val="12"/>
              </w:rPr>
              <w:t>），</w:t>
            </w:r>
            <w:r>
              <w:rPr>
                <w:color w:val="auto"/>
                <w:spacing w:val="-2"/>
              </w:rPr>
              <w:t>则本项目</w:t>
            </w:r>
            <w:r>
              <w:rPr>
                <w:rFonts w:hint="eastAsia"/>
                <w:color w:val="auto"/>
                <w:spacing w:val="-2"/>
                <w:lang w:val="en-US" w:eastAsia="zh-CN"/>
              </w:rPr>
              <w:t>粉料</w:t>
            </w:r>
            <w:r>
              <w:rPr>
                <w:color w:val="auto"/>
                <w:spacing w:val="-2"/>
              </w:rPr>
              <w:t>仓产生的粉尘为</w:t>
            </w:r>
            <w:r>
              <w:rPr>
                <w:rFonts w:hint="default" w:ascii="Times New Roman" w:hAnsi="Times New Roman" w:cs="Times New Roman"/>
                <w:color w:val="auto"/>
                <w:spacing w:val="-2"/>
                <w:lang w:val="en-US" w:eastAsia="zh-CN"/>
              </w:rPr>
              <w:t>14.4t/a</w:t>
            </w:r>
            <w:r>
              <w:rPr>
                <w:color w:val="auto"/>
                <w:spacing w:val="-1"/>
              </w:rPr>
              <w:t>。</w:t>
            </w:r>
          </w:p>
          <w:p w14:paraId="7EB61214">
            <w:pPr>
              <w:pStyle w:val="22"/>
              <w:spacing w:before="47" w:line="360" w:lineRule="auto"/>
              <w:ind w:left="102" w:right="103" w:firstLine="485"/>
              <w:jc w:val="both"/>
              <w:rPr>
                <w:color w:val="auto"/>
                <w:spacing w:val="-1"/>
              </w:rPr>
            </w:pPr>
            <w:r>
              <w:rPr>
                <w:color w:val="auto"/>
              </w:rPr>
              <w:t>根据业主提供资料，项目各</w:t>
            </w:r>
            <w:r>
              <w:rPr>
                <w:rFonts w:hint="eastAsia"/>
                <w:color w:val="auto"/>
                <w:spacing w:val="-3"/>
                <w:lang w:val="en-US" w:eastAsia="zh-CN"/>
              </w:rPr>
              <w:t>粉料</w:t>
            </w:r>
            <w:r>
              <w:rPr>
                <w:color w:val="auto"/>
                <w:spacing w:val="-3"/>
              </w:rPr>
              <w:t>仓</w:t>
            </w:r>
            <w:r>
              <w:rPr>
                <w:color w:val="auto"/>
              </w:rPr>
              <w:t>顶均自带一个</w:t>
            </w:r>
            <w:r>
              <w:rPr>
                <w:color w:val="auto"/>
                <w:spacing w:val="-1"/>
              </w:rPr>
              <w:t>脉冲布袋除尘器，</w:t>
            </w:r>
            <w:r>
              <w:rPr>
                <w:rFonts w:hint="eastAsia"/>
                <w:color w:val="auto"/>
                <w:spacing w:val="-3"/>
                <w:lang w:val="en-US" w:eastAsia="zh-CN"/>
              </w:rPr>
              <w:t>粉料</w:t>
            </w:r>
            <w:r>
              <w:rPr>
                <w:color w:val="auto"/>
                <w:spacing w:val="-3"/>
              </w:rPr>
              <w:t>仓</w:t>
            </w:r>
            <w:r>
              <w:rPr>
                <w:color w:val="auto"/>
                <w:spacing w:val="-1"/>
              </w:rPr>
              <w:t>共</w:t>
            </w:r>
            <w:r>
              <w:rPr>
                <w:rFonts w:hint="default" w:ascii="Times New Roman" w:hAnsi="Times New Roman" w:cs="Times New Roman"/>
                <w:color w:val="auto"/>
                <w:lang w:val="en-US" w:eastAsia="zh-CN"/>
              </w:rPr>
              <w:t>2</w:t>
            </w:r>
            <w:r>
              <w:rPr>
                <w:rFonts w:hint="default" w:ascii="Times New Roman" w:hAnsi="Times New Roman" w:cs="Times New Roman"/>
                <w:color w:val="auto"/>
                <w:spacing w:val="-3"/>
              </w:rPr>
              <w:t>个，共设</w:t>
            </w:r>
            <w:r>
              <w:rPr>
                <w:rFonts w:hint="eastAsia" w:ascii="Times New Roman" w:hAnsi="Times New Roman" w:cs="Times New Roman"/>
                <w:color w:val="auto"/>
                <w:spacing w:val="-3"/>
                <w:lang w:val="en-US" w:eastAsia="zh-CN"/>
              </w:rPr>
              <w:t>2套</w:t>
            </w:r>
            <w:r>
              <w:rPr>
                <w:rFonts w:hint="default" w:ascii="Times New Roman" w:hAnsi="Times New Roman" w:cs="Times New Roman"/>
                <w:color w:val="auto"/>
                <w:spacing w:val="-3"/>
              </w:rPr>
              <w:t>脉</w:t>
            </w:r>
            <w:r>
              <w:rPr>
                <w:color w:val="auto"/>
                <w:spacing w:val="-3"/>
              </w:rPr>
              <w:t>冲布袋除尘器；</w:t>
            </w:r>
            <w:r>
              <w:rPr>
                <w:rFonts w:hint="eastAsia"/>
                <w:color w:val="auto"/>
                <w:spacing w:val="-3"/>
                <w:lang w:val="en-US" w:eastAsia="zh-CN"/>
              </w:rPr>
              <w:t>根据</w:t>
            </w:r>
            <w:r>
              <w:rPr>
                <w:color w:val="auto"/>
                <w:spacing w:val="-2"/>
              </w:rPr>
              <w:t>《排放源统计调查产排污核算方法和系数手册》（</w:t>
            </w:r>
            <w:r>
              <w:rPr>
                <w:rFonts w:ascii="Times New Roman" w:hAnsi="Times New Roman" w:eastAsia="Times New Roman" w:cs="Times New Roman"/>
                <w:color w:val="auto"/>
                <w:spacing w:val="-2"/>
              </w:rPr>
              <w:t>2021</w:t>
            </w:r>
            <w:r>
              <w:rPr>
                <w:color w:val="auto"/>
                <w:spacing w:val="-2"/>
              </w:rPr>
              <w:t>版）中</w:t>
            </w:r>
            <w:r>
              <w:rPr>
                <w:rFonts w:ascii="Times New Roman" w:hAnsi="Times New Roman" w:eastAsia="Times New Roman" w:cs="Times New Roman"/>
                <w:color w:val="auto"/>
                <w:spacing w:val="-2"/>
              </w:rPr>
              <w:t>3021</w:t>
            </w:r>
            <w:r>
              <w:rPr>
                <w:color w:val="auto"/>
                <w:spacing w:val="-1"/>
              </w:rPr>
              <w:t>水泥制品制造</w:t>
            </w:r>
            <w:r>
              <w:rPr>
                <w:rFonts w:hint="eastAsia"/>
                <w:color w:val="auto"/>
                <w:spacing w:val="-1"/>
                <w:lang w:eastAsia="zh-CN"/>
              </w:rPr>
              <w:t>，</w:t>
            </w:r>
            <w:r>
              <w:rPr>
                <w:rFonts w:hint="eastAsia"/>
                <w:color w:val="auto"/>
                <w:spacing w:val="-1"/>
                <w:lang w:val="en-US" w:eastAsia="zh-CN"/>
              </w:rPr>
              <w:t>袋式除尘器治理效率为</w:t>
            </w:r>
            <w:r>
              <w:rPr>
                <w:rFonts w:hint="default" w:ascii="Times New Roman" w:hAnsi="Times New Roman" w:cs="Times New Roman"/>
                <w:color w:val="auto"/>
                <w:spacing w:val="-1"/>
                <w:lang w:val="en-US" w:eastAsia="zh-CN"/>
              </w:rPr>
              <w:t>99.7%</w:t>
            </w:r>
            <w:r>
              <w:rPr>
                <w:rFonts w:hint="eastAsia"/>
                <w:color w:val="auto"/>
                <w:spacing w:val="-1"/>
                <w:lang w:val="en-US" w:eastAsia="zh-CN"/>
              </w:rPr>
              <w:t>，</w:t>
            </w:r>
            <w:r>
              <w:rPr>
                <w:color w:val="auto"/>
                <w:spacing w:val="-4"/>
              </w:rPr>
              <w:t>则</w:t>
            </w:r>
            <w:r>
              <w:rPr>
                <w:rFonts w:hint="eastAsia"/>
                <w:color w:val="auto"/>
                <w:spacing w:val="-4"/>
                <w:lang w:val="en-US" w:eastAsia="zh-CN"/>
              </w:rPr>
              <w:t>粉料仓</w:t>
            </w:r>
            <w:r>
              <w:rPr>
                <w:color w:val="auto"/>
                <w:spacing w:val="-4"/>
              </w:rPr>
              <w:t>粉尘排</w:t>
            </w:r>
            <w:r>
              <w:rPr>
                <w:color w:val="auto"/>
                <w:spacing w:val="-1"/>
              </w:rPr>
              <w:t>放量为</w:t>
            </w:r>
            <w:r>
              <w:rPr>
                <w:color w:val="auto"/>
                <w:spacing w:val="-45"/>
              </w:rPr>
              <w:t xml:space="preserve"> </w:t>
            </w:r>
            <w:r>
              <w:rPr>
                <w:rFonts w:ascii="Times New Roman" w:hAnsi="Times New Roman" w:eastAsia="Times New Roman" w:cs="Times New Roman"/>
                <w:color w:val="auto"/>
                <w:spacing w:val="-1"/>
              </w:rPr>
              <w:t>0.</w:t>
            </w:r>
            <w:r>
              <w:rPr>
                <w:rFonts w:hint="eastAsia" w:ascii="Times New Roman" w:hAnsi="Times New Roman" w:eastAsia="宋体" w:cs="Times New Roman"/>
                <w:color w:val="auto"/>
                <w:spacing w:val="-1"/>
                <w:lang w:val="en-US" w:eastAsia="zh-CN"/>
              </w:rPr>
              <w:t>043</w:t>
            </w:r>
            <w:r>
              <w:rPr>
                <w:rFonts w:ascii="Times New Roman" w:hAnsi="Times New Roman" w:eastAsia="Times New Roman" w:cs="Times New Roman"/>
                <w:color w:val="auto"/>
                <w:spacing w:val="-1"/>
              </w:rPr>
              <w:t>t/a</w:t>
            </w:r>
            <w:r>
              <w:rPr>
                <w:color w:val="auto"/>
                <w:spacing w:val="-1"/>
              </w:rPr>
              <w:t>。</w:t>
            </w:r>
          </w:p>
          <w:p w14:paraId="6127A5D8">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601"/>
              <w:textAlignment w:val="baseline"/>
              <w:rPr>
                <w:color w:val="auto"/>
              </w:rPr>
            </w:pPr>
            <w:r>
              <w:rPr>
                <w:b/>
                <w:bCs/>
                <w:color w:val="auto"/>
                <w:spacing w:val="-4"/>
              </w:rPr>
              <w:t>（</w:t>
            </w:r>
            <w:r>
              <w:rPr>
                <w:rFonts w:ascii="Times New Roman" w:hAnsi="Times New Roman" w:eastAsia="Times New Roman" w:cs="Times New Roman"/>
                <w:b/>
                <w:bCs/>
                <w:color w:val="auto"/>
                <w:spacing w:val="-4"/>
              </w:rPr>
              <w:t>3</w:t>
            </w:r>
            <w:r>
              <w:rPr>
                <w:b/>
                <w:bCs/>
                <w:color w:val="auto"/>
                <w:spacing w:val="-4"/>
              </w:rPr>
              <w:t>）投料及搅拌粉尘</w:t>
            </w:r>
          </w:p>
          <w:p w14:paraId="61888EE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2" w:firstLine="472" w:firstLineChars="200"/>
              <w:jc w:val="both"/>
              <w:textAlignment w:val="baseline"/>
              <w:rPr>
                <w:rFonts w:hint="eastAsia"/>
                <w:color w:val="auto"/>
                <w:spacing w:val="-1"/>
                <w:lang w:val="en-US" w:eastAsia="zh-CN"/>
              </w:rPr>
            </w:pPr>
            <w:r>
              <w:rPr>
                <w:color w:val="auto"/>
                <w:spacing w:val="-2"/>
              </w:rPr>
              <w:t>根据《排放源统计调查产排污核算方法和系数手册》（</w:t>
            </w:r>
            <w:r>
              <w:rPr>
                <w:rFonts w:ascii="Times New Roman" w:hAnsi="Times New Roman" w:eastAsia="Times New Roman" w:cs="Times New Roman"/>
                <w:color w:val="auto"/>
                <w:spacing w:val="-2"/>
              </w:rPr>
              <w:t>2021</w:t>
            </w:r>
            <w:r>
              <w:rPr>
                <w:color w:val="auto"/>
                <w:spacing w:val="-2"/>
              </w:rPr>
              <w:t>版）中</w:t>
            </w:r>
            <w:r>
              <w:rPr>
                <w:color w:val="auto"/>
                <w:spacing w:val="-34"/>
              </w:rPr>
              <w:t xml:space="preserve"> </w:t>
            </w:r>
            <w:r>
              <w:rPr>
                <w:rFonts w:ascii="Times New Roman" w:hAnsi="Times New Roman" w:eastAsia="Times New Roman" w:cs="Times New Roman"/>
                <w:color w:val="auto"/>
                <w:spacing w:val="-2"/>
              </w:rPr>
              <w:t>3021</w:t>
            </w:r>
            <w:r>
              <w:rPr>
                <w:rFonts w:ascii="Times New Roman" w:hAnsi="Times New Roman" w:eastAsia="Times New Roman" w:cs="Times New Roman"/>
                <w:color w:val="auto"/>
              </w:rPr>
              <w:t xml:space="preserve"> </w:t>
            </w:r>
            <w:r>
              <w:rPr>
                <w:color w:val="auto"/>
                <w:spacing w:val="-1"/>
              </w:rPr>
              <w:t>水泥制品制造，其物料混合搅拌粉尘产生量按</w:t>
            </w:r>
            <w:r>
              <w:rPr>
                <w:color w:val="auto"/>
                <w:spacing w:val="-51"/>
              </w:rPr>
              <w:t xml:space="preserve"> </w:t>
            </w:r>
            <w:r>
              <w:rPr>
                <w:rFonts w:ascii="Times New Roman" w:hAnsi="Times New Roman" w:eastAsia="Times New Roman" w:cs="Times New Roman"/>
                <w:color w:val="auto"/>
                <w:spacing w:val="-1"/>
              </w:rPr>
              <w:t>0.</w:t>
            </w:r>
            <w:r>
              <w:rPr>
                <w:rFonts w:ascii="Times New Roman" w:hAnsi="Times New Roman" w:eastAsia="Times New Roman" w:cs="Times New Roman"/>
                <w:color w:val="auto"/>
                <w:spacing w:val="-32"/>
              </w:rPr>
              <w:t xml:space="preserve"> </w:t>
            </w:r>
            <w:r>
              <w:rPr>
                <w:rFonts w:ascii="Times New Roman" w:hAnsi="Times New Roman" w:eastAsia="Times New Roman" w:cs="Times New Roman"/>
                <w:color w:val="auto"/>
                <w:spacing w:val="-1"/>
              </w:rPr>
              <w:t>13kg/t-</w:t>
            </w:r>
            <w:r>
              <w:rPr>
                <w:color w:val="auto"/>
                <w:spacing w:val="-1"/>
              </w:rPr>
              <w:t>产品计。本</w:t>
            </w:r>
            <w:r>
              <w:rPr>
                <w:color w:val="auto"/>
                <w:spacing w:val="-2"/>
              </w:rPr>
              <w:t>项目年产</w:t>
            </w:r>
            <w:r>
              <w:rPr>
                <w:color w:val="auto"/>
              </w:rPr>
              <w:t xml:space="preserve"> </w:t>
            </w:r>
            <w:r>
              <w:rPr>
                <w:rFonts w:hint="eastAsia" w:ascii="Times New Roman" w:hAnsi="Times New Roman" w:eastAsia="宋体" w:cs="Times New Roman"/>
                <w:color w:val="auto"/>
                <w:spacing w:val="-4"/>
                <w:lang w:val="en-US" w:eastAsia="zh-CN"/>
              </w:rPr>
              <w:t>5</w:t>
            </w:r>
            <w:r>
              <w:rPr>
                <w:color w:val="auto"/>
                <w:spacing w:val="-4"/>
              </w:rPr>
              <w:t>万立方商品混凝土（约</w:t>
            </w:r>
            <w:r>
              <w:rPr>
                <w:color w:val="auto"/>
                <w:spacing w:val="-50"/>
              </w:rPr>
              <w:t xml:space="preserve"> </w:t>
            </w:r>
            <w:r>
              <w:rPr>
                <w:rFonts w:hint="eastAsia" w:ascii="Times New Roman" w:hAnsi="Times New Roman" w:eastAsia="宋体" w:cs="Times New Roman"/>
                <w:color w:val="auto"/>
                <w:spacing w:val="-4"/>
                <w:lang w:val="en-US" w:eastAsia="zh-CN"/>
              </w:rPr>
              <w:t>12</w:t>
            </w:r>
            <w:r>
              <w:rPr>
                <w:color w:val="auto"/>
                <w:spacing w:val="-4"/>
              </w:rPr>
              <w:t>万吨</w:t>
            </w:r>
            <w:r>
              <w:rPr>
                <w:color w:val="auto"/>
                <w:spacing w:val="-64"/>
              </w:rPr>
              <w:t>），</w:t>
            </w:r>
            <w:r>
              <w:rPr>
                <w:color w:val="auto"/>
                <w:spacing w:val="-4"/>
              </w:rPr>
              <w:t>则本项目投料及搅拌粉尘量为</w:t>
            </w:r>
            <w:r>
              <w:rPr>
                <w:color w:val="auto"/>
                <w:spacing w:val="-32"/>
              </w:rPr>
              <w:t xml:space="preserve"> </w:t>
            </w:r>
            <w:r>
              <w:rPr>
                <w:rFonts w:hint="eastAsia" w:ascii="Times New Roman" w:hAnsi="Times New Roman" w:eastAsia="宋体" w:cs="Times New Roman"/>
                <w:color w:val="auto"/>
                <w:spacing w:val="-4"/>
                <w:lang w:val="en-US" w:eastAsia="zh-CN"/>
              </w:rPr>
              <w:t>15.6</w:t>
            </w:r>
            <w:r>
              <w:rPr>
                <w:rFonts w:ascii="Times New Roman" w:hAnsi="Times New Roman" w:eastAsia="Times New Roman" w:cs="Times New Roman"/>
                <w:color w:val="auto"/>
                <w:spacing w:val="-5"/>
              </w:rPr>
              <w:t>t/a</w:t>
            </w:r>
            <w:r>
              <w:rPr>
                <w:rFonts w:hint="eastAsia" w:ascii="Times New Roman" w:hAnsi="Times New Roman" w:eastAsia="宋体" w:cs="Times New Roman"/>
                <w:color w:val="auto"/>
                <w:spacing w:val="-5"/>
                <w:lang w:eastAsia="zh-CN"/>
              </w:rPr>
              <w:t>，</w:t>
            </w:r>
            <w:r>
              <w:rPr>
                <w:color w:val="auto"/>
                <w:spacing w:val="-1"/>
              </w:rPr>
              <w:t>通过自带的</w:t>
            </w:r>
            <w:r>
              <w:rPr>
                <w:color w:val="auto"/>
              </w:rPr>
              <w:fldChar w:fldCharType="begin"/>
            </w:r>
            <w:r>
              <w:rPr>
                <w:color w:val="auto"/>
              </w:rPr>
              <w:instrText xml:space="preserve"> HYPERLINK "http://e.so.com/search/eclk?p=2279lMzFgty4ZG2SEokmn_7tABGyngDHrfu1YiJyHLTbfNu5eOnFIpHN6o6XrmHj-j8tE6ORSg8F62kbpf0f0sUCok7SynvjxpXANUUk9VQgJU1qXrhmunxGkloUyUHq1SbSoMzhfTKuztkG8yFkXm7kikLmNON91ljnJiTwNSjDZCX4gQKO10rkk4Lq0t--7nVIRJxef-qbCn6f_esIj5D1TR0iDeQUTJ6RnmoKVcoi3AlKleXJCa1CA_vYBzbRfrf8MZMvLW8zY7GhHh5F3ETHOVR7C0naQl5NlJF1mbk9PnQB_Ndw1WFxbZtuAOeVtWuyJkjcWwQN6ujb3gh1tsw41gvv2T_I0UgwPZaSqsRqJvbuWx3c1lKen_XnGJbIUuOMDPC1zy5sUB4JGrel9iFhK9-AlBMSGhYmoy_TcFVCiJGXy3rzFTlNYMxl6Jq4b-EGoRg28RAGIG67GHdBhnV3liy585f8dkn7DCsruGusPDFkl4m--YVHAQLn79CG3XcGLOx8FYremnzuj1Bm2HyulUiscnRHfhNw_sOcSfSxvY9ZOB8WFxmQt0FtEjlvKqtRPFQBDEaXfyoVj4ybIZ2y70Nzaaj-yIGsR_XXXNS9bXkicSI2owu7sTIWbuh0juX-QHCXIO0I73Up6-jv7vnLL3f_2MgLnuXJkeWOvzgjdhDyWOlbqNW7CgZ2hMmHT3FTvSRfsLybzGNasZcgjIuLTtS7bGZdpxyTtOYq4D-4hybGZ1tJMPWAh59y4bEcwTDuVzvzaCLnpInuj0eryLnGX0QdpnyjypQOSOkDZ8ORjy97PKxQoIB9oUME3Tl6Wyzw4ndpJEJlsQWirJufkDR270F8LkFzyiGJ3NuT5-gniDnmQ7te4tw9Hsx1zmgSmyhKYYGRGus&amp;ns=0&amp;v=2&amp;at=AeiEieWGsuW4g-iii-S7k-mhtumZpOWwmOWZqALljoLlrrbnm7TplIAg546w6LSn5L6b5bqU&amp;aurl=aHR0cDovL3d3dy5zaGNodWNoZW44LmNvbS9jY3Ev&amp;sig=930d&amp;bt=1&amp;st=1622099340166&amp;dd=1622099344486&amp;cl=37&amp;cr=2&amp;dw=540&amp;dh=803&amp;px=126&amp;py=570&amp;kd=2&amp;p1=112&amp;p2=3&amp;p3=3&amp;p4=33&amp;ud=1622099344616" </w:instrText>
            </w:r>
            <w:r>
              <w:rPr>
                <w:color w:val="auto"/>
              </w:rPr>
              <w:fldChar w:fldCharType="separate"/>
            </w:r>
            <w:r>
              <w:rPr>
                <w:color w:val="auto"/>
                <w:spacing w:val="-1"/>
              </w:rPr>
              <w:t>脉冲布袋除尘器</w:t>
            </w:r>
            <w:r>
              <w:rPr>
                <w:color w:val="auto"/>
                <w:spacing w:val="-1"/>
              </w:rPr>
              <w:fldChar w:fldCharType="end"/>
            </w:r>
            <w:r>
              <w:rPr>
                <w:color w:val="auto"/>
                <w:spacing w:val="-1"/>
              </w:rPr>
              <w:t>处理，</w:t>
            </w:r>
            <w:r>
              <w:rPr>
                <w:rFonts w:hint="default" w:ascii="Times New Roman" w:hAnsi="Times New Roman" w:cs="Times New Roman"/>
                <w:color w:val="auto"/>
                <w:spacing w:val="-1"/>
                <w:lang w:val="en-US" w:eastAsia="zh-CN"/>
              </w:rPr>
              <w:t>设计风量为</w:t>
            </w:r>
            <w:r>
              <w:rPr>
                <w:rFonts w:hint="eastAsia" w:ascii="Times New Roman" w:hAnsi="Times New Roman" w:cs="Times New Roman"/>
                <w:color w:val="auto"/>
                <w:spacing w:val="-1"/>
                <w:lang w:val="en-US" w:eastAsia="zh-CN"/>
              </w:rPr>
              <w:t>20</w:t>
            </w:r>
            <w:r>
              <w:rPr>
                <w:rFonts w:hint="default" w:ascii="Times New Roman" w:hAnsi="Times New Roman" w:cs="Times New Roman"/>
                <w:color w:val="auto"/>
                <w:spacing w:val="-1"/>
                <w:lang w:val="en-US" w:eastAsia="zh-CN"/>
              </w:rPr>
              <w:t>000m</w:t>
            </w:r>
            <w:r>
              <w:rPr>
                <w:rFonts w:hint="default" w:ascii="Times New Roman" w:hAnsi="Times New Roman" w:cs="Times New Roman"/>
                <w:color w:val="auto"/>
                <w:spacing w:val="-1"/>
                <w:vertAlign w:val="superscript"/>
                <w:lang w:val="en-US" w:eastAsia="zh-CN"/>
              </w:rPr>
              <w:t>3</w:t>
            </w:r>
            <w:r>
              <w:rPr>
                <w:rFonts w:hint="default" w:ascii="Times New Roman" w:hAnsi="Times New Roman" w:cs="Times New Roman"/>
                <w:color w:val="auto"/>
                <w:spacing w:val="-1"/>
                <w:lang w:val="en-US" w:eastAsia="zh-CN"/>
              </w:rPr>
              <w:t>/h</w:t>
            </w:r>
            <w:r>
              <w:rPr>
                <w:rFonts w:hint="eastAsia"/>
                <w:color w:val="auto"/>
                <w:spacing w:val="-1"/>
                <w:lang w:val="en-US" w:eastAsia="zh-CN"/>
              </w:rPr>
              <w:t>，</w:t>
            </w:r>
            <w:r>
              <w:rPr>
                <w:color w:val="auto"/>
                <w:spacing w:val="-1"/>
              </w:rPr>
              <w:t>去除效率</w:t>
            </w:r>
            <w:r>
              <w:rPr>
                <w:rFonts w:hint="eastAsia"/>
                <w:color w:val="auto"/>
                <w:spacing w:val="-1"/>
                <w:lang w:val="en-US" w:eastAsia="zh-CN"/>
              </w:rPr>
              <w:t>为</w:t>
            </w:r>
            <w:r>
              <w:rPr>
                <w:color w:val="auto"/>
                <w:spacing w:val="-47"/>
              </w:rPr>
              <w:t xml:space="preserve"> </w:t>
            </w:r>
            <w:r>
              <w:rPr>
                <w:rFonts w:ascii="Times New Roman" w:hAnsi="Times New Roman" w:eastAsia="Times New Roman" w:cs="Times New Roman"/>
                <w:color w:val="auto"/>
                <w:spacing w:val="-1"/>
              </w:rPr>
              <w:t>99.</w:t>
            </w:r>
            <w:r>
              <w:rPr>
                <w:rFonts w:hint="eastAsia" w:ascii="Times New Roman" w:hAnsi="Times New Roman" w:eastAsia="宋体" w:cs="Times New Roman"/>
                <w:color w:val="auto"/>
                <w:spacing w:val="-1"/>
                <w:lang w:val="en-US" w:eastAsia="zh-CN"/>
              </w:rPr>
              <w:t>7</w:t>
            </w:r>
            <w:r>
              <w:rPr>
                <w:rFonts w:ascii="Times New Roman" w:hAnsi="Times New Roman" w:eastAsia="Times New Roman" w:cs="Times New Roman"/>
                <w:color w:val="auto"/>
                <w:spacing w:val="-1"/>
              </w:rPr>
              <w:t>%</w:t>
            </w:r>
            <w:r>
              <w:rPr>
                <w:rFonts w:ascii="Times New Roman" w:hAnsi="Times New Roman" w:eastAsia="Times New Roman" w:cs="Times New Roman"/>
                <w:color w:val="auto"/>
                <w:spacing w:val="-30"/>
              </w:rPr>
              <w:t xml:space="preserve"> </w:t>
            </w:r>
            <w:r>
              <w:rPr>
                <w:color w:val="auto"/>
                <w:spacing w:val="-1"/>
              </w:rPr>
              <w:t>，排放量为</w:t>
            </w:r>
            <w:r>
              <w:rPr>
                <w:color w:val="auto"/>
                <w:spacing w:val="-50"/>
              </w:rPr>
              <w:t xml:space="preserve"> </w:t>
            </w:r>
            <w:r>
              <w:rPr>
                <w:rFonts w:ascii="Times New Roman" w:hAnsi="Times New Roman" w:eastAsia="Times New Roman" w:cs="Times New Roman"/>
                <w:color w:val="auto"/>
                <w:spacing w:val="-1"/>
              </w:rPr>
              <w:t>0.</w:t>
            </w:r>
            <w:r>
              <w:rPr>
                <w:rFonts w:hint="eastAsia" w:ascii="Times New Roman" w:hAnsi="Times New Roman" w:eastAsia="宋体" w:cs="Times New Roman"/>
                <w:color w:val="auto"/>
                <w:spacing w:val="-1"/>
                <w:lang w:val="en-US" w:eastAsia="zh-CN"/>
              </w:rPr>
              <w:t>047</w:t>
            </w:r>
            <w:r>
              <w:rPr>
                <w:rFonts w:ascii="Times New Roman" w:hAnsi="Times New Roman" w:eastAsia="Times New Roman" w:cs="Times New Roman"/>
                <w:color w:val="auto"/>
                <w:spacing w:val="-1"/>
              </w:rPr>
              <w:t>t/a</w:t>
            </w:r>
            <w:r>
              <w:rPr>
                <w:color w:val="auto"/>
                <w:spacing w:val="5"/>
              </w:rPr>
              <w:t>，</w:t>
            </w:r>
            <w:r>
              <w:rPr>
                <w:rFonts w:hint="default" w:ascii="Times New Roman" w:hAnsi="Times New Roman" w:cs="Times New Roman"/>
                <w:color w:val="auto"/>
                <w:spacing w:val="5"/>
                <w:lang w:val="en-US" w:eastAsia="zh-CN"/>
              </w:rPr>
              <w:t>处理后通过15m高排气筒排放</w:t>
            </w:r>
            <w:r>
              <w:rPr>
                <w:color w:val="auto"/>
                <w:spacing w:val="-1"/>
              </w:rPr>
              <w:t>。</w:t>
            </w:r>
            <w:r>
              <w:rPr>
                <w:rFonts w:hint="eastAsia"/>
                <w:color w:val="auto"/>
                <w:spacing w:val="-1"/>
                <w:lang w:val="en-US" w:eastAsia="zh-CN"/>
              </w:rPr>
              <w:t>本项目投料及搅拌粉尘产排情况见下表：</w:t>
            </w:r>
          </w:p>
          <w:p w14:paraId="535BCA1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2"/>
              <w:jc w:val="center"/>
              <w:textAlignment w:val="baseline"/>
              <w:rPr>
                <w:rFonts w:hint="eastAsia"/>
                <w:b/>
                <w:bCs/>
                <w:color w:val="auto"/>
                <w:spacing w:val="-1"/>
                <w:lang w:val="en-US" w:eastAsia="zh-CN"/>
              </w:rPr>
            </w:pPr>
            <w:r>
              <w:rPr>
                <w:rFonts w:hint="default" w:ascii="Times New Roman" w:hAnsi="Times New Roman" w:cs="Times New Roman"/>
                <w:b/>
                <w:bCs/>
                <w:color w:val="auto"/>
                <w:spacing w:val="-1"/>
                <w:lang w:val="en-US" w:eastAsia="zh-CN"/>
              </w:rPr>
              <w:t>表4-1</w:t>
            </w:r>
            <w:r>
              <w:rPr>
                <w:rFonts w:hint="eastAsia"/>
                <w:b/>
                <w:bCs/>
                <w:color w:val="auto"/>
                <w:spacing w:val="-1"/>
                <w:lang w:val="en-US" w:eastAsia="zh-CN"/>
              </w:rPr>
              <w:t xml:space="preserve"> 项目投料及搅拌粉尘产排情况表</w:t>
            </w:r>
          </w:p>
          <w:tbl>
            <w:tblPr>
              <w:tblStyle w:val="19"/>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1740"/>
              <w:gridCol w:w="4568"/>
            </w:tblGrid>
            <w:tr w14:paraId="4757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2" w:type="pct"/>
                  <w:gridSpan w:val="2"/>
                  <w:noWrap w:val="0"/>
                  <w:vAlign w:val="center"/>
                </w:tcPr>
                <w:p w14:paraId="46BC9FC3">
                  <w:pPr>
                    <w:widowControl/>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污染物</w:t>
                  </w:r>
                </w:p>
              </w:tc>
              <w:tc>
                <w:tcPr>
                  <w:tcW w:w="2987" w:type="pct"/>
                  <w:noWrap w:val="0"/>
                  <w:vAlign w:val="center"/>
                </w:tcPr>
                <w:p w14:paraId="60503E45">
                  <w:pPr>
                    <w:widowControl/>
                    <w:jc w:val="center"/>
                    <w:rPr>
                      <w:rFonts w:hint="default" w:ascii="Times New Roman" w:hAnsi="Times New Roman" w:eastAsia="宋体" w:cs="Times New Roman"/>
                      <w:color w:val="auto"/>
                      <w:sz w:val="21"/>
                      <w:szCs w:val="21"/>
                      <w:lang w:val="en-US" w:eastAsia="zh-CN" w:bidi="ar"/>
                    </w:rPr>
                  </w:pPr>
                  <w:r>
                    <w:rPr>
                      <w:rFonts w:hint="eastAsia" w:ascii="Times New Roman" w:hAnsi="Times New Roman" w:eastAsia="宋体" w:cs="Times New Roman"/>
                      <w:color w:val="auto"/>
                      <w:sz w:val="21"/>
                      <w:szCs w:val="21"/>
                      <w:lang w:val="en-US" w:eastAsia="zh-CN" w:bidi="ar"/>
                    </w:rPr>
                    <w:t>颗粒物</w:t>
                  </w:r>
                </w:p>
              </w:tc>
            </w:tr>
            <w:tr w14:paraId="6F9F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2" w:type="pct"/>
                  <w:gridSpan w:val="2"/>
                  <w:noWrap w:val="0"/>
                  <w:vAlign w:val="center"/>
                </w:tcPr>
                <w:p w14:paraId="1B4DB576">
                  <w:pPr>
                    <w:widowControl/>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产生量t/a</w:t>
                  </w:r>
                </w:p>
              </w:tc>
              <w:tc>
                <w:tcPr>
                  <w:tcW w:w="2987" w:type="pct"/>
                  <w:noWrap w:val="0"/>
                  <w:vAlign w:val="center"/>
                </w:tcPr>
                <w:p w14:paraId="796EF3F8">
                  <w:pPr>
                    <w:widowControl/>
                    <w:jc w:val="center"/>
                    <w:textAlignment w:val="center"/>
                    <w:rPr>
                      <w:rFonts w:hint="default" w:ascii="Times New Roman" w:hAnsi="Times New Roman" w:eastAsia="宋体" w:cs="Times New Roman"/>
                      <w:color w:val="auto"/>
                      <w:sz w:val="21"/>
                      <w:szCs w:val="21"/>
                      <w:lang w:val="en-US" w:eastAsia="zh-CN" w:bidi="ar"/>
                    </w:rPr>
                  </w:pPr>
                  <w:r>
                    <w:rPr>
                      <w:rFonts w:hint="eastAsia" w:ascii="Times New Roman" w:hAnsi="Times New Roman" w:eastAsia="宋体" w:cs="Times New Roman"/>
                      <w:color w:val="auto"/>
                      <w:sz w:val="21"/>
                      <w:szCs w:val="21"/>
                      <w:lang w:val="en-US" w:eastAsia="zh-CN" w:bidi="ar"/>
                    </w:rPr>
                    <w:t>15.6</w:t>
                  </w:r>
                </w:p>
              </w:tc>
            </w:tr>
            <w:tr w14:paraId="142E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2" w:type="pct"/>
                  <w:gridSpan w:val="2"/>
                  <w:noWrap w:val="0"/>
                  <w:vAlign w:val="center"/>
                </w:tcPr>
                <w:p w14:paraId="34222B6D">
                  <w:pPr>
                    <w:widowControl/>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产生速率kg/h</w:t>
                  </w:r>
                </w:p>
              </w:tc>
              <w:tc>
                <w:tcPr>
                  <w:tcW w:w="2987" w:type="pct"/>
                  <w:noWrap w:val="0"/>
                  <w:vAlign w:val="center"/>
                </w:tcPr>
                <w:p w14:paraId="583FFD87">
                  <w:pPr>
                    <w:widowControl/>
                    <w:jc w:val="center"/>
                    <w:textAlignment w:val="center"/>
                    <w:rPr>
                      <w:rFonts w:hint="default" w:ascii="Times New Roman" w:hAnsi="Times New Roman" w:eastAsia="宋体" w:cs="Times New Roman"/>
                      <w:color w:val="auto"/>
                      <w:sz w:val="21"/>
                      <w:szCs w:val="21"/>
                      <w:lang w:val="en-US" w:eastAsia="zh-CN" w:bidi="ar"/>
                    </w:rPr>
                  </w:pPr>
                  <w:r>
                    <w:rPr>
                      <w:rFonts w:hint="eastAsia" w:ascii="Times New Roman" w:hAnsi="Times New Roman" w:eastAsia="宋体" w:cs="Times New Roman"/>
                      <w:color w:val="auto"/>
                      <w:sz w:val="21"/>
                      <w:szCs w:val="21"/>
                      <w:lang w:val="en-US" w:eastAsia="zh-CN" w:bidi="ar"/>
                    </w:rPr>
                    <w:t>6.25</w:t>
                  </w:r>
                </w:p>
              </w:tc>
            </w:tr>
            <w:tr w14:paraId="479F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pct"/>
                  <w:vMerge w:val="restart"/>
                  <w:noWrap w:val="0"/>
                  <w:vAlign w:val="center"/>
                </w:tcPr>
                <w:p w14:paraId="2FC3D271">
                  <w:pPr>
                    <w:widowControl/>
                    <w:jc w:val="center"/>
                    <w:rPr>
                      <w:rFonts w:hint="default" w:ascii="Times New Roman" w:hAnsi="Times New Roman" w:eastAsia="宋体" w:cs="Times New Roman"/>
                      <w:color w:val="auto"/>
                      <w:sz w:val="21"/>
                      <w:szCs w:val="21"/>
                      <w:lang w:val="en-US" w:eastAsia="zh-CN" w:bidi="ar"/>
                    </w:rPr>
                  </w:pPr>
                  <w:r>
                    <w:rPr>
                      <w:rFonts w:hint="default" w:ascii="Times New Roman" w:hAnsi="Times New Roman" w:eastAsia="宋体" w:cs="Times New Roman"/>
                      <w:color w:val="auto"/>
                      <w:sz w:val="21"/>
                      <w:szCs w:val="21"/>
                      <w:lang w:val="en-US" w:eastAsia="zh-CN" w:bidi="ar"/>
                    </w:rPr>
                    <w:t>有组织</w:t>
                  </w:r>
                </w:p>
              </w:tc>
              <w:tc>
                <w:tcPr>
                  <w:tcW w:w="1137" w:type="pct"/>
                  <w:noWrap w:val="0"/>
                  <w:vAlign w:val="center"/>
                </w:tcPr>
                <w:p w14:paraId="08BEB822">
                  <w:pPr>
                    <w:widowControl/>
                    <w:jc w:val="center"/>
                    <w:rPr>
                      <w:rFonts w:hint="default" w:ascii="Times New Roman" w:hAnsi="Times New Roman" w:eastAsia="宋体" w:cs="Times New Roman"/>
                      <w:color w:val="auto"/>
                      <w:sz w:val="21"/>
                      <w:szCs w:val="21"/>
                      <w:lang w:val="en-US" w:eastAsia="zh-CN" w:bidi="ar"/>
                    </w:rPr>
                  </w:pPr>
                  <w:r>
                    <w:rPr>
                      <w:rFonts w:hint="default" w:ascii="Times New Roman" w:hAnsi="Times New Roman" w:eastAsia="宋体" w:cs="Times New Roman"/>
                      <w:color w:val="auto"/>
                      <w:sz w:val="21"/>
                      <w:szCs w:val="21"/>
                      <w:lang w:val="en-US" w:eastAsia="zh-CN" w:bidi="ar"/>
                    </w:rPr>
                    <w:t>收集量t/a</w:t>
                  </w:r>
                </w:p>
              </w:tc>
              <w:tc>
                <w:tcPr>
                  <w:tcW w:w="2987" w:type="pct"/>
                  <w:noWrap w:val="0"/>
                  <w:vAlign w:val="center"/>
                </w:tcPr>
                <w:p w14:paraId="6DD17B03">
                  <w:pPr>
                    <w:widowControl/>
                    <w:jc w:val="center"/>
                    <w:rPr>
                      <w:rFonts w:hint="default" w:ascii="Times New Roman" w:hAnsi="Times New Roman" w:eastAsia="宋体" w:cs="Times New Roman"/>
                      <w:color w:val="auto"/>
                      <w:sz w:val="21"/>
                      <w:szCs w:val="21"/>
                      <w:lang w:val="en-US" w:eastAsia="zh-CN" w:bidi="ar"/>
                    </w:rPr>
                  </w:pPr>
                  <w:r>
                    <w:rPr>
                      <w:rFonts w:hint="eastAsia" w:ascii="Times New Roman" w:hAnsi="Times New Roman" w:eastAsia="宋体" w:cs="Times New Roman"/>
                      <w:color w:val="auto"/>
                      <w:sz w:val="21"/>
                      <w:szCs w:val="21"/>
                      <w:lang w:val="en-US" w:eastAsia="zh-CN" w:bidi="ar"/>
                    </w:rPr>
                    <w:t>15.6</w:t>
                  </w:r>
                </w:p>
              </w:tc>
            </w:tr>
            <w:tr w14:paraId="7444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pct"/>
                  <w:vMerge w:val="continue"/>
                  <w:noWrap w:val="0"/>
                  <w:vAlign w:val="center"/>
                </w:tcPr>
                <w:p w14:paraId="52A9C493">
                  <w:pPr>
                    <w:widowControl/>
                    <w:jc w:val="center"/>
                    <w:rPr>
                      <w:rFonts w:hint="default" w:ascii="Times New Roman" w:hAnsi="Times New Roman" w:eastAsia="宋体" w:cs="Times New Roman"/>
                      <w:color w:val="auto"/>
                      <w:sz w:val="21"/>
                      <w:szCs w:val="21"/>
                      <w:lang w:val="en-US" w:eastAsia="zh-CN" w:bidi="ar"/>
                    </w:rPr>
                  </w:pPr>
                </w:p>
              </w:tc>
              <w:tc>
                <w:tcPr>
                  <w:tcW w:w="1137" w:type="pct"/>
                  <w:noWrap w:val="0"/>
                  <w:vAlign w:val="center"/>
                </w:tcPr>
                <w:p w14:paraId="4999B58B">
                  <w:pPr>
                    <w:widowControl/>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处理措施</w:t>
                  </w:r>
                </w:p>
              </w:tc>
              <w:tc>
                <w:tcPr>
                  <w:tcW w:w="2987" w:type="pct"/>
                  <w:noWrap w:val="0"/>
                  <w:vAlign w:val="center"/>
                </w:tcPr>
                <w:p w14:paraId="369E5DD4">
                  <w:pPr>
                    <w:widowControl/>
                    <w:jc w:val="center"/>
                    <w:rPr>
                      <w:rFonts w:hint="default" w:ascii="Times New Roman" w:hAnsi="Times New Roman" w:eastAsia="宋体" w:cs="Times New Roman"/>
                      <w:color w:val="auto"/>
                      <w:sz w:val="21"/>
                      <w:szCs w:val="21"/>
                      <w:lang w:val="en-US" w:eastAsia="zh-CN" w:bidi="ar"/>
                    </w:rPr>
                  </w:pPr>
                  <w:r>
                    <w:rPr>
                      <w:rFonts w:hint="eastAsia" w:ascii="Times New Roman" w:hAnsi="Times New Roman" w:eastAsia="宋体" w:cs="Times New Roman"/>
                      <w:color w:val="auto"/>
                      <w:sz w:val="21"/>
                      <w:szCs w:val="21"/>
                      <w:lang w:val="en-US" w:eastAsia="zh-CN" w:bidi="ar"/>
                    </w:rPr>
                    <w:t>布袋除尘+15m高排气筒（DA001）</w:t>
                  </w:r>
                </w:p>
              </w:tc>
            </w:tr>
            <w:tr w14:paraId="24AB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pct"/>
                  <w:vMerge w:val="continue"/>
                  <w:noWrap w:val="0"/>
                  <w:vAlign w:val="center"/>
                </w:tcPr>
                <w:p w14:paraId="513F314D">
                  <w:pPr>
                    <w:widowControl/>
                    <w:jc w:val="center"/>
                    <w:rPr>
                      <w:rFonts w:hint="default" w:ascii="Times New Roman" w:hAnsi="Times New Roman" w:eastAsia="宋体" w:cs="Times New Roman"/>
                      <w:color w:val="auto"/>
                      <w:sz w:val="21"/>
                      <w:szCs w:val="21"/>
                      <w:lang w:bidi="ar"/>
                    </w:rPr>
                  </w:pPr>
                </w:p>
              </w:tc>
              <w:tc>
                <w:tcPr>
                  <w:tcW w:w="1137" w:type="pct"/>
                  <w:noWrap w:val="0"/>
                  <w:vAlign w:val="center"/>
                </w:tcPr>
                <w:p w14:paraId="5DD2B777">
                  <w:pPr>
                    <w:widowControl/>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设计风量m</w:t>
                  </w:r>
                  <w:r>
                    <w:rPr>
                      <w:rFonts w:hint="default" w:ascii="Times New Roman" w:hAnsi="Times New Roman" w:eastAsia="宋体" w:cs="Times New Roman"/>
                      <w:color w:val="auto"/>
                      <w:sz w:val="21"/>
                      <w:szCs w:val="21"/>
                      <w:vertAlign w:val="superscript"/>
                      <w:lang w:bidi="ar"/>
                    </w:rPr>
                    <w:t>3</w:t>
                  </w:r>
                  <w:r>
                    <w:rPr>
                      <w:rFonts w:hint="default" w:ascii="Times New Roman" w:hAnsi="Times New Roman" w:eastAsia="宋体" w:cs="Times New Roman"/>
                      <w:color w:val="auto"/>
                      <w:sz w:val="21"/>
                      <w:szCs w:val="21"/>
                      <w:lang w:bidi="ar"/>
                    </w:rPr>
                    <w:t>/h</w:t>
                  </w:r>
                </w:p>
              </w:tc>
              <w:tc>
                <w:tcPr>
                  <w:tcW w:w="2987" w:type="pct"/>
                  <w:noWrap w:val="0"/>
                  <w:vAlign w:val="center"/>
                </w:tcPr>
                <w:p w14:paraId="7835166D">
                  <w:pPr>
                    <w:widowControl/>
                    <w:jc w:val="center"/>
                    <w:rPr>
                      <w:rFonts w:hint="default" w:ascii="Times New Roman" w:hAnsi="Times New Roman" w:eastAsia="宋体" w:cs="Times New Roman"/>
                      <w:color w:val="auto"/>
                      <w:sz w:val="21"/>
                      <w:szCs w:val="21"/>
                      <w:lang w:val="en-US" w:eastAsia="zh-CN" w:bidi="ar"/>
                    </w:rPr>
                  </w:pPr>
                  <w:r>
                    <w:rPr>
                      <w:rFonts w:hint="eastAsia" w:ascii="Times New Roman" w:hAnsi="Times New Roman" w:eastAsia="宋体" w:cs="Times New Roman"/>
                      <w:color w:val="auto"/>
                      <w:sz w:val="21"/>
                      <w:szCs w:val="21"/>
                      <w:lang w:val="en-US" w:eastAsia="zh-CN" w:bidi="ar"/>
                    </w:rPr>
                    <w:t>3000</w:t>
                  </w:r>
                </w:p>
              </w:tc>
            </w:tr>
            <w:tr w14:paraId="0E05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pct"/>
                  <w:vMerge w:val="continue"/>
                  <w:noWrap w:val="0"/>
                  <w:vAlign w:val="center"/>
                </w:tcPr>
                <w:p w14:paraId="46E178B7">
                  <w:pPr>
                    <w:widowControl/>
                    <w:jc w:val="center"/>
                    <w:rPr>
                      <w:rFonts w:hint="default" w:ascii="Times New Roman" w:hAnsi="Times New Roman" w:eastAsia="宋体" w:cs="Times New Roman"/>
                      <w:color w:val="auto"/>
                      <w:sz w:val="21"/>
                      <w:szCs w:val="21"/>
                      <w:lang w:bidi="ar"/>
                    </w:rPr>
                  </w:pPr>
                </w:p>
              </w:tc>
              <w:tc>
                <w:tcPr>
                  <w:tcW w:w="1137" w:type="pct"/>
                  <w:noWrap w:val="0"/>
                  <w:vAlign w:val="center"/>
                </w:tcPr>
                <w:p w14:paraId="38A3FB42">
                  <w:pPr>
                    <w:widowControl/>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产生浓度mg/m</w:t>
                  </w:r>
                  <w:r>
                    <w:rPr>
                      <w:rFonts w:hint="default" w:ascii="Times New Roman" w:hAnsi="Times New Roman" w:eastAsia="宋体" w:cs="Times New Roman"/>
                      <w:color w:val="auto"/>
                      <w:sz w:val="21"/>
                      <w:szCs w:val="21"/>
                      <w:vertAlign w:val="superscript"/>
                      <w:lang w:bidi="ar"/>
                    </w:rPr>
                    <w:t>3</w:t>
                  </w:r>
                </w:p>
              </w:tc>
              <w:tc>
                <w:tcPr>
                  <w:tcW w:w="2987" w:type="pct"/>
                  <w:noWrap w:val="0"/>
                  <w:vAlign w:val="center"/>
                </w:tcPr>
                <w:p w14:paraId="19EF97B4">
                  <w:pPr>
                    <w:widowControl/>
                    <w:jc w:val="center"/>
                    <w:textAlignment w:val="center"/>
                    <w:rPr>
                      <w:rFonts w:hint="default" w:ascii="Times New Roman" w:hAnsi="Times New Roman" w:eastAsia="宋体" w:cs="Times New Roman"/>
                      <w:color w:val="auto"/>
                      <w:sz w:val="21"/>
                      <w:szCs w:val="21"/>
                      <w:lang w:val="en-US" w:eastAsia="zh-CN" w:bidi="ar"/>
                    </w:rPr>
                  </w:pPr>
                  <w:r>
                    <w:rPr>
                      <w:rFonts w:hint="eastAsia" w:ascii="Times New Roman" w:hAnsi="Times New Roman" w:eastAsia="宋体" w:cs="Times New Roman"/>
                      <w:color w:val="auto"/>
                      <w:sz w:val="21"/>
                      <w:szCs w:val="21"/>
                      <w:lang w:val="en-US" w:eastAsia="zh-CN" w:bidi="ar"/>
                    </w:rPr>
                    <w:t>2083</w:t>
                  </w:r>
                </w:p>
              </w:tc>
            </w:tr>
            <w:tr w14:paraId="6A5A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74" w:type="pct"/>
                  <w:vMerge w:val="continue"/>
                  <w:noWrap w:val="0"/>
                  <w:vAlign w:val="center"/>
                </w:tcPr>
                <w:p w14:paraId="5DF1479B">
                  <w:pPr>
                    <w:widowControl/>
                    <w:jc w:val="center"/>
                    <w:rPr>
                      <w:rFonts w:hint="default" w:ascii="Times New Roman" w:hAnsi="Times New Roman" w:eastAsia="宋体" w:cs="Times New Roman"/>
                      <w:color w:val="auto"/>
                      <w:sz w:val="21"/>
                      <w:szCs w:val="21"/>
                      <w:lang w:bidi="ar"/>
                    </w:rPr>
                  </w:pPr>
                </w:p>
              </w:tc>
              <w:tc>
                <w:tcPr>
                  <w:tcW w:w="1137" w:type="pct"/>
                  <w:noWrap w:val="0"/>
                  <w:vAlign w:val="center"/>
                </w:tcPr>
                <w:p w14:paraId="112537A1">
                  <w:pPr>
                    <w:widowControl/>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处理效率%</w:t>
                  </w:r>
                </w:p>
              </w:tc>
              <w:tc>
                <w:tcPr>
                  <w:tcW w:w="2987" w:type="pct"/>
                  <w:noWrap w:val="0"/>
                  <w:vAlign w:val="center"/>
                </w:tcPr>
                <w:p w14:paraId="0F1AC64C">
                  <w:pPr>
                    <w:widowControl/>
                    <w:jc w:val="center"/>
                    <w:rPr>
                      <w:rFonts w:hint="default" w:ascii="Times New Roman" w:hAnsi="Times New Roman" w:eastAsia="宋体" w:cs="Times New Roman"/>
                      <w:color w:val="auto"/>
                      <w:sz w:val="21"/>
                      <w:szCs w:val="21"/>
                      <w:lang w:val="en-US" w:eastAsia="zh-CN" w:bidi="ar"/>
                    </w:rPr>
                  </w:pPr>
                  <w:r>
                    <w:rPr>
                      <w:rFonts w:hint="eastAsia" w:ascii="Times New Roman" w:hAnsi="Times New Roman" w:eastAsia="宋体" w:cs="Times New Roman"/>
                      <w:color w:val="auto"/>
                      <w:sz w:val="21"/>
                      <w:szCs w:val="21"/>
                      <w:lang w:val="en-US" w:eastAsia="zh-CN" w:bidi="ar"/>
                    </w:rPr>
                    <w:t>99.7</w:t>
                  </w:r>
                </w:p>
              </w:tc>
            </w:tr>
            <w:tr w14:paraId="4547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74" w:type="pct"/>
                  <w:vMerge w:val="continue"/>
                  <w:noWrap w:val="0"/>
                  <w:vAlign w:val="center"/>
                </w:tcPr>
                <w:p w14:paraId="75287912">
                  <w:pPr>
                    <w:widowControl/>
                    <w:jc w:val="center"/>
                    <w:rPr>
                      <w:rFonts w:hint="default" w:ascii="Times New Roman" w:hAnsi="Times New Roman" w:eastAsia="宋体" w:cs="Times New Roman"/>
                      <w:color w:val="auto"/>
                      <w:sz w:val="21"/>
                      <w:szCs w:val="21"/>
                      <w:lang w:bidi="ar"/>
                    </w:rPr>
                  </w:pPr>
                </w:p>
              </w:tc>
              <w:tc>
                <w:tcPr>
                  <w:tcW w:w="1137" w:type="pct"/>
                  <w:noWrap w:val="0"/>
                  <w:vAlign w:val="center"/>
                </w:tcPr>
                <w:p w14:paraId="51996B8B">
                  <w:pPr>
                    <w:widowControl/>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排放量t/a</w:t>
                  </w:r>
                </w:p>
              </w:tc>
              <w:tc>
                <w:tcPr>
                  <w:tcW w:w="2987" w:type="pct"/>
                  <w:noWrap w:val="0"/>
                  <w:vAlign w:val="center"/>
                </w:tcPr>
                <w:p w14:paraId="2ACC33AF">
                  <w:pPr>
                    <w:widowControl/>
                    <w:jc w:val="center"/>
                    <w:textAlignment w:val="center"/>
                    <w:rPr>
                      <w:rFonts w:hint="default" w:ascii="Times New Roman" w:hAnsi="Times New Roman" w:eastAsia="宋体" w:cs="Times New Roman"/>
                      <w:color w:val="auto"/>
                      <w:sz w:val="21"/>
                      <w:szCs w:val="21"/>
                      <w:lang w:val="en-US" w:eastAsia="zh-CN" w:bidi="ar"/>
                    </w:rPr>
                  </w:pPr>
                  <w:r>
                    <w:rPr>
                      <w:rFonts w:hint="eastAsia" w:ascii="Times New Roman" w:hAnsi="Times New Roman" w:eastAsia="宋体" w:cs="Times New Roman"/>
                      <w:color w:val="auto"/>
                      <w:sz w:val="21"/>
                      <w:szCs w:val="21"/>
                      <w:lang w:val="en-US" w:eastAsia="zh-CN" w:bidi="ar"/>
                    </w:rPr>
                    <w:t>0.047</w:t>
                  </w:r>
                </w:p>
              </w:tc>
            </w:tr>
            <w:tr w14:paraId="1468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74" w:type="pct"/>
                  <w:vMerge w:val="continue"/>
                  <w:noWrap w:val="0"/>
                  <w:vAlign w:val="center"/>
                </w:tcPr>
                <w:p w14:paraId="25280136">
                  <w:pPr>
                    <w:widowControl/>
                    <w:jc w:val="center"/>
                    <w:rPr>
                      <w:rFonts w:hint="default" w:ascii="Times New Roman" w:hAnsi="Times New Roman" w:eastAsia="宋体" w:cs="Times New Roman"/>
                      <w:color w:val="auto"/>
                      <w:sz w:val="21"/>
                      <w:szCs w:val="21"/>
                      <w:lang w:bidi="ar"/>
                    </w:rPr>
                  </w:pPr>
                </w:p>
              </w:tc>
              <w:tc>
                <w:tcPr>
                  <w:tcW w:w="1137" w:type="pct"/>
                  <w:noWrap w:val="0"/>
                  <w:vAlign w:val="center"/>
                </w:tcPr>
                <w:p w14:paraId="6A6834DD">
                  <w:pPr>
                    <w:widowControl/>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排放速率kg/h</w:t>
                  </w:r>
                </w:p>
              </w:tc>
              <w:tc>
                <w:tcPr>
                  <w:tcW w:w="2987" w:type="pct"/>
                  <w:noWrap w:val="0"/>
                  <w:vAlign w:val="center"/>
                </w:tcPr>
                <w:p w14:paraId="6639FB00">
                  <w:pPr>
                    <w:widowControl/>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0.019</w:t>
                  </w:r>
                </w:p>
              </w:tc>
            </w:tr>
            <w:tr w14:paraId="6152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pct"/>
                  <w:vMerge w:val="continue"/>
                  <w:noWrap w:val="0"/>
                  <w:vAlign w:val="center"/>
                </w:tcPr>
                <w:p w14:paraId="0AF13475">
                  <w:pPr>
                    <w:widowControl/>
                    <w:jc w:val="center"/>
                    <w:rPr>
                      <w:rFonts w:hint="default" w:ascii="Times New Roman" w:hAnsi="Times New Roman" w:eastAsia="宋体" w:cs="Times New Roman"/>
                      <w:color w:val="auto"/>
                      <w:sz w:val="21"/>
                      <w:szCs w:val="21"/>
                      <w:lang w:bidi="ar"/>
                    </w:rPr>
                  </w:pPr>
                </w:p>
              </w:tc>
              <w:tc>
                <w:tcPr>
                  <w:tcW w:w="1137" w:type="pct"/>
                  <w:noWrap w:val="0"/>
                  <w:vAlign w:val="center"/>
                </w:tcPr>
                <w:p w14:paraId="22186E39">
                  <w:pPr>
                    <w:widowControl/>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排放浓度mg/m</w:t>
                  </w:r>
                  <w:r>
                    <w:rPr>
                      <w:rFonts w:hint="default" w:ascii="Times New Roman" w:hAnsi="Times New Roman" w:eastAsia="宋体" w:cs="Times New Roman"/>
                      <w:color w:val="auto"/>
                      <w:sz w:val="21"/>
                      <w:szCs w:val="21"/>
                      <w:vertAlign w:val="superscript"/>
                      <w:lang w:bidi="ar"/>
                    </w:rPr>
                    <w:t>3</w:t>
                  </w:r>
                </w:p>
              </w:tc>
              <w:tc>
                <w:tcPr>
                  <w:tcW w:w="2987" w:type="pct"/>
                  <w:noWrap w:val="0"/>
                  <w:vAlign w:val="center"/>
                </w:tcPr>
                <w:p w14:paraId="021CCE8C">
                  <w:pPr>
                    <w:widowControl/>
                    <w:jc w:val="center"/>
                    <w:textAlignment w:val="center"/>
                    <w:rPr>
                      <w:rFonts w:hint="default" w:ascii="Times New Roman" w:hAnsi="Times New Roman" w:eastAsia="宋体" w:cs="Times New Roman"/>
                      <w:color w:val="auto"/>
                      <w:sz w:val="21"/>
                      <w:szCs w:val="21"/>
                      <w:lang w:val="en-US" w:eastAsia="zh-CN" w:bidi="ar"/>
                    </w:rPr>
                  </w:pPr>
                  <w:r>
                    <w:rPr>
                      <w:rFonts w:hint="eastAsia" w:ascii="Times New Roman" w:hAnsi="Times New Roman" w:eastAsia="宋体" w:cs="Times New Roman"/>
                      <w:color w:val="auto"/>
                      <w:sz w:val="21"/>
                      <w:szCs w:val="21"/>
                      <w:lang w:val="en-US" w:eastAsia="zh-CN" w:bidi="ar"/>
                    </w:rPr>
                    <w:t>6.25</w:t>
                  </w:r>
                </w:p>
              </w:tc>
            </w:tr>
          </w:tbl>
          <w:p w14:paraId="68BFCDD6">
            <w:pPr>
              <w:pStyle w:val="2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601"/>
              <w:textAlignment w:val="baseline"/>
              <w:rPr>
                <w:b/>
                <w:bCs/>
                <w:color w:val="auto"/>
              </w:rPr>
            </w:pPr>
            <w:r>
              <w:rPr>
                <w:b/>
                <w:bCs/>
                <w:color w:val="auto"/>
                <w:spacing w:val="-3"/>
              </w:rPr>
              <w:t>（</w:t>
            </w:r>
            <w:r>
              <w:rPr>
                <w:rFonts w:hint="eastAsia" w:ascii="Times New Roman" w:hAnsi="Times New Roman" w:eastAsia="宋体" w:cs="Times New Roman"/>
                <w:b/>
                <w:bCs/>
                <w:color w:val="auto"/>
                <w:spacing w:val="-3"/>
                <w:lang w:val="en-US" w:eastAsia="zh-CN"/>
              </w:rPr>
              <w:t>4</w:t>
            </w:r>
            <w:r>
              <w:rPr>
                <w:b/>
                <w:bCs/>
                <w:color w:val="auto"/>
                <w:spacing w:val="-3"/>
              </w:rPr>
              <w:t>）堆场扬尘</w:t>
            </w:r>
          </w:p>
          <w:p w14:paraId="012B61EC">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default" w:eastAsia="宋体"/>
                <w:color w:val="auto"/>
                <w:lang w:val="en-US" w:eastAsia="zh-CN"/>
              </w:rPr>
            </w:pPr>
            <w:r>
              <w:rPr>
                <w:rFonts w:hint="eastAsia"/>
                <w:color w:val="auto"/>
                <w:spacing w:val="-1"/>
                <w:lang w:val="en-US" w:eastAsia="zh-CN"/>
              </w:rPr>
              <w:t>本项目砂石原料为河卵石，产品碎石、细砂均经过水洗，因此物料表面含有一定水分，在堆场过程基本不会产生扬尘</w:t>
            </w:r>
            <w:r>
              <w:rPr>
                <w:color w:val="auto"/>
                <w:spacing w:val="-1"/>
              </w:rPr>
              <w:t>。</w:t>
            </w:r>
            <w:r>
              <w:rPr>
                <w:rFonts w:hint="eastAsia"/>
                <w:color w:val="auto"/>
                <w:spacing w:val="-1"/>
                <w:lang w:val="en-US" w:eastAsia="zh-CN"/>
              </w:rPr>
              <w:t>同时，堆放期间定期进行喷雾洒水，则堆场扬尘产生量极少，本报告不再进行定量计算。</w:t>
            </w:r>
          </w:p>
          <w:p w14:paraId="652F43E4">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99"/>
              <w:textAlignment w:val="baseline"/>
              <w:rPr>
                <w:color w:val="auto"/>
              </w:rPr>
            </w:pPr>
            <w:r>
              <w:rPr>
                <w:b/>
                <w:bCs/>
                <w:color w:val="auto"/>
                <w:spacing w:val="-5"/>
              </w:rPr>
              <w:t>（</w:t>
            </w:r>
            <w:r>
              <w:rPr>
                <w:rFonts w:hint="default" w:ascii="Times New Roman" w:hAnsi="Times New Roman" w:cs="Times New Roman"/>
                <w:b/>
                <w:bCs/>
                <w:color w:val="auto"/>
                <w:spacing w:val="-5"/>
                <w:lang w:val="en-US" w:eastAsia="zh-CN"/>
              </w:rPr>
              <w:t>5</w:t>
            </w:r>
            <w:r>
              <w:rPr>
                <w:b/>
                <w:bCs/>
                <w:color w:val="auto"/>
                <w:spacing w:val="-5"/>
              </w:rPr>
              <w:t>）</w:t>
            </w:r>
            <w:r>
              <w:rPr>
                <w:rFonts w:hint="eastAsia"/>
                <w:b/>
                <w:bCs/>
                <w:color w:val="auto"/>
                <w:spacing w:val="-5"/>
                <w:lang w:val="en-US" w:eastAsia="zh-CN"/>
              </w:rPr>
              <w:t>卸料</w:t>
            </w:r>
            <w:r>
              <w:rPr>
                <w:b/>
                <w:bCs/>
                <w:color w:val="auto"/>
                <w:spacing w:val="-5"/>
              </w:rPr>
              <w:t>扬尘</w:t>
            </w:r>
          </w:p>
          <w:p w14:paraId="720A21EE">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b/>
                <w:bCs/>
                <w:color w:val="auto"/>
                <w:spacing w:val="-5"/>
              </w:rPr>
            </w:pPr>
            <w:r>
              <w:rPr>
                <w:rFonts w:hint="default" w:ascii="Times New Roman" w:hAnsi="Times New Roman" w:cs="Times New Roman"/>
                <w:b w:val="0"/>
                <w:bCs w:val="0"/>
                <w:color w:val="auto"/>
                <w:spacing w:val="-5"/>
              </w:rPr>
              <w:t>本项目砂和碎石由</w:t>
            </w:r>
            <w:r>
              <w:rPr>
                <w:rFonts w:hint="eastAsia" w:ascii="Times New Roman" w:hAnsi="Times New Roman" w:cs="Times New Roman"/>
                <w:b w:val="0"/>
                <w:bCs w:val="0"/>
                <w:color w:val="auto"/>
                <w:spacing w:val="-5"/>
                <w:lang w:val="en-US" w:eastAsia="zh-CN"/>
              </w:rPr>
              <w:t>铲</w:t>
            </w:r>
            <w:r>
              <w:rPr>
                <w:rFonts w:hint="default" w:ascii="Times New Roman" w:hAnsi="Times New Roman" w:cs="Times New Roman"/>
                <w:b w:val="0"/>
                <w:bCs w:val="0"/>
                <w:color w:val="auto"/>
                <w:spacing w:val="-5"/>
              </w:rPr>
              <w:t>车运至</w:t>
            </w:r>
            <w:r>
              <w:rPr>
                <w:rFonts w:hint="eastAsia" w:ascii="Times New Roman" w:hAnsi="Times New Roman" w:cs="Times New Roman"/>
                <w:b w:val="0"/>
                <w:bCs w:val="0"/>
                <w:color w:val="auto"/>
                <w:spacing w:val="-5"/>
                <w:lang w:val="en-US" w:eastAsia="zh-CN"/>
              </w:rPr>
              <w:t>混凝土生产区</w:t>
            </w:r>
            <w:r>
              <w:rPr>
                <w:rFonts w:hint="default" w:ascii="Times New Roman" w:hAnsi="Times New Roman" w:cs="Times New Roman"/>
                <w:b w:val="0"/>
                <w:bCs w:val="0"/>
                <w:color w:val="auto"/>
                <w:spacing w:val="-5"/>
              </w:rPr>
              <w:t>，再卸料至砂石</w:t>
            </w:r>
            <w:r>
              <w:rPr>
                <w:rFonts w:hint="eastAsia" w:ascii="Times New Roman" w:hAnsi="Times New Roman" w:cs="Times New Roman"/>
                <w:b w:val="0"/>
                <w:bCs w:val="0"/>
                <w:color w:val="auto"/>
                <w:spacing w:val="-5"/>
                <w:lang w:val="en-US" w:eastAsia="zh-CN"/>
              </w:rPr>
              <w:t>堆场</w:t>
            </w:r>
            <w:r>
              <w:rPr>
                <w:rFonts w:hint="default" w:ascii="Times New Roman" w:hAnsi="Times New Roman" w:cs="Times New Roman"/>
                <w:b w:val="0"/>
                <w:bCs w:val="0"/>
                <w:color w:val="auto"/>
                <w:spacing w:val="-5"/>
              </w:rPr>
              <w:t>，卸料时会产生一定量的粉尘，粉尘产生系数参考《逸散性工业粉尘控制技术》中表 22-1 混凝土分批搅拌厂的逸散尘排放因子：</w:t>
            </w:r>
            <w:r>
              <w:rPr>
                <w:rFonts w:hint="eastAsia" w:ascii="Times New Roman" w:hAnsi="Times New Roman" w:cs="Times New Roman"/>
                <w:b w:val="0"/>
                <w:bCs w:val="0"/>
                <w:color w:val="auto"/>
                <w:spacing w:val="-5"/>
                <w:lang w:eastAsia="zh-CN"/>
              </w:rPr>
              <w:t>“</w:t>
            </w:r>
            <w:r>
              <w:rPr>
                <w:rFonts w:hint="default" w:ascii="Times New Roman" w:hAnsi="Times New Roman" w:cs="Times New Roman"/>
                <w:b w:val="0"/>
                <w:bCs w:val="0"/>
                <w:color w:val="auto"/>
                <w:spacing w:val="-5"/>
              </w:rPr>
              <w:t>转运砂和粒料至高架贮仓的排放因子0.02kg/t</w:t>
            </w:r>
            <w:r>
              <w:rPr>
                <w:rFonts w:hint="eastAsia" w:ascii="Times New Roman" w:hAnsi="Times New Roman" w:cs="Times New Roman"/>
                <w:b w:val="0"/>
                <w:bCs w:val="0"/>
                <w:color w:val="auto"/>
                <w:spacing w:val="-5"/>
                <w:lang w:eastAsia="zh-CN"/>
              </w:rPr>
              <w:t>”</w:t>
            </w:r>
            <w:r>
              <w:rPr>
                <w:rFonts w:hint="default" w:ascii="Times New Roman" w:hAnsi="Times New Roman" w:cs="Times New Roman"/>
                <w:b w:val="0"/>
                <w:bCs w:val="0"/>
                <w:color w:val="auto"/>
                <w:spacing w:val="-5"/>
              </w:rPr>
              <w:t>计算。本项目砂和碎石的消耗量合计</w:t>
            </w:r>
            <w:r>
              <w:rPr>
                <w:rFonts w:hint="eastAsia" w:ascii="Times New Roman" w:hAnsi="Times New Roman" w:cs="Times New Roman"/>
                <w:b w:val="0"/>
                <w:bCs w:val="0"/>
                <w:color w:val="auto"/>
                <w:spacing w:val="-5"/>
                <w:lang w:val="en-US" w:eastAsia="zh-CN"/>
              </w:rPr>
              <w:t>约95136万</w:t>
            </w:r>
            <w:r>
              <w:rPr>
                <w:rFonts w:hint="default" w:ascii="Times New Roman" w:hAnsi="Times New Roman" w:cs="Times New Roman"/>
                <w:b w:val="0"/>
                <w:bCs w:val="0"/>
                <w:color w:val="auto"/>
                <w:spacing w:val="-5"/>
              </w:rPr>
              <w:t>t/a，则卸料粉尘产生量为1</w:t>
            </w:r>
            <w:r>
              <w:rPr>
                <w:rFonts w:hint="eastAsia" w:ascii="Times New Roman" w:hAnsi="Times New Roman" w:cs="Times New Roman"/>
                <w:b w:val="0"/>
                <w:bCs w:val="0"/>
                <w:color w:val="auto"/>
                <w:spacing w:val="-5"/>
                <w:lang w:val="en-US" w:eastAsia="zh-CN"/>
              </w:rPr>
              <w:t>.91</w:t>
            </w:r>
            <w:r>
              <w:rPr>
                <w:rFonts w:hint="default" w:ascii="Times New Roman" w:hAnsi="Times New Roman" w:cs="Times New Roman"/>
                <w:b w:val="0"/>
                <w:bCs w:val="0"/>
                <w:color w:val="auto"/>
                <w:spacing w:val="-5"/>
              </w:rPr>
              <w:t>t/a。为了减少装卸扬尘的影响，建设单位在砂石</w:t>
            </w:r>
            <w:r>
              <w:rPr>
                <w:rFonts w:hint="eastAsia" w:ascii="Times New Roman" w:hAnsi="Times New Roman" w:cs="Times New Roman"/>
                <w:b w:val="0"/>
                <w:bCs w:val="0"/>
                <w:color w:val="auto"/>
                <w:spacing w:val="-5"/>
                <w:lang w:val="en-US" w:eastAsia="zh-CN"/>
              </w:rPr>
              <w:t>堆场</w:t>
            </w:r>
            <w:r>
              <w:rPr>
                <w:rFonts w:hint="default" w:ascii="Times New Roman" w:hAnsi="Times New Roman" w:cs="Times New Roman"/>
                <w:b w:val="0"/>
                <w:bCs w:val="0"/>
                <w:color w:val="auto"/>
                <w:spacing w:val="-5"/>
              </w:rPr>
              <w:t>设置喷雾除尘装置，装卸砂石料时该喷雾除尘装置</w:t>
            </w:r>
            <w:r>
              <w:rPr>
                <w:rFonts w:hint="eastAsia" w:ascii="Times New Roman" w:hAnsi="Times New Roman" w:cs="Times New Roman"/>
                <w:b w:val="0"/>
                <w:bCs w:val="0"/>
                <w:color w:val="auto"/>
                <w:spacing w:val="-5"/>
                <w:lang w:val="en-US" w:eastAsia="zh-CN"/>
              </w:rPr>
              <w:t>开启</w:t>
            </w:r>
            <w:r>
              <w:rPr>
                <w:rFonts w:hint="default" w:ascii="Times New Roman" w:hAnsi="Times New Roman" w:cs="Times New Roman"/>
                <w:b w:val="0"/>
                <w:bCs w:val="0"/>
                <w:color w:val="auto"/>
                <w:spacing w:val="-5"/>
              </w:rPr>
              <w:t>运行，同时在大风天气停止装卸作业，则可减少约80％的粉尘，则装卸扬尘排放量为</w:t>
            </w:r>
            <w:r>
              <w:rPr>
                <w:rFonts w:hint="eastAsia" w:ascii="Times New Roman" w:hAnsi="Times New Roman" w:cs="Times New Roman"/>
                <w:b w:val="0"/>
                <w:bCs w:val="0"/>
                <w:color w:val="auto"/>
                <w:spacing w:val="-5"/>
                <w:lang w:val="en-US" w:eastAsia="zh-CN"/>
              </w:rPr>
              <w:t>0.382</w:t>
            </w:r>
            <w:r>
              <w:rPr>
                <w:rFonts w:hint="default" w:ascii="Times New Roman" w:hAnsi="Times New Roman" w:cs="Times New Roman"/>
                <w:b w:val="0"/>
                <w:bCs w:val="0"/>
                <w:color w:val="auto"/>
                <w:spacing w:val="-5"/>
              </w:rPr>
              <w:t>t/a。</w:t>
            </w:r>
          </w:p>
          <w:p w14:paraId="76FB3F62">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99"/>
              <w:textAlignment w:val="baseline"/>
              <w:rPr>
                <w:color w:val="auto"/>
              </w:rPr>
            </w:pPr>
            <w:r>
              <w:rPr>
                <w:b/>
                <w:bCs/>
                <w:color w:val="auto"/>
                <w:spacing w:val="-5"/>
              </w:rPr>
              <w:t>（</w:t>
            </w:r>
            <w:r>
              <w:rPr>
                <w:rFonts w:hint="eastAsia" w:ascii="Times New Roman" w:hAnsi="Times New Roman" w:cs="Times New Roman"/>
                <w:b/>
                <w:bCs/>
                <w:color w:val="auto"/>
                <w:spacing w:val="-5"/>
                <w:lang w:val="en-US" w:eastAsia="zh-CN"/>
              </w:rPr>
              <w:t>6</w:t>
            </w:r>
            <w:r>
              <w:rPr>
                <w:b/>
                <w:bCs/>
                <w:color w:val="auto"/>
                <w:spacing w:val="-5"/>
              </w:rPr>
              <w:t>）道路扬尘</w:t>
            </w:r>
          </w:p>
          <w:p w14:paraId="65CFD298">
            <w:pPr>
              <w:pStyle w:val="22"/>
              <w:keepNext w:val="0"/>
              <w:keepLines w:val="0"/>
              <w:pageBreakBefore w:val="0"/>
              <w:widowControl/>
              <w:kinsoku w:val="0"/>
              <w:wordWrap/>
              <w:overflowPunct/>
              <w:topLinePunct w:val="0"/>
              <w:autoSpaceDE w:val="0"/>
              <w:autoSpaceDN w:val="0"/>
              <w:bidi w:val="0"/>
              <w:adjustRightInd w:val="0"/>
              <w:snapToGrid w:val="0"/>
              <w:spacing w:line="345" w:lineRule="auto"/>
              <w:ind w:left="107" w:right="129" w:firstLine="480"/>
              <w:textAlignment w:val="baseline"/>
              <w:rPr>
                <w:color w:val="auto"/>
              </w:rPr>
            </w:pPr>
            <w:r>
              <w:rPr>
                <w:color w:val="auto"/>
              </w:rPr>
              <w:t>本工程原材料、产品均采用汽车运输。车辆</w:t>
            </w:r>
            <w:r>
              <w:rPr>
                <w:color w:val="auto"/>
                <w:spacing w:val="-1"/>
              </w:rPr>
              <w:t>行驶产生的扬尘，在道路完</w:t>
            </w:r>
            <w:r>
              <w:rPr>
                <w:color w:val="auto"/>
              </w:rPr>
              <w:t xml:space="preserve"> </w:t>
            </w:r>
            <w:r>
              <w:rPr>
                <w:color w:val="auto"/>
                <w:spacing w:val="-1"/>
              </w:rPr>
              <w:t>全干燥的情况下，可按下列经验公式计算：</w:t>
            </w:r>
          </w:p>
          <w:p w14:paraId="202CF200">
            <w:pPr>
              <w:spacing w:before="62" w:line="609" w:lineRule="exact"/>
              <w:ind w:left="2511"/>
              <w:rPr>
                <w:color w:val="auto"/>
              </w:rPr>
            </w:pPr>
            <w:r>
              <w:rPr>
                <w:color w:val="auto"/>
                <w:position w:val="-12"/>
              </w:rPr>
              <w:drawing>
                <wp:inline distT="0" distB="0" distL="0" distR="0">
                  <wp:extent cx="1985010" cy="386080"/>
                  <wp:effectExtent l="0" t="0" r="5715" b="444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3"/>
                          <a:stretch>
                            <a:fillRect/>
                          </a:stretch>
                        </pic:blipFill>
                        <pic:spPr>
                          <a:xfrm>
                            <a:off x="0" y="0"/>
                            <a:ext cx="1985372" cy="386182"/>
                          </a:xfrm>
                          <a:prstGeom prst="rect">
                            <a:avLst/>
                          </a:prstGeom>
                        </pic:spPr>
                      </pic:pic>
                    </a:graphicData>
                  </a:graphic>
                </wp:inline>
              </w:drawing>
            </w:r>
          </w:p>
          <w:p w14:paraId="7201E130">
            <w:pPr>
              <w:spacing w:before="159" w:line="641" w:lineRule="exact"/>
              <w:ind w:left="3421"/>
              <w:rPr>
                <w:color w:val="auto"/>
              </w:rPr>
            </w:pPr>
            <w:r>
              <w:rPr>
                <w:color w:val="auto"/>
                <w:position w:val="-13"/>
              </w:rPr>
              <w:drawing>
                <wp:inline distT="0" distB="0" distL="0" distR="0">
                  <wp:extent cx="1095375" cy="4064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4"/>
                          <a:stretch>
                            <a:fillRect/>
                          </a:stretch>
                        </pic:blipFill>
                        <pic:spPr>
                          <a:xfrm>
                            <a:off x="0" y="0"/>
                            <a:ext cx="1095917" cy="406965"/>
                          </a:xfrm>
                          <a:prstGeom prst="rect">
                            <a:avLst/>
                          </a:prstGeom>
                        </pic:spPr>
                      </pic:pic>
                    </a:graphicData>
                  </a:graphic>
                </wp:inline>
              </w:drawing>
            </w:r>
          </w:p>
          <w:p w14:paraId="57DB8B18">
            <w:pPr>
              <w:pStyle w:val="22"/>
              <w:spacing w:before="288" w:line="335" w:lineRule="auto"/>
              <w:ind w:left="1300" w:right="2400" w:hanging="708"/>
              <w:rPr>
                <w:color w:val="auto"/>
              </w:rPr>
            </w:pPr>
            <w:r>
              <w:rPr>
                <w:color w:val="auto"/>
                <w:spacing w:val="-1"/>
              </w:rPr>
              <w:t>式中：</w:t>
            </w:r>
            <w:r>
              <w:rPr>
                <w:rFonts w:ascii="Times New Roman" w:hAnsi="Times New Roman" w:eastAsia="Times New Roman" w:cs="Times New Roman"/>
                <w:color w:val="auto"/>
                <w:spacing w:val="-1"/>
              </w:rPr>
              <w:t>Q</w:t>
            </w:r>
            <w:r>
              <w:rPr>
                <w:rFonts w:ascii="Times New Roman" w:hAnsi="Times New Roman" w:eastAsia="Times New Roman" w:cs="Times New Roman"/>
                <w:color w:val="auto"/>
                <w:spacing w:val="-1"/>
                <w:position w:val="-1"/>
                <w:sz w:val="15"/>
                <w:szCs w:val="15"/>
              </w:rPr>
              <w:t>i</w:t>
            </w:r>
            <w:r>
              <w:rPr>
                <w:rFonts w:ascii="Times New Roman" w:hAnsi="Times New Roman" w:eastAsia="Times New Roman" w:cs="Times New Roman"/>
                <w:color w:val="auto"/>
                <w:spacing w:val="-1"/>
              </w:rPr>
              <w:t>——</w:t>
            </w:r>
            <w:r>
              <w:rPr>
                <w:color w:val="auto"/>
                <w:spacing w:val="-1"/>
              </w:rPr>
              <w:t>车辆运输起尘量，</w:t>
            </w:r>
            <w:r>
              <w:rPr>
                <w:rFonts w:ascii="Times New Roman" w:hAnsi="Times New Roman" w:eastAsia="Times New Roman" w:cs="Times New Roman"/>
                <w:color w:val="auto"/>
                <w:spacing w:val="-1"/>
              </w:rPr>
              <w:t>kg/</w:t>
            </w:r>
            <w:r>
              <w:rPr>
                <w:color w:val="auto"/>
                <w:spacing w:val="-1"/>
              </w:rPr>
              <w:t>（</w:t>
            </w:r>
            <w:r>
              <w:rPr>
                <w:rFonts w:ascii="Times New Roman" w:hAnsi="Times New Roman" w:eastAsia="Times New Roman" w:cs="Times New Roman"/>
                <w:color w:val="auto"/>
                <w:spacing w:val="-1"/>
              </w:rPr>
              <w:t>km·</w:t>
            </w:r>
            <w:r>
              <w:rPr>
                <w:color w:val="auto"/>
                <w:spacing w:val="-1"/>
              </w:rPr>
              <w:t>辆次</w:t>
            </w:r>
            <w:r>
              <w:rPr>
                <w:color w:val="auto"/>
                <w:spacing w:val="-26"/>
              </w:rPr>
              <w:t>）；</w:t>
            </w:r>
            <w:r>
              <w:rPr>
                <w:color w:val="auto"/>
                <w:spacing w:val="1"/>
              </w:rPr>
              <w:t xml:space="preserve"> </w:t>
            </w:r>
            <w:r>
              <w:rPr>
                <w:rFonts w:ascii="Times New Roman" w:hAnsi="Times New Roman" w:eastAsia="Times New Roman" w:cs="Times New Roman"/>
                <w:color w:val="auto"/>
                <w:spacing w:val="-1"/>
              </w:rPr>
              <w:t>V——</w:t>
            </w:r>
            <w:r>
              <w:rPr>
                <w:color w:val="auto"/>
                <w:spacing w:val="-1"/>
              </w:rPr>
              <w:t>车辆行驶速度，</w:t>
            </w:r>
            <w:r>
              <w:rPr>
                <w:rFonts w:ascii="Times New Roman" w:hAnsi="Times New Roman" w:eastAsia="Times New Roman" w:cs="Times New Roman"/>
                <w:color w:val="auto"/>
                <w:spacing w:val="-1"/>
              </w:rPr>
              <w:t>km/h</w:t>
            </w:r>
            <w:r>
              <w:rPr>
                <w:color w:val="auto"/>
                <w:spacing w:val="-1"/>
              </w:rPr>
              <w:t>；</w:t>
            </w:r>
          </w:p>
          <w:p w14:paraId="55D4F4FE">
            <w:pPr>
              <w:pStyle w:val="22"/>
              <w:spacing w:before="63" w:line="219" w:lineRule="auto"/>
              <w:ind w:left="1302"/>
              <w:rPr>
                <w:color w:val="auto"/>
              </w:rPr>
            </w:pPr>
            <w:r>
              <w:rPr>
                <w:rFonts w:ascii="Times New Roman" w:hAnsi="Times New Roman" w:eastAsia="Times New Roman" w:cs="Times New Roman"/>
                <w:color w:val="auto"/>
                <w:spacing w:val="-1"/>
              </w:rPr>
              <w:t>M——</w:t>
            </w:r>
            <w:r>
              <w:rPr>
                <w:color w:val="auto"/>
                <w:spacing w:val="-1"/>
              </w:rPr>
              <w:t>车辆载重，</w:t>
            </w:r>
            <w:r>
              <w:rPr>
                <w:rFonts w:ascii="Times New Roman" w:hAnsi="Times New Roman" w:eastAsia="Times New Roman" w:cs="Times New Roman"/>
                <w:color w:val="auto"/>
                <w:spacing w:val="-1"/>
              </w:rPr>
              <w:t>t/</w:t>
            </w:r>
            <w:r>
              <w:rPr>
                <w:color w:val="auto"/>
                <w:spacing w:val="-1"/>
              </w:rPr>
              <w:t>辆；</w:t>
            </w:r>
          </w:p>
          <w:p w14:paraId="771F6698">
            <w:pPr>
              <w:pStyle w:val="22"/>
              <w:spacing w:before="181" w:line="332" w:lineRule="auto"/>
              <w:ind w:left="1306" w:right="3564" w:hanging="4"/>
              <w:rPr>
                <w:color w:val="auto"/>
              </w:rPr>
            </w:pPr>
            <w:r>
              <w:rPr>
                <w:rFonts w:ascii="Times New Roman" w:hAnsi="Times New Roman" w:eastAsia="Times New Roman" w:cs="Times New Roman"/>
                <w:color w:val="auto"/>
                <w:spacing w:val="-4"/>
              </w:rPr>
              <w:t>P——</w:t>
            </w:r>
            <w:r>
              <w:rPr>
                <w:color w:val="auto"/>
                <w:spacing w:val="-4"/>
              </w:rPr>
              <w:t>道路表面粉尘量，</w:t>
            </w:r>
            <w:r>
              <w:rPr>
                <w:rFonts w:ascii="Times New Roman" w:hAnsi="Times New Roman" w:eastAsia="Times New Roman" w:cs="Times New Roman"/>
                <w:color w:val="auto"/>
                <w:spacing w:val="-4"/>
              </w:rPr>
              <w:t>kg/m</w:t>
            </w:r>
            <w:r>
              <w:rPr>
                <w:rFonts w:ascii="Times New Roman" w:hAnsi="Times New Roman" w:eastAsia="Times New Roman" w:cs="Times New Roman"/>
                <w:color w:val="auto"/>
                <w:spacing w:val="-4"/>
                <w:position w:val="8"/>
                <w:sz w:val="15"/>
                <w:szCs w:val="15"/>
              </w:rPr>
              <w:t>2</w:t>
            </w:r>
            <w:r>
              <w:rPr>
                <w:color w:val="auto"/>
                <w:spacing w:val="-4"/>
              </w:rPr>
              <w:t>；</w:t>
            </w:r>
            <w:r>
              <w:rPr>
                <w:color w:val="auto"/>
                <w:spacing w:val="5"/>
              </w:rPr>
              <w:t xml:space="preserve"> </w:t>
            </w:r>
            <w:r>
              <w:rPr>
                <w:rFonts w:ascii="Times New Roman" w:hAnsi="Times New Roman" w:eastAsia="Times New Roman" w:cs="Times New Roman"/>
                <w:color w:val="auto"/>
                <w:spacing w:val="-1"/>
              </w:rPr>
              <w:t>Q</w:t>
            </w:r>
            <w:r>
              <w:rPr>
                <w:rFonts w:ascii="Times New Roman" w:hAnsi="Times New Roman" w:eastAsia="Times New Roman" w:cs="Times New Roman"/>
                <w:color w:val="auto"/>
                <w:spacing w:val="-1"/>
                <w:position w:val="-1"/>
                <w:sz w:val="15"/>
                <w:szCs w:val="15"/>
              </w:rPr>
              <w:t>t</w:t>
            </w:r>
            <w:r>
              <w:rPr>
                <w:rFonts w:ascii="Times New Roman" w:hAnsi="Times New Roman" w:eastAsia="Times New Roman" w:cs="Times New Roman"/>
                <w:color w:val="auto"/>
                <w:spacing w:val="-1"/>
              </w:rPr>
              <w:t>——</w:t>
            </w:r>
            <w:r>
              <w:rPr>
                <w:color w:val="auto"/>
                <w:spacing w:val="-1"/>
              </w:rPr>
              <w:t>车辆运输总扬尘量，</w:t>
            </w:r>
            <w:r>
              <w:rPr>
                <w:rFonts w:ascii="Times New Roman" w:hAnsi="Times New Roman" w:eastAsia="Times New Roman" w:cs="Times New Roman"/>
                <w:color w:val="auto"/>
                <w:spacing w:val="-1"/>
              </w:rPr>
              <w:t>t</w:t>
            </w:r>
            <w:r>
              <w:rPr>
                <w:color w:val="auto"/>
                <w:spacing w:val="-1"/>
              </w:rPr>
              <w:t>；</w:t>
            </w:r>
          </w:p>
          <w:p w14:paraId="033C82E1">
            <w:pPr>
              <w:pStyle w:val="22"/>
              <w:spacing w:before="70" w:line="344" w:lineRule="auto"/>
              <w:ind w:left="1306" w:right="4536" w:hanging="3"/>
              <w:rPr>
                <w:color w:val="auto"/>
              </w:rPr>
            </w:pPr>
            <w:r>
              <w:rPr>
                <w:rFonts w:ascii="Times New Roman" w:hAnsi="Times New Roman" w:eastAsia="Times New Roman" w:cs="Times New Roman"/>
                <w:color w:val="auto"/>
                <w:spacing w:val="-6"/>
              </w:rPr>
              <w:t>L——</w:t>
            </w:r>
            <w:r>
              <w:rPr>
                <w:color w:val="auto"/>
                <w:spacing w:val="-6"/>
              </w:rPr>
              <w:t>运输距离，</w:t>
            </w:r>
            <w:r>
              <w:rPr>
                <w:rFonts w:ascii="Times New Roman" w:hAnsi="Times New Roman" w:eastAsia="Times New Roman" w:cs="Times New Roman"/>
                <w:color w:val="auto"/>
                <w:spacing w:val="-6"/>
              </w:rPr>
              <w:t>km</w:t>
            </w:r>
            <w:r>
              <w:rPr>
                <w:color w:val="auto"/>
                <w:spacing w:val="-6"/>
              </w:rPr>
              <w:t>；</w:t>
            </w:r>
            <w:r>
              <w:rPr>
                <w:color w:val="auto"/>
              </w:rPr>
              <w:t xml:space="preserve"> </w:t>
            </w:r>
            <w:r>
              <w:rPr>
                <w:rFonts w:ascii="Times New Roman" w:hAnsi="Times New Roman" w:eastAsia="Times New Roman" w:cs="Times New Roman"/>
                <w:color w:val="auto"/>
                <w:spacing w:val="-1"/>
              </w:rPr>
              <w:t>Q——</w:t>
            </w:r>
            <w:r>
              <w:rPr>
                <w:color w:val="auto"/>
                <w:spacing w:val="-1"/>
              </w:rPr>
              <w:t>运输量，</w:t>
            </w:r>
            <w:r>
              <w:rPr>
                <w:rFonts w:ascii="Times New Roman" w:hAnsi="Times New Roman" w:eastAsia="Times New Roman" w:cs="Times New Roman"/>
                <w:color w:val="auto"/>
                <w:spacing w:val="-1"/>
              </w:rPr>
              <w:t>t/a</w:t>
            </w:r>
            <w:r>
              <w:rPr>
                <w:color w:val="auto"/>
                <w:spacing w:val="-1"/>
              </w:rPr>
              <w:t>。</w:t>
            </w:r>
          </w:p>
          <w:p w14:paraId="266919C7">
            <w:pPr>
              <w:pStyle w:val="22"/>
              <w:spacing w:before="36" w:line="352" w:lineRule="auto"/>
              <w:ind w:left="107" w:right="41" w:firstLine="480"/>
              <w:jc w:val="both"/>
              <w:rPr>
                <w:color w:val="auto"/>
              </w:rPr>
            </w:pPr>
            <w:r>
              <w:rPr>
                <w:color w:val="auto"/>
                <w:spacing w:val="-3"/>
              </w:rPr>
              <w:t>本项目原料运输量</w:t>
            </w:r>
            <w:r>
              <w:rPr>
                <w:color w:val="auto"/>
                <w:spacing w:val="-3"/>
                <w:highlight w:val="none"/>
              </w:rPr>
              <w:t>约为</w:t>
            </w:r>
            <w:r>
              <w:rPr>
                <w:color w:val="auto"/>
                <w:spacing w:val="-51"/>
                <w:highlight w:val="none"/>
              </w:rPr>
              <w:t xml:space="preserve"> </w:t>
            </w:r>
            <w:r>
              <w:rPr>
                <w:rFonts w:hint="eastAsia" w:ascii="Times New Roman" w:hAnsi="Times New Roman" w:eastAsia="宋体" w:cs="Times New Roman"/>
                <w:color w:val="auto"/>
                <w:spacing w:val="-3"/>
                <w:lang w:val="en-US" w:eastAsia="zh-CN"/>
              </w:rPr>
              <w:t>112636t/a</w:t>
            </w:r>
            <w:r>
              <w:rPr>
                <w:color w:val="auto"/>
                <w:spacing w:val="-3"/>
                <w:highlight w:val="none"/>
              </w:rPr>
              <w:t>，外运产品</w:t>
            </w:r>
            <w:r>
              <w:rPr>
                <w:color w:val="auto"/>
                <w:spacing w:val="-51"/>
              </w:rPr>
              <w:t xml:space="preserve"> </w:t>
            </w:r>
            <w:r>
              <w:rPr>
                <w:rFonts w:hint="eastAsia" w:ascii="Times New Roman" w:hAnsi="Times New Roman" w:eastAsia="宋体" w:cs="Times New Roman"/>
                <w:color w:val="auto"/>
                <w:spacing w:val="-3"/>
                <w:lang w:val="en-US" w:eastAsia="zh-CN"/>
              </w:rPr>
              <w:t>120</w:t>
            </w:r>
            <w:r>
              <w:rPr>
                <w:rFonts w:ascii="Times New Roman" w:hAnsi="Times New Roman" w:eastAsia="Times New Roman" w:cs="Times New Roman"/>
                <w:color w:val="auto"/>
                <w:spacing w:val="-3"/>
              </w:rPr>
              <w:t>000t/a</w:t>
            </w:r>
            <w:r>
              <w:rPr>
                <w:color w:val="auto"/>
                <w:spacing w:val="-3"/>
              </w:rPr>
              <w:t>，</w:t>
            </w:r>
            <w:r>
              <w:rPr>
                <w:rFonts w:hint="eastAsia"/>
                <w:color w:val="auto"/>
                <w:spacing w:val="-3"/>
                <w:lang w:val="en-US" w:eastAsia="zh-CN"/>
              </w:rPr>
              <w:t>原料运输</w:t>
            </w:r>
            <w:r>
              <w:rPr>
                <w:color w:val="auto"/>
                <w:spacing w:val="-3"/>
              </w:rPr>
              <w:t>空车、载重车质量分别约为</w:t>
            </w:r>
            <w:r>
              <w:rPr>
                <w:color w:val="auto"/>
                <w:spacing w:val="-31"/>
              </w:rPr>
              <w:t xml:space="preserve"> </w:t>
            </w:r>
            <w:r>
              <w:rPr>
                <w:rFonts w:ascii="Times New Roman" w:hAnsi="Times New Roman" w:eastAsia="Times New Roman" w:cs="Times New Roman"/>
                <w:color w:val="auto"/>
                <w:spacing w:val="-3"/>
              </w:rPr>
              <w:t>10t</w:t>
            </w:r>
            <w:r>
              <w:rPr>
                <w:rFonts w:ascii="Times New Roman" w:hAnsi="Times New Roman" w:eastAsia="Times New Roman" w:cs="Times New Roman"/>
                <w:color w:val="auto"/>
                <w:spacing w:val="-34"/>
              </w:rPr>
              <w:t xml:space="preserve"> </w:t>
            </w:r>
            <w:r>
              <w:rPr>
                <w:color w:val="auto"/>
                <w:spacing w:val="-3"/>
              </w:rPr>
              <w:t>、</w:t>
            </w:r>
            <w:r>
              <w:rPr>
                <w:rFonts w:ascii="Times New Roman" w:hAnsi="Times New Roman" w:eastAsia="Times New Roman" w:cs="Times New Roman"/>
                <w:color w:val="auto"/>
                <w:spacing w:val="-3"/>
              </w:rPr>
              <w:t>40t</w:t>
            </w:r>
            <w:r>
              <w:rPr>
                <w:rFonts w:ascii="Times New Roman" w:hAnsi="Times New Roman" w:eastAsia="Times New Roman" w:cs="Times New Roman"/>
                <w:color w:val="auto"/>
                <w:spacing w:val="-31"/>
              </w:rPr>
              <w:t xml:space="preserve"> </w:t>
            </w:r>
            <w:r>
              <w:rPr>
                <w:color w:val="auto"/>
                <w:spacing w:val="-3"/>
              </w:rPr>
              <w:t>，平均每天空车、载重车各</w:t>
            </w:r>
            <w:r>
              <w:rPr>
                <w:rFonts w:hint="eastAsia" w:ascii="Times New Roman" w:hAnsi="Times New Roman" w:cs="Times New Roman"/>
                <w:color w:val="auto"/>
                <w:spacing w:val="-3"/>
                <w:lang w:val="en-US" w:eastAsia="zh-CN"/>
              </w:rPr>
              <w:t>12</w:t>
            </w:r>
            <w:r>
              <w:rPr>
                <w:color w:val="auto"/>
                <w:spacing w:val="-3"/>
              </w:rPr>
              <w:t>辆</w:t>
            </w:r>
            <w:r>
              <w:rPr>
                <w:color w:val="auto"/>
                <w:spacing w:val="-4"/>
              </w:rPr>
              <w:t>次</w:t>
            </w:r>
            <w:r>
              <w:rPr>
                <w:rFonts w:hint="eastAsia"/>
                <w:color w:val="auto"/>
                <w:spacing w:val="-4"/>
                <w:lang w:eastAsia="zh-CN"/>
              </w:rPr>
              <w:t>；</w:t>
            </w:r>
            <w:r>
              <w:rPr>
                <w:rFonts w:hint="eastAsia"/>
                <w:color w:val="auto"/>
                <w:spacing w:val="-4"/>
                <w:lang w:val="en-US" w:eastAsia="zh-CN"/>
              </w:rPr>
              <w:t>产品运输车辆单车装载量为</w:t>
            </w:r>
            <w:r>
              <w:rPr>
                <w:rFonts w:hint="default" w:ascii="Times New Roman" w:hAnsi="Times New Roman" w:cs="Times New Roman"/>
                <w:color w:val="auto"/>
                <w:spacing w:val="-4"/>
                <w:lang w:val="en-US" w:eastAsia="zh-CN"/>
              </w:rPr>
              <w:t>10m</w:t>
            </w:r>
            <w:r>
              <w:rPr>
                <w:rFonts w:hint="default" w:ascii="Times New Roman" w:hAnsi="Times New Roman" w:cs="Times New Roman"/>
                <w:color w:val="auto"/>
                <w:spacing w:val="-4"/>
                <w:vertAlign w:val="superscript"/>
                <w:lang w:val="en-US" w:eastAsia="zh-CN"/>
              </w:rPr>
              <w:t>3</w:t>
            </w:r>
            <w:r>
              <w:rPr>
                <w:rFonts w:hint="eastAsia"/>
                <w:color w:val="auto"/>
                <w:spacing w:val="-4"/>
                <w:lang w:val="en-US" w:eastAsia="zh-CN"/>
              </w:rPr>
              <w:t>，</w:t>
            </w:r>
            <w:r>
              <w:rPr>
                <w:rFonts w:hint="default" w:ascii="Times New Roman" w:hAnsi="Times New Roman" w:cs="Times New Roman"/>
                <w:color w:val="auto"/>
                <w:spacing w:val="-4"/>
                <w:lang w:val="en-US" w:eastAsia="zh-CN"/>
              </w:rPr>
              <w:t>密度取2.39t/m</w:t>
            </w:r>
            <w:r>
              <w:rPr>
                <w:rFonts w:hint="default" w:ascii="Times New Roman" w:hAnsi="Times New Roman" w:cs="Times New Roman"/>
                <w:color w:val="auto"/>
                <w:spacing w:val="-4"/>
                <w:vertAlign w:val="superscript"/>
                <w:lang w:val="en-US" w:eastAsia="zh-CN"/>
              </w:rPr>
              <w:t>3</w:t>
            </w:r>
            <w:r>
              <w:rPr>
                <w:rFonts w:hint="default" w:ascii="Times New Roman" w:hAnsi="Times New Roman" w:cs="Times New Roman"/>
                <w:color w:val="auto"/>
                <w:spacing w:val="-4"/>
                <w:lang w:val="en-US" w:eastAsia="zh-CN"/>
              </w:rPr>
              <w:t>，则载重量为23.9t，产品运输车辆的空车、载重车辆约各16次</w:t>
            </w:r>
            <w:r>
              <w:rPr>
                <w:rFonts w:hint="eastAsia"/>
                <w:color w:val="auto"/>
                <w:spacing w:val="-4"/>
                <w:lang w:val="en-US" w:eastAsia="zh-CN"/>
              </w:rPr>
              <w:t>；</w:t>
            </w:r>
            <w:r>
              <w:rPr>
                <w:color w:val="auto"/>
                <w:spacing w:val="-4"/>
              </w:rPr>
              <w:t>在厂内以</w:t>
            </w:r>
            <w:r>
              <w:rPr>
                <w:color w:val="auto"/>
                <w:spacing w:val="-48"/>
              </w:rPr>
              <w:t xml:space="preserve"> </w:t>
            </w:r>
            <w:r>
              <w:rPr>
                <w:rFonts w:ascii="Times New Roman" w:hAnsi="Times New Roman" w:eastAsia="Times New Roman" w:cs="Times New Roman"/>
                <w:color w:val="auto"/>
                <w:spacing w:val="-4"/>
              </w:rPr>
              <w:t>5 km/h</w:t>
            </w:r>
            <w:r>
              <w:rPr>
                <w:rFonts w:ascii="Times New Roman" w:hAnsi="Times New Roman" w:eastAsia="Times New Roman" w:cs="Times New Roman"/>
                <w:color w:val="auto"/>
              </w:rPr>
              <w:t xml:space="preserve"> </w:t>
            </w:r>
            <w:r>
              <w:rPr>
                <w:color w:val="auto"/>
                <w:spacing w:val="-5"/>
              </w:rPr>
              <w:t>行驶，行驶距离平均按</w:t>
            </w:r>
            <w:r>
              <w:rPr>
                <w:rFonts w:hint="eastAsia" w:ascii="Times New Roman" w:hAnsi="Times New Roman" w:cs="Times New Roman"/>
                <w:color w:val="auto"/>
                <w:spacing w:val="-5"/>
                <w:lang w:val="en-US" w:eastAsia="zh-CN"/>
              </w:rPr>
              <w:t>2</w:t>
            </w:r>
            <w:r>
              <w:rPr>
                <w:rFonts w:ascii="Times New Roman" w:hAnsi="Times New Roman" w:eastAsia="Times New Roman" w:cs="Times New Roman"/>
                <w:color w:val="auto"/>
                <w:spacing w:val="-5"/>
              </w:rPr>
              <w:t>00m</w:t>
            </w:r>
            <w:r>
              <w:rPr>
                <w:color w:val="auto"/>
                <w:spacing w:val="-5"/>
              </w:rPr>
              <w:t>计，道路路况（即表面粉尘量）以</w:t>
            </w:r>
            <w:r>
              <w:rPr>
                <w:color w:val="auto"/>
                <w:spacing w:val="-51"/>
              </w:rPr>
              <w:t xml:space="preserve"> </w:t>
            </w:r>
            <w:r>
              <w:rPr>
                <w:rFonts w:ascii="Times New Roman" w:hAnsi="Times New Roman" w:eastAsia="Times New Roman" w:cs="Times New Roman"/>
                <w:color w:val="auto"/>
                <w:spacing w:val="-5"/>
              </w:rPr>
              <w:t>0.4 kg/m</w:t>
            </w:r>
            <w:r>
              <w:rPr>
                <w:rFonts w:ascii="Times New Roman" w:hAnsi="Times New Roman" w:eastAsia="Times New Roman" w:cs="Times New Roman"/>
                <w:color w:val="auto"/>
                <w:spacing w:val="-5"/>
                <w:position w:val="8"/>
                <w:sz w:val="15"/>
                <w:szCs w:val="15"/>
              </w:rPr>
              <w:t>2</w:t>
            </w:r>
            <w:r>
              <w:rPr>
                <w:rFonts w:ascii="Times New Roman" w:hAnsi="Times New Roman" w:eastAsia="Times New Roman" w:cs="Times New Roman"/>
                <w:color w:val="auto"/>
                <w:spacing w:val="11"/>
                <w:w w:val="102"/>
                <w:position w:val="8"/>
                <w:sz w:val="15"/>
                <w:szCs w:val="15"/>
              </w:rPr>
              <w:t xml:space="preserve"> </w:t>
            </w:r>
            <w:r>
              <w:rPr>
                <w:color w:val="auto"/>
                <w:spacing w:val="-5"/>
              </w:rPr>
              <w:t>计，</w:t>
            </w:r>
            <w:r>
              <w:rPr>
                <w:color w:val="auto"/>
              </w:rPr>
              <w:t xml:space="preserve"> </w:t>
            </w:r>
            <w:r>
              <w:rPr>
                <w:color w:val="auto"/>
                <w:spacing w:val="-6"/>
                <w:highlight w:val="none"/>
              </w:rPr>
              <w:t>计算得空车起尘量为</w:t>
            </w:r>
            <w:r>
              <w:rPr>
                <w:color w:val="auto"/>
                <w:spacing w:val="-52"/>
                <w:highlight w:val="none"/>
              </w:rPr>
              <w:t xml:space="preserve"> </w:t>
            </w:r>
            <w:r>
              <w:rPr>
                <w:rFonts w:ascii="Times New Roman" w:hAnsi="Times New Roman" w:eastAsia="Times New Roman" w:cs="Times New Roman"/>
                <w:color w:val="auto"/>
                <w:spacing w:val="-6"/>
                <w:highlight w:val="none"/>
              </w:rPr>
              <w:t>0.</w:t>
            </w:r>
            <w:r>
              <w:rPr>
                <w:rFonts w:ascii="Times New Roman" w:hAnsi="Times New Roman" w:eastAsia="Times New Roman" w:cs="Times New Roman"/>
                <w:color w:val="auto"/>
                <w:spacing w:val="-32"/>
                <w:highlight w:val="none"/>
              </w:rPr>
              <w:t xml:space="preserve"> </w:t>
            </w:r>
            <w:r>
              <w:rPr>
                <w:rFonts w:ascii="Times New Roman" w:hAnsi="Times New Roman" w:eastAsia="Times New Roman" w:cs="Times New Roman"/>
                <w:color w:val="auto"/>
                <w:spacing w:val="-6"/>
                <w:highlight w:val="none"/>
              </w:rPr>
              <w:t>145kg/</w:t>
            </w:r>
            <w:r>
              <w:rPr>
                <w:color w:val="auto"/>
                <w:spacing w:val="-6"/>
                <w:highlight w:val="none"/>
              </w:rPr>
              <w:t>（</w:t>
            </w:r>
            <w:r>
              <w:rPr>
                <w:rFonts w:ascii="Times New Roman" w:hAnsi="Times New Roman" w:eastAsia="Times New Roman" w:cs="Times New Roman"/>
                <w:color w:val="auto"/>
                <w:spacing w:val="-6"/>
                <w:highlight w:val="none"/>
              </w:rPr>
              <w:t>km·</w:t>
            </w:r>
            <w:r>
              <w:rPr>
                <w:color w:val="auto"/>
                <w:spacing w:val="-6"/>
                <w:highlight w:val="none"/>
              </w:rPr>
              <w:t>辆次）、</w:t>
            </w:r>
            <w:r>
              <w:rPr>
                <w:rFonts w:hint="eastAsia"/>
                <w:color w:val="auto"/>
                <w:spacing w:val="-6"/>
                <w:highlight w:val="none"/>
                <w:lang w:val="en-US" w:eastAsia="zh-CN"/>
              </w:rPr>
              <w:t>原料载重车起尘量为</w:t>
            </w:r>
            <w:r>
              <w:rPr>
                <w:rFonts w:ascii="Times New Roman" w:hAnsi="Times New Roman" w:eastAsia="Times New Roman" w:cs="Times New Roman"/>
                <w:color w:val="auto"/>
                <w:spacing w:val="-6"/>
                <w:highlight w:val="none"/>
              </w:rPr>
              <w:t>0.47</w:t>
            </w:r>
            <w:r>
              <w:rPr>
                <w:rFonts w:hint="eastAsia" w:ascii="Times New Roman" w:hAnsi="Times New Roman" w:eastAsia="宋体" w:cs="Times New Roman"/>
                <w:color w:val="auto"/>
                <w:spacing w:val="-6"/>
                <w:highlight w:val="none"/>
                <w:lang w:val="en-US" w:eastAsia="zh-CN"/>
              </w:rPr>
              <w:t>2</w:t>
            </w:r>
            <w:r>
              <w:rPr>
                <w:rFonts w:ascii="Times New Roman" w:hAnsi="Times New Roman" w:eastAsia="Times New Roman" w:cs="Times New Roman"/>
                <w:color w:val="auto"/>
                <w:spacing w:val="-6"/>
                <w:highlight w:val="none"/>
              </w:rPr>
              <w:t>kg/</w:t>
            </w:r>
            <w:r>
              <w:rPr>
                <w:color w:val="auto"/>
                <w:spacing w:val="-6"/>
                <w:highlight w:val="none"/>
              </w:rPr>
              <w:t>（</w:t>
            </w:r>
            <w:r>
              <w:rPr>
                <w:rFonts w:ascii="Times New Roman" w:hAnsi="Times New Roman" w:eastAsia="Times New Roman" w:cs="Times New Roman"/>
                <w:color w:val="auto"/>
                <w:spacing w:val="-6"/>
                <w:highlight w:val="none"/>
              </w:rPr>
              <w:t>k</w:t>
            </w:r>
            <w:r>
              <w:rPr>
                <w:rFonts w:ascii="Times New Roman" w:hAnsi="Times New Roman" w:eastAsia="Times New Roman" w:cs="Times New Roman"/>
                <w:color w:val="auto"/>
                <w:spacing w:val="-7"/>
                <w:highlight w:val="none"/>
              </w:rPr>
              <w:t>m·</w:t>
            </w:r>
            <w:r>
              <w:rPr>
                <w:color w:val="auto"/>
                <w:spacing w:val="-7"/>
                <w:highlight w:val="none"/>
              </w:rPr>
              <w:t>辆次</w:t>
            </w:r>
            <w:r>
              <w:rPr>
                <w:color w:val="auto"/>
                <w:spacing w:val="-53"/>
                <w:w w:val="85"/>
                <w:highlight w:val="none"/>
              </w:rPr>
              <w:t>）</w:t>
            </w:r>
            <w:r>
              <w:rPr>
                <w:rFonts w:hint="eastAsia"/>
                <w:color w:val="auto"/>
                <w:spacing w:val="-53"/>
                <w:w w:val="85"/>
                <w:highlight w:val="none"/>
                <w:lang w:eastAsia="zh-CN"/>
              </w:rPr>
              <w:t>、</w:t>
            </w:r>
            <w:r>
              <w:rPr>
                <w:rFonts w:hint="eastAsia"/>
                <w:color w:val="auto"/>
                <w:spacing w:val="-6"/>
                <w:highlight w:val="none"/>
                <w:lang w:val="en-US" w:eastAsia="zh-CN"/>
              </w:rPr>
              <w:t>产品载重车起尘量为</w:t>
            </w:r>
            <w:r>
              <w:rPr>
                <w:rFonts w:hint="default" w:ascii="Times New Roman" w:hAnsi="Times New Roman" w:cs="Times New Roman"/>
                <w:color w:val="auto"/>
                <w:spacing w:val="-6"/>
                <w:highlight w:val="none"/>
                <w:lang w:val="en-US" w:eastAsia="zh-CN"/>
              </w:rPr>
              <w:t>0.41kg/（km·辆次</w:t>
            </w:r>
            <w:r>
              <w:rPr>
                <w:rFonts w:hint="eastAsia"/>
                <w:color w:val="auto"/>
                <w:spacing w:val="-6"/>
                <w:highlight w:val="none"/>
                <w:lang w:val="en-US" w:eastAsia="zh-CN"/>
              </w:rPr>
              <w:t>）</w:t>
            </w:r>
            <w:r>
              <w:rPr>
                <w:color w:val="auto"/>
                <w:spacing w:val="-53"/>
                <w:w w:val="85"/>
                <w:highlight w:val="none"/>
              </w:rPr>
              <w:t>，</w:t>
            </w:r>
            <w:r>
              <w:rPr>
                <w:color w:val="auto"/>
                <w:highlight w:val="none"/>
              </w:rPr>
              <w:t xml:space="preserve"> </w:t>
            </w:r>
            <w:r>
              <w:rPr>
                <w:color w:val="auto"/>
                <w:spacing w:val="-2"/>
                <w:highlight w:val="none"/>
              </w:rPr>
              <w:t>总扬尘量为</w:t>
            </w:r>
            <w:r>
              <w:rPr>
                <w:color w:val="auto"/>
                <w:spacing w:val="-32"/>
                <w:highlight w:val="none"/>
              </w:rPr>
              <w:t xml:space="preserve"> </w:t>
            </w:r>
            <w:r>
              <w:rPr>
                <w:rFonts w:hint="eastAsia" w:ascii="Times New Roman" w:hAnsi="Times New Roman" w:eastAsia="宋体" w:cs="Times New Roman"/>
                <w:color w:val="auto"/>
                <w:spacing w:val="-2"/>
                <w:highlight w:val="none"/>
                <w:lang w:val="en-US" w:eastAsia="zh-CN"/>
              </w:rPr>
              <w:t>3.</w:t>
            </w:r>
            <w:r>
              <w:rPr>
                <w:rFonts w:hint="eastAsia" w:ascii="Times New Roman" w:hAnsi="Times New Roman" w:cs="Times New Roman"/>
                <w:color w:val="auto"/>
                <w:spacing w:val="-2"/>
                <w:highlight w:val="none"/>
                <w:lang w:val="en-US" w:eastAsia="zh-CN"/>
              </w:rPr>
              <w:t>26</w:t>
            </w:r>
            <w:r>
              <w:rPr>
                <w:rFonts w:ascii="Times New Roman" w:hAnsi="Times New Roman" w:eastAsia="Times New Roman" w:cs="Times New Roman"/>
                <w:color w:val="auto"/>
                <w:spacing w:val="-2"/>
                <w:highlight w:val="none"/>
              </w:rPr>
              <w:t>kg/d</w:t>
            </w:r>
            <w:r>
              <w:rPr>
                <w:rFonts w:hint="eastAsia" w:ascii="Times New Roman" w:hAnsi="Times New Roman" w:eastAsia="宋体" w:cs="Times New Roman"/>
                <w:color w:val="auto"/>
                <w:spacing w:val="-2"/>
                <w:highlight w:val="none"/>
                <w:lang w:eastAsia="zh-CN"/>
              </w:rPr>
              <w:t>、</w:t>
            </w:r>
            <w:r>
              <w:rPr>
                <w:rFonts w:hint="eastAsia" w:ascii="Times New Roman" w:hAnsi="Times New Roman" w:cs="Times New Roman"/>
                <w:color w:val="auto"/>
                <w:spacing w:val="-2"/>
                <w:highlight w:val="none"/>
                <w:lang w:val="en-US" w:eastAsia="zh-CN"/>
              </w:rPr>
              <w:t>1.017</w:t>
            </w:r>
            <w:r>
              <w:rPr>
                <w:rFonts w:hint="eastAsia" w:ascii="Times New Roman" w:hAnsi="Times New Roman" w:eastAsia="宋体" w:cs="Times New Roman"/>
                <w:color w:val="auto"/>
                <w:spacing w:val="-2"/>
                <w:highlight w:val="none"/>
                <w:lang w:val="en-US" w:eastAsia="zh-CN"/>
              </w:rPr>
              <w:t>t/a</w:t>
            </w:r>
            <w:r>
              <w:rPr>
                <w:color w:val="auto"/>
                <w:spacing w:val="-2"/>
                <w:highlight w:val="none"/>
              </w:rPr>
              <w:t>。</w:t>
            </w:r>
          </w:p>
          <w:p w14:paraId="54552E43">
            <w:pPr>
              <w:pStyle w:val="22"/>
              <w:keepNext w:val="0"/>
              <w:keepLines w:val="0"/>
              <w:pageBreakBefore w:val="0"/>
              <w:widowControl/>
              <w:kinsoku w:val="0"/>
              <w:wordWrap/>
              <w:overflowPunct/>
              <w:topLinePunct w:val="0"/>
              <w:autoSpaceDE w:val="0"/>
              <w:autoSpaceDN w:val="0"/>
              <w:bidi w:val="0"/>
              <w:adjustRightInd w:val="0"/>
              <w:snapToGrid w:val="0"/>
              <w:spacing w:line="353" w:lineRule="auto"/>
              <w:ind w:right="102" w:firstLine="460" w:firstLineChars="200"/>
              <w:jc w:val="both"/>
              <w:textAlignment w:val="baseline"/>
              <w:rPr>
                <w:color w:val="auto"/>
              </w:rPr>
            </w:pPr>
            <w:r>
              <w:rPr>
                <w:color w:val="auto"/>
                <w:spacing w:val="-5"/>
              </w:rPr>
              <w:t>为防止运输道路积尘引起二次扬尘，对生产区、入厂道路进</w:t>
            </w:r>
            <w:r>
              <w:rPr>
                <w:color w:val="auto"/>
                <w:spacing w:val="-6"/>
              </w:rPr>
              <w:t>行水泥硬化</w:t>
            </w:r>
            <w:r>
              <w:rPr>
                <w:rFonts w:hint="eastAsia"/>
                <w:color w:val="auto"/>
                <w:spacing w:val="-6"/>
                <w:lang w:eastAsia="zh-CN"/>
              </w:rPr>
              <w:t>，</w:t>
            </w:r>
            <w:r>
              <w:rPr>
                <w:color w:val="auto"/>
              </w:rPr>
              <w:t>厂区</w:t>
            </w:r>
            <w:r>
              <w:rPr>
                <w:rFonts w:hint="eastAsia"/>
                <w:color w:val="auto"/>
                <w:lang w:val="en-US" w:eastAsia="zh-CN"/>
              </w:rPr>
              <w:t>设置专人对</w:t>
            </w:r>
            <w:r>
              <w:rPr>
                <w:color w:val="auto"/>
              </w:rPr>
              <w:t>车辆进出时对轮胎进行冲洗，运输车辆顶端设篷布遮盖，并限制车速，定期对路面进行人工清扫并洒水降尘，在干燥多风天气</w:t>
            </w:r>
            <w:r>
              <w:rPr>
                <w:color w:val="auto"/>
                <w:spacing w:val="16"/>
              </w:rPr>
              <w:t xml:space="preserve"> </w:t>
            </w:r>
            <w:r>
              <w:rPr>
                <w:color w:val="auto"/>
                <w:spacing w:val="-2"/>
              </w:rPr>
              <w:t>期间适当增加清扫和洒水频次。经上述措施后预计粉尘抑制率可达到</w:t>
            </w:r>
            <w:r>
              <w:rPr>
                <w:rFonts w:hint="default" w:ascii="Times New Roman" w:hAnsi="Times New Roman" w:cs="Times New Roman"/>
                <w:color w:val="auto"/>
                <w:spacing w:val="-2"/>
                <w:lang w:val="en-US" w:eastAsia="zh-CN"/>
              </w:rPr>
              <w:t>8</w:t>
            </w:r>
            <w:r>
              <w:rPr>
                <w:rFonts w:hint="default" w:ascii="Times New Roman" w:hAnsi="Times New Roman" w:eastAsia="Times New Roman" w:cs="Times New Roman"/>
                <w:color w:val="auto"/>
                <w:spacing w:val="-2"/>
              </w:rPr>
              <w:t>0%</w:t>
            </w:r>
            <w:r>
              <w:rPr>
                <w:color w:val="auto"/>
                <w:spacing w:val="-2"/>
              </w:rPr>
              <w:t>，</w:t>
            </w:r>
            <w:r>
              <w:rPr>
                <w:color w:val="auto"/>
                <w:spacing w:val="7"/>
              </w:rPr>
              <w:t xml:space="preserve"> </w:t>
            </w:r>
            <w:r>
              <w:rPr>
                <w:color w:val="auto"/>
                <w:spacing w:val="-2"/>
              </w:rPr>
              <w:t>运输扬尘排放量为</w:t>
            </w:r>
            <w:r>
              <w:rPr>
                <w:color w:val="auto"/>
                <w:spacing w:val="-18"/>
              </w:rPr>
              <w:t xml:space="preserve"> </w:t>
            </w:r>
            <w:r>
              <w:rPr>
                <w:rFonts w:hint="eastAsia" w:ascii="Times New Roman" w:hAnsi="Times New Roman" w:eastAsia="宋体" w:cs="Times New Roman"/>
                <w:color w:val="auto"/>
                <w:spacing w:val="-2"/>
                <w:lang w:val="en-US" w:eastAsia="zh-CN"/>
              </w:rPr>
              <w:t>0.</w:t>
            </w:r>
            <w:r>
              <w:rPr>
                <w:rFonts w:hint="eastAsia" w:ascii="Times New Roman" w:hAnsi="Times New Roman" w:cs="Times New Roman"/>
                <w:color w:val="auto"/>
                <w:spacing w:val="-2"/>
                <w:lang w:val="en-US" w:eastAsia="zh-CN"/>
              </w:rPr>
              <w:t>20</w:t>
            </w:r>
            <w:r>
              <w:rPr>
                <w:rFonts w:hint="eastAsia" w:ascii="Times New Roman" w:hAnsi="Times New Roman" w:eastAsia="宋体" w:cs="Times New Roman"/>
                <w:color w:val="auto"/>
                <w:spacing w:val="-2"/>
                <w:lang w:val="en-US" w:eastAsia="zh-CN"/>
              </w:rPr>
              <w:t>3</w:t>
            </w:r>
            <w:r>
              <w:rPr>
                <w:rFonts w:ascii="Times New Roman" w:hAnsi="Times New Roman" w:eastAsia="Times New Roman" w:cs="Times New Roman"/>
                <w:color w:val="auto"/>
                <w:spacing w:val="-2"/>
              </w:rPr>
              <w:t xml:space="preserve"> t/a</w:t>
            </w:r>
            <w:r>
              <w:rPr>
                <w:color w:val="auto"/>
                <w:spacing w:val="-2"/>
              </w:rPr>
              <w:t>。</w:t>
            </w:r>
          </w:p>
          <w:p w14:paraId="0799C77E">
            <w:pPr>
              <w:pStyle w:val="22"/>
              <w:spacing w:before="33" w:line="220" w:lineRule="auto"/>
              <w:ind w:left="599"/>
              <w:rPr>
                <w:color w:val="auto"/>
              </w:rPr>
            </w:pPr>
            <w:r>
              <w:rPr>
                <w:b/>
                <w:bCs/>
                <w:color w:val="auto"/>
                <w:spacing w:val="-4"/>
              </w:rPr>
              <w:t>（</w:t>
            </w:r>
            <w:r>
              <w:rPr>
                <w:rFonts w:ascii="Times New Roman" w:hAnsi="Times New Roman" w:eastAsia="Times New Roman" w:cs="Times New Roman"/>
                <w:b/>
                <w:bCs/>
                <w:color w:val="auto"/>
                <w:spacing w:val="-4"/>
              </w:rPr>
              <w:t>6</w:t>
            </w:r>
            <w:r>
              <w:rPr>
                <w:b/>
                <w:bCs/>
                <w:color w:val="auto"/>
                <w:spacing w:val="-4"/>
              </w:rPr>
              <w:t>）废气污染治理设施可行性</w:t>
            </w:r>
          </w:p>
          <w:p w14:paraId="3BC4F80C">
            <w:pPr>
              <w:pStyle w:val="22"/>
              <w:spacing w:before="180" w:line="354" w:lineRule="auto"/>
              <w:ind w:right="22" w:firstLine="480" w:firstLineChars="200"/>
              <w:jc w:val="both"/>
              <w:rPr>
                <w:color w:val="auto"/>
              </w:rPr>
            </w:pPr>
            <w:r>
              <w:rPr>
                <w:color w:val="auto"/>
              </w:rPr>
              <w:t>本项目废气污染治理设施主要为袋式除尘，袋式除尘技术是利用纤维织</w:t>
            </w:r>
            <w:r>
              <w:rPr>
                <w:color w:val="auto"/>
                <w:spacing w:val="15"/>
              </w:rPr>
              <w:t xml:space="preserve"> </w:t>
            </w:r>
            <w:r>
              <w:rPr>
                <w:color w:val="auto"/>
                <w:spacing w:val="-4"/>
              </w:rPr>
              <w:t>物的过滤作用对含尘气体进行过滤，当含尘气体进入袋式除</w:t>
            </w:r>
            <w:r>
              <w:rPr>
                <w:color w:val="auto"/>
                <w:spacing w:val="-5"/>
              </w:rPr>
              <w:t>尘器后，颗粒大、</w:t>
            </w:r>
            <w:r>
              <w:rPr>
                <w:color w:val="auto"/>
              </w:rPr>
              <w:t xml:space="preserve"> 比重大的颗粒物由于重力作用沉降下来，落入灰斗；含有较细小颗粒物的气</w:t>
            </w:r>
            <w:r>
              <w:rPr>
                <w:color w:val="auto"/>
                <w:spacing w:val="15"/>
              </w:rPr>
              <w:t xml:space="preserve"> </w:t>
            </w:r>
            <w:r>
              <w:rPr>
                <w:color w:val="auto"/>
              </w:rPr>
              <w:t>体在通过滤料时，烟尘被阻留，使气体得到净化，该技术除尘效率较高，是</w:t>
            </w:r>
            <w:r>
              <w:rPr>
                <w:color w:val="auto"/>
                <w:spacing w:val="16"/>
              </w:rPr>
              <w:t xml:space="preserve"> </w:t>
            </w:r>
            <w:r>
              <w:rPr>
                <w:color w:val="auto"/>
              </w:rPr>
              <w:t>目前各行业普遍采用的成熟技术。因此，本项目采</w:t>
            </w:r>
            <w:r>
              <w:rPr>
                <w:color w:val="auto"/>
                <w:spacing w:val="-1"/>
              </w:rPr>
              <w:t>用的废气治理措施可行。</w:t>
            </w:r>
          </w:p>
          <w:p w14:paraId="4951A475">
            <w:pPr>
              <w:pStyle w:val="22"/>
              <w:spacing w:before="34" w:line="220" w:lineRule="auto"/>
              <w:ind w:left="599"/>
              <w:rPr>
                <w:color w:val="auto"/>
              </w:rPr>
            </w:pPr>
            <w:r>
              <w:rPr>
                <w:b/>
                <w:bCs/>
                <w:color w:val="auto"/>
                <w:spacing w:val="-4"/>
              </w:rPr>
              <w:t>（</w:t>
            </w:r>
            <w:r>
              <w:rPr>
                <w:rFonts w:ascii="Times New Roman" w:hAnsi="Times New Roman" w:eastAsia="Times New Roman" w:cs="Times New Roman"/>
                <w:b/>
                <w:bCs/>
                <w:color w:val="auto"/>
                <w:spacing w:val="-4"/>
              </w:rPr>
              <w:t>7</w:t>
            </w:r>
            <w:r>
              <w:rPr>
                <w:b/>
                <w:bCs/>
                <w:color w:val="auto"/>
                <w:spacing w:val="-4"/>
              </w:rPr>
              <w:t>）废气环境影响分析</w:t>
            </w:r>
          </w:p>
          <w:p w14:paraId="3DF5636C">
            <w:pPr>
              <w:pStyle w:val="22"/>
              <w:spacing w:before="181" w:line="354" w:lineRule="auto"/>
              <w:ind w:left="107" w:right="103" w:firstLine="483"/>
              <w:rPr>
                <w:color w:val="auto"/>
              </w:rPr>
            </w:pPr>
            <w:r>
              <w:rPr>
                <w:color w:val="auto"/>
              </w:rPr>
              <w:t>项目主要废气污染物为粉尘，经布袋除尘器处理后能够得到有效控制，</w:t>
            </w:r>
            <w:r>
              <w:rPr>
                <w:rFonts w:hint="eastAsia"/>
                <w:color w:val="auto"/>
                <w:lang w:val="en-US" w:eastAsia="zh-CN"/>
              </w:rPr>
              <w:t>搅拌楼粉尘经布袋除尘器处理后由</w:t>
            </w:r>
            <w:r>
              <w:rPr>
                <w:rFonts w:hint="default" w:ascii="Times New Roman" w:hAnsi="Times New Roman" w:cs="Times New Roman"/>
                <w:color w:val="auto"/>
                <w:lang w:val="en-US" w:eastAsia="zh-CN"/>
              </w:rPr>
              <w:t>15m</w:t>
            </w:r>
            <w:r>
              <w:rPr>
                <w:rFonts w:hint="eastAsia"/>
                <w:color w:val="auto"/>
                <w:lang w:val="en-US" w:eastAsia="zh-CN"/>
              </w:rPr>
              <w:t>高排气筒排放。</w:t>
            </w:r>
            <w:r>
              <w:rPr>
                <w:color w:val="auto"/>
              </w:rPr>
              <w:t>由于行业特性，</w:t>
            </w:r>
            <w:r>
              <w:rPr>
                <w:rFonts w:hint="eastAsia"/>
                <w:color w:val="auto"/>
                <w:lang w:val="en-US" w:eastAsia="zh-CN"/>
              </w:rPr>
              <w:t>粉料</w:t>
            </w:r>
            <w:r>
              <w:rPr>
                <w:color w:val="auto"/>
              </w:rPr>
              <w:t>仓处均不具备设置排气筒的条件，粉尘废气经布袋除尘处理后无组织排放，颗粒物排放量较</w:t>
            </w:r>
            <w:r>
              <w:rPr>
                <w:color w:val="auto"/>
                <w:spacing w:val="1"/>
              </w:rPr>
              <w:t>小，能够做到厂界达标，对</w:t>
            </w:r>
            <w:r>
              <w:rPr>
                <w:color w:val="auto"/>
                <w:spacing w:val="-2"/>
              </w:rPr>
              <w:t>环境影响可接受。</w:t>
            </w:r>
          </w:p>
          <w:p w14:paraId="5EEE00E0">
            <w:pPr>
              <w:pStyle w:val="22"/>
              <w:spacing w:before="31" w:line="353" w:lineRule="auto"/>
              <w:ind w:left="109" w:right="103" w:firstLine="479"/>
              <w:jc w:val="both"/>
              <w:rPr>
                <w:color w:val="auto"/>
              </w:rPr>
            </w:pPr>
            <w:r>
              <w:rPr>
                <w:color w:val="auto"/>
              </w:rPr>
              <w:t>本项目所在的乐昌市属环境空气达标区；本项目采用的废气治理措施成</w:t>
            </w:r>
            <w:r>
              <w:rPr>
                <w:color w:val="auto"/>
                <w:spacing w:val="14"/>
              </w:rPr>
              <w:t xml:space="preserve"> </w:t>
            </w:r>
            <w:r>
              <w:rPr>
                <w:color w:val="auto"/>
              </w:rPr>
              <w:t>熟有效，切实可行，可保证废气达标排放</w:t>
            </w:r>
            <w:r>
              <w:rPr>
                <w:rFonts w:hint="eastAsia"/>
                <w:color w:val="auto"/>
                <w:lang w:eastAsia="zh-CN"/>
              </w:rPr>
              <w:t>，</w:t>
            </w:r>
            <w:r>
              <w:rPr>
                <w:color w:val="auto"/>
              </w:rPr>
              <w:t>废气污染物排放</w:t>
            </w:r>
            <w:r>
              <w:rPr>
                <w:rFonts w:hint="eastAsia"/>
                <w:color w:val="auto"/>
                <w:lang w:val="en-US" w:eastAsia="zh-CN"/>
              </w:rPr>
              <w:t>量</w:t>
            </w:r>
            <w:r>
              <w:rPr>
                <w:color w:val="auto"/>
              </w:rPr>
              <w:t>较小</w:t>
            </w:r>
            <w:r>
              <w:rPr>
                <w:color w:val="auto"/>
                <w:spacing w:val="-1"/>
              </w:rPr>
              <w:t>。</w:t>
            </w:r>
          </w:p>
          <w:p w14:paraId="6FE49796">
            <w:pPr>
              <w:pStyle w:val="22"/>
              <w:spacing w:before="47" w:line="350" w:lineRule="auto"/>
              <w:ind w:left="102" w:right="103" w:firstLine="485"/>
              <w:jc w:val="both"/>
              <w:rPr>
                <w:color w:val="auto"/>
                <w:spacing w:val="-1"/>
              </w:rPr>
            </w:pPr>
            <w:r>
              <w:rPr>
                <w:color w:val="auto"/>
                <w:spacing w:val="-1"/>
              </w:rPr>
              <w:t>综上所述，本项目废气排放对周边大气环境影响在可接受范围内。</w:t>
            </w:r>
          </w:p>
          <w:p w14:paraId="3081357A">
            <w:pPr>
              <w:pStyle w:val="22"/>
              <w:spacing w:before="34" w:line="360" w:lineRule="auto"/>
              <w:ind w:left="599"/>
              <w:rPr>
                <w:rFonts w:hint="eastAsia"/>
                <w:b/>
                <w:bCs/>
                <w:color w:val="auto"/>
                <w:spacing w:val="-4"/>
                <w:lang w:val="en-US" w:eastAsia="zh-CN"/>
              </w:rPr>
            </w:pPr>
            <w:r>
              <w:rPr>
                <w:b/>
                <w:bCs/>
                <w:color w:val="auto"/>
                <w:spacing w:val="-4"/>
              </w:rPr>
              <w:t>（</w:t>
            </w:r>
            <w:r>
              <w:rPr>
                <w:rFonts w:hint="eastAsia" w:ascii="Times New Roman" w:hAnsi="Times New Roman" w:eastAsia="宋体" w:cs="Times New Roman"/>
                <w:b/>
                <w:bCs/>
                <w:color w:val="auto"/>
                <w:spacing w:val="-4"/>
                <w:lang w:val="en-US" w:eastAsia="zh-CN"/>
              </w:rPr>
              <w:t>8</w:t>
            </w:r>
            <w:r>
              <w:rPr>
                <w:b/>
                <w:bCs/>
                <w:color w:val="auto"/>
                <w:spacing w:val="-4"/>
              </w:rPr>
              <w:t>）废气</w:t>
            </w:r>
            <w:r>
              <w:rPr>
                <w:rFonts w:hint="eastAsia"/>
                <w:b/>
                <w:bCs/>
                <w:color w:val="auto"/>
                <w:spacing w:val="-4"/>
                <w:lang w:val="en-US" w:eastAsia="zh-CN"/>
              </w:rPr>
              <w:t>排放口基本信息</w:t>
            </w:r>
          </w:p>
          <w:p w14:paraId="120C1521">
            <w:pPr>
              <w:pStyle w:val="25"/>
              <w:spacing w:line="360" w:lineRule="auto"/>
              <w:ind w:left="0" w:leftChars="0" w:firstLine="0" w:firstLineChars="0"/>
              <w:jc w:val="center"/>
              <w:rPr>
                <w:rFonts w:hint="default" w:ascii="Times New Roman" w:hAnsi="Times New Roman" w:eastAsia="宋体" w:cs="Times New Roman"/>
                <w:b/>
                <w:bCs w:val="0"/>
                <w:color w:val="auto"/>
                <w:sz w:val="21"/>
                <w:lang w:val="en-US" w:eastAsia="zh-CN"/>
              </w:rPr>
            </w:pPr>
            <w:r>
              <w:rPr>
                <w:rFonts w:hint="default" w:ascii="Times New Roman" w:hAnsi="Times New Roman" w:eastAsia="宋体" w:cs="Times New Roman"/>
                <w:b/>
                <w:bCs w:val="0"/>
                <w:color w:val="auto"/>
                <w:sz w:val="21"/>
                <w:lang w:val="en-US" w:eastAsia="zh-CN"/>
              </w:rPr>
              <w:t>表4-3 本项目废气排放口基本信息表</w:t>
            </w:r>
          </w:p>
          <w:tbl>
            <w:tblPr>
              <w:tblStyle w:val="19"/>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194"/>
              <w:gridCol w:w="1586"/>
              <w:gridCol w:w="843"/>
              <w:gridCol w:w="893"/>
              <w:gridCol w:w="850"/>
              <w:gridCol w:w="1816"/>
            </w:tblGrid>
            <w:tr w14:paraId="34CA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64" w:type="pct"/>
                  <w:noWrap w:val="0"/>
                  <w:vAlign w:val="center"/>
                </w:tcPr>
                <w:p w14:paraId="77A1E488">
                  <w:pPr>
                    <w:pStyle w:val="17"/>
                    <w:keepNext w:val="0"/>
                    <w:keepLines w:val="0"/>
                    <w:pageBreakBefore w:val="0"/>
                    <w:widowControl/>
                    <w:kinsoku/>
                    <w:wordWrap/>
                    <w:overflowPunct/>
                    <w:topLinePunct w:val="0"/>
                    <w:autoSpaceDE/>
                    <w:autoSpaceDN/>
                    <w:bidi w:val="0"/>
                    <w:adjustRightInd/>
                    <w:snapToGrid w:val="0"/>
                    <w:spacing w:before="0" w:after="0" w:line="240" w:lineRule="auto"/>
                    <w:ind w:right="0" w:firstLine="0" w:firstLineChars="0"/>
                    <w:jc w:val="center"/>
                    <w:textAlignment w:val="auto"/>
                    <w:rPr>
                      <w:rFonts w:hint="default" w:ascii="Times New Roman" w:hAnsi="Times New Roman" w:eastAsia="宋体" w:cs="Times New Roman"/>
                      <w:b/>
                      <w:bCs/>
                      <w:smallCaps w:val="0"/>
                      <w:color w:val="auto"/>
                      <w:sz w:val="21"/>
                      <w:szCs w:val="21"/>
                      <w:vertAlign w:val="baseline"/>
                      <w:lang w:val="en-US" w:eastAsia="zh-CN"/>
                    </w:rPr>
                  </w:pPr>
                  <w:r>
                    <w:rPr>
                      <w:rFonts w:hint="default" w:ascii="Times New Roman" w:hAnsi="Times New Roman" w:eastAsia="宋体" w:cs="Times New Roman"/>
                      <w:b/>
                      <w:bCs/>
                      <w:smallCaps w:val="0"/>
                      <w:color w:val="auto"/>
                      <w:sz w:val="21"/>
                      <w:szCs w:val="21"/>
                      <w:vertAlign w:val="baseline"/>
                      <w:lang w:val="en-US" w:eastAsia="zh-CN"/>
                    </w:rPr>
                    <w:t>编号</w:t>
                  </w:r>
                </w:p>
              </w:tc>
              <w:tc>
                <w:tcPr>
                  <w:tcW w:w="737" w:type="pct"/>
                  <w:noWrap w:val="0"/>
                  <w:vAlign w:val="center"/>
                </w:tcPr>
                <w:p w14:paraId="414F9FB5">
                  <w:pPr>
                    <w:pStyle w:val="17"/>
                    <w:keepNext w:val="0"/>
                    <w:keepLines w:val="0"/>
                    <w:pageBreakBefore w:val="0"/>
                    <w:widowControl/>
                    <w:kinsoku/>
                    <w:wordWrap/>
                    <w:overflowPunct/>
                    <w:topLinePunct w:val="0"/>
                    <w:autoSpaceDE/>
                    <w:autoSpaceDN/>
                    <w:bidi w:val="0"/>
                    <w:adjustRightInd/>
                    <w:snapToGrid w:val="0"/>
                    <w:spacing w:before="0" w:after="0" w:line="240" w:lineRule="auto"/>
                    <w:ind w:right="0" w:firstLine="0" w:firstLineChars="0"/>
                    <w:jc w:val="center"/>
                    <w:textAlignment w:val="auto"/>
                    <w:rPr>
                      <w:rFonts w:hint="default" w:ascii="Times New Roman" w:hAnsi="Times New Roman" w:eastAsia="宋体" w:cs="Times New Roman"/>
                      <w:b/>
                      <w:bCs/>
                      <w:smallCaps w:val="0"/>
                      <w:color w:val="auto"/>
                      <w:sz w:val="21"/>
                      <w:szCs w:val="21"/>
                      <w:vertAlign w:val="baseline"/>
                      <w:lang w:val="en-US" w:eastAsia="zh-CN"/>
                    </w:rPr>
                  </w:pPr>
                  <w:r>
                    <w:rPr>
                      <w:rFonts w:hint="default" w:ascii="Times New Roman" w:hAnsi="Times New Roman" w:eastAsia="宋体" w:cs="Times New Roman"/>
                      <w:b/>
                      <w:bCs/>
                      <w:smallCaps w:val="0"/>
                      <w:color w:val="auto"/>
                      <w:sz w:val="21"/>
                      <w:szCs w:val="21"/>
                      <w:vertAlign w:val="baseline"/>
                      <w:lang w:val="en-US" w:eastAsia="zh-CN"/>
                    </w:rPr>
                    <w:t>名称</w:t>
                  </w:r>
                </w:p>
              </w:tc>
              <w:tc>
                <w:tcPr>
                  <w:tcW w:w="979" w:type="pct"/>
                  <w:noWrap w:val="0"/>
                  <w:vAlign w:val="center"/>
                </w:tcPr>
                <w:p w14:paraId="1B60DA58">
                  <w:pPr>
                    <w:pStyle w:val="17"/>
                    <w:keepNext w:val="0"/>
                    <w:keepLines w:val="0"/>
                    <w:pageBreakBefore w:val="0"/>
                    <w:widowControl/>
                    <w:kinsoku/>
                    <w:wordWrap/>
                    <w:overflowPunct/>
                    <w:topLinePunct w:val="0"/>
                    <w:autoSpaceDE/>
                    <w:autoSpaceDN/>
                    <w:bidi w:val="0"/>
                    <w:adjustRightInd/>
                    <w:snapToGrid w:val="0"/>
                    <w:spacing w:before="0" w:after="0" w:line="240" w:lineRule="auto"/>
                    <w:ind w:right="0" w:firstLine="0" w:firstLineChars="0"/>
                    <w:jc w:val="center"/>
                    <w:textAlignment w:val="auto"/>
                    <w:rPr>
                      <w:rFonts w:hint="default" w:ascii="Times New Roman" w:hAnsi="Times New Roman" w:eastAsia="宋体" w:cs="Times New Roman"/>
                      <w:b/>
                      <w:bCs/>
                      <w:smallCaps w:val="0"/>
                      <w:color w:val="auto"/>
                      <w:sz w:val="21"/>
                      <w:szCs w:val="21"/>
                      <w:vertAlign w:val="baseline"/>
                      <w:lang w:val="en-US" w:eastAsia="zh-CN"/>
                    </w:rPr>
                  </w:pPr>
                  <w:r>
                    <w:rPr>
                      <w:rFonts w:hint="default" w:ascii="Times New Roman" w:hAnsi="Times New Roman" w:eastAsia="宋体" w:cs="Times New Roman"/>
                      <w:b/>
                      <w:bCs/>
                      <w:smallCaps w:val="0"/>
                      <w:color w:val="auto"/>
                      <w:sz w:val="21"/>
                      <w:szCs w:val="21"/>
                      <w:vertAlign w:val="baseline"/>
                      <w:lang w:val="en-US" w:eastAsia="zh-CN"/>
                    </w:rPr>
                    <w:t>主要污染因子</w:t>
                  </w:r>
                </w:p>
              </w:tc>
              <w:tc>
                <w:tcPr>
                  <w:tcW w:w="520" w:type="pct"/>
                  <w:noWrap w:val="0"/>
                  <w:vAlign w:val="center"/>
                </w:tcPr>
                <w:p w14:paraId="4D54C982">
                  <w:pPr>
                    <w:pStyle w:val="17"/>
                    <w:keepNext w:val="0"/>
                    <w:keepLines w:val="0"/>
                    <w:pageBreakBefore w:val="0"/>
                    <w:widowControl/>
                    <w:kinsoku/>
                    <w:wordWrap/>
                    <w:overflowPunct/>
                    <w:topLinePunct w:val="0"/>
                    <w:autoSpaceDE/>
                    <w:autoSpaceDN/>
                    <w:bidi w:val="0"/>
                    <w:adjustRightInd/>
                    <w:snapToGrid w:val="0"/>
                    <w:spacing w:before="0" w:after="0" w:line="240" w:lineRule="auto"/>
                    <w:ind w:right="0" w:firstLine="0" w:firstLineChars="0"/>
                    <w:jc w:val="center"/>
                    <w:textAlignment w:val="auto"/>
                    <w:rPr>
                      <w:rFonts w:hint="default" w:ascii="Times New Roman" w:hAnsi="Times New Roman" w:eastAsia="宋体" w:cs="Times New Roman"/>
                      <w:b/>
                      <w:bCs/>
                      <w:smallCaps w:val="0"/>
                      <w:color w:val="auto"/>
                      <w:sz w:val="21"/>
                      <w:szCs w:val="21"/>
                      <w:vertAlign w:val="baseline"/>
                      <w:lang w:val="en-US" w:eastAsia="zh-CN"/>
                    </w:rPr>
                  </w:pPr>
                  <w:r>
                    <w:rPr>
                      <w:rFonts w:hint="default" w:ascii="Times New Roman" w:hAnsi="Times New Roman" w:eastAsia="宋体" w:cs="Times New Roman"/>
                      <w:b/>
                      <w:bCs/>
                      <w:smallCaps w:val="0"/>
                      <w:color w:val="auto"/>
                      <w:sz w:val="21"/>
                      <w:szCs w:val="21"/>
                      <w:vertAlign w:val="baseline"/>
                      <w:lang w:val="en-US" w:eastAsia="zh-CN"/>
                    </w:rPr>
                    <w:t>高度</w:t>
                  </w:r>
                </w:p>
              </w:tc>
              <w:tc>
                <w:tcPr>
                  <w:tcW w:w="551" w:type="pct"/>
                  <w:noWrap w:val="0"/>
                  <w:vAlign w:val="center"/>
                </w:tcPr>
                <w:p w14:paraId="0BEDB6DF">
                  <w:pPr>
                    <w:pStyle w:val="17"/>
                    <w:keepNext w:val="0"/>
                    <w:keepLines w:val="0"/>
                    <w:pageBreakBefore w:val="0"/>
                    <w:widowControl/>
                    <w:kinsoku/>
                    <w:wordWrap/>
                    <w:overflowPunct/>
                    <w:topLinePunct w:val="0"/>
                    <w:autoSpaceDE/>
                    <w:autoSpaceDN/>
                    <w:bidi w:val="0"/>
                    <w:adjustRightInd/>
                    <w:snapToGrid w:val="0"/>
                    <w:spacing w:before="0" w:after="0" w:line="240" w:lineRule="auto"/>
                    <w:ind w:right="0" w:firstLine="0" w:firstLineChars="0"/>
                    <w:jc w:val="center"/>
                    <w:textAlignment w:val="auto"/>
                    <w:rPr>
                      <w:rFonts w:hint="default" w:ascii="Times New Roman" w:hAnsi="Times New Roman" w:eastAsia="宋体" w:cs="Times New Roman"/>
                      <w:b/>
                      <w:bCs/>
                      <w:smallCaps w:val="0"/>
                      <w:color w:val="auto"/>
                      <w:sz w:val="21"/>
                      <w:szCs w:val="21"/>
                      <w:vertAlign w:val="baseline"/>
                      <w:lang w:val="en-US" w:eastAsia="zh-CN"/>
                    </w:rPr>
                  </w:pPr>
                  <w:r>
                    <w:rPr>
                      <w:rFonts w:hint="default" w:ascii="Times New Roman" w:hAnsi="Times New Roman" w:eastAsia="宋体" w:cs="Times New Roman"/>
                      <w:b/>
                      <w:bCs/>
                      <w:smallCaps w:val="0"/>
                      <w:color w:val="auto"/>
                      <w:sz w:val="21"/>
                      <w:szCs w:val="21"/>
                      <w:vertAlign w:val="baseline"/>
                      <w:lang w:val="en-US" w:eastAsia="zh-CN"/>
                    </w:rPr>
                    <w:t>内径</w:t>
                  </w:r>
                </w:p>
              </w:tc>
              <w:tc>
                <w:tcPr>
                  <w:tcW w:w="524" w:type="pct"/>
                  <w:noWrap w:val="0"/>
                  <w:vAlign w:val="center"/>
                </w:tcPr>
                <w:p w14:paraId="38E25239">
                  <w:pPr>
                    <w:pStyle w:val="17"/>
                    <w:keepNext w:val="0"/>
                    <w:keepLines w:val="0"/>
                    <w:pageBreakBefore w:val="0"/>
                    <w:widowControl/>
                    <w:kinsoku/>
                    <w:wordWrap/>
                    <w:overflowPunct/>
                    <w:topLinePunct w:val="0"/>
                    <w:autoSpaceDE/>
                    <w:autoSpaceDN/>
                    <w:bidi w:val="0"/>
                    <w:adjustRightInd/>
                    <w:snapToGrid w:val="0"/>
                    <w:spacing w:before="0" w:after="0" w:line="240" w:lineRule="auto"/>
                    <w:ind w:right="0" w:firstLine="0" w:firstLineChars="0"/>
                    <w:jc w:val="center"/>
                    <w:textAlignment w:val="auto"/>
                    <w:rPr>
                      <w:rFonts w:hint="default" w:ascii="Times New Roman" w:hAnsi="Times New Roman" w:eastAsia="宋体" w:cs="Times New Roman"/>
                      <w:b/>
                      <w:bCs/>
                      <w:smallCaps w:val="0"/>
                      <w:color w:val="auto"/>
                      <w:sz w:val="21"/>
                      <w:szCs w:val="21"/>
                      <w:vertAlign w:val="baseline"/>
                      <w:lang w:val="en-US" w:eastAsia="zh-CN"/>
                    </w:rPr>
                  </w:pPr>
                  <w:r>
                    <w:rPr>
                      <w:rFonts w:hint="default" w:ascii="Times New Roman" w:hAnsi="Times New Roman" w:eastAsia="宋体" w:cs="Times New Roman"/>
                      <w:b/>
                      <w:bCs/>
                      <w:smallCaps w:val="0"/>
                      <w:color w:val="auto"/>
                      <w:sz w:val="21"/>
                      <w:szCs w:val="21"/>
                      <w:vertAlign w:val="baseline"/>
                      <w:lang w:val="en-US" w:eastAsia="zh-CN"/>
                    </w:rPr>
                    <w:t>排放温度</w:t>
                  </w:r>
                </w:p>
              </w:tc>
              <w:tc>
                <w:tcPr>
                  <w:tcW w:w="1121" w:type="pct"/>
                  <w:noWrap w:val="0"/>
                  <w:vAlign w:val="center"/>
                </w:tcPr>
                <w:p w14:paraId="1410F2DE">
                  <w:pPr>
                    <w:pStyle w:val="17"/>
                    <w:keepNext w:val="0"/>
                    <w:keepLines w:val="0"/>
                    <w:pageBreakBefore w:val="0"/>
                    <w:widowControl/>
                    <w:kinsoku/>
                    <w:wordWrap/>
                    <w:overflowPunct/>
                    <w:topLinePunct w:val="0"/>
                    <w:autoSpaceDE/>
                    <w:autoSpaceDN/>
                    <w:bidi w:val="0"/>
                    <w:adjustRightInd/>
                    <w:snapToGrid w:val="0"/>
                    <w:spacing w:before="0" w:after="0" w:line="240" w:lineRule="auto"/>
                    <w:ind w:right="0" w:firstLine="0" w:firstLineChars="0"/>
                    <w:jc w:val="center"/>
                    <w:textAlignment w:val="auto"/>
                    <w:rPr>
                      <w:rFonts w:hint="default" w:ascii="Times New Roman" w:hAnsi="Times New Roman" w:eastAsia="宋体" w:cs="Times New Roman"/>
                      <w:b/>
                      <w:bCs/>
                      <w:smallCaps w:val="0"/>
                      <w:color w:val="auto"/>
                      <w:sz w:val="21"/>
                      <w:szCs w:val="21"/>
                      <w:vertAlign w:val="baseline"/>
                      <w:lang w:val="en-US" w:eastAsia="zh-CN"/>
                    </w:rPr>
                  </w:pPr>
                  <w:r>
                    <w:rPr>
                      <w:rFonts w:hint="default" w:ascii="Times New Roman" w:hAnsi="Times New Roman" w:eastAsia="宋体" w:cs="Times New Roman"/>
                      <w:b/>
                      <w:bCs/>
                      <w:smallCaps w:val="0"/>
                      <w:color w:val="auto"/>
                      <w:sz w:val="21"/>
                      <w:szCs w:val="21"/>
                      <w:vertAlign w:val="baseline"/>
                      <w:lang w:val="en-US" w:eastAsia="zh-CN"/>
                    </w:rPr>
                    <w:t>地理坐标</w:t>
                  </w:r>
                </w:p>
              </w:tc>
            </w:tr>
            <w:tr w14:paraId="2FD7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64" w:type="pct"/>
                  <w:noWrap w:val="0"/>
                  <w:vAlign w:val="center"/>
                </w:tcPr>
                <w:p w14:paraId="68AEDE95">
                  <w:pPr>
                    <w:pStyle w:val="17"/>
                    <w:keepNext w:val="0"/>
                    <w:keepLines w:val="0"/>
                    <w:pageBreakBefore w:val="0"/>
                    <w:widowControl/>
                    <w:kinsoku/>
                    <w:wordWrap/>
                    <w:overflowPunct/>
                    <w:topLinePunct w:val="0"/>
                    <w:autoSpaceDE/>
                    <w:autoSpaceDN/>
                    <w:bidi w:val="0"/>
                    <w:adjustRightInd/>
                    <w:snapToGrid w:val="0"/>
                    <w:spacing w:before="0" w:after="0" w:line="240" w:lineRule="auto"/>
                    <w:ind w:right="0" w:firstLine="0" w:firstLineChars="0"/>
                    <w:jc w:val="center"/>
                    <w:textAlignment w:val="auto"/>
                    <w:rPr>
                      <w:rFonts w:hint="default" w:ascii="Times New Roman" w:hAnsi="Times New Roman" w:eastAsia="宋体" w:cs="Times New Roman"/>
                      <w:smallCaps w:val="0"/>
                      <w:color w:val="auto"/>
                      <w:sz w:val="21"/>
                      <w:szCs w:val="21"/>
                      <w:vertAlign w:val="baseline"/>
                      <w:lang w:val="en-US" w:eastAsia="zh-CN"/>
                    </w:rPr>
                  </w:pPr>
                  <w:r>
                    <w:rPr>
                      <w:rFonts w:hint="default" w:ascii="Times New Roman" w:hAnsi="Times New Roman" w:eastAsia="宋体" w:cs="Times New Roman"/>
                      <w:smallCaps w:val="0"/>
                      <w:color w:val="auto"/>
                      <w:sz w:val="21"/>
                      <w:szCs w:val="21"/>
                      <w:vertAlign w:val="baseline"/>
                      <w:lang w:val="en-US" w:eastAsia="zh-CN"/>
                    </w:rPr>
                    <w:t>DA001</w:t>
                  </w:r>
                </w:p>
              </w:tc>
              <w:tc>
                <w:tcPr>
                  <w:tcW w:w="737" w:type="pct"/>
                  <w:noWrap w:val="0"/>
                  <w:vAlign w:val="center"/>
                </w:tcPr>
                <w:p w14:paraId="52040B30">
                  <w:pPr>
                    <w:pStyle w:val="17"/>
                    <w:keepNext w:val="0"/>
                    <w:keepLines w:val="0"/>
                    <w:pageBreakBefore w:val="0"/>
                    <w:widowControl/>
                    <w:kinsoku/>
                    <w:wordWrap/>
                    <w:overflowPunct/>
                    <w:topLinePunct w:val="0"/>
                    <w:autoSpaceDE/>
                    <w:autoSpaceDN/>
                    <w:bidi w:val="0"/>
                    <w:adjustRightInd/>
                    <w:snapToGrid w:val="0"/>
                    <w:spacing w:before="0" w:after="0" w:line="240" w:lineRule="auto"/>
                    <w:ind w:right="0" w:firstLine="0" w:firstLineChars="0"/>
                    <w:jc w:val="center"/>
                    <w:textAlignment w:val="auto"/>
                    <w:rPr>
                      <w:rFonts w:hint="default" w:ascii="Times New Roman" w:hAnsi="Times New Roman" w:eastAsia="宋体" w:cs="Times New Roman"/>
                      <w:smallCaps w:val="0"/>
                      <w:color w:val="auto"/>
                      <w:sz w:val="21"/>
                      <w:szCs w:val="21"/>
                      <w:vertAlign w:val="baseline"/>
                      <w:lang w:val="en-US" w:eastAsia="zh-CN"/>
                    </w:rPr>
                  </w:pPr>
                  <w:r>
                    <w:rPr>
                      <w:rFonts w:hint="eastAsia" w:ascii="Times New Roman" w:hAnsi="Times New Roman" w:eastAsia="宋体" w:cs="Times New Roman"/>
                      <w:smallCaps w:val="0"/>
                      <w:color w:val="auto"/>
                      <w:sz w:val="21"/>
                      <w:szCs w:val="21"/>
                      <w:vertAlign w:val="baseline"/>
                      <w:lang w:val="en-US" w:eastAsia="zh-CN"/>
                    </w:rPr>
                    <w:t>投料及搅拌</w:t>
                  </w:r>
                  <w:r>
                    <w:rPr>
                      <w:rFonts w:hint="default" w:ascii="Times New Roman" w:hAnsi="Times New Roman" w:eastAsia="宋体" w:cs="Times New Roman"/>
                      <w:smallCaps w:val="0"/>
                      <w:color w:val="auto"/>
                      <w:sz w:val="21"/>
                      <w:szCs w:val="21"/>
                      <w:vertAlign w:val="baseline"/>
                      <w:lang w:val="en-US" w:eastAsia="zh-CN"/>
                    </w:rPr>
                    <w:t>废气排放口</w:t>
                  </w:r>
                </w:p>
              </w:tc>
              <w:tc>
                <w:tcPr>
                  <w:tcW w:w="979" w:type="pct"/>
                  <w:noWrap w:val="0"/>
                  <w:vAlign w:val="center"/>
                </w:tcPr>
                <w:p w14:paraId="04054936">
                  <w:pPr>
                    <w:pStyle w:val="17"/>
                    <w:keepNext w:val="0"/>
                    <w:keepLines w:val="0"/>
                    <w:pageBreakBefore w:val="0"/>
                    <w:widowControl/>
                    <w:kinsoku/>
                    <w:wordWrap/>
                    <w:overflowPunct/>
                    <w:topLinePunct w:val="0"/>
                    <w:autoSpaceDE/>
                    <w:autoSpaceDN/>
                    <w:bidi w:val="0"/>
                    <w:adjustRightInd/>
                    <w:snapToGrid w:val="0"/>
                    <w:spacing w:before="0" w:after="0" w:line="240" w:lineRule="auto"/>
                    <w:ind w:right="0" w:firstLine="0" w:firstLineChars="0"/>
                    <w:jc w:val="center"/>
                    <w:textAlignment w:val="auto"/>
                    <w:rPr>
                      <w:rFonts w:hint="default" w:ascii="Times New Roman" w:hAnsi="Times New Roman" w:eastAsia="宋体" w:cs="Times New Roman"/>
                      <w:smallCaps w:val="0"/>
                      <w:color w:val="auto"/>
                      <w:sz w:val="21"/>
                      <w:szCs w:val="21"/>
                      <w:vertAlign w:val="baseline"/>
                      <w:lang w:val="en-US" w:eastAsia="zh-CN"/>
                    </w:rPr>
                  </w:pPr>
                  <w:r>
                    <w:rPr>
                      <w:rFonts w:hint="eastAsia" w:ascii="Times New Roman" w:hAnsi="Times New Roman" w:eastAsia="宋体" w:cs="Times New Roman"/>
                      <w:smallCaps w:val="0"/>
                      <w:color w:val="auto"/>
                      <w:sz w:val="21"/>
                      <w:szCs w:val="21"/>
                      <w:vertAlign w:val="baseline"/>
                      <w:lang w:val="en-US" w:eastAsia="zh-CN"/>
                    </w:rPr>
                    <w:t>颗粒物</w:t>
                  </w:r>
                </w:p>
              </w:tc>
              <w:tc>
                <w:tcPr>
                  <w:tcW w:w="520" w:type="pct"/>
                  <w:noWrap w:val="0"/>
                  <w:vAlign w:val="center"/>
                </w:tcPr>
                <w:p w14:paraId="34FE6BF9">
                  <w:pPr>
                    <w:pStyle w:val="17"/>
                    <w:keepNext w:val="0"/>
                    <w:keepLines w:val="0"/>
                    <w:pageBreakBefore w:val="0"/>
                    <w:widowControl/>
                    <w:kinsoku/>
                    <w:wordWrap/>
                    <w:overflowPunct/>
                    <w:topLinePunct w:val="0"/>
                    <w:autoSpaceDE/>
                    <w:autoSpaceDN/>
                    <w:bidi w:val="0"/>
                    <w:adjustRightInd/>
                    <w:snapToGrid w:val="0"/>
                    <w:spacing w:before="0" w:after="0" w:line="240" w:lineRule="auto"/>
                    <w:ind w:right="0" w:rightChars="0" w:firstLine="0" w:firstLineChars="0"/>
                    <w:jc w:val="center"/>
                    <w:textAlignment w:val="auto"/>
                    <w:rPr>
                      <w:rFonts w:hint="default" w:ascii="Times New Roman" w:hAnsi="Times New Roman" w:eastAsia="宋体" w:cs="Times New Roman"/>
                      <w:smallCaps w:val="0"/>
                      <w:color w:val="auto"/>
                      <w:sz w:val="21"/>
                      <w:szCs w:val="21"/>
                      <w:vertAlign w:val="baseline"/>
                      <w:lang w:val="en-US" w:eastAsia="zh-CN"/>
                    </w:rPr>
                  </w:pPr>
                  <w:r>
                    <w:rPr>
                      <w:rFonts w:hint="default" w:ascii="Times New Roman" w:hAnsi="Times New Roman" w:eastAsia="宋体" w:cs="Times New Roman"/>
                      <w:smallCaps w:val="0"/>
                      <w:color w:val="auto"/>
                      <w:sz w:val="21"/>
                      <w:szCs w:val="21"/>
                      <w:vertAlign w:val="baseline"/>
                      <w:lang w:val="en-US" w:eastAsia="zh-CN"/>
                    </w:rPr>
                    <w:t>15m</w:t>
                  </w:r>
                </w:p>
              </w:tc>
              <w:tc>
                <w:tcPr>
                  <w:tcW w:w="551" w:type="pct"/>
                  <w:noWrap w:val="0"/>
                  <w:vAlign w:val="center"/>
                </w:tcPr>
                <w:p w14:paraId="4F5A5DCB">
                  <w:pPr>
                    <w:pStyle w:val="17"/>
                    <w:keepNext w:val="0"/>
                    <w:keepLines w:val="0"/>
                    <w:pageBreakBefore w:val="0"/>
                    <w:widowControl/>
                    <w:kinsoku/>
                    <w:wordWrap/>
                    <w:overflowPunct/>
                    <w:topLinePunct w:val="0"/>
                    <w:autoSpaceDE/>
                    <w:autoSpaceDN/>
                    <w:bidi w:val="0"/>
                    <w:adjustRightInd/>
                    <w:snapToGrid w:val="0"/>
                    <w:spacing w:before="0" w:after="0" w:line="240" w:lineRule="auto"/>
                    <w:ind w:right="0" w:firstLine="0" w:firstLineChars="0"/>
                    <w:jc w:val="center"/>
                    <w:textAlignment w:val="auto"/>
                    <w:rPr>
                      <w:rFonts w:hint="default" w:ascii="Times New Roman" w:hAnsi="Times New Roman" w:eastAsia="宋体" w:cs="Times New Roman"/>
                      <w:smallCaps w:val="0"/>
                      <w:color w:val="auto"/>
                      <w:sz w:val="21"/>
                      <w:szCs w:val="21"/>
                      <w:vertAlign w:val="baseline"/>
                      <w:lang w:val="en-US" w:eastAsia="zh-CN"/>
                    </w:rPr>
                  </w:pPr>
                  <w:r>
                    <w:rPr>
                      <w:rFonts w:hint="default" w:ascii="Times New Roman" w:hAnsi="Times New Roman" w:eastAsia="宋体" w:cs="Times New Roman"/>
                      <w:smallCaps w:val="0"/>
                      <w:color w:val="auto"/>
                      <w:sz w:val="21"/>
                      <w:szCs w:val="21"/>
                      <w:vertAlign w:val="baseline"/>
                      <w:lang w:val="en-US" w:eastAsia="zh-CN"/>
                    </w:rPr>
                    <w:t>0.</w:t>
                  </w:r>
                  <w:r>
                    <w:rPr>
                      <w:rFonts w:hint="eastAsia" w:ascii="Times New Roman" w:hAnsi="Times New Roman" w:eastAsia="宋体" w:cs="Times New Roman"/>
                      <w:smallCaps w:val="0"/>
                      <w:color w:val="auto"/>
                      <w:sz w:val="21"/>
                      <w:szCs w:val="21"/>
                      <w:vertAlign w:val="baseline"/>
                      <w:lang w:val="en-US" w:eastAsia="zh-CN"/>
                    </w:rPr>
                    <w:t>3</w:t>
                  </w:r>
                  <w:r>
                    <w:rPr>
                      <w:rFonts w:hint="default" w:ascii="Times New Roman" w:hAnsi="Times New Roman" w:eastAsia="宋体" w:cs="Times New Roman"/>
                      <w:smallCaps w:val="0"/>
                      <w:color w:val="auto"/>
                      <w:sz w:val="21"/>
                      <w:szCs w:val="21"/>
                      <w:vertAlign w:val="baseline"/>
                      <w:lang w:val="en-US" w:eastAsia="zh-CN"/>
                    </w:rPr>
                    <w:t>m</w:t>
                  </w:r>
                </w:p>
              </w:tc>
              <w:tc>
                <w:tcPr>
                  <w:tcW w:w="524" w:type="pct"/>
                  <w:noWrap w:val="0"/>
                  <w:vAlign w:val="center"/>
                </w:tcPr>
                <w:p w14:paraId="1780BAED">
                  <w:pPr>
                    <w:pStyle w:val="17"/>
                    <w:keepNext w:val="0"/>
                    <w:keepLines w:val="0"/>
                    <w:pageBreakBefore w:val="0"/>
                    <w:widowControl/>
                    <w:kinsoku/>
                    <w:wordWrap/>
                    <w:overflowPunct/>
                    <w:topLinePunct w:val="0"/>
                    <w:autoSpaceDE/>
                    <w:autoSpaceDN/>
                    <w:bidi w:val="0"/>
                    <w:adjustRightInd/>
                    <w:snapToGrid w:val="0"/>
                    <w:spacing w:before="0" w:after="0" w:line="240" w:lineRule="auto"/>
                    <w:ind w:right="0" w:firstLine="0" w:firstLineChars="0"/>
                    <w:jc w:val="center"/>
                    <w:textAlignment w:val="auto"/>
                    <w:rPr>
                      <w:rFonts w:hint="default" w:ascii="Times New Roman" w:hAnsi="Times New Roman" w:eastAsia="宋体" w:cs="Times New Roman"/>
                      <w:smallCaps w:val="0"/>
                      <w:color w:val="auto"/>
                      <w:sz w:val="21"/>
                      <w:szCs w:val="21"/>
                      <w:vertAlign w:val="baseline"/>
                      <w:lang w:val="en-US" w:eastAsia="zh-CN"/>
                    </w:rPr>
                  </w:pPr>
                  <w:r>
                    <w:rPr>
                      <w:rFonts w:hint="default" w:ascii="Times New Roman" w:hAnsi="Times New Roman" w:eastAsia="宋体" w:cs="Times New Roman"/>
                      <w:smallCaps w:val="0"/>
                      <w:color w:val="auto"/>
                      <w:sz w:val="21"/>
                      <w:szCs w:val="21"/>
                      <w:vertAlign w:val="baseline"/>
                      <w:lang w:val="en-US" w:eastAsia="zh-CN"/>
                    </w:rPr>
                    <w:t>25℃</w:t>
                  </w:r>
                </w:p>
              </w:tc>
              <w:tc>
                <w:tcPr>
                  <w:tcW w:w="1121" w:type="pct"/>
                  <w:noWrap w:val="0"/>
                  <w:vAlign w:val="center"/>
                </w:tcPr>
                <w:p w14:paraId="052085D0">
                  <w:pPr>
                    <w:widowControl w:val="0"/>
                    <w:jc w:val="center"/>
                    <w:rPr>
                      <w:rFonts w:hint="default" w:ascii="Times New Roman" w:hAnsi="Times New Roman" w:eastAsia="宋体" w:cs="Times New Roman"/>
                      <w:smallCaps w:val="0"/>
                      <w:color w:val="auto"/>
                      <w:sz w:val="21"/>
                      <w:szCs w:val="21"/>
                      <w:lang w:val="en-US" w:eastAsia="zh-CN"/>
                    </w:rPr>
                  </w:pPr>
                  <w:r>
                    <w:rPr>
                      <w:rFonts w:hint="default" w:ascii="Times New Roman" w:hAnsi="Times New Roman" w:eastAsia="宋体" w:cs="Times New Roman"/>
                      <w:smallCaps w:val="0"/>
                      <w:color w:val="auto"/>
                      <w:sz w:val="21"/>
                      <w:szCs w:val="21"/>
                      <w:lang w:val="en-US" w:eastAsia="zh-CN"/>
                    </w:rPr>
                    <w:t>E11</w:t>
                  </w:r>
                  <w:r>
                    <w:rPr>
                      <w:rFonts w:hint="eastAsia" w:ascii="Times New Roman" w:hAnsi="Times New Roman" w:eastAsia="宋体" w:cs="Times New Roman"/>
                      <w:smallCaps w:val="0"/>
                      <w:color w:val="auto"/>
                      <w:sz w:val="21"/>
                      <w:szCs w:val="21"/>
                      <w:lang w:val="en-US" w:eastAsia="zh-CN"/>
                    </w:rPr>
                    <w:t>3</w:t>
                  </w:r>
                  <w:r>
                    <w:rPr>
                      <w:rFonts w:hint="default" w:ascii="Times New Roman" w:hAnsi="Times New Roman" w:eastAsia="宋体" w:cs="Times New Roman"/>
                      <w:smallCaps w:val="0"/>
                      <w:color w:val="auto"/>
                      <w:sz w:val="21"/>
                      <w:szCs w:val="21"/>
                      <w:lang w:val="en-US" w:eastAsia="zh-CN"/>
                    </w:rPr>
                    <w:t>°</w:t>
                  </w:r>
                  <w:r>
                    <w:rPr>
                      <w:rFonts w:hint="eastAsia" w:ascii="Times New Roman" w:hAnsi="Times New Roman" w:eastAsia="宋体" w:cs="Times New Roman"/>
                      <w:smallCaps w:val="0"/>
                      <w:color w:val="auto"/>
                      <w:sz w:val="21"/>
                      <w:szCs w:val="21"/>
                      <w:lang w:val="en-US" w:eastAsia="zh-CN"/>
                    </w:rPr>
                    <w:t>22</w:t>
                  </w:r>
                  <w:r>
                    <w:rPr>
                      <w:rFonts w:hint="default" w:ascii="Times New Roman" w:hAnsi="Times New Roman" w:eastAsia="宋体" w:cs="Times New Roman"/>
                      <w:smallCaps w:val="0"/>
                      <w:color w:val="auto"/>
                      <w:sz w:val="21"/>
                      <w:szCs w:val="21"/>
                      <w:lang w:val="en-US" w:eastAsia="zh-CN"/>
                    </w:rPr>
                    <w:t>′</w:t>
                  </w:r>
                  <w:r>
                    <w:rPr>
                      <w:rFonts w:hint="eastAsia" w:ascii="Times New Roman" w:hAnsi="Times New Roman" w:eastAsia="宋体" w:cs="Times New Roman"/>
                      <w:smallCaps w:val="0"/>
                      <w:color w:val="auto"/>
                      <w:sz w:val="21"/>
                      <w:szCs w:val="21"/>
                      <w:lang w:val="en-US" w:eastAsia="zh-CN"/>
                    </w:rPr>
                    <w:t>4.774</w:t>
                  </w:r>
                  <w:r>
                    <w:rPr>
                      <w:rFonts w:hint="default" w:ascii="Times New Roman" w:hAnsi="Times New Roman" w:eastAsia="宋体" w:cs="Times New Roman"/>
                      <w:smallCaps w:val="0"/>
                      <w:color w:val="auto"/>
                      <w:sz w:val="21"/>
                      <w:szCs w:val="21"/>
                      <w:lang w:val="en-US" w:eastAsia="zh-CN"/>
                    </w:rPr>
                    <w:t>″</w:t>
                  </w:r>
                </w:p>
                <w:p w14:paraId="7DB5532B">
                  <w:pPr>
                    <w:widowControl w:val="0"/>
                    <w:jc w:val="center"/>
                    <w:rPr>
                      <w:rFonts w:hint="default" w:ascii="Times New Roman" w:hAnsi="Times New Roman" w:eastAsia="宋体" w:cs="Times New Roman"/>
                      <w:smallCaps w:val="0"/>
                      <w:color w:val="auto"/>
                      <w:sz w:val="21"/>
                      <w:szCs w:val="21"/>
                      <w:lang w:val="en-US" w:eastAsia="zh-CN"/>
                    </w:rPr>
                  </w:pPr>
                  <w:r>
                    <w:rPr>
                      <w:rFonts w:hint="default" w:ascii="Times New Roman" w:hAnsi="Times New Roman" w:eastAsia="宋体" w:cs="Times New Roman"/>
                      <w:smallCaps w:val="0"/>
                      <w:color w:val="auto"/>
                      <w:sz w:val="21"/>
                      <w:szCs w:val="21"/>
                      <w:lang w:val="en-US" w:eastAsia="zh-CN"/>
                    </w:rPr>
                    <w:t>N25°</w:t>
                  </w:r>
                  <w:r>
                    <w:rPr>
                      <w:rFonts w:hint="eastAsia" w:ascii="Times New Roman" w:hAnsi="Times New Roman" w:eastAsia="宋体" w:cs="Times New Roman"/>
                      <w:smallCaps w:val="0"/>
                      <w:color w:val="auto"/>
                      <w:sz w:val="21"/>
                      <w:szCs w:val="21"/>
                      <w:lang w:val="en-US" w:eastAsia="zh-CN"/>
                    </w:rPr>
                    <w:t>7</w:t>
                  </w:r>
                  <w:r>
                    <w:rPr>
                      <w:rFonts w:hint="default" w:ascii="Times New Roman" w:hAnsi="Times New Roman" w:eastAsia="宋体" w:cs="Times New Roman"/>
                      <w:smallCaps w:val="0"/>
                      <w:color w:val="auto"/>
                      <w:sz w:val="21"/>
                      <w:szCs w:val="21"/>
                      <w:lang w:val="en-US" w:eastAsia="zh-CN"/>
                    </w:rPr>
                    <w:t>′</w:t>
                  </w:r>
                  <w:r>
                    <w:rPr>
                      <w:rFonts w:hint="eastAsia" w:ascii="Times New Roman" w:hAnsi="Times New Roman" w:eastAsia="宋体" w:cs="Times New Roman"/>
                      <w:smallCaps w:val="0"/>
                      <w:color w:val="auto"/>
                      <w:sz w:val="21"/>
                      <w:szCs w:val="21"/>
                      <w:lang w:val="en-US" w:eastAsia="zh-CN"/>
                    </w:rPr>
                    <w:t>55.603</w:t>
                  </w:r>
                  <w:r>
                    <w:rPr>
                      <w:rFonts w:hint="default" w:ascii="Times New Roman" w:hAnsi="Times New Roman" w:eastAsia="宋体" w:cs="Times New Roman"/>
                      <w:smallCaps w:val="0"/>
                      <w:color w:val="auto"/>
                      <w:sz w:val="21"/>
                      <w:szCs w:val="21"/>
                      <w:lang w:val="en-US" w:eastAsia="zh-CN"/>
                    </w:rPr>
                    <w:t>″</w:t>
                  </w:r>
                </w:p>
              </w:tc>
            </w:tr>
          </w:tbl>
          <w:p w14:paraId="15F198CF">
            <w:pPr>
              <w:pStyle w:val="22"/>
              <w:spacing w:before="34" w:line="220" w:lineRule="auto"/>
              <w:ind w:left="599"/>
              <w:rPr>
                <w:rFonts w:hint="default"/>
                <w:b/>
                <w:bCs/>
                <w:color w:val="auto"/>
                <w:spacing w:val="-4"/>
                <w:lang w:val="en-US" w:eastAsia="zh-CN"/>
              </w:rPr>
            </w:pPr>
          </w:p>
          <w:p w14:paraId="7B8C0D54">
            <w:pPr>
              <w:pStyle w:val="22"/>
              <w:spacing w:before="47" w:line="350" w:lineRule="auto"/>
              <w:ind w:left="102" w:right="103" w:firstLine="485"/>
              <w:jc w:val="both"/>
              <w:rPr>
                <w:color w:val="auto"/>
                <w:spacing w:val="-1"/>
              </w:rPr>
            </w:pPr>
          </w:p>
          <w:p w14:paraId="65CAABD1">
            <w:pPr>
              <w:pStyle w:val="22"/>
              <w:spacing w:before="47" w:line="350" w:lineRule="auto"/>
              <w:ind w:left="102" w:right="103" w:firstLine="485"/>
              <w:jc w:val="both"/>
              <w:rPr>
                <w:color w:val="auto"/>
                <w:spacing w:val="-1"/>
              </w:rPr>
            </w:pPr>
          </w:p>
          <w:p w14:paraId="613C2DA9">
            <w:pPr>
              <w:pStyle w:val="22"/>
              <w:spacing w:before="47" w:line="350" w:lineRule="auto"/>
              <w:ind w:left="102" w:right="103" w:firstLine="485"/>
              <w:jc w:val="both"/>
              <w:rPr>
                <w:color w:val="auto"/>
                <w:spacing w:val="-1"/>
              </w:rPr>
            </w:pPr>
          </w:p>
          <w:p w14:paraId="3C603E3C">
            <w:pPr>
              <w:pStyle w:val="22"/>
              <w:spacing w:before="47" w:line="350" w:lineRule="auto"/>
              <w:ind w:left="102" w:right="103" w:firstLine="485"/>
              <w:jc w:val="both"/>
              <w:rPr>
                <w:color w:val="auto"/>
                <w:spacing w:val="-1"/>
              </w:rPr>
            </w:pPr>
          </w:p>
          <w:p w14:paraId="25E3E139">
            <w:pPr>
              <w:pStyle w:val="22"/>
              <w:spacing w:before="47" w:line="350" w:lineRule="auto"/>
              <w:ind w:left="102" w:right="103" w:firstLine="485"/>
              <w:jc w:val="both"/>
              <w:rPr>
                <w:color w:val="auto"/>
                <w:spacing w:val="-1"/>
              </w:rPr>
            </w:pPr>
          </w:p>
          <w:p w14:paraId="3AD66997">
            <w:pPr>
              <w:pStyle w:val="22"/>
              <w:spacing w:before="47" w:line="350" w:lineRule="auto"/>
              <w:ind w:left="102" w:right="103" w:firstLine="485"/>
              <w:jc w:val="both"/>
              <w:rPr>
                <w:rFonts w:hint="eastAsia"/>
                <w:color w:val="auto"/>
                <w:spacing w:val="-1"/>
                <w:lang w:val="en-US" w:eastAsia="zh-CN"/>
              </w:rPr>
            </w:pPr>
          </w:p>
        </w:tc>
      </w:tr>
    </w:tbl>
    <w:p w14:paraId="451CBAC9">
      <w:pPr>
        <w:pStyle w:val="6"/>
        <w:rPr>
          <w:color w:val="auto"/>
        </w:rPr>
      </w:pPr>
    </w:p>
    <w:p w14:paraId="29830DDD">
      <w:pPr>
        <w:rPr>
          <w:color w:val="auto"/>
        </w:rPr>
        <w:sectPr>
          <w:footerReference r:id="rId12" w:type="default"/>
          <w:pgSz w:w="11907" w:h="16840"/>
          <w:pgMar w:top="1431" w:right="1490" w:bottom="1220" w:left="1489" w:header="0" w:footer="1058" w:gutter="0"/>
          <w:pgNumType w:fmt="numberInDash"/>
          <w:cols w:space="720" w:num="1"/>
        </w:sectPr>
      </w:pPr>
    </w:p>
    <w:p w14:paraId="6714470E">
      <w:pPr>
        <w:spacing w:before="78" w:line="220" w:lineRule="auto"/>
        <w:ind w:left="4870"/>
        <w:rPr>
          <w:rFonts w:ascii="宋体" w:hAnsi="宋体" w:eastAsia="宋体" w:cs="宋体"/>
          <w:color w:val="auto"/>
          <w:sz w:val="24"/>
          <w:szCs w:val="24"/>
        </w:rPr>
      </w:pPr>
      <w:r>
        <w:rPr>
          <w:rFonts w:ascii="宋体" w:hAnsi="宋体" w:eastAsia="宋体" w:cs="宋体"/>
          <w:b/>
          <w:bCs/>
          <w:color w:val="auto"/>
          <w:spacing w:val="-2"/>
          <w:sz w:val="24"/>
          <w:szCs w:val="24"/>
        </w:rPr>
        <w:t>表</w:t>
      </w:r>
      <w:r>
        <w:rPr>
          <w:rFonts w:ascii="宋体" w:hAnsi="宋体" w:eastAsia="宋体" w:cs="宋体"/>
          <w:color w:val="auto"/>
          <w:spacing w:val="-51"/>
          <w:sz w:val="24"/>
          <w:szCs w:val="24"/>
        </w:rPr>
        <w:t xml:space="preserve"> </w:t>
      </w:r>
      <w:r>
        <w:rPr>
          <w:rFonts w:ascii="Times New Roman" w:hAnsi="Times New Roman" w:eastAsia="Times New Roman" w:cs="Times New Roman"/>
          <w:b/>
          <w:bCs/>
          <w:color w:val="auto"/>
          <w:spacing w:val="-2"/>
          <w:sz w:val="24"/>
          <w:szCs w:val="24"/>
        </w:rPr>
        <w:t xml:space="preserve">4-1    </w:t>
      </w:r>
      <w:r>
        <w:rPr>
          <w:rFonts w:ascii="宋体" w:hAnsi="宋体" w:eastAsia="宋体" w:cs="宋体"/>
          <w:b/>
          <w:bCs/>
          <w:color w:val="auto"/>
          <w:spacing w:val="-2"/>
          <w:sz w:val="24"/>
          <w:szCs w:val="24"/>
        </w:rPr>
        <w:t>项目废气污染物排放情况</w:t>
      </w:r>
    </w:p>
    <w:p w14:paraId="3FFA0D12">
      <w:pPr>
        <w:spacing w:line="145" w:lineRule="exact"/>
        <w:rPr>
          <w:color w:val="auto"/>
        </w:rPr>
      </w:pPr>
    </w:p>
    <w:tbl>
      <w:tblPr>
        <w:tblStyle w:val="21"/>
        <w:tblW w:w="133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9"/>
        <w:gridCol w:w="1172"/>
        <w:gridCol w:w="981"/>
        <w:gridCol w:w="827"/>
        <w:gridCol w:w="1058"/>
        <w:gridCol w:w="911"/>
        <w:gridCol w:w="1147"/>
        <w:gridCol w:w="1025"/>
        <w:gridCol w:w="1190"/>
        <w:gridCol w:w="1092"/>
        <w:gridCol w:w="1145"/>
        <w:gridCol w:w="1145"/>
        <w:gridCol w:w="1152"/>
      </w:tblGrid>
      <w:tr w14:paraId="3AD40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479" w:type="dxa"/>
            <w:vMerge w:val="restart"/>
            <w:tcBorders>
              <w:bottom w:val="nil"/>
            </w:tcBorders>
            <w:textDirection w:val="tbRlV"/>
            <w:vAlign w:val="center"/>
          </w:tcPr>
          <w:p w14:paraId="46E35A0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b/>
                <w:bCs/>
                <w:color w:val="auto"/>
                <w:sz w:val="21"/>
                <w:szCs w:val="21"/>
              </w:rPr>
            </w:pPr>
            <w:r>
              <w:rPr>
                <w:rFonts w:ascii="Times New Roman" w:hAnsi="Times New Roman" w:eastAsia="Times New Roman" w:cs="Times New Roman"/>
                <w:b/>
                <w:bCs/>
                <w:color w:val="auto"/>
                <w:sz w:val="21"/>
                <w:szCs w:val="21"/>
              </w:rPr>
              <w:t>序 号</w:t>
            </w:r>
          </w:p>
        </w:tc>
        <w:tc>
          <w:tcPr>
            <w:tcW w:w="1172" w:type="dxa"/>
            <w:vMerge w:val="restart"/>
            <w:tcBorders>
              <w:bottom w:val="nil"/>
            </w:tcBorders>
            <w:vAlign w:val="center"/>
          </w:tcPr>
          <w:p w14:paraId="6C0BFED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b/>
                <w:bCs/>
                <w:color w:val="auto"/>
                <w:sz w:val="21"/>
                <w:szCs w:val="21"/>
              </w:rPr>
            </w:pPr>
          </w:p>
          <w:p w14:paraId="46080BC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b/>
                <w:bCs/>
                <w:color w:val="auto"/>
                <w:sz w:val="21"/>
                <w:szCs w:val="21"/>
              </w:rPr>
            </w:pPr>
            <w:r>
              <w:rPr>
                <w:rFonts w:ascii="Times New Roman" w:hAnsi="Times New Roman" w:eastAsia="Times New Roman" w:cs="Times New Roman"/>
                <w:b/>
                <w:bCs/>
                <w:color w:val="auto"/>
                <w:sz w:val="21"/>
                <w:szCs w:val="21"/>
              </w:rPr>
              <w:t>产排污环节</w:t>
            </w:r>
          </w:p>
        </w:tc>
        <w:tc>
          <w:tcPr>
            <w:tcW w:w="981" w:type="dxa"/>
            <w:vMerge w:val="restart"/>
            <w:tcBorders>
              <w:bottom w:val="nil"/>
            </w:tcBorders>
            <w:vAlign w:val="center"/>
          </w:tcPr>
          <w:p w14:paraId="7908C5D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b/>
                <w:bCs/>
                <w:color w:val="auto"/>
                <w:sz w:val="21"/>
                <w:szCs w:val="21"/>
              </w:rPr>
            </w:pPr>
          </w:p>
          <w:p w14:paraId="3B38D57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b/>
                <w:bCs/>
                <w:color w:val="auto"/>
                <w:sz w:val="21"/>
                <w:szCs w:val="21"/>
              </w:rPr>
            </w:pPr>
            <w:r>
              <w:rPr>
                <w:rFonts w:ascii="Times New Roman" w:hAnsi="Times New Roman" w:eastAsia="Times New Roman" w:cs="Times New Roman"/>
                <w:b/>
                <w:bCs/>
                <w:color w:val="auto"/>
                <w:sz w:val="21"/>
                <w:szCs w:val="21"/>
              </w:rPr>
              <w:t>污染物种类</w:t>
            </w:r>
          </w:p>
        </w:tc>
        <w:tc>
          <w:tcPr>
            <w:tcW w:w="1885" w:type="dxa"/>
            <w:gridSpan w:val="2"/>
            <w:vAlign w:val="center"/>
          </w:tcPr>
          <w:p w14:paraId="28349BB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b/>
                <w:bCs/>
                <w:color w:val="auto"/>
                <w:sz w:val="21"/>
                <w:szCs w:val="21"/>
              </w:rPr>
            </w:pPr>
            <w:r>
              <w:rPr>
                <w:rFonts w:ascii="Times New Roman" w:hAnsi="Times New Roman" w:eastAsia="Times New Roman" w:cs="Times New Roman"/>
                <w:b/>
                <w:bCs/>
                <w:color w:val="auto"/>
                <w:sz w:val="21"/>
                <w:szCs w:val="21"/>
              </w:rPr>
              <w:t>污染物产生情况</w:t>
            </w:r>
          </w:p>
        </w:tc>
        <w:tc>
          <w:tcPr>
            <w:tcW w:w="911" w:type="dxa"/>
            <w:vMerge w:val="restart"/>
            <w:tcBorders>
              <w:bottom w:val="nil"/>
            </w:tcBorders>
            <w:vAlign w:val="center"/>
          </w:tcPr>
          <w:p w14:paraId="0A0949F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b/>
                <w:bCs/>
                <w:color w:val="auto"/>
                <w:sz w:val="21"/>
                <w:szCs w:val="21"/>
              </w:rPr>
            </w:pPr>
          </w:p>
          <w:p w14:paraId="666BD53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b/>
                <w:bCs/>
                <w:color w:val="auto"/>
                <w:sz w:val="21"/>
                <w:szCs w:val="21"/>
              </w:rPr>
            </w:pPr>
            <w:r>
              <w:rPr>
                <w:rFonts w:ascii="Times New Roman" w:hAnsi="Times New Roman" w:eastAsia="Times New Roman" w:cs="Times New Roman"/>
                <w:b/>
                <w:bCs/>
                <w:color w:val="auto"/>
                <w:sz w:val="21"/>
                <w:szCs w:val="21"/>
              </w:rPr>
              <w:t>排放形式</w:t>
            </w:r>
          </w:p>
        </w:tc>
        <w:tc>
          <w:tcPr>
            <w:tcW w:w="4454" w:type="dxa"/>
            <w:gridSpan w:val="4"/>
            <w:vAlign w:val="center"/>
          </w:tcPr>
          <w:p w14:paraId="65C5863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b/>
                <w:bCs/>
                <w:color w:val="auto"/>
                <w:sz w:val="21"/>
                <w:szCs w:val="21"/>
              </w:rPr>
            </w:pPr>
            <w:r>
              <w:rPr>
                <w:rFonts w:ascii="Times New Roman" w:hAnsi="Times New Roman" w:eastAsia="Times New Roman" w:cs="Times New Roman"/>
                <w:b/>
                <w:bCs/>
                <w:color w:val="auto"/>
                <w:sz w:val="21"/>
                <w:szCs w:val="21"/>
              </w:rPr>
              <w:t>治理设施</w:t>
            </w:r>
          </w:p>
        </w:tc>
        <w:tc>
          <w:tcPr>
            <w:tcW w:w="3442" w:type="dxa"/>
            <w:gridSpan w:val="3"/>
            <w:vAlign w:val="center"/>
          </w:tcPr>
          <w:p w14:paraId="49BB4D9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b/>
                <w:bCs/>
                <w:color w:val="auto"/>
                <w:sz w:val="21"/>
                <w:szCs w:val="21"/>
              </w:rPr>
            </w:pPr>
            <w:r>
              <w:rPr>
                <w:rFonts w:ascii="Times New Roman" w:hAnsi="Times New Roman" w:eastAsia="Times New Roman" w:cs="Times New Roman"/>
                <w:b/>
                <w:bCs/>
                <w:color w:val="auto"/>
                <w:sz w:val="21"/>
                <w:szCs w:val="21"/>
              </w:rPr>
              <w:t>污染物排放情况</w:t>
            </w:r>
          </w:p>
        </w:tc>
      </w:tr>
      <w:tr w14:paraId="4EAA7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jc w:val="center"/>
        </w:trPr>
        <w:tc>
          <w:tcPr>
            <w:tcW w:w="479" w:type="dxa"/>
            <w:vMerge w:val="continue"/>
            <w:tcBorders>
              <w:top w:val="nil"/>
            </w:tcBorders>
            <w:textDirection w:val="tbRlV"/>
            <w:vAlign w:val="center"/>
          </w:tcPr>
          <w:p w14:paraId="1FD3534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b/>
                <w:bCs/>
                <w:color w:val="auto"/>
                <w:sz w:val="21"/>
                <w:szCs w:val="21"/>
              </w:rPr>
            </w:pPr>
          </w:p>
        </w:tc>
        <w:tc>
          <w:tcPr>
            <w:tcW w:w="1172" w:type="dxa"/>
            <w:vMerge w:val="continue"/>
            <w:tcBorders>
              <w:top w:val="nil"/>
            </w:tcBorders>
            <w:vAlign w:val="center"/>
          </w:tcPr>
          <w:p w14:paraId="15D3D28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b/>
                <w:bCs/>
                <w:color w:val="auto"/>
                <w:sz w:val="21"/>
                <w:szCs w:val="21"/>
              </w:rPr>
            </w:pPr>
          </w:p>
        </w:tc>
        <w:tc>
          <w:tcPr>
            <w:tcW w:w="981" w:type="dxa"/>
            <w:vMerge w:val="continue"/>
            <w:tcBorders>
              <w:top w:val="nil"/>
            </w:tcBorders>
            <w:vAlign w:val="center"/>
          </w:tcPr>
          <w:p w14:paraId="1E6187E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b/>
                <w:bCs/>
                <w:color w:val="auto"/>
                <w:sz w:val="21"/>
                <w:szCs w:val="21"/>
              </w:rPr>
            </w:pPr>
          </w:p>
        </w:tc>
        <w:tc>
          <w:tcPr>
            <w:tcW w:w="827" w:type="dxa"/>
            <w:vAlign w:val="center"/>
          </w:tcPr>
          <w:p w14:paraId="0BD69E8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b/>
                <w:bCs/>
                <w:color w:val="auto"/>
                <w:sz w:val="21"/>
                <w:szCs w:val="21"/>
              </w:rPr>
            </w:pPr>
            <w:r>
              <w:rPr>
                <w:rFonts w:ascii="Times New Roman" w:hAnsi="Times New Roman" w:eastAsia="Times New Roman" w:cs="Times New Roman"/>
                <w:b/>
                <w:bCs/>
                <w:color w:val="auto"/>
                <w:sz w:val="21"/>
                <w:szCs w:val="21"/>
              </w:rPr>
              <w:t>产生量 t/a</w:t>
            </w:r>
          </w:p>
        </w:tc>
        <w:tc>
          <w:tcPr>
            <w:tcW w:w="1058" w:type="dxa"/>
            <w:vAlign w:val="center"/>
          </w:tcPr>
          <w:p w14:paraId="68551FC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Times New Roman" w:cs="Times New Roman"/>
                <w:b/>
                <w:bCs/>
                <w:color w:val="auto"/>
                <w:sz w:val="21"/>
                <w:szCs w:val="21"/>
                <w:lang w:val="en-US" w:eastAsia="zh-CN"/>
              </w:rPr>
            </w:pPr>
            <w:r>
              <w:rPr>
                <w:rFonts w:ascii="Times New Roman" w:hAnsi="Times New Roman" w:eastAsia="Times New Roman" w:cs="Times New Roman"/>
                <w:b/>
                <w:bCs/>
                <w:color w:val="auto"/>
                <w:sz w:val="21"/>
                <w:szCs w:val="21"/>
              </w:rPr>
              <w:t>产生浓 度 mg/m</w:t>
            </w:r>
            <w:r>
              <w:rPr>
                <w:rFonts w:hint="eastAsia" w:ascii="Times New Roman" w:hAnsi="Times New Roman" w:eastAsia="Times New Roman" w:cs="Times New Roman"/>
                <w:b/>
                <w:bCs/>
                <w:color w:val="auto"/>
                <w:sz w:val="21"/>
                <w:szCs w:val="21"/>
                <w:vertAlign w:val="superscript"/>
                <w:lang w:val="en-US" w:eastAsia="zh-CN"/>
              </w:rPr>
              <w:t>3</w:t>
            </w:r>
          </w:p>
        </w:tc>
        <w:tc>
          <w:tcPr>
            <w:tcW w:w="911" w:type="dxa"/>
            <w:vMerge w:val="continue"/>
            <w:tcBorders>
              <w:top w:val="nil"/>
            </w:tcBorders>
            <w:vAlign w:val="center"/>
          </w:tcPr>
          <w:p w14:paraId="2EB2917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b/>
                <w:bCs/>
                <w:color w:val="auto"/>
                <w:sz w:val="21"/>
                <w:szCs w:val="21"/>
              </w:rPr>
            </w:pPr>
          </w:p>
        </w:tc>
        <w:tc>
          <w:tcPr>
            <w:tcW w:w="1147" w:type="dxa"/>
            <w:vAlign w:val="center"/>
          </w:tcPr>
          <w:p w14:paraId="4FC2FBE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b/>
                <w:bCs/>
                <w:color w:val="auto"/>
                <w:sz w:val="21"/>
                <w:szCs w:val="21"/>
              </w:rPr>
            </w:pPr>
            <w:r>
              <w:rPr>
                <w:rFonts w:ascii="Times New Roman" w:hAnsi="Times New Roman" w:eastAsia="Times New Roman" w:cs="Times New Roman"/>
                <w:b/>
                <w:bCs/>
                <w:color w:val="auto"/>
                <w:sz w:val="21"/>
                <w:szCs w:val="21"/>
              </w:rPr>
              <w:t>治理工艺</w:t>
            </w:r>
          </w:p>
        </w:tc>
        <w:tc>
          <w:tcPr>
            <w:tcW w:w="1025" w:type="dxa"/>
            <w:vAlign w:val="center"/>
          </w:tcPr>
          <w:p w14:paraId="29CB37B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b/>
                <w:bCs/>
                <w:color w:val="auto"/>
                <w:sz w:val="21"/>
                <w:szCs w:val="21"/>
              </w:rPr>
            </w:pPr>
            <w:r>
              <w:rPr>
                <w:rFonts w:ascii="Times New Roman" w:hAnsi="Times New Roman" w:eastAsia="Times New Roman" w:cs="Times New Roman"/>
                <w:b/>
                <w:bCs/>
                <w:color w:val="auto"/>
                <w:sz w:val="21"/>
                <w:szCs w:val="21"/>
              </w:rPr>
              <w:t>收集效率%</w:t>
            </w:r>
          </w:p>
        </w:tc>
        <w:tc>
          <w:tcPr>
            <w:tcW w:w="1190" w:type="dxa"/>
            <w:vAlign w:val="center"/>
          </w:tcPr>
          <w:p w14:paraId="33AF302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b/>
                <w:bCs/>
                <w:color w:val="auto"/>
                <w:sz w:val="21"/>
                <w:szCs w:val="21"/>
              </w:rPr>
            </w:pPr>
            <w:r>
              <w:rPr>
                <w:rFonts w:ascii="Times New Roman" w:hAnsi="Times New Roman" w:eastAsia="Times New Roman" w:cs="Times New Roman"/>
                <w:b/>
                <w:bCs/>
                <w:color w:val="auto"/>
                <w:sz w:val="21"/>
                <w:szCs w:val="21"/>
              </w:rPr>
              <w:t>治理工艺去除率%</w:t>
            </w:r>
          </w:p>
        </w:tc>
        <w:tc>
          <w:tcPr>
            <w:tcW w:w="1092" w:type="dxa"/>
            <w:vAlign w:val="center"/>
          </w:tcPr>
          <w:p w14:paraId="278FDDD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b/>
                <w:bCs/>
                <w:color w:val="auto"/>
                <w:sz w:val="21"/>
                <w:szCs w:val="21"/>
              </w:rPr>
            </w:pPr>
            <w:r>
              <w:rPr>
                <w:rFonts w:ascii="Times New Roman" w:hAnsi="Times New Roman" w:eastAsia="Times New Roman" w:cs="Times New Roman"/>
                <w:b/>
                <w:bCs/>
                <w:color w:val="auto"/>
                <w:sz w:val="21"/>
                <w:szCs w:val="21"/>
              </w:rPr>
              <w:t>是否为可 行技术</w:t>
            </w:r>
          </w:p>
        </w:tc>
        <w:tc>
          <w:tcPr>
            <w:tcW w:w="1145" w:type="dxa"/>
            <w:vAlign w:val="center"/>
          </w:tcPr>
          <w:p w14:paraId="3F83BC9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b/>
                <w:bCs/>
                <w:color w:val="auto"/>
                <w:sz w:val="21"/>
                <w:szCs w:val="21"/>
              </w:rPr>
            </w:pPr>
            <w:r>
              <w:rPr>
                <w:rFonts w:ascii="Times New Roman" w:hAnsi="Times New Roman" w:eastAsia="Times New Roman" w:cs="Times New Roman"/>
                <w:b/>
                <w:bCs/>
                <w:color w:val="auto"/>
                <w:sz w:val="21"/>
                <w:szCs w:val="21"/>
              </w:rPr>
              <w:t>排放量 t/a</w:t>
            </w:r>
          </w:p>
        </w:tc>
        <w:tc>
          <w:tcPr>
            <w:tcW w:w="1145" w:type="dxa"/>
            <w:vAlign w:val="center"/>
          </w:tcPr>
          <w:p w14:paraId="421DEDE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b/>
                <w:bCs/>
                <w:color w:val="auto"/>
                <w:sz w:val="21"/>
                <w:szCs w:val="21"/>
              </w:rPr>
            </w:pPr>
            <w:r>
              <w:rPr>
                <w:rFonts w:ascii="Times New Roman" w:hAnsi="Times New Roman" w:eastAsia="Times New Roman" w:cs="Times New Roman"/>
                <w:b/>
                <w:bCs/>
                <w:color w:val="auto"/>
                <w:sz w:val="21"/>
                <w:szCs w:val="21"/>
              </w:rPr>
              <w:t>排放速率 kg/h</w:t>
            </w:r>
          </w:p>
        </w:tc>
        <w:tc>
          <w:tcPr>
            <w:tcW w:w="1152" w:type="dxa"/>
            <w:vAlign w:val="center"/>
          </w:tcPr>
          <w:p w14:paraId="7F06399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Times New Roman" w:cs="Times New Roman"/>
                <w:b/>
                <w:bCs/>
                <w:color w:val="auto"/>
                <w:sz w:val="21"/>
                <w:szCs w:val="21"/>
                <w:lang w:val="en-US" w:eastAsia="zh-CN"/>
              </w:rPr>
            </w:pPr>
            <w:r>
              <w:rPr>
                <w:rFonts w:ascii="Times New Roman" w:hAnsi="Times New Roman" w:eastAsia="Times New Roman" w:cs="Times New Roman"/>
                <w:b/>
                <w:bCs/>
                <w:color w:val="auto"/>
                <w:sz w:val="21"/>
                <w:szCs w:val="21"/>
              </w:rPr>
              <w:t>排放浓度 m</w:t>
            </w:r>
            <w:r>
              <w:rPr>
                <w:rFonts w:hint="eastAsia" w:ascii="Times New Roman" w:hAnsi="Times New Roman" w:eastAsia="Times New Roman" w:cs="Times New Roman"/>
                <w:b/>
                <w:bCs/>
                <w:color w:val="auto"/>
                <w:sz w:val="21"/>
                <w:szCs w:val="21"/>
                <w:lang w:val="en-US" w:eastAsia="zh-CN"/>
              </w:rPr>
              <w:t>g</w:t>
            </w:r>
            <w:r>
              <w:rPr>
                <w:rFonts w:ascii="Times New Roman" w:hAnsi="Times New Roman" w:eastAsia="Times New Roman" w:cs="Times New Roman"/>
                <w:b/>
                <w:bCs/>
                <w:color w:val="auto"/>
                <w:sz w:val="21"/>
                <w:szCs w:val="21"/>
              </w:rPr>
              <w:t>/m</w:t>
            </w:r>
            <w:r>
              <w:rPr>
                <w:rFonts w:hint="eastAsia" w:ascii="Times New Roman" w:hAnsi="Times New Roman" w:eastAsia="Times New Roman" w:cs="Times New Roman"/>
                <w:b/>
                <w:bCs/>
                <w:color w:val="auto"/>
                <w:sz w:val="21"/>
                <w:szCs w:val="21"/>
                <w:vertAlign w:val="superscript"/>
                <w:lang w:val="en-US" w:eastAsia="zh-CN"/>
              </w:rPr>
              <w:t>3</w:t>
            </w:r>
          </w:p>
        </w:tc>
      </w:tr>
      <w:tr w14:paraId="4F783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479" w:type="dxa"/>
            <w:vAlign w:val="center"/>
          </w:tcPr>
          <w:p w14:paraId="4DBF03F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1</w:t>
            </w:r>
          </w:p>
        </w:tc>
        <w:tc>
          <w:tcPr>
            <w:tcW w:w="1172" w:type="dxa"/>
            <w:vAlign w:val="center"/>
          </w:tcPr>
          <w:p w14:paraId="0BCB2BF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Times New Roman" w:cs="Times New Roman"/>
                <w:color w:val="auto"/>
                <w:sz w:val="21"/>
                <w:szCs w:val="21"/>
                <w:lang w:val="en-US" w:eastAsia="zh-CN"/>
              </w:rPr>
            </w:pPr>
            <w:r>
              <w:rPr>
                <w:rFonts w:hint="eastAsia" w:ascii="Times New Roman" w:hAnsi="Times New Roman" w:eastAsia="Times New Roman" w:cs="Times New Roman"/>
                <w:color w:val="auto"/>
                <w:sz w:val="21"/>
                <w:szCs w:val="21"/>
                <w:lang w:val="en-US" w:eastAsia="zh-CN"/>
              </w:rPr>
              <w:t>破碎、筛分</w:t>
            </w:r>
          </w:p>
        </w:tc>
        <w:tc>
          <w:tcPr>
            <w:tcW w:w="981" w:type="dxa"/>
            <w:vAlign w:val="center"/>
          </w:tcPr>
          <w:p w14:paraId="7B2BE8F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颗粒物</w:t>
            </w:r>
          </w:p>
        </w:tc>
        <w:tc>
          <w:tcPr>
            <w:tcW w:w="827" w:type="dxa"/>
            <w:vAlign w:val="center"/>
          </w:tcPr>
          <w:p w14:paraId="27D80C8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Times New Roman" w:cs="Times New Roman"/>
                <w:color w:val="auto"/>
                <w:sz w:val="21"/>
                <w:szCs w:val="21"/>
                <w:lang w:val="en-US" w:eastAsia="zh-CN"/>
              </w:rPr>
            </w:pPr>
            <w:r>
              <w:rPr>
                <w:rFonts w:hint="eastAsia" w:ascii="Times New Roman" w:hAnsi="Times New Roman" w:eastAsia="Times New Roman" w:cs="Times New Roman"/>
                <w:color w:val="auto"/>
                <w:sz w:val="21"/>
                <w:szCs w:val="21"/>
                <w:lang w:val="en-US" w:eastAsia="zh-CN"/>
              </w:rPr>
              <w:t>23.78</w:t>
            </w:r>
          </w:p>
        </w:tc>
        <w:tc>
          <w:tcPr>
            <w:tcW w:w="1058" w:type="dxa"/>
            <w:vAlign w:val="center"/>
          </w:tcPr>
          <w:p w14:paraId="5DA0A51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w:t>
            </w:r>
          </w:p>
        </w:tc>
        <w:tc>
          <w:tcPr>
            <w:tcW w:w="911" w:type="dxa"/>
            <w:vAlign w:val="center"/>
          </w:tcPr>
          <w:p w14:paraId="6D7062D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hint="eastAsia" w:ascii="Times New Roman" w:hAnsi="Times New Roman" w:eastAsia="宋体" w:cs="Times New Roman"/>
                <w:color w:val="auto"/>
                <w:sz w:val="21"/>
                <w:szCs w:val="21"/>
                <w:lang w:val="en-US" w:eastAsia="zh-CN"/>
              </w:rPr>
              <w:t>有</w:t>
            </w:r>
            <w:r>
              <w:rPr>
                <w:rFonts w:ascii="Times New Roman" w:hAnsi="Times New Roman" w:eastAsia="Times New Roman" w:cs="Times New Roman"/>
                <w:color w:val="auto"/>
                <w:sz w:val="21"/>
                <w:szCs w:val="21"/>
              </w:rPr>
              <w:t>组织</w:t>
            </w:r>
          </w:p>
        </w:tc>
        <w:tc>
          <w:tcPr>
            <w:tcW w:w="1147" w:type="dxa"/>
            <w:vAlign w:val="center"/>
          </w:tcPr>
          <w:p w14:paraId="15418B9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Times New Roman" w:cs="Times New Roman"/>
                <w:color w:val="auto"/>
                <w:sz w:val="21"/>
                <w:szCs w:val="21"/>
                <w:lang w:val="en-US" w:eastAsia="zh-CN"/>
              </w:rPr>
            </w:pPr>
            <w:r>
              <w:rPr>
                <w:rFonts w:hint="eastAsia" w:ascii="Times New Roman" w:hAnsi="Times New Roman" w:eastAsia="Times New Roman" w:cs="Times New Roman"/>
                <w:color w:val="auto"/>
                <w:sz w:val="21"/>
                <w:szCs w:val="21"/>
                <w:lang w:val="en-US" w:eastAsia="zh-CN"/>
              </w:rPr>
              <w:t>喷淋洒水</w:t>
            </w:r>
          </w:p>
        </w:tc>
        <w:tc>
          <w:tcPr>
            <w:tcW w:w="1025" w:type="dxa"/>
            <w:vAlign w:val="center"/>
          </w:tcPr>
          <w:p w14:paraId="597E680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w:t>
            </w:r>
          </w:p>
        </w:tc>
        <w:tc>
          <w:tcPr>
            <w:tcW w:w="1190" w:type="dxa"/>
            <w:vAlign w:val="center"/>
          </w:tcPr>
          <w:p w14:paraId="4389A8D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Times New Roman" w:cs="Times New Roman"/>
                <w:color w:val="auto"/>
                <w:sz w:val="21"/>
                <w:szCs w:val="21"/>
                <w:lang w:val="en-US" w:eastAsia="zh-CN"/>
              </w:rPr>
            </w:pPr>
            <w:r>
              <w:rPr>
                <w:rFonts w:hint="eastAsia" w:ascii="Times New Roman" w:hAnsi="Times New Roman" w:eastAsia="Times New Roman" w:cs="Times New Roman"/>
                <w:color w:val="auto"/>
                <w:sz w:val="21"/>
                <w:szCs w:val="21"/>
                <w:lang w:val="en-US" w:eastAsia="zh-CN"/>
              </w:rPr>
              <w:t>70</w:t>
            </w:r>
          </w:p>
        </w:tc>
        <w:tc>
          <w:tcPr>
            <w:tcW w:w="1092" w:type="dxa"/>
            <w:vAlign w:val="center"/>
          </w:tcPr>
          <w:p w14:paraId="047F159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可行</w:t>
            </w:r>
          </w:p>
        </w:tc>
        <w:tc>
          <w:tcPr>
            <w:tcW w:w="1145" w:type="dxa"/>
            <w:vAlign w:val="center"/>
          </w:tcPr>
          <w:p w14:paraId="64E68D3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Times New Roman" w:cs="Times New Roman"/>
                <w:color w:val="auto"/>
                <w:sz w:val="21"/>
                <w:szCs w:val="21"/>
                <w:lang w:val="en-US" w:eastAsia="zh-CN"/>
              </w:rPr>
            </w:pPr>
            <w:r>
              <w:rPr>
                <w:rFonts w:hint="eastAsia" w:ascii="Times New Roman" w:hAnsi="Times New Roman" w:eastAsia="Times New Roman" w:cs="Times New Roman"/>
                <w:color w:val="auto"/>
                <w:sz w:val="21"/>
                <w:szCs w:val="21"/>
                <w:lang w:val="en-US" w:eastAsia="zh-CN"/>
              </w:rPr>
              <w:t>7.135</w:t>
            </w:r>
          </w:p>
        </w:tc>
        <w:tc>
          <w:tcPr>
            <w:tcW w:w="1145" w:type="dxa"/>
            <w:vAlign w:val="center"/>
          </w:tcPr>
          <w:p w14:paraId="14F6461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Times New Roman" w:cs="Times New Roman"/>
                <w:color w:val="auto"/>
                <w:sz w:val="21"/>
                <w:szCs w:val="21"/>
                <w:lang w:val="en-US" w:eastAsia="zh-CN"/>
              </w:rPr>
            </w:pPr>
            <w:r>
              <w:rPr>
                <w:rFonts w:hint="eastAsia" w:ascii="Times New Roman" w:hAnsi="Times New Roman" w:eastAsia="Times New Roman" w:cs="Times New Roman"/>
                <w:color w:val="auto"/>
                <w:sz w:val="21"/>
                <w:szCs w:val="21"/>
                <w:lang w:val="en-US" w:eastAsia="zh-CN"/>
              </w:rPr>
              <w:t>2.86</w:t>
            </w:r>
          </w:p>
        </w:tc>
        <w:tc>
          <w:tcPr>
            <w:tcW w:w="1152" w:type="dxa"/>
            <w:vAlign w:val="center"/>
          </w:tcPr>
          <w:p w14:paraId="11F052D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w:t>
            </w:r>
          </w:p>
        </w:tc>
      </w:tr>
      <w:tr w14:paraId="6AA21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479" w:type="dxa"/>
            <w:vAlign w:val="center"/>
          </w:tcPr>
          <w:p w14:paraId="1F65464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Times New Roman" w:cs="Times New Roman"/>
                <w:color w:val="auto"/>
                <w:sz w:val="21"/>
                <w:szCs w:val="21"/>
                <w:lang w:eastAsia="zh-CN"/>
              </w:rPr>
            </w:pPr>
            <w:r>
              <w:rPr>
                <w:rFonts w:hint="eastAsia" w:ascii="Times New Roman" w:hAnsi="Times New Roman" w:eastAsia="Times New Roman" w:cs="Times New Roman"/>
                <w:color w:val="auto"/>
                <w:sz w:val="21"/>
                <w:szCs w:val="21"/>
                <w:lang w:val="en-US" w:eastAsia="zh-CN"/>
              </w:rPr>
              <w:t>2</w:t>
            </w:r>
          </w:p>
        </w:tc>
        <w:tc>
          <w:tcPr>
            <w:tcW w:w="1172" w:type="dxa"/>
            <w:vAlign w:val="center"/>
          </w:tcPr>
          <w:p w14:paraId="6AB6804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hint="eastAsia" w:ascii="Times New Roman" w:hAnsi="Times New Roman" w:eastAsia="Times New Roman" w:cs="Times New Roman"/>
                <w:color w:val="auto"/>
                <w:sz w:val="21"/>
                <w:szCs w:val="21"/>
                <w:lang w:val="en-US" w:eastAsia="zh-CN"/>
              </w:rPr>
              <w:t>粉料</w:t>
            </w:r>
            <w:r>
              <w:rPr>
                <w:rFonts w:ascii="Times New Roman" w:hAnsi="Times New Roman" w:eastAsia="Times New Roman" w:cs="Times New Roman"/>
                <w:color w:val="auto"/>
                <w:sz w:val="21"/>
                <w:szCs w:val="21"/>
              </w:rPr>
              <w:t>仓</w:t>
            </w:r>
          </w:p>
        </w:tc>
        <w:tc>
          <w:tcPr>
            <w:tcW w:w="981" w:type="dxa"/>
            <w:vAlign w:val="center"/>
          </w:tcPr>
          <w:p w14:paraId="727D87C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颗粒物</w:t>
            </w:r>
          </w:p>
        </w:tc>
        <w:tc>
          <w:tcPr>
            <w:tcW w:w="827" w:type="dxa"/>
            <w:vAlign w:val="center"/>
          </w:tcPr>
          <w:p w14:paraId="5EE749C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Times New Roman" w:cs="Times New Roman"/>
                <w:color w:val="auto"/>
                <w:sz w:val="21"/>
                <w:szCs w:val="21"/>
                <w:lang w:val="en-US" w:eastAsia="zh-CN"/>
              </w:rPr>
            </w:pPr>
            <w:r>
              <w:rPr>
                <w:rFonts w:hint="eastAsia" w:ascii="Times New Roman" w:hAnsi="Times New Roman" w:eastAsia="Times New Roman" w:cs="Times New Roman"/>
                <w:color w:val="auto"/>
                <w:sz w:val="21"/>
                <w:szCs w:val="21"/>
                <w:lang w:val="en-US" w:eastAsia="zh-CN"/>
              </w:rPr>
              <w:t>14.1</w:t>
            </w:r>
          </w:p>
        </w:tc>
        <w:tc>
          <w:tcPr>
            <w:tcW w:w="1058" w:type="dxa"/>
            <w:vAlign w:val="center"/>
          </w:tcPr>
          <w:p w14:paraId="5255860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w:t>
            </w:r>
          </w:p>
        </w:tc>
        <w:tc>
          <w:tcPr>
            <w:tcW w:w="911" w:type="dxa"/>
            <w:vAlign w:val="center"/>
          </w:tcPr>
          <w:p w14:paraId="0C12456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无组织</w:t>
            </w:r>
          </w:p>
        </w:tc>
        <w:tc>
          <w:tcPr>
            <w:tcW w:w="1147" w:type="dxa"/>
            <w:vAlign w:val="center"/>
          </w:tcPr>
          <w:p w14:paraId="40A39D6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布袋除尘</w:t>
            </w:r>
          </w:p>
        </w:tc>
        <w:tc>
          <w:tcPr>
            <w:tcW w:w="1025" w:type="dxa"/>
            <w:vAlign w:val="center"/>
          </w:tcPr>
          <w:p w14:paraId="5B9C57E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w:t>
            </w:r>
          </w:p>
        </w:tc>
        <w:tc>
          <w:tcPr>
            <w:tcW w:w="1190" w:type="dxa"/>
            <w:vAlign w:val="center"/>
          </w:tcPr>
          <w:p w14:paraId="1AAB354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Times New Roman" w:cs="Times New Roman"/>
                <w:color w:val="auto"/>
                <w:sz w:val="21"/>
                <w:szCs w:val="21"/>
                <w:lang w:val="en-US" w:eastAsia="zh-CN"/>
              </w:rPr>
            </w:pPr>
            <w:r>
              <w:rPr>
                <w:rFonts w:ascii="Times New Roman" w:hAnsi="Times New Roman" w:eastAsia="Times New Roman" w:cs="Times New Roman"/>
                <w:color w:val="auto"/>
                <w:sz w:val="21"/>
                <w:szCs w:val="21"/>
              </w:rPr>
              <w:t>99.</w:t>
            </w:r>
            <w:r>
              <w:rPr>
                <w:rFonts w:hint="eastAsia" w:ascii="Times New Roman" w:hAnsi="Times New Roman" w:eastAsia="Times New Roman" w:cs="Times New Roman"/>
                <w:color w:val="auto"/>
                <w:sz w:val="21"/>
                <w:szCs w:val="21"/>
                <w:lang w:val="en-US" w:eastAsia="zh-CN"/>
              </w:rPr>
              <w:t>7</w:t>
            </w:r>
          </w:p>
        </w:tc>
        <w:tc>
          <w:tcPr>
            <w:tcW w:w="1092" w:type="dxa"/>
            <w:vAlign w:val="center"/>
          </w:tcPr>
          <w:p w14:paraId="6BD91CE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可行</w:t>
            </w:r>
          </w:p>
        </w:tc>
        <w:tc>
          <w:tcPr>
            <w:tcW w:w="1145" w:type="dxa"/>
            <w:vAlign w:val="center"/>
          </w:tcPr>
          <w:p w14:paraId="77E51CA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Times New Roman" w:cs="Times New Roman"/>
                <w:color w:val="auto"/>
                <w:sz w:val="21"/>
                <w:szCs w:val="21"/>
                <w:lang w:val="en-US" w:eastAsia="zh-CN"/>
              </w:rPr>
            </w:pPr>
            <w:r>
              <w:rPr>
                <w:rFonts w:hint="eastAsia" w:ascii="Times New Roman" w:hAnsi="Times New Roman" w:eastAsia="Times New Roman" w:cs="Times New Roman"/>
                <w:color w:val="auto"/>
                <w:sz w:val="21"/>
                <w:szCs w:val="21"/>
                <w:lang w:val="en-US" w:eastAsia="zh-CN"/>
              </w:rPr>
              <w:t>0.043</w:t>
            </w:r>
          </w:p>
        </w:tc>
        <w:tc>
          <w:tcPr>
            <w:tcW w:w="1145" w:type="dxa"/>
            <w:vAlign w:val="center"/>
          </w:tcPr>
          <w:p w14:paraId="7026B05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Times New Roman" w:cs="Times New Roman"/>
                <w:color w:val="auto"/>
                <w:sz w:val="21"/>
                <w:szCs w:val="21"/>
                <w:lang w:val="en-US" w:eastAsia="zh-CN"/>
              </w:rPr>
            </w:pPr>
            <w:r>
              <w:rPr>
                <w:rFonts w:hint="eastAsia" w:ascii="Times New Roman" w:hAnsi="Times New Roman" w:eastAsia="Times New Roman" w:cs="Times New Roman"/>
                <w:color w:val="auto"/>
                <w:sz w:val="21"/>
                <w:szCs w:val="21"/>
                <w:lang w:val="en-US" w:eastAsia="zh-CN"/>
              </w:rPr>
              <w:t>0.017</w:t>
            </w:r>
          </w:p>
        </w:tc>
        <w:tc>
          <w:tcPr>
            <w:tcW w:w="1152" w:type="dxa"/>
            <w:vAlign w:val="center"/>
          </w:tcPr>
          <w:p w14:paraId="0DCF769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w:t>
            </w:r>
          </w:p>
        </w:tc>
      </w:tr>
      <w:tr w14:paraId="07071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479" w:type="dxa"/>
            <w:vAlign w:val="center"/>
          </w:tcPr>
          <w:p w14:paraId="538EC59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Times New Roman" w:cs="Times New Roman"/>
                <w:color w:val="auto"/>
                <w:sz w:val="21"/>
                <w:szCs w:val="21"/>
                <w:lang w:eastAsia="zh-CN"/>
              </w:rPr>
            </w:pPr>
            <w:r>
              <w:rPr>
                <w:rFonts w:hint="eastAsia" w:ascii="Times New Roman" w:hAnsi="Times New Roman" w:eastAsia="Times New Roman" w:cs="Times New Roman"/>
                <w:color w:val="auto"/>
                <w:sz w:val="21"/>
                <w:szCs w:val="21"/>
                <w:lang w:val="en-US" w:eastAsia="zh-CN"/>
              </w:rPr>
              <w:t>3</w:t>
            </w:r>
          </w:p>
        </w:tc>
        <w:tc>
          <w:tcPr>
            <w:tcW w:w="1172" w:type="dxa"/>
            <w:vAlign w:val="center"/>
          </w:tcPr>
          <w:p w14:paraId="41C064A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投料及搅拌</w:t>
            </w:r>
          </w:p>
        </w:tc>
        <w:tc>
          <w:tcPr>
            <w:tcW w:w="981" w:type="dxa"/>
            <w:vAlign w:val="center"/>
          </w:tcPr>
          <w:p w14:paraId="4C58B23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颗粒物</w:t>
            </w:r>
          </w:p>
        </w:tc>
        <w:tc>
          <w:tcPr>
            <w:tcW w:w="827" w:type="dxa"/>
            <w:vAlign w:val="center"/>
          </w:tcPr>
          <w:p w14:paraId="728AEA0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hint="eastAsia" w:ascii="Times New Roman" w:hAnsi="Times New Roman" w:eastAsia="Times New Roman" w:cs="Times New Roman"/>
                <w:color w:val="auto"/>
                <w:sz w:val="21"/>
                <w:szCs w:val="21"/>
                <w:lang w:val="en-US" w:eastAsia="zh-CN"/>
              </w:rPr>
              <w:t>15.6</w:t>
            </w:r>
          </w:p>
        </w:tc>
        <w:tc>
          <w:tcPr>
            <w:tcW w:w="1058" w:type="dxa"/>
            <w:vAlign w:val="center"/>
          </w:tcPr>
          <w:p w14:paraId="49C429C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2083</w:t>
            </w:r>
          </w:p>
        </w:tc>
        <w:tc>
          <w:tcPr>
            <w:tcW w:w="911" w:type="dxa"/>
            <w:vAlign w:val="center"/>
          </w:tcPr>
          <w:p w14:paraId="7D1212B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有组织</w:t>
            </w:r>
          </w:p>
        </w:tc>
        <w:tc>
          <w:tcPr>
            <w:tcW w:w="1147" w:type="dxa"/>
            <w:vAlign w:val="center"/>
          </w:tcPr>
          <w:p w14:paraId="22694A6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Times New Roman" w:cs="Times New Roman"/>
                <w:color w:val="auto"/>
                <w:sz w:val="21"/>
                <w:szCs w:val="21"/>
                <w:lang w:val="en-US" w:eastAsia="zh-CN"/>
              </w:rPr>
            </w:pPr>
            <w:r>
              <w:rPr>
                <w:rFonts w:hint="eastAsia" w:ascii="Times New Roman" w:hAnsi="Times New Roman" w:eastAsia="Times New Roman" w:cs="Times New Roman"/>
                <w:color w:val="auto"/>
                <w:sz w:val="21"/>
                <w:szCs w:val="21"/>
                <w:lang w:val="en-US" w:eastAsia="zh-CN"/>
              </w:rPr>
              <w:t>布袋除尘</w:t>
            </w:r>
          </w:p>
        </w:tc>
        <w:tc>
          <w:tcPr>
            <w:tcW w:w="1025" w:type="dxa"/>
            <w:vAlign w:val="center"/>
          </w:tcPr>
          <w:p w14:paraId="602AEA5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w:t>
            </w:r>
          </w:p>
        </w:tc>
        <w:tc>
          <w:tcPr>
            <w:tcW w:w="1190" w:type="dxa"/>
            <w:vAlign w:val="center"/>
          </w:tcPr>
          <w:p w14:paraId="2E545D9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Times New Roman" w:cs="Times New Roman"/>
                <w:color w:val="auto"/>
                <w:sz w:val="21"/>
                <w:szCs w:val="21"/>
                <w:lang w:val="en-US" w:eastAsia="zh-CN"/>
              </w:rPr>
            </w:pPr>
            <w:r>
              <w:rPr>
                <w:rFonts w:ascii="Times New Roman" w:hAnsi="Times New Roman" w:eastAsia="Times New Roman" w:cs="Times New Roman"/>
                <w:color w:val="auto"/>
                <w:sz w:val="21"/>
                <w:szCs w:val="21"/>
              </w:rPr>
              <w:t>9</w:t>
            </w:r>
            <w:r>
              <w:rPr>
                <w:rFonts w:hint="eastAsia" w:ascii="Times New Roman" w:hAnsi="Times New Roman" w:eastAsia="Times New Roman" w:cs="Times New Roman"/>
                <w:color w:val="auto"/>
                <w:sz w:val="21"/>
                <w:szCs w:val="21"/>
                <w:lang w:val="en-US" w:eastAsia="zh-CN"/>
              </w:rPr>
              <w:t>9.7</w:t>
            </w:r>
          </w:p>
        </w:tc>
        <w:tc>
          <w:tcPr>
            <w:tcW w:w="1092" w:type="dxa"/>
            <w:vAlign w:val="center"/>
          </w:tcPr>
          <w:p w14:paraId="1F35173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可行</w:t>
            </w:r>
          </w:p>
        </w:tc>
        <w:tc>
          <w:tcPr>
            <w:tcW w:w="1145" w:type="dxa"/>
            <w:vAlign w:val="center"/>
          </w:tcPr>
          <w:p w14:paraId="4561B86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Times New Roman" w:cs="Times New Roman"/>
                <w:color w:val="auto"/>
                <w:sz w:val="21"/>
                <w:szCs w:val="21"/>
                <w:lang w:val="en-US" w:eastAsia="zh-CN"/>
              </w:rPr>
            </w:pPr>
            <w:r>
              <w:rPr>
                <w:rFonts w:hint="eastAsia" w:ascii="Times New Roman" w:hAnsi="Times New Roman" w:eastAsia="Times New Roman" w:cs="Times New Roman"/>
                <w:color w:val="auto"/>
                <w:sz w:val="21"/>
                <w:szCs w:val="21"/>
                <w:lang w:val="en-US" w:eastAsia="zh-CN"/>
              </w:rPr>
              <w:t>0.047</w:t>
            </w:r>
          </w:p>
        </w:tc>
        <w:tc>
          <w:tcPr>
            <w:tcW w:w="1145" w:type="dxa"/>
            <w:vAlign w:val="center"/>
          </w:tcPr>
          <w:p w14:paraId="05E7571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Times New Roman" w:cs="Times New Roman"/>
                <w:color w:val="auto"/>
                <w:sz w:val="21"/>
                <w:szCs w:val="21"/>
                <w:lang w:val="en-US" w:eastAsia="zh-CN"/>
              </w:rPr>
            </w:pPr>
            <w:r>
              <w:rPr>
                <w:rFonts w:hint="eastAsia" w:ascii="Times New Roman" w:hAnsi="Times New Roman" w:eastAsia="Times New Roman" w:cs="Times New Roman"/>
                <w:color w:val="auto"/>
                <w:sz w:val="21"/>
                <w:szCs w:val="21"/>
                <w:lang w:val="en-US" w:eastAsia="zh-CN"/>
              </w:rPr>
              <w:t>0.019</w:t>
            </w:r>
          </w:p>
        </w:tc>
        <w:tc>
          <w:tcPr>
            <w:tcW w:w="1152" w:type="dxa"/>
            <w:vAlign w:val="center"/>
          </w:tcPr>
          <w:p w14:paraId="05276E1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6.25</w:t>
            </w:r>
          </w:p>
        </w:tc>
      </w:tr>
      <w:tr w14:paraId="25DEB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479" w:type="dxa"/>
            <w:vAlign w:val="center"/>
          </w:tcPr>
          <w:p w14:paraId="60C1C59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Times New Roman" w:cs="Times New Roman"/>
                <w:color w:val="auto"/>
                <w:sz w:val="21"/>
                <w:szCs w:val="21"/>
                <w:lang w:val="en-US" w:eastAsia="zh-CN"/>
              </w:rPr>
            </w:pPr>
            <w:r>
              <w:rPr>
                <w:rFonts w:hint="eastAsia" w:ascii="Times New Roman" w:hAnsi="Times New Roman" w:eastAsia="Times New Roman" w:cs="Times New Roman"/>
                <w:color w:val="auto"/>
                <w:sz w:val="21"/>
                <w:szCs w:val="21"/>
                <w:lang w:val="en-US" w:eastAsia="zh-CN"/>
              </w:rPr>
              <w:t>4</w:t>
            </w:r>
          </w:p>
        </w:tc>
        <w:tc>
          <w:tcPr>
            <w:tcW w:w="1172" w:type="dxa"/>
            <w:vAlign w:val="center"/>
          </w:tcPr>
          <w:p w14:paraId="3D54E09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装卸扬尘</w:t>
            </w:r>
          </w:p>
        </w:tc>
        <w:tc>
          <w:tcPr>
            <w:tcW w:w="981" w:type="dxa"/>
            <w:vAlign w:val="center"/>
          </w:tcPr>
          <w:p w14:paraId="362E4A9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颗粒物</w:t>
            </w:r>
          </w:p>
        </w:tc>
        <w:tc>
          <w:tcPr>
            <w:tcW w:w="827" w:type="dxa"/>
            <w:vAlign w:val="center"/>
          </w:tcPr>
          <w:p w14:paraId="4639400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Times New Roman" w:cs="Times New Roman"/>
                <w:color w:val="auto"/>
                <w:sz w:val="21"/>
                <w:szCs w:val="21"/>
                <w:lang w:val="en-US" w:eastAsia="zh-CN"/>
              </w:rPr>
            </w:pPr>
            <w:r>
              <w:rPr>
                <w:rFonts w:hint="eastAsia" w:ascii="Times New Roman" w:hAnsi="Times New Roman" w:eastAsia="Times New Roman" w:cs="Times New Roman"/>
                <w:color w:val="auto"/>
                <w:sz w:val="21"/>
                <w:szCs w:val="21"/>
                <w:lang w:val="en-US" w:eastAsia="zh-CN"/>
              </w:rPr>
              <w:t>1.91</w:t>
            </w:r>
          </w:p>
        </w:tc>
        <w:tc>
          <w:tcPr>
            <w:tcW w:w="1058" w:type="dxa"/>
            <w:vAlign w:val="center"/>
          </w:tcPr>
          <w:p w14:paraId="2203FE3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911" w:type="dxa"/>
            <w:vAlign w:val="center"/>
          </w:tcPr>
          <w:p w14:paraId="26FD036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无组织</w:t>
            </w:r>
          </w:p>
        </w:tc>
        <w:tc>
          <w:tcPr>
            <w:tcW w:w="1147" w:type="dxa"/>
            <w:vAlign w:val="center"/>
          </w:tcPr>
          <w:p w14:paraId="45416F6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Times New Roman" w:cs="Times New Roman"/>
                <w:color w:val="auto"/>
                <w:sz w:val="21"/>
                <w:szCs w:val="21"/>
                <w:lang w:val="en-US" w:eastAsia="zh-CN"/>
              </w:rPr>
            </w:pPr>
            <w:r>
              <w:rPr>
                <w:rFonts w:hint="eastAsia" w:ascii="Times New Roman" w:hAnsi="Times New Roman" w:eastAsia="Times New Roman" w:cs="Times New Roman"/>
                <w:color w:val="auto"/>
                <w:sz w:val="21"/>
                <w:szCs w:val="21"/>
                <w:lang w:val="en-US" w:eastAsia="zh-CN"/>
              </w:rPr>
              <w:t>喷雾除尘</w:t>
            </w:r>
          </w:p>
        </w:tc>
        <w:tc>
          <w:tcPr>
            <w:tcW w:w="1025" w:type="dxa"/>
            <w:vAlign w:val="center"/>
          </w:tcPr>
          <w:p w14:paraId="41C0E49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190" w:type="dxa"/>
            <w:vAlign w:val="center"/>
          </w:tcPr>
          <w:p w14:paraId="03D9015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80</w:t>
            </w:r>
          </w:p>
        </w:tc>
        <w:tc>
          <w:tcPr>
            <w:tcW w:w="1092" w:type="dxa"/>
            <w:vAlign w:val="center"/>
          </w:tcPr>
          <w:p w14:paraId="315203D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可行</w:t>
            </w:r>
          </w:p>
        </w:tc>
        <w:tc>
          <w:tcPr>
            <w:tcW w:w="1145" w:type="dxa"/>
            <w:vAlign w:val="center"/>
          </w:tcPr>
          <w:p w14:paraId="48DBC35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Times New Roman" w:cs="Times New Roman"/>
                <w:color w:val="auto"/>
                <w:sz w:val="21"/>
                <w:szCs w:val="21"/>
                <w:lang w:val="en-US" w:eastAsia="zh-CN"/>
              </w:rPr>
            </w:pPr>
            <w:r>
              <w:rPr>
                <w:rFonts w:hint="eastAsia" w:ascii="Times New Roman" w:hAnsi="Times New Roman" w:eastAsia="Times New Roman" w:cs="Times New Roman"/>
                <w:color w:val="auto"/>
                <w:sz w:val="21"/>
                <w:szCs w:val="21"/>
                <w:lang w:val="en-US" w:eastAsia="zh-CN"/>
              </w:rPr>
              <w:t>0.382</w:t>
            </w:r>
          </w:p>
        </w:tc>
        <w:tc>
          <w:tcPr>
            <w:tcW w:w="1145" w:type="dxa"/>
            <w:vAlign w:val="center"/>
          </w:tcPr>
          <w:p w14:paraId="433C5E3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Times New Roman" w:cs="Times New Roman"/>
                <w:color w:val="auto"/>
                <w:sz w:val="21"/>
                <w:szCs w:val="21"/>
                <w:lang w:val="en-US" w:eastAsia="zh-CN"/>
              </w:rPr>
            </w:pPr>
            <w:r>
              <w:rPr>
                <w:rFonts w:hint="eastAsia" w:ascii="Times New Roman" w:hAnsi="Times New Roman" w:eastAsia="Times New Roman" w:cs="Times New Roman"/>
                <w:color w:val="auto"/>
                <w:sz w:val="21"/>
                <w:szCs w:val="21"/>
                <w:lang w:val="en-US" w:eastAsia="zh-CN"/>
              </w:rPr>
              <w:t>0.153</w:t>
            </w:r>
          </w:p>
        </w:tc>
        <w:tc>
          <w:tcPr>
            <w:tcW w:w="1152" w:type="dxa"/>
            <w:vAlign w:val="center"/>
          </w:tcPr>
          <w:p w14:paraId="6741F5D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1927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jc w:val="center"/>
        </w:trPr>
        <w:tc>
          <w:tcPr>
            <w:tcW w:w="479" w:type="dxa"/>
            <w:vAlign w:val="center"/>
          </w:tcPr>
          <w:p w14:paraId="2196FE9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5</w:t>
            </w:r>
          </w:p>
        </w:tc>
        <w:tc>
          <w:tcPr>
            <w:tcW w:w="1172" w:type="dxa"/>
            <w:vAlign w:val="center"/>
          </w:tcPr>
          <w:p w14:paraId="4AD21A9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道路扬尘</w:t>
            </w:r>
          </w:p>
        </w:tc>
        <w:tc>
          <w:tcPr>
            <w:tcW w:w="981" w:type="dxa"/>
            <w:vAlign w:val="center"/>
          </w:tcPr>
          <w:p w14:paraId="70C5D9A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颗粒物</w:t>
            </w:r>
          </w:p>
        </w:tc>
        <w:tc>
          <w:tcPr>
            <w:tcW w:w="827" w:type="dxa"/>
            <w:vAlign w:val="center"/>
          </w:tcPr>
          <w:p w14:paraId="13B1055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Times New Roman" w:cs="Times New Roman"/>
                <w:color w:val="auto"/>
                <w:sz w:val="21"/>
                <w:szCs w:val="21"/>
                <w:lang w:val="en-US" w:eastAsia="zh-CN"/>
              </w:rPr>
            </w:pPr>
            <w:r>
              <w:rPr>
                <w:rFonts w:hint="eastAsia" w:ascii="Times New Roman" w:hAnsi="Times New Roman" w:eastAsia="Times New Roman" w:cs="Times New Roman"/>
                <w:color w:val="auto"/>
                <w:sz w:val="21"/>
                <w:szCs w:val="21"/>
                <w:lang w:val="en-US" w:eastAsia="zh-CN"/>
              </w:rPr>
              <w:t>1.017</w:t>
            </w:r>
          </w:p>
        </w:tc>
        <w:tc>
          <w:tcPr>
            <w:tcW w:w="1058" w:type="dxa"/>
            <w:vAlign w:val="center"/>
          </w:tcPr>
          <w:p w14:paraId="132769D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w:t>
            </w:r>
          </w:p>
        </w:tc>
        <w:tc>
          <w:tcPr>
            <w:tcW w:w="911" w:type="dxa"/>
            <w:vAlign w:val="center"/>
          </w:tcPr>
          <w:p w14:paraId="7B166D5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无组织</w:t>
            </w:r>
          </w:p>
        </w:tc>
        <w:tc>
          <w:tcPr>
            <w:tcW w:w="1147" w:type="dxa"/>
            <w:vAlign w:val="center"/>
          </w:tcPr>
          <w:p w14:paraId="0CC8C60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洒水降</w:t>
            </w:r>
          </w:p>
          <w:p w14:paraId="089E5BB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尘、定期</w:t>
            </w:r>
          </w:p>
          <w:p w14:paraId="269469D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清扫</w:t>
            </w:r>
          </w:p>
        </w:tc>
        <w:tc>
          <w:tcPr>
            <w:tcW w:w="1025" w:type="dxa"/>
            <w:vAlign w:val="center"/>
          </w:tcPr>
          <w:p w14:paraId="30597D9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w:t>
            </w:r>
          </w:p>
        </w:tc>
        <w:tc>
          <w:tcPr>
            <w:tcW w:w="1190" w:type="dxa"/>
            <w:vAlign w:val="center"/>
          </w:tcPr>
          <w:p w14:paraId="354EEC2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80</w:t>
            </w:r>
          </w:p>
        </w:tc>
        <w:tc>
          <w:tcPr>
            <w:tcW w:w="1092" w:type="dxa"/>
            <w:vAlign w:val="center"/>
          </w:tcPr>
          <w:p w14:paraId="2EDB2E1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可行</w:t>
            </w:r>
          </w:p>
        </w:tc>
        <w:tc>
          <w:tcPr>
            <w:tcW w:w="1145" w:type="dxa"/>
            <w:vAlign w:val="center"/>
          </w:tcPr>
          <w:p w14:paraId="4D0A665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Times New Roman" w:cs="Times New Roman"/>
                <w:color w:val="auto"/>
                <w:sz w:val="21"/>
                <w:szCs w:val="21"/>
                <w:lang w:val="en-US" w:eastAsia="zh-CN"/>
              </w:rPr>
            </w:pPr>
            <w:r>
              <w:rPr>
                <w:rFonts w:hint="eastAsia" w:ascii="Times New Roman" w:hAnsi="Times New Roman" w:eastAsia="Times New Roman" w:cs="Times New Roman"/>
                <w:color w:val="auto"/>
                <w:sz w:val="21"/>
                <w:szCs w:val="21"/>
                <w:lang w:val="en-US" w:eastAsia="zh-CN"/>
              </w:rPr>
              <w:t>0.203</w:t>
            </w:r>
          </w:p>
        </w:tc>
        <w:tc>
          <w:tcPr>
            <w:tcW w:w="1145" w:type="dxa"/>
            <w:vAlign w:val="center"/>
          </w:tcPr>
          <w:p w14:paraId="3C1F0B8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Times New Roman" w:cs="Times New Roman"/>
                <w:color w:val="auto"/>
                <w:sz w:val="21"/>
                <w:szCs w:val="21"/>
                <w:lang w:val="en-US" w:eastAsia="zh-CN"/>
              </w:rPr>
            </w:pPr>
            <w:r>
              <w:rPr>
                <w:rFonts w:ascii="Times New Roman" w:hAnsi="Times New Roman" w:eastAsia="Times New Roman" w:cs="Times New Roman"/>
                <w:color w:val="auto"/>
                <w:sz w:val="21"/>
                <w:szCs w:val="21"/>
              </w:rPr>
              <w:t>0.</w:t>
            </w:r>
            <w:r>
              <w:rPr>
                <w:rFonts w:hint="eastAsia" w:ascii="Times New Roman" w:hAnsi="Times New Roman" w:eastAsia="Times New Roman" w:cs="Times New Roman"/>
                <w:color w:val="auto"/>
                <w:sz w:val="21"/>
                <w:szCs w:val="21"/>
                <w:lang w:val="en-US" w:eastAsia="zh-CN"/>
              </w:rPr>
              <w:t>081</w:t>
            </w:r>
          </w:p>
        </w:tc>
        <w:tc>
          <w:tcPr>
            <w:tcW w:w="1152" w:type="dxa"/>
            <w:vAlign w:val="center"/>
          </w:tcPr>
          <w:p w14:paraId="0BCE384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w:t>
            </w:r>
          </w:p>
        </w:tc>
      </w:tr>
    </w:tbl>
    <w:p w14:paraId="4F6314A5">
      <w:pPr>
        <w:pStyle w:val="6"/>
        <w:rPr>
          <w:color w:val="auto"/>
        </w:rPr>
      </w:pPr>
    </w:p>
    <w:p w14:paraId="25336577">
      <w:pPr>
        <w:rPr>
          <w:color w:val="auto"/>
        </w:rPr>
        <w:sectPr>
          <w:footerReference r:id="rId13" w:type="default"/>
          <w:pgSz w:w="16840" w:h="11907"/>
          <w:pgMar w:top="1440" w:right="1496" w:bottom="1440" w:left="2014" w:header="0" w:footer="1060" w:gutter="0"/>
          <w:pgNumType w:fmt="numberInDash"/>
          <w:cols w:space="720" w:num="1"/>
        </w:sectPr>
      </w:pPr>
    </w:p>
    <w:p w14:paraId="3B3E5D02">
      <w:pPr>
        <w:spacing w:before="28"/>
        <w:rPr>
          <w:color w:val="auto"/>
        </w:rPr>
      </w:pPr>
    </w:p>
    <w:tbl>
      <w:tblPr>
        <w:tblStyle w:val="21"/>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54"/>
        <w:gridCol w:w="8158"/>
      </w:tblGrid>
      <w:tr w14:paraId="2621E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00" w:hRule="atLeast"/>
        </w:trPr>
        <w:tc>
          <w:tcPr>
            <w:tcW w:w="754" w:type="dxa"/>
            <w:tcBorders>
              <w:right w:val="single" w:color="000000" w:sz="2" w:space="0"/>
            </w:tcBorders>
            <w:vAlign w:val="top"/>
          </w:tcPr>
          <w:p w14:paraId="0C285F90">
            <w:pPr>
              <w:rPr>
                <w:rFonts w:ascii="Arial"/>
                <w:color w:val="auto"/>
                <w:sz w:val="21"/>
              </w:rPr>
            </w:pPr>
          </w:p>
        </w:tc>
        <w:tc>
          <w:tcPr>
            <w:tcW w:w="8158" w:type="dxa"/>
            <w:tcBorders>
              <w:left w:val="single" w:color="000000" w:sz="2" w:space="0"/>
            </w:tcBorders>
            <w:vAlign w:val="top"/>
          </w:tcPr>
          <w:p w14:paraId="30AD7241">
            <w:pPr>
              <w:pStyle w:val="22"/>
              <w:keepNext w:val="0"/>
              <w:keepLines w:val="0"/>
              <w:pageBreakBefore w:val="0"/>
              <w:widowControl/>
              <w:kinsoku w:val="0"/>
              <w:wordWrap/>
              <w:overflowPunct/>
              <w:topLinePunct w:val="0"/>
              <w:autoSpaceDE w:val="0"/>
              <w:autoSpaceDN w:val="0"/>
              <w:bidi w:val="0"/>
              <w:adjustRightInd w:val="0"/>
              <w:snapToGrid w:val="0"/>
              <w:spacing w:before="160" w:after="0" w:afterLines="50" w:line="219" w:lineRule="auto"/>
              <w:ind w:left="584"/>
              <w:textAlignment w:val="baseline"/>
              <w:rPr>
                <w:color w:val="auto"/>
              </w:rPr>
            </w:pPr>
            <w:r>
              <w:rPr>
                <w:rFonts w:ascii="Times New Roman" w:hAnsi="Times New Roman" w:eastAsia="Times New Roman" w:cs="Times New Roman"/>
                <w:b/>
                <w:bCs/>
                <w:color w:val="auto"/>
                <w:spacing w:val="-3"/>
              </w:rPr>
              <w:t>2.</w:t>
            </w:r>
            <w:r>
              <w:rPr>
                <w:b/>
                <w:bCs/>
                <w:color w:val="auto"/>
                <w:spacing w:val="-3"/>
              </w:rPr>
              <w:t>废水</w:t>
            </w:r>
          </w:p>
          <w:p w14:paraId="23D4ADD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28" w:firstLine="464" w:firstLineChars="200"/>
              <w:textAlignment w:val="baseline"/>
              <w:rPr>
                <w:color w:val="auto"/>
              </w:rPr>
            </w:pPr>
            <w:r>
              <w:rPr>
                <w:color w:val="auto"/>
                <w:spacing w:val="-4"/>
              </w:rPr>
              <w:t>项目产生的废水主要有</w:t>
            </w:r>
            <w:r>
              <w:rPr>
                <w:rFonts w:hint="eastAsia"/>
                <w:color w:val="auto"/>
                <w:spacing w:val="-4"/>
                <w:lang w:val="en-US" w:eastAsia="zh-CN"/>
              </w:rPr>
              <w:t>洗砂废水、</w:t>
            </w:r>
            <w:r>
              <w:rPr>
                <w:color w:val="auto"/>
                <w:spacing w:val="-4"/>
              </w:rPr>
              <w:t>设备清洗废水、地面清洗废水、车辆冲洗用水</w:t>
            </w:r>
            <w:r>
              <w:rPr>
                <w:rFonts w:hint="eastAsia"/>
                <w:color w:val="auto"/>
                <w:spacing w:val="-4"/>
                <w:lang w:eastAsia="zh-CN"/>
              </w:rPr>
              <w:t>、</w:t>
            </w:r>
            <w:r>
              <w:rPr>
                <w:color w:val="auto"/>
                <w:spacing w:val="-1"/>
              </w:rPr>
              <w:t>初期雨水以及员工生活污水。</w:t>
            </w:r>
          </w:p>
          <w:p w14:paraId="0C4B6B5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99"/>
              <w:textAlignment w:val="baseline"/>
              <w:rPr>
                <w:color w:val="auto"/>
              </w:rPr>
            </w:pPr>
            <w:r>
              <w:rPr>
                <w:color w:val="auto"/>
                <w:spacing w:val="-3"/>
              </w:rPr>
              <w:t>（</w:t>
            </w:r>
            <w:r>
              <w:rPr>
                <w:rFonts w:ascii="Times New Roman" w:hAnsi="Times New Roman" w:eastAsia="Times New Roman" w:cs="Times New Roman"/>
                <w:color w:val="auto"/>
                <w:spacing w:val="-3"/>
              </w:rPr>
              <w:t>1</w:t>
            </w:r>
            <w:r>
              <w:rPr>
                <w:color w:val="auto"/>
                <w:spacing w:val="-3"/>
              </w:rPr>
              <w:t>）废水治理措施</w:t>
            </w:r>
          </w:p>
          <w:p w14:paraId="10AEF494">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3" w:firstLine="480" w:firstLineChars="200"/>
              <w:textAlignment w:val="baseline"/>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1）洗砂废水：</w:t>
            </w:r>
            <w:r>
              <w:rPr>
                <w:rFonts w:hint="eastAsia"/>
                <w:color w:val="auto"/>
                <w:spacing w:val="-2"/>
                <w:lang w:val="en-US" w:eastAsia="zh-CN"/>
              </w:rPr>
              <w:t>本项目洗砂</w:t>
            </w:r>
            <w:r>
              <w:rPr>
                <w:rFonts w:hint="eastAsia" w:ascii="Times New Roman" w:hAnsi="Times New Roman" w:cs="Times New Roman"/>
                <w:color w:val="auto"/>
                <w:spacing w:val="-4"/>
                <w:sz w:val="24"/>
                <w:szCs w:val="24"/>
                <w:lang w:val="en-US" w:eastAsia="zh-CN"/>
              </w:rPr>
              <w:t>用水量为47568m</w:t>
            </w:r>
            <w:r>
              <w:rPr>
                <w:rFonts w:hint="eastAsia" w:ascii="Times New Roman" w:hAnsi="Times New Roman" w:cs="Times New Roman"/>
                <w:color w:val="auto"/>
                <w:spacing w:val="-4"/>
                <w:sz w:val="24"/>
                <w:szCs w:val="24"/>
                <w:vertAlign w:val="superscript"/>
                <w:lang w:val="en-US" w:eastAsia="zh-CN"/>
              </w:rPr>
              <w:t>3</w:t>
            </w:r>
            <w:r>
              <w:rPr>
                <w:rFonts w:hint="eastAsia" w:ascii="Times New Roman" w:hAnsi="Times New Roman" w:cs="Times New Roman"/>
                <w:color w:val="auto"/>
                <w:spacing w:val="-4"/>
                <w:sz w:val="24"/>
                <w:szCs w:val="24"/>
                <w:lang w:val="en-US" w:eastAsia="zh-CN"/>
              </w:rPr>
              <w:t>/a（152.46m</w:t>
            </w:r>
            <w:r>
              <w:rPr>
                <w:rFonts w:hint="eastAsia" w:ascii="Times New Roman" w:hAnsi="Times New Roman" w:cs="Times New Roman"/>
                <w:color w:val="auto"/>
                <w:spacing w:val="-4"/>
                <w:sz w:val="24"/>
                <w:szCs w:val="24"/>
                <w:vertAlign w:val="superscript"/>
                <w:lang w:val="en-US" w:eastAsia="zh-CN"/>
              </w:rPr>
              <w:t>3</w:t>
            </w:r>
            <w:r>
              <w:rPr>
                <w:rFonts w:hint="eastAsia" w:ascii="Times New Roman" w:hAnsi="Times New Roman" w:cs="Times New Roman"/>
                <w:color w:val="auto"/>
                <w:spacing w:val="-4"/>
                <w:sz w:val="24"/>
                <w:szCs w:val="24"/>
                <w:lang w:val="en-US" w:eastAsia="zh-CN"/>
              </w:rPr>
              <w:t>/d），产污系数按0.9，则废水量约42811.2m</w:t>
            </w:r>
            <w:r>
              <w:rPr>
                <w:rFonts w:hint="eastAsia" w:ascii="Times New Roman" w:hAnsi="Times New Roman" w:cs="Times New Roman"/>
                <w:color w:val="auto"/>
                <w:spacing w:val="-4"/>
                <w:sz w:val="24"/>
                <w:szCs w:val="24"/>
                <w:vertAlign w:val="superscript"/>
                <w:lang w:val="en-US" w:eastAsia="zh-CN"/>
              </w:rPr>
              <w:t>3</w:t>
            </w:r>
            <w:r>
              <w:rPr>
                <w:rFonts w:hint="eastAsia" w:ascii="Times New Roman" w:hAnsi="Times New Roman" w:cs="Times New Roman"/>
                <w:color w:val="auto"/>
                <w:spacing w:val="-4"/>
                <w:sz w:val="24"/>
                <w:szCs w:val="24"/>
                <w:lang w:val="en-US" w:eastAsia="zh-CN"/>
              </w:rPr>
              <w:t>/a（137.3m</w:t>
            </w:r>
            <w:r>
              <w:rPr>
                <w:rFonts w:hint="eastAsia" w:ascii="Times New Roman" w:hAnsi="Times New Roman" w:cs="Times New Roman"/>
                <w:color w:val="auto"/>
                <w:spacing w:val="-4"/>
                <w:sz w:val="24"/>
                <w:szCs w:val="24"/>
                <w:vertAlign w:val="superscript"/>
                <w:lang w:val="en-US" w:eastAsia="zh-CN"/>
              </w:rPr>
              <w:t>3</w:t>
            </w:r>
            <w:r>
              <w:rPr>
                <w:rFonts w:hint="eastAsia" w:ascii="Times New Roman" w:hAnsi="Times New Roman" w:cs="Times New Roman"/>
                <w:color w:val="auto"/>
                <w:spacing w:val="-4"/>
                <w:sz w:val="24"/>
                <w:szCs w:val="24"/>
                <w:lang w:val="en-US" w:eastAsia="zh-CN"/>
              </w:rPr>
              <w:t>/d），</w:t>
            </w:r>
            <w:r>
              <w:rPr>
                <w:color w:val="auto"/>
                <w:spacing w:val="-1"/>
              </w:rPr>
              <w:t>经沉淀</w:t>
            </w:r>
            <w:r>
              <w:rPr>
                <w:rFonts w:ascii="Times New Roman" w:hAnsi="Times New Roman" w:eastAsia="Times New Roman" w:cs="Times New Roman"/>
                <w:color w:val="auto"/>
                <w:spacing w:val="-1"/>
              </w:rPr>
              <w:t>+</w:t>
            </w:r>
            <w:r>
              <w:rPr>
                <w:rFonts w:hint="eastAsia" w:ascii="Times New Roman" w:hAnsi="Times New Roman" w:cs="Times New Roman"/>
                <w:color w:val="auto"/>
                <w:spacing w:val="-1"/>
                <w:sz w:val="24"/>
                <w:szCs w:val="24"/>
                <w:lang w:val="en-US" w:eastAsia="zh-CN"/>
              </w:rPr>
              <w:t>过滤罐</w:t>
            </w:r>
            <w:r>
              <w:rPr>
                <w:rFonts w:ascii="Times New Roman" w:hAnsi="Times New Roman" w:eastAsia="Times New Roman" w:cs="Times New Roman"/>
                <w:color w:val="auto"/>
                <w:spacing w:val="-1"/>
              </w:rPr>
              <w:t>+</w:t>
            </w:r>
            <w:r>
              <w:rPr>
                <w:color w:val="auto"/>
                <w:spacing w:val="-1"/>
              </w:rPr>
              <w:t>板框压滤处理后回用于</w:t>
            </w:r>
            <w:r>
              <w:rPr>
                <w:rFonts w:hint="eastAsia"/>
                <w:color w:val="auto"/>
                <w:spacing w:val="-1"/>
                <w:lang w:val="en-US" w:eastAsia="zh-CN"/>
              </w:rPr>
              <w:t>生产</w:t>
            </w:r>
            <w:r>
              <w:rPr>
                <w:color w:val="auto"/>
                <w:spacing w:val="-1"/>
              </w:rPr>
              <w:t>，不外排</w:t>
            </w:r>
            <w:r>
              <w:rPr>
                <w:rFonts w:hint="eastAsia"/>
                <w:color w:val="auto"/>
                <w:spacing w:val="-1"/>
                <w:lang w:eastAsia="zh-CN"/>
              </w:rPr>
              <w:t>。</w:t>
            </w:r>
          </w:p>
          <w:p w14:paraId="660801D2">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3" w:firstLine="480" w:firstLineChars="200"/>
              <w:textAlignment w:val="baseline"/>
              <w:rPr>
                <w:color w:val="auto"/>
              </w:rPr>
            </w:pPr>
            <w:r>
              <w:rPr>
                <w:rFonts w:hint="eastAsia" w:ascii="Times New Roman" w:hAnsi="Times New Roman" w:eastAsia="宋体" w:cs="Times New Roman"/>
                <w:color w:val="auto"/>
                <w:lang w:val="en-US" w:eastAsia="zh-CN"/>
              </w:rPr>
              <w:t>2</w:t>
            </w:r>
            <w:r>
              <w:rPr>
                <w:color w:val="auto"/>
              </w:rPr>
              <w:t>）设备清洗废水：本项目设备清洗用水量</w:t>
            </w:r>
            <w:r>
              <w:rPr>
                <w:rFonts w:hint="eastAsia" w:ascii="Times New Roman" w:hAnsi="Times New Roman" w:cs="Times New Roman"/>
                <w:color w:val="auto"/>
                <w:lang w:val="en-US" w:eastAsia="zh-CN"/>
              </w:rPr>
              <w:t>1</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/d</w:t>
            </w:r>
            <w:r>
              <w:rPr>
                <w:color w:val="auto"/>
              </w:rPr>
              <w:t>（</w:t>
            </w:r>
            <w:r>
              <w:rPr>
                <w:rFonts w:hint="eastAsia" w:ascii="Times New Roman" w:hAnsi="Times New Roman" w:cs="Times New Roman"/>
                <w:color w:val="auto"/>
                <w:lang w:val="en-US" w:eastAsia="zh-CN"/>
              </w:rPr>
              <w:t>312</w:t>
            </w:r>
            <w:r>
              <w:rPr>
                <w:rFonts w:ascii="Times New Roman" w:hAnsi="Times New Roman" w:eastAsia="Times New Roman" w:cs="Times New Roman"/>
                <w:color w:val="auto"/>
              </w:rPr>
              <w:t>m</w:t>
            </w:r>
            <w:r>
              <w:rPr>
                <w:rFonts w:ascii="Times New Roman" w:hAnsi="Times New Roman" w:eastAsia="Times New Roman" w:cs="Times New Roman"/>
                <w:color w:val="auto"/>
                <w:spacing w:val="-1"/>
                <w:position w:val="7"/>
                <w:sz w:val="15"/>
                <w:szCs w:val="15"/>
              </w:rPr>
              <w:t>3</w:t>
            </w:r>
            <w:r>
              <w:rPr>
                <w:rFonts w:ascii="Times New Roman" w:hAnsi="Times New Roman" w:eastAsia="Times New Roman" w:cs="Times New Roman"/>
                <w:color w:val="auto"/>
                <w:spacing w:val="-1"/>
              </w:rPr>
              <w:t>/a</w:t>
            </w:r>
            <w:r>
              <w:rPr>
                <w:color w:val="auto"/>
                <w:spacing w:val="6"/>
              </w:rPr>
              <w:t>），</w:t>
            </w:r>
            <w:r>
              <w:rPr>
                <w:color w:val="auto"/>
                <w:spacing w:val="-1"/>
              </w:rPr>
              <w:t>产污系</w:t>
            </w:r>
            <w:r>
              <w:rPr>
                <w:color w:val="auto"/>
              </w:rPr>
              <w:t xml:space="preserve"> 数按</w:t>
            </w:r>
            <w:r>
              <w:rPr>
                <w:color w:val="auto"/>
                <w:spacing w:val="-49"/>
              </w:rPr>
              <w:t xml:space="preserve"> </w:t>
            </w:r>
            <w:r>
              <w:rPr>
                <w:rFonts w:ascii="Times New Roman" w:hAnsi="Times New Roman" w:eastAsia="Times New Roman" w:cs="Times New Roman"/>
                <w:color w:val="auto"/>
              </w:rPr>
              <w:t>0.9</w:t>
            </w:r>
            <w:r>
              <w:rPr>
                <w:rFonts w:ascii="Times New Roman" w:hAnsi="Times New Roman" w:eastAsia="Times New Roman" w:cs="Times New Roman"/>
                <w:color w:val="auto"/>
                <w:spacing w:val="-29"/>
              </w:rPr>
              <w:t xml:space="preserve"> </w:t>
            </w:r>
            <w:r>
              <w:rPr>
                <w:color w:val="auto"/>
              </w:rPr>
              <w:t>，则废水量约</w:t>
            </w:r>
            <w:r>
              <w:rPr>
                <w:rFonts w:hint="eastAsia" w:ascii="Times New Roman" w:hAnsi="Times New Roman" w:cs="Times New Roman"/>
                <w:color w:val="auto"/>
                <w:lang w:val="en-US" w:eastAsia="zh-CN"/>
              </w:rPr>
              <w:t>0.9</w:t>
            </w:r>
            <w:r>
              <w:rPr>
                <w:rFonts w:ascii="Times New Roman" w:hAnsi="Times New Roman" w:eastAsia="Times New Roman" w:cs="Times New Roman"/>
                <w:color w:val="auto"/>
              </w:rPr>
              <w:t>m</w:t>
            </w:r>
            <w:r>
              <w:rPr>
                <w:rFonts w:ascii="Times New Roman" w:hAnsi="Times New Roman" w:eastAsia="Times New Roman" w:cs="Times New Roman"/>
                <w:color w:val="auto"/>
                <w:position w:val="8"/>
                <w:sz w:val="15"/>
                <w:szCs w:val="15"/>
              </w:rPr>
              <w:t>3</w:t>
            </w:r>
            <w:r>
              <w:rPr>
                <w:rFonts w:ascii="Times New Roman" w:hAnsi="Times New Roman" w:eastAsia="Times New Roman" w:cs="Times New Roman"/>
                <w:color w:val="auto"/>
              </w:rPr>
              <w:t>/d</w:t>
            </w:r>
            <w:r>
              <w:rPr>
                <w:color w:val="auto"/>
              </w:rPr>
              <w:t>（</w:t>
            </w:r>
            <w:r>
              <w:rPr>
                <w:rFonts w:hint="eastAsia" w:ascii="Times New Roman" w:hAnsi="Times New Roman" w:cs="Times New Roman"/>
                <w:color w:val="auto"/>
                <w:lang w:val="en-US" w:eastAsia="zh-CN"/>
              </w:rPr>
              <w:t>280.8</w:t>
            </w:r>
            <w:r>
              <w:rPr>
                <w:rFonts w:ascii="Times New Roman" w:hAnsi="Times New Roman" w:eastAsia="Times New Roman" w:cs="Times New Roman"/>
                <w:color w:val="auto"/>
              </w:rPr>
              <w:t>m</w:t>
            </w:r>
            <w:r>
              <w:rPr>
                <w:rFonts w:ascii="Times New Roman" w:hAnsi="Times New Roman" w:eastAsia="Times New Roman" w:cs="Times New Roman"/>
                <w:color w:val="auto"/>
                <w:position w:val="8"/>
                <w:sz w:val="15"/>
                <w:szCs w:val="15"/>
              </w:rPr>
              <w:t>3</w:t>
            </w:r>
            <w:r>
              <w:rPr>
                <w:rFonts w:ascii="Times New Roman" w:hAnsi="Times New Roman" w:eastAsia="Times New Roman" w:cs="Times New Roman"/>
                <w:color w:val="auto"/>
              </w:rPr>
              <w:t>/</w:t>
            </w:r>
            <w:r>
              <w:rPr>
                <w:rFonts w:ascii="Times New Roman" w:hAnsi="Times New Roman" w:eastAsia="Times New Roman" w:cs="Times New Roman"/>
                <w:color w:val="auto"/>
                <w:spacing w:val="-1"/>
              </w:rPr>
              <w:t>a</w:t>
            </w:r>
            <w:r>
              <w:rPr>
                <w:color w:val="auto"/>
                <w:spacing w:val="9"/>
              </w:rPr>
              <w:t>），</w:t>
            </w:r>
            <w:r>
              <w:rPr>
                <w:color w:val="auto"/>
                <w:spacing w:val="-1"/>
              </w:rPr>
              <w:t>经沉淀</w:t>
            </w:r>
            <w:r>
              <w:rPr>
                <w:rFonts w:ascii="Times New Roman" w:hAnsi="Times New Roman" w:eastAsia="Times New Roman" w:cs="Times New Roman"/>
                <w:color w:val="auto"/>
                <w:spacing w:val="-1"/>
              </w:rPr>
              <w:t>+</w:t>
            </w:r>
            <w:r>
              <w:rPr>
                <w:rFonts w:hint="eastAsia" w:ascii="Times New Roman" w:hAnsi="Times New Roman" w:cs="Times New Roman"/>
                <w:color w:val="auto"/>
                <w:spacing w:val="-1"/>
                <w:sz w:val="24"/>
                <w:szCs w:val="24"/>
                <w:lang w:val="en-US" w:eastAsia="zh-CN"/>
              </w:rPr>
              <w:t>过滤罐</w:t>
            </w:r>
            <w:r>
              <w:rPr>
                <w:rFonts w:ascii="Times New Roman" w:hAnsi="Times New Roman" w:eastAsia="Times New Roman" w:cs="Times New Roman"/>
                <w:color w:val="auto"/>
                <w:spacing w:val="-1"/>
              </w:rPr>
              <w:t>+</w:t>
            </w:r>
            <w:r>
              <w:rPr>
                <w:color w:val="auto"/>
                <w:spacing w:val="-1"/>
              </w:rPr>
              <w:t>板框压滤处</w:t>
            </w:r>
            <w:r>
              <w:rPr>
                <w:color w:val="auto"/>
              </w:rPr>
              <w:t xml:space="preserve"> </w:t>
            </w:r>
            <w:r>
              <w:rPr>
                <w:color w:val="auto"/>
                <w:spacing w:val="-1"/>
              </w:rPr>
              <w:t>理后回用于</w:t>
            </w:r>
            <w:r>
              <w:rPr>
                <w:rFonts w:hint="eastAsia"/>
                <w:color w:val="auto"/>
                <w:spacing w:val="-1"/>
                <w:lang w:val="en-US" w:eastAsia="zh-CN"/>
              </w:rPr>
              <w:t>生产</w:t>
            </w:r>
            <w:r>
              <w:rPr>
                <w:color w:val="auto"/>
                <w:spacing w:val="-1"/>
              </w:rPr>
              <w:t>，不外排。</w:t>
            </w:r>
          </w:p>
          <w:p w14:paraId="7F1133C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2" w:firstLine="476" w:firstLineChars="200"/>
              <w:textAlignment w:val="baseline"/>
              <w:rPr>
                <w:color w:val="auto"/>
              </w:rPr>
            </w:pPr>
            <w:r>
              <w:rPr>
                <w:rFonts w:hint="eastAsia" w:ascii="Times New Roman" w:hAnsi="Times New Roman" w:eastAsia="宋体" w:cs="Times New Roman"/>
                <w:color w:val="auto"/>
                <w:spacing w:val="-1"/>
                <w:lang w:val="en-US" w:eastAsia="zh-CN"/>
              </w:rPr>
              <w:t>3</w:t>
            </w:r>
            <w:r>
              <w:rPr>
                <w:color w:val="auto"/>
                <w:spacing w:val="-1"/>
              </w:rPr>
              <w:t>）地面清洗废水：本项目地面清洗用水量</w:t>
            </w:r>
            <w:r>
              <w:rPr>
                <w:rFonts w:hint="eastAsia" w:ascii="Times New Roman" w:hAnsi="Times New Roman" w:eastAsia="宋体" w:cs="Times New Roman"/>
                <w:color w:val="auto"/>
                <w:spacing w:val="-4"/>
                <w:sz w:val="24"/>
                <w:szCs w:val="24"/>
                <w:lang w:val="en-US" w:eastAsia="zh-CN"/>
              </w:rPr>
              <w:t>1</w:t>
            </w:r>
            <w:r>
              <w:rPr>
                <w:rFonts w:hint="default" w:ascii="Times New Roman" w:hAnsi="Times New Roman" w:eastAsia="宋体" w:cs="Times New Roman"/>
                <w:color w:val="auto"/>
                <w:spacing w:val="-4"/>
                <w:sz w:val="24"/>
                <w:szCs w:val="24"/>
              </w:rPr>
              <w:t>m</w:t>
            </w:r>
            <w:r>
              <w:rPr>
                <w:rFonts w:hint="eastAsia" w:ascii="Times New Roman" w:hAnsi="Times New Roman" w:eastAsia="宋体" w:cs="Times New Roman"/>
                <w:color w:val="auto"/>
                <w:spacing w:val="-4"/>
                <w:sz w:val="24"/>
                <w:szCs w:val="24"/>
                <w:vertAlign w:val="superscript"/>
                <w:lang w:val="en-US" w:eastAsia="zh-CN"/>
              </w:rPr>
              <w:t>3</w:t>
            </w:r>
            <w:r>
              <w:rPr>
                <w:rFonts w:hint="default" w:ascii="Times New Roman" w:hAnsi="Times New Roman" w:eastAsia="宋体" w:cs="Times New Roman"/>
                <w:color w:val="auto"/>
                <w:spacing w:val="-4"/>
                <w:sz w:val="24"/>
                <w:szCs w:val="24"/>
              </w:rPr>
              <w:t>/d（</w:t>
            </w:r>
            <w:r>
              <w:rPr>
                <w:rFonts w:hint="eastAsia" w:ascii="Times New Roman" w:hAnsi="Times New Roman" w:eastAsia="宋体" w:cs="Times New Roman"/>
                <w:color w:val="auto"/>
                <w:spacing w:val="-4"/>
                <w:sz w:val="24"/>
                <w:szCs w:val="24"/>
                <w:lang w:val="en-US" w:eastAsia="zh-CN"/>
              </w:rPr>
              <w:t>312</w:t>
            </w:r>
            <w:r>
              <w:rPr>
                <w:rFonts w:hint="default" w:ascii="Times New Roman" w:hAnsi="Times New Roman" w:eastAsia="宋体" w:cs="Times New Roman"/>
                <w:color w:val="auto"/>
                <w:spacing w:val="-4"/>
                <w:sz w:val="24"/>
                <w:szCs w:val="24"/>
              </w:rPr>
              <w:t>m</w:t>
            </w:r>
            <w:r>
              <w:rPr>
                <w:rFonts w:hint="eastAsia" w:ascii="Times New Roman" w:hAnsi="Times New Roman" w:eastAsia="宋体" w:cs="Times New Roman"/>
                <w:color w:val="auto"/>
                <w:spacing w:val="-4"/>
                <w:sz w:val="24"/>
                <w:szCs w:val="24"/>
                <w:vertAlign w:val="superscript"/>
                <w:lang w:val="en-US" w:eastAsia="zh-CN"/>
              </w:rPr>
              <w:t>3</w:t>
            </w:r>
            <w:r>
              <w:rPr>
                <w:rFonts w:hint="default" w:ascii="Times New Roman" w:hAnsi="Times New Roman" w:eastAsia="宋体" w:cs="Times New Roman"/>
                <w:color w:val="auto"/>
                <w:spacing w:val="-4"/>
                <w:sz w:val="24"/>
                <w:szCs w:val="24"/>
              </w:rPr>
              <w:t>/a</w:t>
            </w:r>
            <w:r>
              <w:rPr>
                <w:rFonts w:hint="default" w:ascii="Times New Roman" w:hAnsi="Times New Roman" w:eastAsia="宋体" w:cs="Times New Roman"/>
                <w:color w:val="auto"/>
                <w:spacing w:val="4"/>
                <w:sz w:val="24"/>
                <w:szCs w:val="24"/>
              </w:rPr>
              <w:t>）</w:t>
            </w:r>
            <w:r>
              <w:rPr>
                <w:color w:val="auto"/>
                <w:spacing w:val="2"/>
              </w:rPr>
              <w:t>，</w:t>
            </w:r>
            <w:r>
              <w:rPr>
                <w:color w:val="auto"/>
                <w:spacing w:val="-1"/>
              </w:rPr>
              <w:t>产污系</w:t>
            </w:r>
            <w:r>
              <w:rPr>
                <w:color w:val="auto"/>
              </w:rPr>
              <w:t>数按</w:t>
            </w:r>
            <w:r>
              <w:rPr>
                <w:color w:val="auto"/>
                <w:spacing w:val="-49"/>
              </w:rPr>
              <w:t xml:space="preserve"> </w:t>
            </w:r>
            <w:r>
              <w:rPr>
                <w:rFonts w:ascii="Times New Roman" w:hAnsi="Times New Roman" w:eastAsia="Times New Roman" w:cs="Times New Roman"/>
                <w:color w:val="auto"/>
              </w:rPr>
              <w:t>0.9</w:t>
            </w:r>
            <w:r>
              <w:rPr>
                <w:rFonts w:ascii="Times New Roman" w:hAnsi="Times New Roman" w:eastAsia="Times New Roman" w:cs="Times New Roman"/>
                <w:color w:val="auto"/>
                <w:spacing w:val="-29"/>
              </w:rPr>
              <w:t xml:space="preserve"> </w:t>
            </w:r>
            <w:r>
              <w:rPr>
                <w:color w:val="auto"/>
              </w:rPr>
              <w:t>，则废水量约</w:t>
            </w:r>
            <w:r>
              <w:rPr>
                <w:color w:val="auto"/>
                <w:spacing w:val="-46"/>
              </w:rPr>
              <w:t xml:space="preserve"> </w:t>
            </w:r>
            <w:r>
              <w:rPr>
                <w:color w:val="auto"/>
                <w:spacing w:val="-47"/>
              </w:rPr>
              <w:t xml:space="preserve"> </w:t>
            </w:r>
            <w:r>
              <w:rPr>
                <w:rFonts w:hint="eastAsia" w:ascii="Times New Roman" w:hAnsi="Times New Roman" w:eastAsia="宋体" w:cs="Times New Roman"/>
                <w:color w:val="auto"/>
                <w:lang w:val="en-US" w:eastAsia="zh-CN"/>
              </w:rPr>
              <w:t>0.9</w:t>
            </w:r>
            <w:r>
              <w:rPr>
                <w:rFonts w:ascii="Times New Roman" w:hAnsi="Times New Roman" w:eastAsia="Times New Roman" w:cs="Times New Roman"/>
                <w:color w:val="auto"/>
              </w:rPr>
              <w:t>m</w:t>
            </w:r>
            <w:r>
              <w:rPr>
                <w:rFonts w:ascii="Times New Roman" w:hAnsi="Times New Roman" w:eastAsia="Times New Roman" w:cs="Times New Roman"/>
                <w:color w:val="auto"/>
                <w:position w:val="7"/>
                <w:sz w:val="15"/>
                <w:szCs w:val="15"/>
              </w:rPr>
              <w:t>3</w:t>
            </w:r>
            <w:r>
              <w:rPr>
                <w:rFonts w:ascii="Times New Roman" w:hAnsi="Times New Roman" w:eastAsia="Times New Roman" w:cs="Times New Roman"/>
                <w:color w:val="auto"/>
              </w:rPr>
              <w:t>/d</w:t>
            </w:r>
            <w:r>
              <w:rPr>
                <w:color w:val="auto"/>
              </w:rPr>
              <w:t>（</w:t>
            </w:r>
            <w:r>
              <w:rPr>
                <w:rFonts w:hint="eastAsia" w:ascii="Times New Roman" w:hAnsi="Times New Roman" w:eastAsia="宋体" w:cs="Times New Roman"/>
                <w:color w:val="auto"/>
                <w:lang w:val="en-US" w:eastAsia="zh-CN"/>
              </w:rPr>
              <w:t>280.8</w:t>
            </w:r>
            <w:r>
              <w:rPr>
                <w:rFonts w:ascii="Times New Roman" w:hAnsi="Times New Roman" w:eastAsia="Times New Roman" w:cs="Times New Roman"/>
                <w:color w:val="auto"/>
              </w:rPr>
              <w:t>m</w:t>
            </w:r>
            <w:r>
              <w:rPr>
                <w:rFonts w:ascii="Times New Roman" w:hAnsi="Times New Roman" w:eastAsia="Times New Roman" w:cs="Times New Roman"/>
                <w:color w:val="auto"/>
                <w:position w:val="7"/>
                <w:sz w:val="15"/>
                <w:szCs w:val="15"/>
              </w:rPr>
              <w:t>3</w:t>
            </w:r>
            <w:r>
              <w:rPr>
                <w:rFonts w:ascii="Times New Roman" w:hAnsi="Times New Roman" w:eastAsia="Times New Roman" w:cs="Times New Roman"/>
                <w:color w:val="auto"/>
                <w:spacing w:val="-1"/>
              </w:rPr>
              <w:t>/a</w:t>
            </w:r>
            <w:r>
              <w:rPr>
                <w:color w:val="auto"/>
                <w:spacing w:val="9"/>
              </w:rPr>
              <w:t>），</w:t>
            </w:r>
            <w:r>
              <w:rPr>
                <w:color w:val="auto"/>
                <w:spacing w:val="-1"/>
              </w:rPr>
              <w:t>经沉淀</w:t>
            </w:r>
            <w:r>
              <w:rPr>
                <w:rFonts w:ascii="Times New Roman" w:hAnsi="Times New Roman" w:eastAsia="Times New Roman" w:cs="Times New Roman"/>
                <w:color w:val="auto"/>
                <w:spacing w:val="-1"/>
              </w:rPr>
              <w:t>+</w:t>
            </w:r>
            <w:r>
              <w:rPr>
                <w:rFonts w:hint="eastAsia" w:ascii="Times New Roman" w:hAnsi="Times New Roman" w:cs="Times New Roman"/>
                <w:color w:val="auto"/>
                <w:spacing w:val="-1"/>
                <w:sz w:val="24"/>
                <w:szCs w:val="24"/>
                <w:lang w:val="en-US" w:eastAsia="zh-CN"/>
              </w:rPr>
              <w:t>过滤罐</w:t>
            </w:r>
            <w:r>
              <w:rPr>
                <w:rFonts w:ascii="Times New Roman" w:hAnsi="Times New Roman" w:eastAsia="Times New Roman" w:cs="Times New Roman"/>
                <w:color w:val="auto"/>
                <w:spacing w:val="-1"/>
              </w:rPr>
              <w:t>+</w:t>
            </w:r>
            <w:r>
              <w:rPr>
                <w:color w:val="auto"/>
                <w:spacing w:val="-1"/>
              </w:rPr>
              <w:t>板框压滤处理后回用于</w:t>
            </w:r>
            <w:r>
              <w:rPr>
                <w:rFonts w:hint="eastAsia"/>
                <w:color w:val="auto"/>
                <w:spacing w:val="-1"/>
                <w:lang w:val="en-US" w:eastAsia="zh-CN"/>
              </w:rPr>
              <w:t>生产</w:t>
            </w:r>
            <w:r>
              <w:rPr>
                <w:color w:val="auto"/>
                <w:spacing w:val="-1"/>
              </w:rPr>
              <w:t>，不外排。</w:t>
            </w:r>
          </w:p>
          <w:p w14:paraId="7A35BBC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3" w:firstLine="488" w:firstLineChars="200"/>
              <w:textAlignment w:val="baseline"/>
              <w:rPr>
                <w:color w:val="auto"/>
              </w:rPr>
            </w:pPr>
            <w:r>
              <w:rPr>
                <w:rFonts w:hint="eastAsia" w:ascii="Times New Roman" w:hAnsi="Times New Roman" w:eastAsia="宋体" w:cs="Times New Roman"/>
                <w:color w:val="auto"/>
                <w:spacing w:val="2"/>
                <w:lang w:val="en-US" w:eastAsia="zh-CN"/>
              </w:rPr>
              <w:t>4</w:t>
            </w:r>
            <w:r>
              <w:rPr>
                <w:color w:val="auto"/>
                <w:spacing w:val="2"/>
              </w:rPr>
              <w:t>）车辆冲洗废水：本项目车辆冲洗用水约</w:t>
            </w:r>
            <w:r>
              <w:rPr>
                <w:rFonts w:hint="eastAsia" w:ascii="Times New Roman" w:hAnsi="Times New Roman" w:cs="Times New Roman"/>
                <w:color w:val="auto"/>
                <w:spacing w:val="-1"/>
                <w:sz w:val="24"/>
                <w:szCs w:val="24"/>
                <w:lang w:val="en-US" w:eastAsia="zh-CN"/>
              </w:rPr>
              <w:t>28</w:t>
            </w:r>
            <w:r>
              <w:rPr>
                <w:rFonts w:hint="eastAsia" w:ascii="Times New Roman" w:hAnsi="Times New Roman" w:eastAsia="宋体" w:cs="Times New Roman"/>
                <w:color w:val="auto"/>
                <w:spacing w:val="-1"/>
                <w:sz w:val="24"/>
                <w:szCs w:val="24"/>
                <w:lang w:val="en-US" w:eastAsia="zh-CN"/>
              </w:rPr>
              <w:t>7</w:t>
            </w:r>
            <w:r>
              <w:rPr>
                <w:rFonts w:hint="eastAsia" w:ascii="Times New Roman" w:hAnsi="Times New Roman" w:cs="Times New Roman"/>
                <w:color w:val="auto"/>
                <w:spacing w:val="-1"/>
                <w:sz w:val="24"/>
                <w:szCs w:val="24"/>
                <w:lang w:val="en-US" w:eastAsia="zh-CN"/>
              </w:rPr>
              <w:t>5</w:t>
            </w:r>
            <w:r>
              <w:rPr>
                <w:rFonts w:hint="eastAsia" w:ascii="Times New Roman" w:hAnsi="Times New Roman" w:eastAsia="宋体" w:cs="Times New Roman"/>
                <w:color w:val="auto"/>
                <w:spacing w:val="-1"/>
                <w:sz w:val="24"/>
                <w:szCs w:val="24"/>
                <w:lang w:val="en-US" w:eastAsia="zh-CN"/>
              </w:rPr>
              <w:t>.</w:t>
            </w:r>
            <w:r>
              <w:rPr>
                <w:rFonts w:hint="eastAsia" w:ascii="Times New Roman" w:hAnsi="Times New Roman" w:cs="Times New Roman"/>
                <w:color w:val="auto"/>
                <w:spacing w:val="-1"/>
                <w:sz w:val="24"/>
                <w:szCs w:val="24"/>
                <w:lang w:val="en-US" w:eastAsia="zh-CN"/>
              </w:rPr>
              <w:t>5</w:t>
            </w:r>
            <w:r>
              <w:rPr>
                <w:rFonts w:hint="eastAsia" w:ascii="Times New Roman" w:hAnsi="Times New Roman" w:eastAsia="宋体" w:cs="Times New Roman"/>
                <w:color w:val="auto"/>
                <w:spacing w:val="-1"/>
                <w:sz w:val="24"/>
                <w:szCs w:val="24"/>
                <w:lang w:val="en-US" w:eastAsia="zh-CN"/>
              </w:rPr>
              <w:t>m</w:t>
            </w:r>
            <w:r>
              <w:rPr>
                <w:rFonts w:hint="eastAsia" w:ascii="Times New Roman" w:hAnsi="Times New Roman" w:eastAsia="宋体" w:cs="Times New Roman"/>
                <w:color w:val="auto"/>
                <w:spacing w:val="-1"/>
                <w:sz w:val="24"/>
                <w:szCs w:val="24"/>
                <w:vertAlign w:val="superscript"/>
                <w:lang w:val="en-US" w:eastAsia="zh-CN"/>
              </w:rPr>
              <w:t>3</w:t>
            </w:r>
            <w:r>
              <w:rPr>
                <w:rFonts w:hint="eastAsia" w:ascii="Times New Roman" w:hAnsi="Times New Roman" w:eastAsia="宋体" w:cs="Times New Roman"/>
                <w:color w:val="auto"/>
                <w:spacing w:val="-1"/>
                <w:sz w:val="24"/>
                <w:szCs w:val="24"/>
                <w:lang w:val="en-US" w:eastAsia="zh-CN"/>
              </w:rPr>
              <w:t>/a、</w:t>
            </w:r>
            <w:r>
              <w:rPr>
                <w:rFonts w:hint="eastAsia" w:ascii="Times New Roman" w:hAnsi="Times New Roman" w:cs="Times New Roman"/>
                <w:color w:val="auto"/>
                <w:spacing w:val="-1"/>
                <w:sz w:val="24"/>
                <w:szCs w:val="24"/>
                <w:lang w:val="en-US" w:eastAsia="zh-CN"/>
              </w:rPr>
              <w:t>9.22</w:t>
            </w:r>
            <w:r>
              <w:rPr>
                <w:rFonts w:hint="eastAsia" w:ascii="Times New Roman" w:hAnsi="Times New Roman" w:eastAsia="宋体" w:cs="Times New Roman"/>
                <w:color w:val="auto"/>
                <w:spacing w:val="-1"/>
                <w:sz w:val="24"/>
                <w:szCs w:val="24"/>
                <w:lang w:val="en-US" w:eastAsia="zh-CN"/>
              </w:rPr>
              <w:t>m</w:t>
            </w:r>
            <w:r>
              <w:rPr>
                <w:rFonts w:hint="eastAsia" w:ascii="Times New Roman" w:hAnsi="Times New Roman" w:eastAsia="宋体" w:cs="Times New Roman"/>
                <w:color w:val="auto"/>
                <w:spacing w:val="-1"/>
                <w:sz w:val="24"/>
                <w:szCs w:val="24"/>
                <w:vertAlign w:val="superscript"/>
                <w:lang w:val="en-US" w:eastAsia="zh-CN"/>
              </w:rPr>
              <w:t>3</w:t>
            </w:r>
            <w:r>
              <w:rPr>
                <w:rFonts w:hint="eastAsia" w:ascii="Times New Roman" w:hAnsi="Times New Roman" w:eastAsia="宋体" w:cs="Times New Roman"/>
                <w:color w:val="auto"/>
                <w:spacing w:val="-1"/>
                <w:sz w:val="24"/>
                <w:szCs w:val="24"/>
                <w:lang w:val="en-US" w:eastAsia="zh-CN"/>
              </w:rPr>
              <w:t>/d</w:t>
            </w:r>
            <w:r>
              <w:rPr>
                <w:color w:val="auto"/>
                <w:spacing w:val="3"/>
              </w:rPr>
              <w:t>，</w:t>
            </w:r>
            <w:r>
              <w:rPr>
                <w:color w:val="auto"/>
              </w:rPr>
              <w:t xml:space="preserve"> </w:t>
            </w:r>
            <w:r>
              <w:rPr>
                <w:color w:val="auto"/>
                <w:spacing w:val="-2"/>
              </w:rPr>
              <w:t>产污系数按</w:t>
            </w:r>
            <w:r>
              <w:rPr>
                <w:color w:val="auto"/>
                <w:spacing w:val="-50"/>
              </w:rPr>
              <w:t xml:space="preserve"> </w:t>
            </w:r>
            <w:r>
              <w:rPr>
                <w:rFonts w:ascii="Times New Roman" w:hAnsi="Times New Roman" w:eastAsia="Times New Roman" w:cs="Times New Roman"/>
                <w:color w:val="auto"/>
                <w:spacing w:val="-2"/>
              </w:rPr>
              <w:t>0.9</w:t>
            </w:r>
            <w:r>
              <w:rPr>
                <w:color w:val="auto"/>
                <w:spacing w:val="-2"/>
              </w:rPr>
              <w:t>，则废水量约</w:t>
            </w:r>
            <w:r>
              <w:rPr>
                <w:rFonts w:hint="eastAsia" w:ascii="Times New Roman" w:hAnsi="Times New Roman" w:cs="Times New Roman"/>
                <w:color w:val="auto"/>
                <w:spacing w:val="-2"/>
                <w:lang w:val="en-US" w:eastAsia="zh-CN"/>
              </w:rPr>
              <w:t>2587.95</w:t>
            </w:r>
            <w:r>
              <w:rPr>
                <w:rFonts w:ascii="Times New Roman" w:hAnsi="Times New Roman" w:eastAsia="Times New Roman" w:cs="Times New Roman"/>
                <w:color w:val="auto"/>
                <w:spacing w:val="-2"/>
              </w:rPr>
              <w:t>m</w:t>
            </w:r>
            <w:r>
              <w:rPr>
                <w:rFonts w:ascii="Times New Roman" w:hAnsi="Times New Roman" w:eastAsia="Times New Roman" w:cs="Times New Roman"/>
                <w:color w:val="auto"/>
                <w:spacing w:val="-2"/>
                <w:position w:val="8"/>
                <w:sz w:val="15"/>
                <w:szCs w:val="15"/>
              </w:rPr>
              <w:t>3</w:t>
            </w:r>
            <w:r>
              <w:rPr>
                <w:rFonts w:ascii="Times New Roman" w:hAnsi="Times New Roman" w:eastAsia="Times New Roman" w:cs="Times New Roman"/>
                <w:color w:val="auto"/>
                <w:spacing w:val="-2"/>
              </w:rPr>
              <w:t>/a</w:t>
            </w:r>
            <w:r>
              <w:rPr>
                <w:color w:val="auto"/>
                <w:spacing w:val="-2"/>
              </w:rPr>
              <w:t>（</w:t>
            </w:r>
            <w:r>
              <w:rPr>
                <w:rFonts w:hint="eastAsia" w:ascii="Times New Roman" w:hAnsi="Times New Roman" w:cs="Times New Roman"/>
                <w:color w:val="auto"/>
                <w:spacing w:val="-2"/>
                <w:lang w:val="en-US" w:eastAsia="zh-CN"/>
              </w:rPr>
              <w:t>8.29</w:t>
            </w:r>
            <w:r>
              <w:rPr>
                <w:rFonts w:ascii="Times New Roman" w:hAnsi="Times New Roman" w:eastAsia="Times New Roman" w:cs="Times New Roman"/>
                <w:color w:val="auto"/>
                <w:spacing w:val="-2"/>
              </w:rPr>
              <w:t>m</w:t>
            </w:r>
            <w:r>
              <w:rPr>
                <w:rFonts w:ascii="Times New Roman" w:hAnsi="Times New Roman" w:eastAsia="Times New Roman" w:cs="Times New Roman"/>
                <w:color w:val="auto"/>
                <w:spacing w:val="-3"/>
                <w:position w:val="8"/>
                <w:sz w:val="15"/>
                <w:szCs w:val="15"/>
              </w:rPr>
              <w:t>3</w:t>
            </w:r>
            <w:r>
              <w:rPr>
                <w:rFonts w:ascii="Times New Roman" w:hAnsi="Times New Roman" w:eastAsia="Times New Roman" w:cs="Times New Roman"/>
                <w:color w:val="auto"/>
                <w:spacing w:val="-3"/>
              </w:rPr>
              <w:t>/d</w:t>
            </w:r>
            <w:r>
              <w:rPr>
                <w:color w:val="auto"/>
                <w:spacing w:val="-24"/>
              </w:rPr>
              <w:t>），</w:t>
            </w:r>
            <w:r>
              <w:rPr>
                <w:color w:val="auto"/>
                <w:spacing w:val="-2"/>
              </w:rPr>
              <w:t>经沉淀</w:t>
            </w:r>
            <w:r>
              <w:rPr>
                <w:rFonts w:ascii="Times New Roman" w:hAnsi="Times New Roman" w:eastAsia="Times New Roman" w:cs="Times New Roman"/>
                <w:color w:val="auto"/>
                <w:spacing w:val="-2"/>
              </w:rPr>
              <w:t>+</w:t>
            </w:r>
            <w:r>
              <w:rPr>
                <w:rFonts w:hint="eastAsia" w:ascii="Times New Roman" w:hAnsi="Times New Roman" w:cs="Times New Roman"/>
                <w:color w:val="auto"/>
                <w:spacing w:val="-1"/>
                <w:sz w:val="24"/>
                <w:szCs w:val="24"/>
                <w:lang w:val="en-US" w:eastAsia="zh-CN"/>
              </w:rPr>
              <w:t>过滤罐</w:t>
            </w:r>
            <w:r>
              <w:rPr>
                <w:rFonts w:ascii="Times New Roman" w:hAnsi="Times New Roman" w:eastAsia="Times New Roman" w:cs="Times New Roman"/>
                <w:color w:val="auto"/>
                <w:spacing w:val="-3"/>
              </w:rPr>
              <w:t>+</w:t>
            </w:r>
            <w:r>
              <w:rPr>
                <w:color w:val="auto"/>
                <w:spacing w:val="-3"/>
              </w:rPr>
              <w:t>板框</w:t>
            </w:r>
            <w:r>
              <w:rPr>
                <w:color w:val="auto"/>
                <w:spacing w:val="-1"/>
              </w:rPr>
              <w:t>压滤处理后回用于</w:t>
            </w:r>
            <w:r>
              <w:rPr>
                <w:rFonts w:hint="eastAsia"/>
                <w:color w:val="auto"/>
                <w:spacing w:val="-1"/>
                <w:lang w:val="en-US" w:eastAsia="zh-CN"/>
              </w:rPr>
              <w:t>生产</w:t>
            </w:r>
            <w:r>
              <w:rPr>
                <w:color w:val="auto"/>
                <w:spacing w:val="-1"/>
              </w:rPr>
              <w:t>，不外排。</w:t>
            </w:r>
          </w:p>
          <w:p w14:paraId="41637128">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75" w:firstLine="460" w:firstLineChars="200"/>
              <w:textAlignment w:val="baseline"/>
              <w:rPr>
                <w:color w:val="auto"/>
              </w:rPr>
            </w:pPr>
            <w:r>
              <w:rPr>
                <w:rFonts w:hint="default" w:ascii="Times New Roman" w:hAnsi="Times New Roman" w:cs="Times New Roman"/>
                <w:color w:val="auto"/>
                <w:spacing w:val="-5"/>
                <w:lang w:val="en-US" w:eastAsia="zh-CN"/>
              </w:rPr>
              <w:t>5</w:t>
            </w:r>
            <w:r>
              <w:rPr>
                <w:rFonts w:hint="default" w:ascii="Times New Roman" w:hAnsi="Times New Roman" w:cs="Times New Roman"/>
                <w:color w:val="auto"/>
                <w:spacing w:val="-5"/>
              </w:rPr>
              <w:t>）</w:t>
            </w:r>
            <w:r>
              <w:rPr>
                <w:color w:val="auto"/>
                <w:spacing w:val="-5"/>
              </w:rPr>
              <w:t>初期雨水：项目范围内初期雨水产生量约为</w:t>
            </w:r>
            <w:r>
              <w:rPr>
                <w:rFonts w:hint="eastAsia" w:ascii="Times New Roman" w:hAnsi="Times New Roman" w:eastAsia="宋体" w:cs="Times New Roman"/>
                <w:color w:val="auto"/>
                <w:spacing w:val="1"/>
                <w:lang w:val="en-US" w:eastAsia="zh-CN"/>
              </w:rPr>
              <w:t>741</w:t>
            </w:r>
            <w:r>
              <w:rPr>
                <w:rFonts w:ascii="Times New Roman" w:hAnsi="Times New Roman" w:eastAsia="Times New Roman" w:cs="Times New Roman"/>
                <w:color w:val="auto"/>
                <w:spacing w:val="1"/>
              </w:rPr>
              <w:t>m</w:t>
            </w:r>
            <w:r>
              <w:rPr>
                <w:rFonts w:ascii="Times New Roman" w:hAnsi="Times New Roman" w:eastAsia="Times New Roman" w:cs="Times New Roman"/>
                <w:color w:val="auto"/>
                <w:spacing w:val="1"/>
                <w:position w:val="7"/>
                <w:sz w:val="15"/>
                <w:szCs w:val="15"/>
              </w:rPr>
              <w:t>3</w:t>
            </w:r>
            <w:r>
              <w:rPr>
                <w:rFonts w:ascii="Times New Roman" w:hAnsi="Times New Roman" w:eastAsia="Times New Roman" w:cs="Times New Roman"/>
                <w:color w:val="auto"/>
                <w:spacing w:val="1"/>
              </w:rPr>
              <w:t>/a</w:t>
            </w:r>
            <w:r>
              <w:rPr>
                <w:color w:val="auto"/>
                <w:spacing w:val="1"/>
              </w:rPr>
              <w:t>（</w:t>
            </w:r>
            <w:r>
              <w:rPr>
                <w:rFonts w:hint="eastAsia" w:ascii="Times New Roman" w:hAnsi="Times New Roman" w:eastAsia="宋体" w:cs="Times New Roman"/>
                <w:color w:val="auto"/>
                <w:spacing w:val="1"/>
                <w:lang w:val="en-US" w:eastAsia="zh-CN"/>
              </w:rPr>
              <w:t>2.38</w:t>
            </w:r>
            <w:r>
              <w:rPr>
                <w:rFonts w:ascii="Times New Roman" w:hAnsi="Times New Roman" w:eastAsia="Times New Roman" w:cs="Times New Roman"/>
                <w:color w:val="auto"/>
                <w:spacing w:val="1"/>
              </w:rPr>
              <w:t>m</w:t>
            </w:r>
            <w:r>
              <w:rPr>
                <w:rFonts w:ascii="Times New Roman" w:hAnsi="Times New Roman" w:eastAsia="Times New Roman" w:cs="Times New Roman"/>
                <w:color w:val="auto"/>
                <w:spacing w:val="1"/>
                <w:position w:val="7"/>
                <w:sz w:val="15"/>
                <w:szCs w:val="15"/>
              </w:rPr>
              <w:t>3</w:t>
            </w:r>
            <w:r>
              <w:rPr>
                <w:rFonts w:ascii="Times New Roman" w:hAnsi="Times New Roman" w:eastAsia="Times New Roman" w:cs="Times New Roman"/>
                <w:color w:val="auto"/>
                <w:spacing w:val="1"/>
              </w:rPr>
              <w:t>/d</w:t>
            </w:r>
            <w:r>
              <w:rPr>
                <w:color w:val="auto"/>
                <w:spacing w:val="1"/>
              </w:rPr>
              <w:t>）</w:t>
            </w:r>
            <w:r>
              <w:rPr>
                <w:color w:val="auto"/>
                <w:spacing w:val="-5"/>
              </w:rPr>
              <w:t>。</w:t>
            </w:r>
            <w:r>
              <w:rPr>
                <w:color w:val="auto"/>
                <w:spacing w:val="1"/>
              </w:rPr>
              <w:t>产生的初期雨水收集经沉淀</w:t>
            </w:r>
            <w:r>
              <w:rPr>
                <w:rFonts w:ascii="Times New Roman" w:hAnsi="Times New Roman" w:eastAsia="Times New Roman" w:cs="Times New Roman"/>
                <w:color w:val="auto"/>
                <w:spacing w:val="1"/>
              </w:rPr>
              <w:t>+</w:t>
            </w:r>
            <w:r>
              <w:rPr>
                <w:rFonts w:hint="eastAsia" w:ascii="Times New Roman" w:hAnsi="Times New Roman" w:cs="Times New Roman"/>
                <w:color w:val="auto"/>
                <w:spacing w:val="-1"/>
                <w:sz w:val="24"/>
                <w:szCs w:val="24"/>
                <w:lang w:val="en-US" w:eastAsia="zh-CN"/>
              </w:rPr>
              <w:t>过滤罐</w:t>
            </w:r>
            <w:r>
              <w:rPr>
                <w:rFonts w:ascii="Times New Roman" w:hAnsi="Times New Roman" w:eastAsia="Times New Roman" w:cs="Times New Roman"/>
                <w:color w:val="auto"/>
                <w:spacing w:val="1"/>
              </w:rPr>
              <w:t>+</w:t>
            </w:r>
            <w:r>
              <w:rPr>
                <w:color w:val="auto"/>
                <w:spacing w:val="1"/>
              </w:rPr>
              <w:t>板框压滤后用于</w:t>
            </w:r>
            <w:r>
              <w:rPr>
                <w:rFonts w:hint="eastAsia"/>
                <w:color w:val="auto"/>
                <w:spacing w:val="-1"/>
                <w:lang w:val="en-US" w:eastAsia="zh-CN"/>
              </w:rPr>
              <w:t>生产</w:t>
            </w:r>
            <w:r>
              <w:rPr>
                <w:color w:val="auto"/>
                <w:spacing w:val="1"/>
              </w:rPr>
              <w:t>，</w:t>
            </w:r>
            <w:r>
              <w:rPr>
                <w:color w:val="auto"/>
                <w:spacing w:val="-3"/>
              </w:rPr>
              <w:t>不外排。</w:t>
            </w:r>
          </w:p>
          <w:p w14:paraId="44C38F51">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47"/>
              <w:textAlignment w:val="baseline"/>
              <w:rPr>
                <w:rFonts w:hint="eastAsia" w:ascii="Times New Roman" w:hAnsi="Times New Roman" w:cs="Times New Roman"/>
                <w:color w:val="auto"/>
                <w:spacing w:val="-1"/>
                <w:lang w:val="en-US" w:eastAsia="zh-CN"/>
              </w:rPr>
            </w:pPr>
            <w:r>
              <w:rPr>
                <w:rFonts w:hint="eastAsia" w:ascii="Times New Roman" w:hAnsi="Times New Roman" w:cs="Times New Roman"/>
                <w:color w:val="auto"/>
                <w:spacing w:val="-1"/>
                <w:lang w:val="en-US" w:eastAsia="zh-CN"/>
              </w:rPr>
              <w:t xml:space="preserve">        综上，本项目生产废水总产生量为</w:t>
            </w:r>
            <w:r>
              <w:rPr>
                <w:rFonts w:hint="eastAsia" w:ascii="Times New Roman" w:hAnsi="Times New Roman" w:cs="Times New Roman"/>
                <w:color w:val="auto"/>
                <w:spacing w:val="-7"/>
                <w:lang w:val="en-US" w:eastAsia="zh-CN"/>
              </w:rPr>
              <w:t>149.77</w:t>
            </w:r>
            <w:r>
              <w:rPr>
                <w:rFonts w:ascii="Times New Roman" w:hAnsi="Times New Roman" w:eastAsia="Times New Roman" w:cs="Times New Roman"/>
                <w:color w:val="auto"/>
                <w:spacing w:val="-7"/>
              </w:rPr>
              <w:t>m</w:t>
            </w:r>
            <w:r>
              <w:rPr>
                <w:rFonts w:ascii="Times New Roman" w:hAnsi="Times New Roman" w:eastAsia="Times New Roman" w:cs="Times New Roman"/>
                <w:color w:val="auto"/>
                <w:spacing w:val="-7"/>
                <w:position w:val="8"/>
                <w:sz w:val="15"/>
                <w:szCs w:val="15"/>
              </w:rPr>
              <w:t>3</w:t>
            </w:r>
            <w:r>
              <w:rPr>
                <w:rFonts w:ascii="Times New Roman" w:hAnsi="Times New Roman" w:eastAsia="Times New Roman" w:cs="Times New Roman"/>
                <w:color w:val="auto"/>
                <w:spacing w:val="-7"/>
              </w:rPr>
              <w:t>/d</w:t>
            </w:r>
            <w:r>
              <w:rPr>
                <w:rFonts w:hint="eastAsia" w:ascii="Times New Roman" w:hAnsi="Times New Roman" w:eastAsia="宋体" w:cs="Times New Roman"/>
                <w:color w:val="auto"/>
                <w:spacing w:val="-7"/>
                <w:lang w:eastAsia="zh-CN"/>
              </w:rPr>
              <w:t>、</w:t>
            </w:r>
            <w:r>
              <w:rPr>
                <w:rFonts w:hint="eastAsia" w:ascii="Times New Roman" w:hAnsi="Times New Roman" w:cs="Times New Roman"/>
                <w:color w:val="auto"/>
                <w:spacing w:val="-7"/>
                <w:lang w:val="en-US" w:eastAsia="zh-CN"/>
              </w:rPr>
              <w:t>46701.75</w:t>
            </w:r>
            <w:r>
              <w:rPr>
                <w:rFonts w:hint="eastAsia" w:ascii="Times New Roman" w:hAnsi="Times New Roman" w:eastAsia="宋体" w:cs="Times New Roman"/>
                <w:color w:val="auto"/>
                <w:spacing w:val="-7"/>
                <w:lang w:val="en-US" w:eastAsia="zh-CN"/>
              </w:rPr>
              <w:t>m</w:t>
            </w:r>
            <w:r>
              <w:rPr>
                <w:rFonts w:hint="eastAsia" w:ascii="Times New Roman" w:hAnsi="Times New Roman" w:eastAsia="宋体" w:cs="Times New Roman"/>
                <w:color w:val="auto"/>
                <w:spacing w:val="-7"/>
                <w:vertAlign w:val="superscript"/>
                <w:lang w:val="en-US" w:eastAsia="zh-CN"/>
              </w:rPr>
              <w:t>3</w:t>
            </w:r>
            <w:r>
              <w:rPr>
                <w:rFonts w:hint="eastAsia" w:ascii="Times New Roman" w:hAnsi="Times New Roman" w:eastAsia="宋体" w:cs="Times New Roman"/>
                <w:color w:val="auto"/>
                <w:spacing w:val="-7"/>
                <w:lang w:val="en-US" w:eastAsia="zh-CN"/>
              </w:rPr>
              <w:t>/a，废水主要污染物为</w:t>
            </w:r>
            <w:r>
              <w:rPr>
                <w:rFonts w:hint="eastAsia" w:ascii="Times New Roman" w:hAnsi="Times New Roman" w:cs="Times New Roman"/>
                <w:color w:val="auto"/>
                <w:spacing w:val="-7"/>
                <w:lang w:val="en-US" w:eastAsia="zh-CN"/>
              </w:rPr>
              <w:t>pH、</w:t>
            </w:r>
            <w:r>
              <w:rPr>
                <w:rFonts w:hint="eastAsia" w:ascii="Times New Roman" w:hAnsi="Times New Roman" w:cs="Times New Roman"/>
                <w:color w:val="auto"/>
                <w:spacing w:val="-1"/>
                <w:lang w:val="en-US" w:eastAsia="zh-CN"/>
              </w:rPr>
              <w:t>SS，统一收集后经沉淀+过滤罐+板框压滤后用于生产，不外排。</w:t>
            </w:r>
          </w:p>
          <w:p w14:paraId="561BE52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47"/>
              <w:jc w:val="center"/>
              <w:textAlignment w:val="baseline"/>
              <w:rPr>
                <w:rFonts w:hint="eastAsia" w:ascii="Times New Roman" w:hAnsi="Times New Roman" w:cs="Times New Roman"/>
                <w:b/>
                <w:bCs/>
                <w:color w:val="auto"/>
                <w:spacing w:val="-1"/>
                <w:lang w:val="en-US" w:eastAsia="zh-CN"/>
              </w:rPr>
            </w:pPr>
            <w:r>
              <w:rPr>
                <w:rFonts w:hint="eastAsia" w:ascii="Times New Roman" w:hAnsi="Times New Roman" w:cs="Times New Roman"/>
                <w:b/>
                <w:bCs/>
                <w:color w:val="auto"/>
                <w:spacing w:val="-1"/>
                <w:lang w:val="en-US" w:eastAsia="zh-CN"/>
              </w:rPr>
              <w:t>表4-2 项目生产废水污染物产生情况表</w:t>
            </w:r>
          </w:p>
          <w:tbl>
            <w:tblPr>
              <w:tblStyle w:val="18"/>
              <w:tblW w:w="47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52"/>
              <w:gridCol w:w="1231"/>
              <w:gridCol w:w="1149"/>
              <w:gridCol w:w="2093"/>
              <w:gridCol w:w="986"/>
              <w:gridCol w:w="987"/>
            </w:tblGrid>
            <w:tr w14:paraId="38C6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656" w:type="pct"/>
                  <w:gridSpan w:val="2"/>
                  <w:noWrap w:val="0"/>
                  <w:vAlign w:val="center"/>
                </w:tcPr>
                <w:p w14:paraId="0B55B686">
                  <w:pPr>
                    <w:pStyle w:val="2"/>
                    <w:adjustRightInd w:val="0"/>
                    <w:snapToGrid w:val="0"/>
                    <w:jc w:val="center"/>
                    <w:outlineLvl w:val="2"/>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废水</w:t>
                  </w:r>
                </w:p>
              </w:tc>
              <w:tc>
                <w:tcPr>
                  <w:tcW w:w="2078" w:type="pct"/>
                  <w:gridSpan w:val="2"/>
                  <w:noWrap w:val="0"/>
                  <w:vAlign w:val="center"/>
                </w:tcPr>
                <w:p w14:paraId="28DD13AC">
                  <w:pPr>
                    <w:pStyle w:val="2"/>
                    <w:adjustRightInd w:val="0"/>
                    <w:snapToGrid w:val="0"/>
                    <w:jc w:val="center"/>
                    <w:outlineLvl w:val="2"/>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项目</w:t>
                  </w:r>
                </w:p>
              </w:tc>
              <w:tc>
                <w:tcPr>
                  <w:tcW w:w="632" w:type="pct"/>
                  <w:noWrap w:val="0"/>
                  <w:vAlign w:val="center"/>
                </w:tcPr>
                <w:p w14:paraId="4896AABC">
                  <w:pPr>
                    <w:pStyle w:val="2"/>
                    <w:adjustRightInd w:val="0"/>
                    <w:snapToGrid w:val="0"/>
                    <w:jc w:val="center"/>
                    <w:outlineLvl w:val="2"/>
                    <w:rPr>
                      <w:rFonts w:hint="default" w:ascii="Times New Roman" w:hAnsi="Times New Roman" w:eastAsia="宋体" w:cs="Times New Roman"/>
                      <w:b/>
                      <w:bCs/>
                      <w:color w:val="auto"/>
                      <w:sz w:val="21"/>
                      <w:szCs w:val="21"/>
                      <w:lang w:val="en-US" w:eastAsia="zh-CN"/>
                    </w:rPr>
                  </w:pPr>
                  <w:r>
                    <w:rPr>
                      <w:rFonts w:hint="eastAsia" w:eastAsia="宋体" w:cs="Times New Roman"/>
                      <w:b/>
                      <w:bCs/>
                      <w:color w:val="auto"/>
                      <w:sz w:val="21"/>
                      <w:szCs w:val="21"/>
                      <w:lang w:val="en-US" w:eastAsia="zh-CN"/>
                    </w:rPr>
                    <w:t>pH</w:t>
                  </w:r>
                </w:p>
              </w:tc>
              <w:tc>
                <w:tcPr>
                  <w:tcW w:w="632" w:type="pct"/>
                  <w:noWrap w:val="0"/>
                  <w:vAlign w:val="center"/>
                </w:tcPr>
                <w:p w14:paraId="13E9609A">
                  <w:pPr>
                    <w:pStyle w:val="2"/>
                    <w:adjustRightInd w:val="0"/>
                    <w:snapToGrid w:val="0"/>
                    <w:jc w:val="center"/>
                    <w:outlineLvl w:val="2"/>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SS</w:t>
                  </w:r>
                </w:p>
              </w:tc>
            </w:tr>
            <w:tr w14:paraId="669E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866" w:type="pct"/>
                  <w:vMerge w:val="restart"/>
                  <w:noWrap w:val="0"/>
                  <w:vAlign w:val="center"/>
                </w:tcPr>
                <w:p w14:paraId="0B101C73">
                  <w:pPr>
                    <w:pStyle w:val="2"/>
                    <w:adjustRightInd w:val="0"/>
                    <w:snapToGrid w:val="0"/>
                    <w:jc w:val="center"/>
                    <w:outlineLvl w:val="2"/>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洗砂废水</w:t>
                  </w:r>
                </w:p>
              </w:tc>
              <w:tc>
                <w:tcPr>
                  <w:tcW w:w="789" w:type="pct"/>
                  <w:vMerge w:val="restart"/>
                  <w:noWrap w:val="0"/>
                  <w:vAlign w:val="center"/>
                </w:tcPr>
                <w:p w14:paraId="7FFFEF2C">
                  <w:pPr>
                    <w:pStyle w:val="2"/>
                    <w:adjustRightInd w:val="0"/>
                    <w:snapToGrid w:val="0"/>
                    <w:jc w:val="center"/>
                    <w:outlineLvl w:val="2"/>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42811.2m</w:t>
                  </w:r>
                  <w:r>
                    <w:rPr>
                      <w:rFonts w:hint="default" w:ascii="Times New Roman" w:hAnsi="Times New Roman" w:eastAsia="宋体" w:cs="Times New Roman"/>
                      <w:b w:val="0"/>
                      <w:bCs w:val="0"/>
                      <w:color w:val="auto"/>
                      <w:sz w:val="21"/>
                      <w:szCs w:val="21"/>
                      <w:highlight w:val="none"/>
                      <w:vertAlign w:val="superscript"/>
                    </w:rPr>
                    <w:t>3</w:t>
                  </w:r>
                  <w:r>
                    <w:rPr>
                      <w:rFonts w:hint="default" w:ascii="Times New Roman" w:hAnsi="Times New Roman" w:eastAsia="宋体" w:cs="Times New Roman"/>
                      <w:b w:val="0"/>
                      <w:bCs w:val="0"/>
                      <w:color w:val="auto"/>
                      <w:sz w:val="21"/>
                      <w:szCs w:val="21"/>
                      <w:highlight w:val="none"/>
                    </w:rPr>
                    <w:t>/a</w:t>
                  </w:r>
                </w:p>
                <w:p w14:paraId="4C126766">
                  <w:pPr>
                    <w:pStyle w:val="2"/>
                    <w:adjustRightInd w:val="0"/>
                    <w:snapToGrid w:val="0"/>
                    <w:jc w:val="center"/>
                    <w:outlineLvl w:val="2"/>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137.</w:t>
                  </w:r>
                  <w:r>
                    <w:rPr>
                      <w:rFonts w:hint="eastAsia" w:eastAsia="宋体" w:cs="Times New Roman"/>
                      <w:b w:val="0"/>
                      <w:bCs w:val="0"/>
                      <w:color w:val="auto"/>
                      <w:sz w:val="21"/>
                      <w:szCs w:val="21"/>
                      <w:highlight w:val="none"/>
                      <w:lang w:val="en-US" w:eastAsia="zh-CN"/>
                    </w:rPr>
                    <w:t>3</w:t>
                  </w:r>
                  <w:r>
                    <w:rPr>
                      <w:rFonts w:hint="default" w:ascii="Times New Roman" w:hAnsi="Times New Roman" w:eastAsia="宋体" w:cs="Times New Roman"/>
                      <w:b w:val="0"/>
                      <w:bCs w:val="0"/>
                      <w:color w:val="auto"/>
                      <w:sz w:val="21"/>
                      <w:szCs w:val="21"/>
                      <w:highlight w:val="none"/>
                    </w:rPr>
                    <w:t>m</w:t>
                  </w:r>
                  <w:r>
                    <w:rPr>
                      <w:rFonts w:hint="default" w:ascii="Times New Roman" w:hAnsi="Times New Roman" w:eastAsia="宋体" w:cs="Times New Roman"/>
                      <w:b w:val="0"/>
                      <w:bCs w:val="0"/>
                      <w:color w:val="auto"/>
                      <w:sz w:val="21"/>
                      <w:szCs w:val="21"/>
                      <w:highlight w:val="none"/>
                      <w:vertAlign w:val="superscript"/>
                    </w:rPr>
                    <w:t>3</w:t>
                  </w:r>
                  <w:r>
                    <w:rPr>
                      <w:rFonts w:hint="default" w:ascii="Times New Roman" w:hAnsi="Times New Roman" w:eastAsia="宋体" w:cs="Times New Roman"/>
                      <w:b w:val="0"/>
                      <w:bCs w:val="0"/>
                      <w:color w:val="auto"/>
                      <w:sz w:val="21"/>
                      <w:szCs w:val="21"/>
                      <w:highlight w:val="none"/>
                    </w:rPr>
                    <w:t>/d</w:t>
                  </w:r>
                </w:p>
              </w:tc>
              <w:tc>
                <w:tcPr>
                  <w:tcW w:w="736" w:type="pct"/>
                  <w:vMerge w:val="restart"/>
                  <w:noWrap w:val="0"/>
                  <w:vAlign w:val="center"/>
                </w:tcPr>
                <w:p w14:paraId="20664EFF">
                  <w:pPr>
                    <w:pStyle w:val="2"/>
                    <w:adjustRightInd w:val="0"/>
                    <w:snapToGrid w:val="0"/>
                    <w:jc w:val="center"/>
                    <w:outlineLvl w:val="2"/>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处理前</w:t>
                  </w:r>
                </w:p>
              </w:tc>
              <w:tc>
                <w:tcPr>
                  <w:tcW w:w="1342" w:type="pct"/>
                  <w:noWrap w:val="0"/>
                  <w:vAlign w:val="center"/>
                </w:tcPr>
                <w:p w14:paraId="5A89A2FE">
                  <w:pPr>
                    <w:widowControl/>
                    <w:adjustRightInd w:val="0"/>
                    <w:snapToGrid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产生浓度（mg/L）</w:t>
                  </w:r>
                </w:p>
              </w:tc>
              <w:tc>
                <w:tcPr>
                  <w:tcW w:w="632" w:type="pct"/>
                  <w:noWrap w:val="0"/>
                  <w:vAlign w:val="center"/>
                </w:tcPr>
                <w:p w14:paraId="6D880C0B">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6~9</w:t>
                  </w:r>
                </w:p>
              </w:tc>
              <w:tc>
                <w:tcPr>
                  <w:tcW w:w="632" w:type="pct"/>
                  <w:noWrap w:val="0"/>
                  <w:vAlign w:val="center"/>
                </w:tcPr>
                <w:p w14:paraId="4C21C118">
                  <w:pPr>
                    <w:widowControl/>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3000</w:t>
                  </w:r>
                </w:p>
              </w:tc>
            </w:tr>
            <w:tr w14:paraId="4BC1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866" w:type="pct"/>
                  <w:vMerge w:val="continue"/>
                  <w:noWrap w:val="0"/>
                  <w:vAlign w:val="center"/>
                </w:tcPr>
                <w:p w14:paraId="3F534D80">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789" w:type="pct"/>
                  <w:vMerge w:val="continue"/>
                  <w:noWrap w:val="0"/>
                  <w:vAlign w:val="center"/>
                </w:tcPr>
                <w:p w14:paraId="405436CA">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736" w:type="pct"/>
                  <w:vMerge w:val="continue"/>
                  <w:noWrap w:val="0"/>
                  <w:vAlign w:val="center"/>
                </w:tcPr>
                <w:p w14:paraId="1BFFC0B2">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1342" w:type="pct"/>
                  <w:noWrap w:val="0"/>
                  <w:vAlign w:val="center"/>
                </w:tcPr>
                <w:p w14:paraId="62DEEFCE">
                  <w:pPr>
                    <w:widowControl/>
                    <w:adjustRightInd w:val="0"/>
                    <w:snapToGrid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产生量（t/a）</w:t>
                  </w:r>
                </w:p>
              </w:tc>
              <w:tc>
                <w:tcPr>
                  <w:tcW w:w="632" w:type="pct"/>
                  <w:noWrap w:val="0"/>
                  <w:vAlign w:val="center"/>
                </w:tcPr>
                <w:p w14:paraId="1506B446">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32" w:type="pct"/>
                  <w:noWrap w:val="0"/>
                  <w:vAlign w:val="center"/>
                </w:tcPr>
                <w:p w14:paraId="4644AF5E">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128.43</w:t>
                  </w:r>
                </w:p>
              </w:tc>
            </w:tr>
            <w:tr w14:paraId="663C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866" w:type="pct"/>
                  <w:vMerge w:val="restart"/>
                  <w:noWrap w:val="0"/>
                  <w:vAlign w:val="center"/>
                </w:tcPr>
                <w:p w14:paraId="1C4A973A">
                  <w:pPr>
                    <w:pStyle w:val="2"/>
                    <w:adjustRightInd w:val="0"/>
                    <w:snapToGrid w:val="0"/>
                    <w:jc w:val="center"/>
                    <w:outlineLvl w:val="2"/>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设备清洗废水</w:t>
                  </w:r>
                </w:p>
              </w:tc>
              <w:tc>
                <w:tcPr>
                  <w:tcW w:w="789" w:type="pct"/>
                  <w:vMerge w:val="restart"/>
                  <w:noWrap w:val="0"/>
                  <w:vAlign w:val="center"/>
                </w:tcPr>
                <w:p w14:paraId="49412047">
                  <w:pPr>
                    <w:pStyle w:val="2"/>
                    <w:adjustRightInd w:val="0"/>
                    <w:snapToGrid w:val="0"/>
                    <w:jc w:val="center"/>
                    <w:outlineLvl w:val="2"/>
                    <w:rPr>
                      <w:rFonts w:hint="default" w:ascii="Times New Roman" w:hAnsi="Times New Roman" w:eastAsia="宋体" w:cs="Times New Roman"/>
                      <w:b w:val="0"/>
                      <w:bCs w:val="0"/>
                      <w:color w:val="auto"/>
                      <w:sz w:val="21"/>
                      <w:szCs w:val="21"/>
                    </w:rPr>
                  </w:pPr>
                  <w:r>
                    <w:rPr>
                      <w:rFonts w:hint="eastAsia" w:eastAsia="宋体" w:cs="Times New Roman"/>
                      <w:b w:val="0"/>
                      <w:bCs w:val="0"/>
                      <w:color w:val="auto"/>
                      <w:sz w:val="21"/>
                      <w:szCs w:val="21"/>
                      <w:lang w:val="en-US" w:eastAsia="zh-CN"/>
                    </w:rPr>
                    <w:t>280.8</w:t>
                  </w:r>
                  <w:r>
                    <w:rPr>
                      <w:rFonts w:hint="default" w:ascii="Times New Roman" w:hAnsi="Times New Roman" w:eastAsia="宋体" w:cs="Times New Roman"/>
                      <w:b w:val="0"/>
                      <w:bCs w:val="0"/>
                      <w:color w:val="auto"/>
                      <w:sz w:val="21"/>
                      <w:szCs w:val="21"/>
                    </w:rPr>
                    <w:t>m</w:t>
                  </w:r>
                  <w:r>
                    <w:rPr>
                      <w:rFonts w:hint="default" w:ascii="Times New Roman" w:hAnsi="Times New Roman" w:eastAsia="宋体" w:cs="Times New Roman"/>
                      <w:b w:val="0"/>
                      <w:bCs w:val="0"/>
                      <w:color w:val="auto"/>
                      <w:sz w:val="21"/>
                      <w:szCs w:val="21"/>
                      <w:vertAlign w:val="superscript"/>
                    </w:rPr>
                    <w:t>3</w:t>
                  </w:r>
                  <w:r>
                    <w:rPr>
                      <w:rFonts w:hint="default" w:ascii="Times New Roman" w:hAnsi="Times New Roman" w:eastAsia="宋体" w:cs="Times New Roman"/>
                      <w:b w:val="0"/>
                      <w:bCs w:val="0"/>
                      <w:color w:val="auto"/>
                      <w:sz w:val="21"/>
                      <w:szCs w:val="21"/>
                    </w:rPr>
                    <w:t>/a</w:t>
                  </w:r>
                </w:p>
                <w:p w14:paraId="55110BE0">
                  <w:pPr>
                    <w:pStyle w:val="2"/>
                    <w:adjustRightInd w:val="0"/>
                    <w:snapToGrid w:val="0"/>
                    <w:jc w:val="center"/>
                    <w:outlineLvl w:val="2"/>
                    <w:rPr>
                      <w:rFonts w:hint="eastAsia" w:ascii="Times New Roman" w:hAnsi="Times New Roman"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0.9</w:t>
                  </w:r>
                  <w:r>
                    <w:rPr>
                      <w:rFonts w:hint="default" w:ascii="Times New Roman" w:hAnsi="Times New Roman" w:eastAsia="宋体" w:cs="Times New Roman"/>
                      <w:b w:val="0"/>
                      <w:bCs w:val="0"/>
                      <w:color w:val="auto"/>
                      <w:sz w:val="21"/>
                      <w:szCs w:val="21"/>
                    </w:rPr>
                    <w:t>m</w:t>
                  </w:r>
                  <w:r>
                    <w:rPr>
                      <w:rFonts w:hint="default" w:ascii="Times New Roman" w:hAnsi="Times New Roman" w:eastAsia="宋体" w:cs="Times New Roman"/>
                      <w:b w:val="0"/>
                      <w:bCs w:val="0"/>
                      <w:color w:val="auto"/>
                      <w:sz w:val="21"/>
                      <w:szCs w:val="21"/>
                      <w:vertAlign w:val="superscript"/>
                    </w:rPr>
                    <w:t>3</w:t>
                  </w:r>
                  <w:r>
                    <w:rPr>
                      <w:rFonts w:hint="default" w:ascii="Times New Roman" w:hAnsi="Times New Roman" w:eastAsia="宋体" w:cs="Times New Roman"/>
                      <w:b w:val="0"/>
                      <w:bCs w:val="0"/>
                      <w:color w:val="auto"/>
                      <w:sz w:val="21"/>
                      <w:szCs w:val="21"/>
                    </w:rPr>
                    <w:t>/</w:t>
                  </w:r>
                  <w:r>
                    <w:rPr>
                      <w:rFonts w:hint="eastAsia" w:ascii="Times New Roman" w:hAnsi="Times New Roman" w:eastAsia="宋体" w:cs="Times New Roman"/>
                      <w:b w:val="0"/>
                      <w:bCs w:val="0"/>
                      <w:color w:val="auto"/>
                      <w:sz w:val="21"/>
                      <w:szCs w:val="21"/>
                      <w:lang w:val="en-US" w:eastAsia="zh-CN"/>
                    </w:rPr>
                    <w:t>d</w:t>
                  </w:r>
                </w:p>
              </w:tc>
              <w:tc>
                <w:tcPr>
                  <w:tcW w:w="736" w:type="pct"/>
                  <w:vMerge w:val="restart"/>
                  <w:noWrap w:val="0"/>
                  <w:vAlign w:val="center"/>
                </w:tcPr>
                <w:p w14:paraId="706B6FCF">
                  <w:pPr>
                    <w:pStyle w:val="2"/>
                    <w:adjustRightInd w:val="0"/>
                    <w:snapToGrid w:val="0"/>
                    <w:jc w:val="center"/>
                    <w:outlineLvl w:val="2"/>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处理前</w:t>
                  </w:r>
                </w:p>
              </w:tc>
              <w:tc>
                <w:tcPr>
                  <w:tcW w:w="1342" w:type="pct"/>
                  <w:noWrap w:val="0"/>
                  <w:vAlign w:val="center"/>
                </w:tcPr>
                <w:p w14:paraId="3C60202A">
                  <w:pPr>
                    <w:widowControl/>
                    <w:adjustRightInd w:val="0"/>
                    <w:snapToGrid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产生浓度（mg/L）</w:t>
                  </w:r>
                </w:p>
              </w:tc>
              <w:tc>
                <w:tcPr>
                  <w:tcW w:w="632" w:type="pct"/>
                  <w:noWrap w:val="0"/>
                  <w:vAlign w:val="center"/>
                </w:tcPr>
                <w:p w14:paraId="4BC7C0BC">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w:t>
                  </w:r>
                </w:p>
              </w:tc>
              <w:tc>
                <w:tcPr>
                  <w:tcW w:w="632" w:type="pct"/>
                  <w:noWrap w:val="0"/>
                  <w:vAlign w:val="center"/>
                </w:tcPr>
                <w:p w14:paraId="3A31BD87">
                  <w:pPr>
                    <w:widowControl/>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3000</w:t>
                  </w:r>
                </w:p>
              </w:tc>
            </w:tr>
            <w:tr w14:paraId="71E1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866" w:type="pct"/>
                  <w:vMerge w:val="continue"/>
                  <w:noWrap w:val="0"/>
                  <w:vAlign w:val="center"/>
                </w:tcPr>
                <w:p w14:paraId="7038450B">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789" w:type="pct"/>
                  <w:vMerge w:val="continue"/>
                  <w:noWrap w:val="0"/>
                  <w:vAlign w:val="center"/>
                </w:tcPr>
                <w:p w14:paraId="225F5C27">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736" w:type="pct"/>
                  <w:vMerge w:val="continue"/>
                  <w:noWrap w:val="0"/>
                  <w:vAlign w:val="center"/>
                </w:tcPr>
                <w:p w14:paraId="4A33ECBA">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1342" w:type="pct"/>
                  <w:noWrap w:val="0"/>
                  <w:vAlign w:val="center"/>
                </w:tcPr>
                <w:p w14:paraId="2FB9A9D7">
                  <w:pPr>
                    <w:widowControl/>
                    <w:adjustRightInd w:val="0"/>
                    <w:snapToGrid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产生量（t/a）</w:t>
                  </w:r>
                </w:p>
              </w:tc>
              <w:tc>
                <w:tcPr>
                  <w:tcW w:w="632" w:type="pct"/>
                  <w:noWrap w:val="0"/>
                  <w:vAlign w:val="center"/>
                </w:tcPr>
                <w:p w14:paraId="2FD25D0C">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32" w:type="pct"/>
                  <w:noWrap w:val="0"/>
                  <w:vAlign w:val="center"/>
                </w:tcPr>
                <w:p w14:paraId="1B9F9570">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0.84</w:t>
                  </w:r>
                </w:p>
              </w:tc>
            </w:tr>
            <w:tr w14:paraId="0B47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866" w:type="pct"/>
                  <w:vMerge w:val="restart"/>
                  <w:noWrap w:val="0"/>
                  <w:vAlign w:val="center"/>
                </w:tcPr>
                <w:p w14:paraId="1DA38470">
                  <w:pPr>
                    <w:pStyle w:val="2"/>
                    <w:adjustRightInd w:val="0"/>
                    <w:snapToGrid w:val="0"/>
                    <w:jc w:val="center"/>
                    <w:outlineLvl w:val="2"/>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地面清洗废水</w:t>
                  </w:r>
                </w:p>
              </w:tc>
              <w:tc>
                <w:tcPr>
                  <w:tcW w:w="789" w:type="pct"/>
                  <w:vMerge w:val="restart"/>
                  <w:noWrap w:val="0"/>
                  <w:vAlign w:val="center"/>
                </w:tcPr>
                <w:p w14:paraId="1C5DFB41">
                  <w:pPr>
                    <w:pStyle w:val="2"/>
                    <w:adjustRightInd w:val="0"/>
                    <w:snapToGrid w:val="0"/>
                    <w:jc w:val="center"/>
                    <w:outlineLvl w:val="2"/>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280.8m</w:t>
                  </w:r>
                  <w:r>
                    <w:rPr>
                      <w:rFonts w:hint="default" w:ascii="Times New Roman" w:hAnsi="Times New Roman" w:eastAsia="宋体" w:cs="Times New Roman"/>
                      <w:b w:val="0"/>
                      <w:bCs w:val="0"/>
                      <w:color w:val="auto"/>
                      <w:sz w:val="21"/>
                      <w:szCs w:val="21"/>
                      <w:vertAlign w:val="superscript"/>
                    </w:rPr>
                    <w:t>3</w:t>
                  </w:r>
                  <w:r>
                    <w:rPr>
                      <w:rFonts w:hint="default" w:ascii="Times New Roman" w:hAnsi="Times New Roman" w:eastAsia="宋体" w:cs="Times New Roman"/>
                      <w:b w:val="0"/>
                      <w:bCs w:val="0"/>
                      <w:color w:val="auto"/>
                      <w:sz w:val="21"/>
                      <w:szCs w:val="21"/>
                    </w:rPr>
                    <w:t>/a</w:t>
                  </w:r>
                </w:p>
                <w:p w14:paraId="57AEA208">
                  <w:pPr>
                    <w:pStyle w:val="2"/>
                    <w:adjustRightInd w:val="0"/>
                    <w:snapToGrid w:val="0"/>
                    <w:jc w:val="center"/>
                    <w:outlineLvl w:val="2"/>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0.9</w:t>
                  </w:r>
                  <w:r>
                    <w:rPr>
                      <w:rFonts w:hint="default" w:ascii="Times New Roman" w:hAnsi="Times New Roman" w:eastAsia="宋体" w:cs="Times New Roman"/>
                      <w:b w:val="0"/>
                      <w:bCs w:val="0"/>
                      <w:color w:val="auto"/>
                      <w:sz w:val="21"/>
                      <w:szCs w:val="21"/>
                    </w:rPr>
                    <w:t>m</w:t>
                  </w:r>
                  <w:r>
                    <w:rPr>
                      <w:rFonts w:hint="default" w:ascii="Times New Roman" w:hAnsi="Times New Roman" w:eastAsia="宋体" w:cs="Times New Roman"/>
                      <w:b w:val="0"/>
                      <w:bCs w:val="0"/>
                      <w:color w:val="auto"/>
                      <w:sz w:val="21"/>
                      <w:szCs w:val="21"/>
                      <w:vertAlign w:val="superscript"/>
                    </w:rPr>
                    <w:t>3</w:t>
                  </w:r>
                  <w:r>
                    <w:rPr>
                      <w:rFonts w:hint="default" w:ascii="Times New Roman" w:hAnsi="Times New Roman" w:eastAsia="宋体" w:cs="Times New Roman"/>
                      <w:b w:val="0"/>
                      <w:bCs w:val="0"/>
                      <w:color w:val="auto"/>
                      <w:sz w:val="21"/>
                      <w:szCs w:val="21"/>
                    </w:rPr>
                    <w:t>/</w:t>
                  </w:r>
                  <w:r>
                    <w:rPr>
                      <w:rFonts w:hint="eastAsia" w:ascii="Times New Roman" w:hAnsi="Times New Roman" w:eastAsia="宋体" w:cs="Times New Roman"/>
                      <w:b w:val="0"/>
                      <w:bCs w:val="0"/>
                      <w:color w:val="auto"/>
                      <w:sz w:val="21"/>
                      <w:szCs w:val="21"/>
                      <w:lang w:val="en-US" w:eastAsia="zh-CN"/>
                    </w:rPr>
                    <w:t>d</w:t>
                  </w:r>
                </w:p>
              </w:tc>
              <w:tc>
                <w:tcPr>
                  <w:tcW w:w="736" w:type="pct"/>
                  <w:vMerge w:val="restart"/>
                  <w:noWrap w:val="0"/>
                  <w:vAlign w:val="center"/>
                </w:tcPr>
                <w:p w14:paraId="19BE3414">
                  <w:pPr>
                    <w:pStyle w:val="2"/>
                    <w:adjustRightInd w:val="0"/>
                    <w:snapToGrid w:val="0"/>
                    <w:jc w:val="center"/>
                    <w:outlineLvl w:val="2"/>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处理前</w:t>
                  </w:r>
                </w:p>
              </w:tc>
              <w:tc>
                <w:tcPr>
                  <w:tcW w:w="1342" w:type="pct"/>
                  <w:noWrap w:val="0"/>
                  <w:vAlign w:val="center"/>
                </w:tcPr>
                <w:p w14:paraId="0A13DF67">
                  <w:pPr>
                    <w:widowControl/>
                    <w:adjustRightInd w:val="0"/>
                    <w:snapToGrid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产生浓度（mg/L）</w:t>
                  </w:r>
                </w:p>
              </w:tc>
              <w:tc>
                <w:tcPr>
                  <w:tcW w:w="632" w:type="pct"/>
                  <w:noWrap w:val="0"/>
                  <w:vAlign w:val="center"/>
                </w:tcPr>
                <w:p w14:paraId="1B054BCB">
                  <w:pPr>
                    <w:widowControl/>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6~9</w:t>
                  </w:r>
                </w:p>
              </w:tc>
              <w:tc>
                <w:tcPr>
                  <w:tcW w:w="632" w:type="pct"/>
                  <w:noWrap w:val="0"/>
                  <w:vAlign w:val="center"/>
                </w:tcPr>
                <w:p w14:paraId="31ED2945">
                  <w:pPr>
                    <w:widowControl/>
                    <w:adjustRightInd w:val="0"/>
                    <w:snapToGrid w:val="0"/>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00</w:t>
                  </w:r>
                </w:p>
              </w:tc>
            </w:tr>
            <w:tr w14:paraId="47DF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866" w:type="pct"/>
                  <w:vMerge w:val="continue"/>
                  <w:noWrap w:val="0"/>
                  <w:vAlign w:val="center"/>
                </w:tcPr>
                <w:p w14:paraId="1E2A3A31">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789" w:type="pct"/>
                  <w:vMerge w:val="continue"/>
                  <w:noWrap w:val="0"/>
                  <w:vAlign w:val="center"/>
                </w:tcPr>
                <w:p w14:paraId="290C0BD7">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736" w:type="pct"/>
                  <w:vMerge w:val="continue"/>
                  <w:noWrap w:val="0"/>
                  <w:vAlign w:val="center"/>
                </w:tcPr>
                <w:p w14:paraId="29FCFA3C">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1342" w:type="pct"/>
                  <w:noWrap w:val="0"/>
                  <w:vAlign w:val="center"/>
                </w:tcPr>
                <w:p w14:paraId="26C40BE3">
                  <w:pPr>
                    <w:widowControl/>
                    <w:adjustRightInd w:val="0"/>
                    <w:snapToGrid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产生量（t/a）</w:t>
                  </w:r>
                </w:p>
              </w:tc>
              <w:tc>
                <w:tcPr>
                  <w:tcW w:w="632" w:type="pct"/>
                  <w:noWrap w:val="0"/>
                  <w:vAlign w:val="center"/>
                </w:tcPr>
                <w:p w14:paraId="75134080">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32" w:type="pct"/>
                  <w:noWrap w:val="0"/>
                  <w:vAlign w:val="center"/>
                </w:tcPr>
                <w:p w14:paraId="31E373B4">
                  <w:pPr>
                    <w:widowControl/>
                    <w:adjustRightInd w:val="0"/>
                    <w:snapToGrid w:val="0"/>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0.14</w:t>
                  </w:r>
                </w:p>
              </w:tc>
            </w:tr>
            <w:tr w14:paraId="1EA6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866" w:type="pct"/>
                  <w:vMerge w:val="restart"/>
                  <w:noWrap w:val="0"/>
                  <w:vAlign w:val="center"/>
                </w:tcPr>
                <w:p w14:paraId="07ADE0EE">
                  <w:pPr>
                    <w:pStyle w:val="2"/>
                    <w:adjustRightInd w:val="0"/>
                    <w:snapToGrid w:val="0"/>
                    <w:jc w:val="center"/>
                    <w:outlineLvl w:val="2"/>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车辆冲洗废水</w:t>
                  </w:r>
                </w:p>
              </w:tc>
              <w:tc>
                <w:tcPr>
                  <w:tcW w:w="789" w:type="pct"/>
                  <w:vMerge w:val="restart"/>
                  <w:noWrap w:val="0"/>
                  <w:vAlign w:val="center"/>
                </w:tcPr>
                <w:p w14:paraId="09D57FE4">
                  <w:pPr>
                    <w:pStyle w:val="2"/>
                    <w:adjustRightInd w:val="0"/>
                    <w:snapToGrid w:val="0"/>
                    <w:jc w:val="center"/>
                    <w:outlineLvl w:val="2"/>
                    <w:rPr>
                      <w:rFonts w:hint="default" w:ascii="Times New Roman" w:hAnsi="Times New Roman" w:eastAsia="宋体" w:cs="Times New Roman"/>
                      <w:b w:val="0"/>
                      <w:bCs w:val="0"/>
                      <w:color w:val="auto"/>
                      <w:sz w:val="21"/>
                      <w:szCs w:val="21"/>
                      <w:highlight w:val="none"/>
                    </w:rPr>
                  </w:pPr>
                  <w:r>
                    <w:rPr>
                      <w:rFonts w:hint="eastAsia" w:eastAsia="宋体" w:cs="Times New Roman"/>
                      <w:b w:val="0"/>
                      <w:bCs w:val="0"/>
                      <w:color w:val="auto"/>
                      <w:sz w:val="21"/>
                      <w:szCs w:val="21"/>
                      <w:highlight w:val="none"/>
                      <w:lang w:val="en-US" w:eastAsia="zh-CN"/>
                    </w:rPr>
                    <w:t>2587.95</w:t>
                  </w:r>
                  <w:r>
                    <w:rPr>
                      <w:rFonts w:hint="default" w:ascii="Times New Roman" w:hAnsi="Times New Roman" w:eastAsia="宋体" w:cs="Times New Roman"/>
                      <w:b w:val="0"/>
                      <w:bCs w:val="0"/>
                      <w:color w:val="auto"/>
                      <w:sz w:val="21"/>
                      <w:szCs w:val="21"/>
                      <w:highlight w:val="none"/>
                    </w:rPr>
                    <w:t>m</w:t>
                  </w:r>
                  <w:r>
                    <w:rPr>
                      <w:rFonts w:hint="default" w:ascii="Times New Roman" w:hAnsi="Times New Roman" w:eastAsia="宋体" w:cs="Times New Roman"/>
                      <w:b w:val="0"/>
                      <w:bCs w:val="0"/>
                      <w:color w:val="auto"/>
                      <w:sz w:val="21"/>
                      <w:szCs w:val="21"/>
                      <w:highlight w:val="none"/>
                      <w:vertAlign w:val="superscript"/>
                    </w:rPr>
                    <w:t>3</w:t>
                  </w:r>
                  <w:r>
                    <w:rPr>
                      <w:rFonts w:hint="default" w:ascii="Times New Roman" w:hAnsi="Times New Roman" w:eastAsia="宋体" w:cs="Times New Roman"/>
                      <w:b w:val="0"/>
                      <w:bCs w:val="0"/>
                      <w:color w:val="auto"/>
                      <w:sz w:val="21"/>
                      <w:szCs w:val="21"/>
                      <w:highlight w:val="none"/>
                    </w:rPr>
                    <w:t>/a</w:t>
                  </w:r>
                </w:p>
                <w:p w14:paraId="216E237A">
                  <w:pPr>
                    <w:pStyle w:val="2"/>
                    <w:adjustRightInd w:val="0"/>
                    <w:snapToGrid w:val="0"/>
                    <w:jc w:val="center"/>
                    <w:outlineLvl w:val="2"/>
                    <w:rPr>
                      <w:rFonts w:hint="default" w:ascii="Times New Roman" w:hAnsi="Times New Roman" w:eastAsia="宋体" w:cs="Times New Roman"/>
                      <w:b w:val="0"/>
                      <w:bCs w:val="0"/>
                      <w:color w:val="auto"/>
                      <w:sz w:val="21"/>
                      <w:szCs w:val="21"/>
                      <w:highlight w:val="none"/>
                    </w:rPr>
                  </w:pPr>
                  <w:r>
                    <w:rPr>
                      <w:rFonts w:hint="eastAsia" w:eastAsia="宋体" w:cs="Times New Roman"/>
                      <w:b w:val="0"/>
                      <w:bCs w:val="0"/>
                      <w:color w:val="auto"/>
                      <w:sz w:val="21"/>
                      <w:szCs w:val="21"/>
                      <w:highlight w:val="none"/>
                      <w:lang w:val="en-US" w:eastAsia="zh-CN"/>
                    </w:rPr>
                    <w:t>8.29</w:t>
                  </w:r>
                  <w:r>
                    <w:rPr>
                      <w:rFonts w:hint="default" w:ascii="Times New Roman" w:hAnsi="Times New Roman" w:eastAsia="宋体" w:cs="Times New Roman"/>
                      <w:b w:val="0"/>
                      <w:bCs w:val="0"/>
                      <w:color w:val="auto"/>
                      <w:sz w:val="21"/>
                      <w:szCs w:val="21"/>
                      <w:highlight w:val="none"/>
                    </w:rPr>
                    <w:t>m</w:t>
                  </w:r>
                  <w:r>
                    <w:rPr>
                      <w:rFonts w:hint="default" w:ascii="Times New Roman" w:hAnsi="Times New Roman" w:eastAsia="宋体" w:cs="Times New Roman"/>
                      <w:b w:val="0"/>
                      <w:bCs w:val="0"/>
                      <w:color w:val="auto"/>
                      <w:sz w:val="21"/>
                      <w:szCs w:val="21"/>
                      <w:highlight w:val="none"/>
                      <w:vertAlign w:val="superscript"/>
                    </w:rPr>
                    <w:t>3</w:t>
                  </w:r>
                  <w:r>
                    <w:rPr>
                      <w:rFonts w:hint="default" w:ascii="Times New Roman" w:hAnsi="Times New Roman" w:eastAsia="宋体" w:cs="Times New Roman"/>
                      <w:b w:val="0"/>
                      <w:bCs w:val="0"/>
                      <w:color w:val="auto"/>
                      <w:sz w:val="21"/>
                      <w:szCs w:val="21"/>
                      <w:highlight w:val="none"/>
                    </w:rPr>
                    <w:t>/</w:t>
                  </w:r>
                  <w:r>
                    <w:rPr>
                      <w:rFonts w:hint="eastAsia" w:ascii="Times New Roman" w:hAnsi="Times New Roman" w:eastAsia="宋体" w:cs="Times New Roman"/>
                      <w:b w:val="0"/>
                      <w:bCs w:val="0"/>
                      <w:color w:val="auto"/>
                      <w:sz w:val="21"/>
                      <w:szCs w:val="21"/>
                      <w:highlight w:val="none"/>
                      <w:lang w:val="en-US" w:eastAsia="zh-CN"/>
                    </w:rPr>
                    <w:t>d</w:t>
                  </w:r>
                </w:p>
              </w:tc>
              <w:tc>
                <w:tcPr>
                  <w:tcW w:w="736" w:type="pct"/>
                  <w:vMerge w:val="restart"/>
                  <w:noWrap w:val="0"/>
                  <w:vAlign w:val="center"/>
                </w:tcPr>
                <w:p w14:paraId="1EA8D6C4">
                  <w:pPr>
                    <w:pStyle w:val="2"/>
                    <w:adjustRightInd w:val="0"/>
                    <w:snapToGrid w:val="0"/>
                    <w:jc w:val="center"/>
                    <w:outlineLvl w:val="2"/>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处理前</w:t>
                  </w:r>
                </w:p>
              </w:tc>
              <w:tc>
                <w:tcPr>
                  <w:tcW w:w="1342" w:type="pct"/>
                  <w:noWrap w:val="0"/>
                  <w:vAlign w:val="center"/>
                </w:tcPr>
                <w:p w14:paraId="2ACB4516">
                  <w:pPr>
                    <w:widowControl/>
                    <w:adjustRightInd w:val="0"/>
                    <w:snapToGrid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产生浓度（mg/L）</w:t>
                  </w:r>
                </w:p>
              </w:tc>
              <w:tc>
                <w:tcPr>
                  <w:tcW w:w="632" w:type="pct"/>
                  <w:noWrap w:val="0"/>
                  <w:vAlign w:val="center"/>
                </w:tcPr>
                <w:p w14:paraId="2E1AAD37">
                  <w:pPr>
                    <w:widowControl/>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12</w:t>
                  </w:r>
                </w:p>
              </w:tc>
              <w:tc>
                <w:tcPr>
                  <w:tcW w:w="632" w:type="pct"/>
                  <w:noWrap w:val="0"/>
                  <w:vAlign w:val="center"/>
                </w:tcPr>
                <w:p w14:paraId="3CDB1EB4">
                  <w:pPr>
                    <w:widowControl/>
                    <w:adjustRightInd w:val="0"/>
                    <w:snapToGrid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3000</w:t>
                  </w:r>
                </w:p>
              </w:tc>
            </w:tr>
            <w:tr w14:paraId="09B1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866" w:type="pct"/>
                  <w:vMerge w:val="continue"/>
                  <w:noWrap w:val="0"/>
                  <w:vAlign w:val="center"/>
                </w:tcPr>
                <w:p w14:paraId="448B41BC">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789" w:type="pct"/>
                  <w:vMerge w:val="continue"/>
                  <w:noWrap w:val="0"/>
                  <w:vAlign w:val="center"/>
                </w:tcPr>
                <w:p w14:paraId="10A8252C">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736" w:type="pct"/>
                  <w:vMerge w:val="continue"/>
                  <w:noWrap w:val="0"/>
                  <w:vAlign w:val="center"/>
                </w:tcPr>
                <w:p w14:paraId="0AE3266A">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1342" w:type="pct"/>
                  <w:noWrap w:val="0"/>
                  <w:vAlign w:val="center"/>
                </w:tcPr>
                <w:p w14:paraId="6269B044">
                  <w:pPr>
                    <w:widowControl/>
                    <w:adjustRightInd w:val="0"/>
                    <w:snapToGrid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产生量（t/a）</w:t>
                  </w:r>
                </w:p>
              </w:tc>
              <w:tc>
                <w:tcPr>
                  <w:tcW w:w="632" w:type="pct"/>
                  <w:noWrap w:val="0"/>
                  <w:vAlign w:val="center"/>
                </w:tcPr>
                <w:p w14:paraId="1F1B09FC">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32" w:type="pct"/>
                  <w:noWrap w:val="0"/>
                  <w:vAlign w:val="center"/>
                </w:tcPr>
                <w:p w14:paraId="57261CCA">
                  <w:pPr>
                    <w:widowControl/>
                    <w:adjustRightInd w:val="0"/>
                    <w:snapToGrid w:val="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7.76</w:t>
                  </w:r>
                </w:p>
              </w:tc>
            </w:tr>
            <w:tr w14:paraId="2B54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866" w:type="pct"/>
                  <w:vMerge w:val="restart"/>
                  <w:noWrap w:val="0"/>
                  <w:vAlign w:val="center"/>
                </w:tcPr>
                <w:p w14:paraId="166E60CF">
                  <w:pPr>
                    <w:pStyle w:val="2"/>
                    <w:adjustRightInd w:val="0"/>
                    <w:snapToGrid w:val="0"/>
                    <w:jc w:val="center"/>
                    <w:outlineLvl w:val="2"/>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初期雨水</w:t>
                  </w:r>
                </w:p>
              </w:tc>
              <w:tc>
                <w:tcPr>
                  <w:tcW w:w="789" w:type="pct"/>
                  <w:vMerge w:val="restart"/>
                  <w:noWrap w:val="0"/>
                  <w:vAlign w:val="center"/>
                </w:tcPr>
                <w:p w14:paraId="6DFC4B5F">
                  <w:pPr>
                    <w:pStyle w:val="2"/>
                    <w:adjustRightInd w:val="0"/>
                    <w:snapToGrid w:val="0"/>
                    <w:jc w:val="center"/>
                    <w:outlineLvl w:val="2"/>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741</w:t>
                  </w:r>
                  <w:r>
                    <w:rPr>
                      <w:rFonts w:hint="default" w:ascii="Times New Roman" w:hAnsi="Times New Roman" w:eastAsia="宋体" w:cs="Times New Roman"/>
                      <w:b w:val="0"/>
                      <w:bCs w:val="0"/>
                      <w:snapToGrid w:val="0"/>
                      <w:color w:val="auto"/>
                      <w:kern w:val="0"/>
                      <w:sz w:val="21"/>
                      <w:szCs w:val="21"/>
                    </w:rPr>
                    <w:t>m</w:t>
                  </w:r>
                  <w:r>
                    <w:rPr>
                      <w:rFonts w:hint="default" w:ascii="Times New Roman" w:hAnsi="Times New Roman" w:eastAsia="宋体" w:cs="Times New Roman"/>
                      <w:b w:val="0"/>
                      <w:bCs w:val="0"/>
                      <w:snapToGrid w:val="0"/>
                      <w:color w:val="auto"/>
                      <w:kern w:val="0"/>
                      <w:sz w:val="21"/>
                      <w:szCs w:val="21"/>
                      <w:vertAlign w:val="superscript"/>
                    </w:rPr>
                    <w:t>3</w:t>
                  </w:r>
                  <w:r>
                    <w:rPr>
                      <w:rFonts w:hint="default" w:ascii="Times New Roman" w:hAnsi="Times New Roman" w:eastAsia="宋体" w:cs="Times New Roman"/>
                      <w:b w:val="0"/>
                      <w:bCs w:val="0"/>
                      <w:snapToGrid w:val="0"/>
                      <w:color w:val="auto"/>
                      <w:kern w:val="0"/>
                      <w:sz w:val="21"/>
                      <w:szCs w:val="21"/>
                    </w:rPr>
                    <w:t>/</w:t>
                  </w:r>
                  <w:r>
                    <w:rPr>
                      <w:rFonts w:hint="eastAsia" w:eastAsia="宋体" w:cs="Times New Roman"/>
                      <w:b w:val="0"/>
                      <w:bCs w:val="0"/>
                      <w:snapToGrid w:val="0"/>
                      <w:color w:val="auto"/>
                      <w:kern w:val="0"/>
                      <w:sz w:val="21"/>
                      <w:szCs w:val="21"/>
                      <w:lang w:val="en-US" w:eastAsia="zh-CN"/>
                    </w:rPr>
                    <w:t>a</w:t>
                  </w:r>
                </w:p>
                <w:p w14:paraId="181BBCD7">
                  <w:pPr>
                    <w:pStyle w:val="2"/>
                    <w:adjustRightInd w:val="0"/>
                    <w:snapToGrid w:val="0"/>
                    <w:jc w:val="center"/>
                    <w:outlineLvl w:val="2"/>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2.38</w:t>
                  </w:r>
                  <w:r>
                    <w:rPr>
                      <w:rFonts w:hint="default" w:ascii="Times New Roman" w:hAnsi="Times New Roman" w:eastAsia="宋体" w:cs="Times New Roman"/>
                      <w:b w:val="0"/>
                      <w:bCs w:val="0"/>
                      <w:snapToGrid w:val="0"/>
                      <w:color w:val="auto"/>
                      <w:kern w:val="0"/>
                      <w:sz w:val="21"/>
                      <w:szCs w:val="21"/>
                    </w:rPr>
                    <w:t>m</w:t>
                  </w:r>
                  <w:r>
                    <w:rPr>
                      <w:rFonts w:hint="default" w:ascii="Times New Roman" w:hAnsi="Times New Roman" w:eastAsia="宋体" w:cs="Times New Roman"/>
                      <w:b w:val="0"/>
                      <w:bCs w:val="0"/>
                      <w:snapToGrid w:val="0"/>
                      <w:color w:val="auto"/>
                      <w:kern w:val="0"/>
                      <w:sz w:val="21"/>
                      <w:szCs w:val="21"/>
                      <w:vertAlign w:val="superscript"/>
                    </w:rPr>
                    <w:t>3</w:t>
                  </w:r>
                  <w:r>
                    <w:rPr>
                      <w:rFonts w:hint="default" w:ascii="Times New Roman" w:hAnsi="Times New Roman" w:eastAsia="宋体" w:cs="Times New Roman"/>
                      <w:b w:val="0"/>
                      <w:bCs w:val="0"/>
                      <w:snapToGrid w:val="0"/>
                      <w:color w:val="auto"/>
                      <w:kern w:val="0"/>
                      <w:sz w:val="21"/>
                      <w:szCs w:val="21"/>
                    </w:rPr>
                    <w:t>/</w:t>
                  </w:r>
                  <w:r>
                    <w:rPr>
                      <w:rFonts w:hint="eastAsia" w:eastAsia="宋体" w:cs="Times New Roman"/>
                      <w:b w:val="0"/>
                      <w:bCs w:val="0"/>
                      <w:snapToGrid w:val="0"/>
                      <w:color w:val="auto"/>
                      <w:kern w:val="0"/>
                      <w:sz w:val="21"/>
                      <w:szCs w:val="21"/>
                      <w:lang w:val="en-US" w:eastAsia="zh-CN"/>
                    </w:rPr>
                    <w:t>d</w:t>
                  </w:r>
                </w:p>
              </w:tc>
              <w:tc>
                <w:tcPr>
                  <w:tcW w:w="736" w:type="pct"/>
                  <w:vMerge w:val="restart"/>
                  <w:noWrap w:val="0"/>
                  <w:vAlign w:val="center"/>
                </w:tcPr>
                <w:p w14:paraId="31044644">
                  <w:pPr>
                    <w:pStyle w:val="2"/>
                    <w:adjustRightInd w:val="0"/>
                    <w:snapToGrid w:val="0"/>
                    <w:jc w:val="center"/>
                    <w:outlineLvl w:val="2"/>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处理前</w:t>
                  </w:r>
                </w:p>
              </w:tc>
              <w:tc>
                <w:tcPr>
                  <w:tcW w:w="1342" w:type="pct"/>
                  <w:noWrap w:val="0"/>
                  <w:vAlign w:val="center"/>
                </w:tcPr>
                <w:p w14:paraId="34CDB25D">
                  <w:pPr>
                    <w:widowControl/>
                    <w:adjustRightInd w:val="0"/>
                    <w:snapToGrid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产生浓度（mg/L）</w:t>
                  </w:r>
                </w:p>
              </w:tc>
              <w:tc>
                <w:tcPr>
                  <w:tcW w:w="632" w:type="pct"/>
                  <w:noWrap w:val="0"/>
                  <w:vAlign w:val="center"/>
                </w:tcPr>
                <w:p w14:paraId="28596A18">
                  <w:pPr>
                    <w:widowControl/>
                    <w:jc w:val="center"/>
                    <w:textAlignment w:val="center"/>
                    <w:rPr>
                      <w:rFonts w:hint="default" w:ascii="Times New Roman" w:hAnsi="Times New Roman" w:eastAsia="宋体" w:cs="Times New Roman"/>
                      <w:color w:val="auto"/>
                      <w:kern w:val="0"/>
                      <w:sz w:val="21"/>
                      <w:szCs w:val="21"/>
                      <w:lang w:bidi="ar"/>
                    </w:rPr>
                  </w:pPr>
                  <w:r>
                    <w:rPr>
                      <w:rFonts w:hint="eastAsia" w:ascii="Times New Roman" w:hAnsi="Times New Roman" w:eastAsia="宋体" w:cs="Times New Roman"/>
                      <w:color w:val="auto"/>
                      <w:sz w:val="21"/>
                      <w:szCs w:val="21"/>
                      <w:lang w:val="en-US" w:eastAsia="zh-CN"/>
                    </w:rPr>
                    <w:t>6~9</w:t>
                  </w:r>
                </w:p>
              </w:tc>
              <w:tc>
                <w:tcPr>
                  <w:tcW w:w="632" w:type="pct"/>
                  <w:noWrap w:val="0"/>
                  <w:vAlign w:val="center"/>
                </w:tcPr>
                <w:p w14:paraId="5FF90818">
                  <w:pPr>
                    <w:widowControl/>
                    <w:adjustRightInd w:val="0"/>
                    <w:snapToGrid w:val="0"/>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00</w:t>
                  </w:r>
                </w:p>
              </w:tc>
            </w:tr>
            <w:tr w14:paraId="6BAC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866" w:type="pct"/>
                  <w:vMerge w:val="continue"/>
                  <w:noWrap w:val="0"/>
                  <w:vAlign w:val="center"/>
                </w:tcPr>
                <w:p w14:paraId="48250F30">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789" w:type="pct"/>
                  <w:vMerge w:val="continue"/>
                  <w:noWrap w:val="0"/>
                  <w:vAlign w:val="center"/>
                </w:tcPr>
                <w:p w14:paraId="4F9B3657">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736" w:type="pct"/>
                  <w:vMerge w:val="continue"/>
                  <w:noWrap w:val="0"/>
                  <w:vAlign w:val="center"/>
                </w:tcPr>
                <w:p w14:paraId="5C049503">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1342" w:type="pct"/>
                  <w:noWrap w:val="0"/>
                  <w:vAlign w:val="center"/>
                </w:tcPr>
                <w:p w14:paraId="2878EDB4">
                  <w:pPr>
                    <w:widowControl/>
                    <w:adjustRightInd w:val="0"/>
                    <w:snapToGrid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产生量（t/a）</w:t>
                  </w:r>
                </w:p>
              </w:tc>
              <w:tc>
                <w:tcPr>
                  <w:tcW w:w="632" w:type="pct"/>
                  <w:noWrap w:val="0"/>
                  <w:vAlign w:val="center"/>
                </w:tcPr>
                <w:p w14:paraId="08569054">
                  <w:pPr>
                    <w:widowControl/>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sz w:val="21"/>
                      <w:szCs w:val="21"/>
                      <w:lang w:val="en-US" w:eastAsia="zh-CN"/>
                    </w:rPr>
                    <w:t>/</w:t>
                  </w:r>
                </w:p>
              </w:tc>
              <w:tc>
                <w:tcPr>
                  <w:tcW w:w="632" w:type="pct"/>
                  <w:noWrap w:val="0"/>
                  <w:vAlign w:val="center"/>
                </w:tcPr>
                <w:p w14:paraId="7D8A1612">
                  <w:pPr>
                    <w:widowControl/>
                    <w:adjustRightInd w:val="0"/>
                    <w:snapToGrid w:val="0"/>
                    <w:jc w:val="center"/>
                    <w:textAlignment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0.37</w:t>
                  </w:r>
                </w:p>
              </w:tc>
            </w:tr>
            <w:tr w14:paraId="3A86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866" w:type="pct"/>
                  <w:vMerge w:val="restart"/>
                  <w:noWrap w:val="0"/>
                  <w:vAlign w:val="center"/>
                </w:tcPr>
                <w:p w14:paraId="10F9C521">
                  <w:pPr>
                    <w:pStyle w:val="2"/>
                    <w:adjustRightInd w:val="0"/>
                    <w:snapToGrid w:val="0"/>
                    <w:jc w:val="center"/>
                    <w:outlineLvl w:val="2"/>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合</w:t>
                  </w:r>
                  <w:r>
                    <w:rPr>
                      <w:rFonts w:hint="default" w:ascii="Times New Roman" w:hAnsi="Times New Roman" w:eastAsia="宋体" w:cs="Times New Roman"/>
                      <w:b w:val="0"/>
                      <w:bCs w:val="0"/>
                      <w:color w:val="auto"/>
                      <w:sz w:val="21"/>
                      <w:szCs w:val="21"/>
                    </w:rPr>
                    <w:t>计</w:t>
                  </w:r>
                </w:p>
              </w:tc>
              <w:tc>
                <w:tcPr>
                  <w:tcW w:w="789" w:type="pct"/>
                  <w:vMerge w:val="restart"/>
                  <w:noWrap w:val="0"/>
                  <w:vAlign w:val="center"/>
                </w:tcPr>
                <w:p w14:paraId="303E968D">
                  <w:pPr>
                    <w:pStyle w:val="2"/>
                    <w:adjustRightInd w:val="0"/>
                    <w:snapToGrid w:val="0"/>
                    <w:jc w:val="center"/>
                    <w:outlineLvl w:val="2"/>
                    <w:rPr>
                      <w:rFonts w:hint="default" w:ascii="Times New Roman" w:hAnsi="Times New Roman" w:eastAsia="宋体" w:cs="Times New Roman"/>
                      <w:b w:val="0"/>
                      <w:bCs w:val="0"/>
                      <w:snapToGrid w:val="0"/>
                      <w:color w:val="auto"/>
                      <w:kern w:val="0"/>
                      <w:sz w:val="21"/>
                      <w:szCs w:val="21"/>
                    </w:rPr>
                  </w:pPr>
                  <w:r>
                    <w:rPr>
                      <w:rFonts w:hint="eastAsia" w:ascii="Times New Roman" w:hAnsi="Times New Roman" w:eastAsia="宋体" w:cs="Times New Roman"/>
                      <w:b w:val="0"/>
                      <w:bCs w:val="0"/>
                      <w:color w:val="auto"/>
                      <w:sz w:val="21"/>
                      <w:szCs w:val="21"/>
                      <w:lang w:val="en-US" w:eastAsia="zh-CN"/>
                    </w:rPr>
                    <w:t>149.</w:t>
                  </w:r>
                  <w:r>
                    <w:rPr>
                      <w:rFonts w:hint="eastAsia" w:eastAsia="宋体" w:cs="Times New Roman"/>
                      <w:b w:val="0"/>
                      <w:bCs w:val="0"/>
                      <w:color w:val="auto"/>
                      <w:sz w:val="21"/>
                      <w:szCs w:val="21"/>
                      <w:lang w:val="en-US" w:eastAsia="zh-CN"/>
                    </w:rPr>
                    <w:t>7</w:t>
                  </w:r>
                  <w:r>
                    <w:rPr>
                      <w:rFonts w:hint="eastAsia" w:ascii="Times New Roman" w:hAnsi="Times New Roman" w:eastAsia="宋体" w:cs="Times New Roman"/>
                      <w:b w:val="0"/>
                      <w:bCs w:val="0"/>
                      <w:color w:val="auto"/>
                      <w:sz w:val="21"/>
                      <w:szCs w:val="21"/>
                      <w:lang w:val="en-US" w:eastAsia="zh-CN"/>
                    </w:rPr>
                    <w:t>7</w:t>
                  </w:r>
                  <w:r>
                    <w:rPr>
                      <w:rFonts w:hint="default" w:ascii="Times New Roman" w:hAnsi="Times New Roman" w:eastAsia="宋体" w:cs="Times New Roman"/>
                      <w:b w:val="0"/>
                      <w:bCs w:val="0"/>
                      <w:snapToGrid w:val="0"/>
                      <w:color w:val="auto"/>
                      <w:kern w:val="0"/>
                      <w:sz w:val="21"/>
                      <w:szCs w:val="21"/>
                    </w:rPr>
                    <w:t>m</w:t>
                  </w:r>
                  <w:r>
                    <w:rPr>
                      <w:rFonts w:hint="default" w:ascii="Times New Roman" w:hAnsi="Times New Roman" w:eastAsia="宋体" w:cs="Times New Roman"/>
                      <w:b w:val="0"/>
                      <w:bCs w:val="0"/>
                      <w:snapToGrid w:val="0"/>
                      <w:color w:val="auto"/>
                      <w:kern w:val="0"/>
                      <w:sz w:val="21"/>
                      <w:szCs w:val="21"/>
                      <w:vertAlign w:val="superscript"/>
                    </w:rPr>
                    <w:t>3</w:t>
                  </w:r>
                  <w:r>
                    <w:rPr>
                      <w:rFonts w:hint="default" w:ascii="Times New Roman" w:hAnsi="Times New Roman" w:eastAsia="宋体" w:cs="Times New Roman"/>
                      <w:b w:val="0"/>
                      <w:bCs w:val="0"/>
                      <w:snapToGrid w:val="0"/>
                      <w:color w:val="auto"/>
                      <w:kern w:val="0"/>
                      <w:sz w:val="21"/>
                      <w:szCs w:val="21"/>
                    </w:rPr>
                    <w:t>/d</w:t>
                  </w:r>
                </w:p>
                <w:p w14:paraId="17E539E9">
                  <w:pPr>
                    <w:pStyle w:val="2"/>
                    <w:adjustRightInd w:val="0"/>
                    <w:snapToGrid w:val="0"/>
                    <w:jc w:val="center"/>
                    <w:outlineLvl w:val="2"/>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46701.75</w:t>
                  </w:r>
                  <w:r>
                    <w:rPr>
                      <w:rFonts w:hint="default" w:ascii="Times New Roman" w:hAnsi="Times New Roman" w:eastAsia="宋体" w:cs="Times New Roman"/>
                      <w:b w:val="0"/>
                      <w:bCs w:val="0"/>
                      <w:snapToGrid w:val="0"/>
                      <w:color w:val="auto"/>
                      <w:kern w:val="0"/>
                      <w:sz w:val="21"/>
                      <w:szCs w:val="21"/>
                    </w:rPr>
                    <w:t>m</w:t>
                  </w:r>
                  <w:r>
                    <w:rPr>
                      <w:rFonts w:hint="default" w:ascii="Times New Roman" w:hAnsi="Times New Roman" w:eastAsia="宋体" w:cs="Times New Roman"/>
                      <w:b w:val="0"/>
                      <w:bCs w:val="0"/>
                      <w:snapToGrid w:val="0"/>
                      <w:color w:val="auto"/>
                      <w:kern w:val="0"/>
                      <w:sz w:val="21"/>
                      <w:szCs w:val="21"/>
                      <w:vertAlign w:val="superscript"/>
                    </w:rPr>
                    <w:t>3</w:t>
                  </w:r>
                  <w:r>
                    <w:rPr>
                      <w:rFonts w:hint="default" w:ascii="Times New Roman" w:hAnsi="Times New Roman" w:eastAsia="宋体" w:cs="Times New Roman"/>
                      <w:b w:val="0"/>
                      <w:bCs w:val="0"/>
                      <w:snapToGrid w:val="0"/>
                      <w:color w:val="auto"/>
                      <w:kern w:val="0"/>
                      <w:sz w:val="21"/>
                      <w:szCs w:val="21"/>
                    </w:rPr>
                    <w:t>/a</w:t>
                  </w:r>
                </w:p>
              </w:tc>
              <w:tc>
                <w:tcPr>
                  <w:tcW w:w="736" w:type="pct"/>
                  <w:vMerge w:val="restart"/>
                  <w:noWrap w:val="0"/>
                  <w:vAlign w:val="center"/>
                </w:tcPr>
                <w:p w14:paraId="3FE2D5F8">
                  <w:pPr>
                    <w:pStyle w:val="2"/>
                    <w:adjustRightInd w:val="0"/>
                    <w:snapToGrid w:val="0"/>
                    <w:jc w:val="center"/>
                    <w:outlineLvl w:val="2"/>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处理前</w:t>
                  </w:r>
                </w:p>
              </w:tc>
              <w:tc>
                <w:tcPr>
                  <w:tcW w:w="1342" w:type="pct"/>
                  <w:noWrap w:val="0"/>
                  <w:vAlign w:val="center"/>
                </w:tcPr>
                <w:p w14:paraId="23684F80">
                  <w:pPr>
                    <w:widowControl/>
                    <w:adjustRightInd w:val="0"/>
                    <w:snapToGrid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产生浓度（mg/L)</w:t>
                  </w:r>
                </w:p>
              </w:tc>
              <w:tc>
                <w:tcPr>
                  <w:tcW w:w="632" w:type="pct"/>
                  <w:noWrap w:val="0"/>
                  <w:vAlign w:val="center"/>
                </w:tcPr>
                <w:p w14:paraId="3B000E1A">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6~9</w:t>
                  </w:r>
                </w:p>
              </w:tc>
              <w:tc>
                <w:tcPr>
                  <w:tcW w:w="632" w:type="pct"/>
                  <w:noWrap w:val="0"/>
                  <w:vAlign w:val="center"/>
                </w:tcPr>
                <w:p w14:paraId="3D22CE6D">
                  <w:pPr>
                    <w:widowControl/>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2948</w:t>
                  </w:r>
                </w:p>
              </w:tc>
            </w:tr>
            <w:tr w14:paraId="0B86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866" w:type="pct"/>
                  <w:vMerge w:val="continue"/>
                  <w:noWrap w:val="0"/>
                  <w:vAlign w:val="center"/>
                </w:tcPr>
                <w:p w14:paraId="7352D516">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789" w:type="pct"/>
                  <w:vMerge w:val="continue"/>
                  <w:noWrap w:val="0"/>
                  <w:vAlign w:val="center"/>
                </w:tcPr>
                <w:p w14:paraId="65F31517">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736" w:type="pct"/>
                  <w:vMerge w:val="continue"/>
                  <w:noWrap w:val="0"/>
                  <w:vAlign w:val="center"/>
                </w:tcPr>
                <w:p w14:paraId="4EE2B04C">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1342" w:type="pct"/>
                  <w:noWrap w:val="0"/>
                  <w:vAlign w:val="center"/>
                </w:tcPr>
                <w:p w14:paraId="74EBE65A">
                  <w:pPr>
                    <w:widowControl/>
                    <w:adjustRightInd w:val="0"/>
                    <w:snapToGrid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产生量（t/a）</w:t>
                  </w:r>
                </w:p>
              </w:tc>
              <w:tc>
                <w:tcPr>
                  <w:tcW w:w="632" w:type="pct"/>
                  <w:noWrap w:val="0"/>
                  <w:vAlign w:val="center"/>
                </w:tcPr>
                <w:p w14:paraId="5EB7DA1D">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32" w:type="pct"/>
                  <w:noWrap w:val="0"/>
                  <w:vAlign w:val="center"/>
                </w:tcPr>
                <w:p w14:paraId="6B55B157">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140.11</w:t>
                  </w:r>
                </w:p>
              </w:tc>
            </w:tr>
            <w:tr w14:paraId="1A6D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866" w:type="pct"/>
                  <w:vMerge w:val="continue"/>
                  <w:noWrap w:val="0"/>
                  <w:vAlign w:val="center"/>
                </w:tcPr>
                <w:p w14:paraId="1B49877C">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789" w:type="pct"/>
                  <w:vMerge w:val="continue"/>
                  <w:noWrap w:val="0"/>
                  <w:vAlign w:val="center"/>
                </w:tcPr>
                <w:p w14:paraId="7A2CA6B6">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736" w:type="pct"/>
                  <w:noWrap w:val="0"/>
                  <w:vAlign w:val="center"/>
                </w:tcPr>
                <w:p w14:paraId="2A4DFBB3">
                  <w:pPr>
                    <w:pStyle w:val="2"/>
                    <w:adjustRightInd w:val="0"/>
                    <w:snapToGrid w:val="0"/>
                    <w:jc w:val="cente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处理措施</w:t>
                  </w:r>
                </w:p>
              </w:tc>
              <w:tc>
                <w:tcPr>
                  <w:tcW w:w="2607" w:type="pct"/>
                  <w:gridSpan w:val="3"/>
                  <w:noWrap w:val="0"/>
                  <w:vAlign w:val="center"/>
                </w:tcPr>
                <w:p w14:paraId="70514D2D">
                  <w:pPr>
                    <w:widowControl/>
                    <w:adjustRightInd w:val="0"/>
                    <w:snapToGrid w:val="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bidi="ar"/>
                    </w:rPr>
                    <w:t>沉淀+过滤罐+板框压滤</w:t>
                  </w:r>
                </w:p>
              </w:tc>
            </w:tr>
            <w:tr w14:paraId="2596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866" w:type="pct"/>
                  <w:vMerge w:val="continue"/>
                  <w:noWrap w:val="0"/>
                  <w:vAlign w:val="center"/>
                </w:tcPr>
                <w:p w14:paraId="49EF6DB7">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789" w:type="pct"/>
                  <w:vMerge w:val="continue"/>
                  <w:noWrap w:val="0"/>
                  <w:vAlign w:val="center"/>
                </w:tcPr>
                <w:p w14:paraId="7A25EA3B">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736" w:type="pct"/>
                  <w:vMerge w:val="restart"/>
                  <w:noWrap w:val="0"/>
                  <w:vAlign w:val="center"/>
                </w:tcPr>
                <w:p w14:paraId="250DDD91">
                  <w:pPr>
                    <w:pStyle w:val="2"/>
                    <w:adjustRightInd w:val="0"/>
                    <w:snapToGrid w:val="0"/>
                    <w:jc w:val="center"/>
                    <w:outlineLvl w:val="2"/>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处理后</w:t>
                  </w:r>
                </w:p>
              </w:tc>
              <w:tc>
                <w:tcPr>
                  <w:tcW w:w="1342" w:type="pct"/>
                  <w:noWrap w:val="0"/>
                  <w:vAlign w:val="center"/>
                </w:tcPr>
                <w:p w14:paraId="311F11EF">
                  <w:pPr>
                    <w:widowControl/>
                    <w:adjustRightInd w:val="0"/>
                    <w:snapToGrid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产生浓度（mg/L)</w:t>
                  </w:r>
                </w:p>
              </w:tc>
              <w:tc>
                <w:tcPr>
                  <w:tcW w:w="632" w:type="pct"/>
                  <w:noWrap w:val="0"/>
                  <w:vAlign w:val="center"/>
                </w:tcPr>
                <w:p w14:paraId="4E5EFF64">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10.8</w:t>
                  </w:r>
                </w:p>
              </w:tc>
              <w:tc>
                <w:tcPr>
                  <w:tcW w:w="632" w:type="pct"/>
                  <w:noWrap w:val="0"/>
                  <w:vAlign w:val="center"/>
                </w:tcPr>
                <w:p w14:paraId="2DC64C9F">
                  <w:pPr>
                    <w:widowControl/>
                    <w:jc w:val="center"/>
                    <w:textAlignment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300</w:t>
                  </w:r>
                </w:p>
              </w:tc>
            </w:tr>
            <w:tr w14:paraId="2B5C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866" w:type="pct"/>
                  <w:vMerge w:val="continue"/>
                  <w:noWrap w:val="0"/>
                  <w:vAlign w:val="center"/>
                </w:tcPr>
                <w:p w14:paraId="37DC9D58">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789" w:type="pct"/>
                  <w:vMerge w:val="continue"/>
                  <w:noWrap w:val="0"/>
                  <w:vAlign w:val="center"/>
                </w:tcPr>
                <w:p w14:paraId="5101C370">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736" w:type="pct"/>
                  <w:vMerge w:val="continue"/>
                  <w:noWrap w:val="0"/>
                  <w:vAlign w:val="center"/>
                </w:tcPr>
                <w:p w14:paraId="36B5F9D9">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1342" w:type="pct"/>
                  <w:noWrap w:val="0"/>
                  <w:vAlign w:val="center"/>
                </w:tcPr>
                <w:p w14:paraId="6D7D54BC">
                  <w:pPr>
                    <w:widowControl/>
                    <w:adjustRightInd w:val="0"/>
                    <w:snapToGrid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产生量（t/a）</w:t>
                  </w:r>
                </w:p>
              </w:tc>
              <w:tc>
                <w:tcPr>
                  <w:tcW w:w="632" w:type="pct"/>
                  <w:noWrap w:val="0"/>
                  <w:vAlign w:val="center"/>
                </w:tcPr>
                <w:p w14:paraId="787DE99C">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632" w:type="pct"/>
                  <w:noWrap w:val="0"/>
                  <w:vAlign w:val="center"/>
                </w:tcPr>
                <w:p w14:paraId="4F52685E">
                  <w:pPr>
                    <w:widowControl/>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14.01</w:t>
                  </w:r>
                </w:p>
              </w:tc>
            </w:tr>
            <w:tr w14:paraId="7102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866" w:type="pct"/>
                  <w:vMerge w:val="continue"/>
                  <w:noWrap w:val="0"/>
                  <w:vAlign w:val="center"/>
                </w:tcPr>
                <w:p w14:paraId="45CF01B0">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789" w:type="pct"/>
                  <w:vMerge w:val="continue"/>
                  <w:noWrap w:val="0"/>
                  <w:vAlign w:val="center"/>
                </w:tcPr>
                <w:p w14:paraId="754651F0">
                  <w:pPr>
                    <w:pStyle w:val="2"/>
                    <w:adjustRightInd w:val="0"/>
                    <w:snapToGrid w:val="0"/>
                    <w:jc w:val="center"/>
                    <w:outlineLvl w:val="2"/>
                    <w:rPr>
                      <w:rFonts w:hint="default" w:ascii="Times New Roman" w:hAnsi="Times New Roman" w:eastAsia="宋体" w:cs="Times New Roman"/>
                      <w:b w:val="0"/>
                      <w:bCs w:val="0"/>
                      <w:color w:val="auto"/>
                      <w:sz w:val="21"/>
                      <w:szCs w:val="21"/>
                    </w:rPr>
                  </w:pPr>
                </w:p>
              </w:tc>
              <w:tc>
                <w:tcPr>
                  <w:tcW w:w="736" w:type="pct"/>
                  <w:noWrap w:val="0"/>
                  <w:vAlign w:val="center"/>
                </w:tcPr>
                <w:p w14:paraId="15D4ED18">
                  <w:pPr>
                    <w:pStyle w:val="2"/>
                    <w:adjustRightInd w:val="0"/>
                    <w:snapToGrid w:val="0"/>
                    <w:jc w:val="center"/>
                    <w:outlineLvl w:val="2"/>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rPr>
                    <w:t>去向</w:t>
                  </w:r>
                </w:p>
              </w:tc>
              <w:tc>
                <w:tcPr>
                  <w:tcW w:w="2607" w:type="pct"/>
                  <w:gridSpan w:val="3"/>
                  <w:noWrap w:val="0"/>
                  <w:vAlign w:val="center"/>
                </w:tcPr>
                <w:p w14:paraId="08A7ABCA">
                  <w:pPr>
                    <w:widowControl/>
                    <w:adjustRightInd w:val="0"/>
                    <w:snapToGrid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kern w:val="0"/>
                      <w:sz w:val="21"/>
                      <w:szCs w:val="21"/>
                      <w:lang w:bidi="ar"/>
                    </w:rPr>
                    <w:t>全部回用于</w:t>
                  </w:r>
                  <w:r>
                    <w:rPr>
                      <w:rFonts w:hint="eastAsia" w:ascii="Times New Roman" w:hAnsi="Times New Roman" w:eastAsia="宋体" w:cs="Times New Roman"/>
                      <w:b/>
                      <w:bCs/>
                      <w:color w:val="auto"/>
                      <w:kern w:val="0"/>
                      <w:sz w:val="21"/>
                      <w:szCs w:val="21"/>
                      <w:lang w:val="en-US" w:eastAsia="zh-CN" w:bidi="ar"/>
                    </w:rPr>
                    <w:t>生产</w:t>
                  </w:r>
                  <w:r>
                    <w:rPr>
                      <w:rFonts w:hint="default" w:ascii="Times New Roman" w:hAnsi="Times New Roman" w:eastAsia="宋体" w:cs="Times New Roman"/>
                      <w:b/>
                      <w:bCs/>
                      <w:color w:val="auto"/>
                      <w:kern w:val="0"/>
                      <w:sz w:val="21"/>
                      <w:szCs w:val="21"/>
                      <w:lang w:bidi="ar"/>
                    </w:rPr>
                    <w:t>，不外排</w:t>
                  </w:r>
                </w:p>
              </w:tc>
            </w:tr>
          </w:tbl>
          <w:p w14:paraId="72FB4BCD">
            <w:pPr>
              <w:pStyle w:val="22"/>
              <w:keepNext w:val="0"/>
              <w:keepLines w:val="0"/>
              <w:pageBreakBefore w:val="0"/>
              <w:widowControl/>
              <w:numPr>
                <w:ilvl w:val="0"/>
                <w:numId w:val="3"/>
              </w:numPr>
              <w:kinsoku w:val="0"/>
              <w:wordWrap/>
              <w:overflowPunct/>
              <w:topLinePunct w:val="0"/>
              <w:autoSpaceDE w:val="0"/>
              <w:autoSpaceDN w:val="0"/>
              <w:bidi w:val="0"/>
              <w:adjustRightInd w:val="0"/>
              <w:snapToGrid w:val="0"/>
              <w:spacing w:before="0" w:beforeLines="50" w:line="360" w:lineRule="auto"/>
              <w:ind w:right="147" w:firstLine="476" w:firstLineChars="200"/>
              <w:textAlignment w:val="baseline"/>
              <w:rPr>
                <w:color w:val="auto"/>
                <w:spacing w:val="-1"/>
              </w:rPr>
            </w:pPr>
            <w:r>
              <w:rPr>
                <w:color w:val="auto"/>
                <w:spacing w:val="-1"/>
              </w:rPr>
              <w:t>生活污水：</w:t>
            </w:r>
            <w:r>
              <w:rPr>
                <w:b w:val="0"/>
                <w:bCs w:val="0"/>
                <w:color w:val="auto"/>
                <w:spacing w:val="-1"/>
              </w:rPr>
              <w:t>项目</w:t>
            </w:r>
            <w:r>
              <w:rPr>
                <w:color w:val="auto"/>
                <w:spacing w:val="-1"/>
              </w:rPr>
              <w:t>生活污水量为</w:t>
            </w:r>
            <w:r>
              <w:rPr>
                <w:color w:val="auto"/>
                <w:spacing w:val="-52"/>
              </w:rPr>
              <w:t xml:space="preserve"> </w:t>
            </w:r>
            <w:r>
              <w:rPr>
                <w:rFonts w:hint="eastAsia" w:ascii="Times New Roman" w:hAnsi="Times New Roman" w:cs="Times New Roman"/>
                <w:color w:val="auto"/>
                <w:spacing w:val="-2"/>
                <w:sz w:val="24"/>
                <w:szCs w:val="24"/>
                <w:lang w:val="en-US" w:eastAsia="zh-CN"/>
              </w:rPr>
              <w:t>99</w:t>
            </w:r>
            <w:r>
              <w:rPr>
                <w:rFonts w:hint="default" w:ascii="Times New Roman" w:hAnsi="Times New Roman" w:eastAsia="宋体" w:cs="Times New Roman"/>
                <w:color w:val="auto"/>
                <w:spacing w:val="-2"/>
                <w:sz w:val="24"/>
                <w:szCs w:val="24"/>
              </w:rPr>
              <w:t>m</w:t>
            </w:r>
            <w:r>
              <w:rPr>
                <w:rFonts w:hint="eastAsia" w:ascii="Times New Roman" w:hAnsi="Times New Roman" w:cs="Times New Roman"/>
                <w:color w:val="auto"/>
                <w:spacing w:val="-2"/>
                <w:sz w:val="24"/>
                <w:szCs w:val="24"/>
                <w:vertAlign w:val="superscript"/>
                <w:lang w:val="en-US" w:eastAsia="zh-CN"/>
              </w:rPr>
              <w:t>3</w:t>
            </w:r>
            <w:r>
              <w:rPr>
                <w:rFonts w:hint="default" w:ascii="Times New Roman" w:hAnsi="Times New Roman" w:eastAsia="宋体" w:cs="Times New Roman"/>
                <w:color w:val="auto"/>
                <w:spacing w:val="-2"/>
                <w:sz w:val="24"/>
                <w:szCs w:val="24"/>
              </w:rPr>
              <w:t>/</w:t>
            </w:r>
            <w:r>
              <w:rPr>
                <w:rFonts w:hint="eastAsia" w:ascii="Times New Roman" w:hAnsi="Times New Roman" w:cs="Times New Roman"/>
                <w:color w:val="auto"/>
                <w:spacing w:val="-2"/>
                <w:sz w:val="24"/>
                <w:szCs w:val="24"/>
                <w:lang w:val="en-US" w:eastAsia="zh-CN"/>
              </w:rPr>
              <w:t>a</w:t>
            </w:r>
            <w:r>
              <w:rPr>
                <w:rFonts w:hint="default" w:ascii="Times New Roman" w:hAnsi="Times New Roman" w:eastAsia="宋体" w:cs="Times New Roman"/>
                <w:color w:val="auto"/>
                <w:spacing w:val="-2"/>
                <w:sz w:val="24"/>
                <w:szCs w:val="24"/>
              </w:rPr>
              <w:t>（</w:t>
            </w:r>
            <w:r>
              <w:rPr>
                <w:rFonts w:hint="eastAsia" w:ascii="Times New Roman" w:hAnsi="Times New Roman" w:cs="Times New Roman"/>
                <w:color w:val="auto"/>
                <w:spacing w:val="-2"/>
                <w:sz w:val="24"/>
                <w:szCs w:val="24"/>
                <w:lang w:val="en-US" w:eastAsia="zh-CN"/>
              </w:rPr>
              <w:t>0.32</w:t>
            </w:r>
            <w:r>
              <w:rPr>
                <w:rFonts w:hint="default" w:ascii="Times New Roman" w:hAnsi="Times New Roman" w:eastAsia="宋体" w:cs="Times New Roman"/>
                <w:color w:val="auto"/>
                <w:spacing w:val="-2"/>
                <w:sz w:val="24"/>
                <w:szCs w:val="24"/>
              </w:rPr>
              <w:t>m</w:t>
            </w:r>
            <w:r>
              <w:rPr>
                <w:rFonts w:hint="eastAsia" w:ascii="Times New Roman" w:hAnsi="Times New Roman" w:cs="Times New Roman"/>
                <w:color w:val="auto"/>
                <w:spacing w:val="-2"/>
                <w:sz w:val="24"/>
                <w:szCs w:val="24"/>
                <w:vertAlign w:val="superscript"/>
                <w:lang w:val="en-US" w:eastAsia="zh-CN"/>
              </w:rPr>
              <w:t>3</w:t>
            </w:r>
            <w:r>
              <w:rPr>
                <w:rFonts w:hint="default" w:ascii="Times New Roman" w:hAnsi="Times New Roman" w:eastAsia="宋体" w:cs="Times New Roman"/>
                <w:color w:val="auto"/>
                <w:spacing w:val="-2"/>
                <w:sz w:val="24"/>
                <w:szCs w:val="24"/>
              </w:rPr>
              <w:t>/</w:t>
            </w:r>
            <w:r>
              <w:rPr>
                <w:rFonts w:hint="eastAsia" w:ascii="Times New Roman" w:hAnsi="Times New Roman" w:cs="Times New Roman"/>
                <w:color w:val="auto"/>
                <w:spacing w:val="-2"/>
                <w:sz w:val="24"/>
                <w:szCs w:val="24"/>
                <w:lang w:val="en-US" w:eastAsia="zh-CN"/>
              </w:rPr>
              <w:t>d</w:t>
            </w:r>
            <w:r>
              <w:rPr>
                <w:rFonts w:hint="default" w:ascii="Times New Roman" w:hAnsi="Times New Roman" w:eastAsia="宋体" w:cs="Times New Roman"/>
                <w:color w:val="auto"/>
                <w:spacing w:val="-2"/>
                <w:sz w:val="24"/>
                <w:szCs w:val="24"/>
              </w:rPr>
              <w:t>）</w:t>
            </w:r>
            <w:r>
              <w:rPr>
                <w:color w:val="auto"/>
                <w:spacing w:val="12"/>
              </w:rPr>
              <w:t>，</w:t>
            </w:r>
            <w:r>
              <w:rPr>
                <w:color w:val="auto"/>
                <w:spacing w:val="-1"/>
              </w:rPr>
              <w:t>其主要污染物</w:t>
            </w:r>
            <w:r>
              <w:rPr>
                <w:color w:val="auto"/>
              </w:rPr>
              <w:t xml:space="preserve"> </w:t>
            </w:r>
            <w:r>
              <w:rPr>
                <w:color w:val="auto"/>
                <w:spacing w:val="-7"/>
              </w:rPr>
              <w:t>的产生浓度分别为</w:t>
            </w:r>
            <w:r>
              <w:rPr>
                <w:color w:val="auto"/>
                <w:spacing w:val="-61"/>
              </w:rPr>
              <w:t xml:space="preserve"> </w:t>
            </w:r>
            <w:r>
              <w:rPr>
                <w:rFonts w:ascii="Times New Roman" w:hAnsi="Times New Roman" w:eastAsia="Times New Roman" w:cs="Times New Roman"/>
                <w:color w:val="auto"/>
                <w:spacing w:val="-7"/>
              </w:rPr>
              <w:t xml:space="preserve">COD  </w:t>
            </w:r>
            <w:r>
              <w:rPr>
                <w:color w:val="auto"/>
                <w:spacing w:val="-7"/>
              </w:rPr>
              <w:t>约</w:t>
            </w:r>
            <w:r>
              <w:rPr>
                <w:color w:val="auto"/>
                <w:spacing w:val="-60"/>
              </w:rPr>
              <w:t xml:space="preserve"> </w:t>
            </w:r>
            <w:r>
              <w:rPr>
                <w:rFonts w:hint="eastAsia" w:ascii="Times New Roman" w:hAnsi="Times New Roman" w:eastAsia="宋体" w:cs="Times New Roman"/>
                <w:color w:val="auto"/>
                <w:spacing w:val="-7"/>
                <w:lang w:val="en-US" w:eastAsia="zh-CN"/>
              </w:rPr>
              <w:t>25</w:t>
            </w:r>
            <w:r>
              <w:rPr>
                <w:rFonts w:ascii="Times New Roman" w:hAnsi="Times New Roman" w:eastAsia="Times New Roman" w:cs="Times New Roman"/>
                <w:color w:val="auto"/>
                <w:spacing w:val="-7"/>
              </w:rPr>
              <w:t>0mg/L</w:t>
            </w:r>
            <w:r>
              <w:rPr>
                <w:color w:val="auto"/>
                <w:spacing w:val="-7"/>
              </w:rPr>
              <w:t>，</w:t>
            </w:r>
            <w:r>
              <w:rPr>
                <w:rFonts w:ascii="Times New Roman" w:hAnsi="Times New Roman" w:eastAsia="Times New Roman" w:cs="Times New Roman"/>
                <w:color w:val="auto"/>
                <w:spacing w:val="-7"/>
              </w:rPr>
              <w:t>BOD</w:t>
            </w:r>
            <w:r>
              <w:rPr>
                <w:rFonts w:ascii="Times New Roman" w:hAnsi="Times New Roman" w:eastAsia="Times New Roman" w:cs="Times New Roman"/>
                <w:color w:val="auto"/>
                <w:spacing w:val="-7"/>
                <w:position w:val="-1"/>
                <w:sz w:val="15"/>
                <w:szCs w:val="15"/>
              </w:rPr>
              <w:t xml:space="preserve">5    </w:t>
            </w:r>
            <w:r>
              <w:rPr>
                <w:color w:val="auto"/>
                <w:spacing w:val="-7"/>
              </w:rPr>
              <w:t>约</w:t>
            </w:r>
            <w:r>
              <w:rPr>
                <w:color w:val="auto"/>
                <w:spacing w:val="-39"/>
              </w:rPr>
              <w:t xml:space="preserve"> </w:t>
            </w:r>
            <w:r>
              <w:rPr>
                <w:rFonts w:ascii="Times New Roman" w:hAnsi="Times New Roman" w:eastAsia="Times New Roman" w:cs="Times New Roman"/>
                <w:color w:val="auto"/>
                <w:spacing w:val="-7"/>
              </w:rPr>
              <w:t>150mg/L</w:t>
            </w:r>
            <w:r>
              <w:rPr>
                <w:color w:val="auto"/>
                <w:spacing w:val="-57"/>
                <w:w w:val="99"/>
              </w:rPr>
              <w:t>，</w:t>
            </w:r>
            <w:r>
              <w:rPr>
                <w:rFonts w:ascii="Times New Roman" w:hAnsi="Times New Roman" w:eastAsia="Times New Roman" w:cs="Times New Roman"/>
                <w:color w:val="auto"/>
                <w:spacing w:val="-4"/>
              </w:rPr>
              <w:t xml:space="preserve">SS </w:t>
            </w:r>
            <w:r>
              <w:rPr>
                <w:color w:val="auto"/>
                <w:spacing w:val="-4"/>
              </w:rPr>
              <w:t>约为</w:t>
            </w:r>
            <w:r>
              <w:rPr>
                <w:rFonts w:hint="eastAsia" w:ascii="Times New Roman" w:hAnsi="Times New Roman" w:eastAsia="宋体" w:cs="Times New Roman"/>
                <w:color w:val="auto"/>
                <w:spacing w:val="-4"/>
                <w:lang w:val="en-US" w:eastAsia="zh-CN"/>
              </w:rPr>
              <w:t>1</w:t>
            </w:r>
            <w:r>
              <w:rPr>
                <w:rFonts w:ascii="Times New Roman" w:hAnsi="Times New Roman" w:eastAsia="Times New Roman" w:cs="Times New Roman"/>
                <w:color w:val="auto"/>
                <w:spacing w:val="-4"/>
              </w:rPr>
              <w:t>0mg/L</w:t>
            </w:r>
            <w:r>
              <w:rPr>
                <w:rFonts w:ascii="Times New Roman" w:hAnsi="Times New Roman" w:eastAsia="Times New Roman" w:cs="Times New Roman"/>
                <w:color w:val="auto"/>
                <w:spacing w:val="-28"/>
              </w:rPr>
              <w:t xml:space="preserve"> </w:t>
            </w:r>
            <w:r>
              <w:rPr>
                <w:color w:val="auto"/>
                <w:spacing w:val="-4"/>
              </w:rPr>
              <w:t>，氨氮约</w:t>
            </w:r>
            <w:r>
              <w:rPr>
                <w:color w:val="auto"/>
                <w:spacing w:val="-55"/>
              </w:rPr>
              <w:t xml:space="preserve"> </w:t>
            </w:r>
            <w:r>
              <w:rPr>
                <w:rFonts w:ascii="Times New Roman" w:hAnsi="Times New Roman" w:eastAsia="Times New Roman" w:cs="Times New Roman"/>
                <w:color w:val="auto"/>
                <w:spacing w:val="-4"/>
              </w:rPr>
              <w:t>2</w:t>
            </w:r>
            <w:r>
              <w:rPr>
                <w:rFonts w:hint="eastAsia" w:ascii="Times New Roman" w:hAnsi="Times New Roman" w:eastAsia="宋体" w:cs="Times New Roman"/>
                <w:color w:val="auto"/>
                <w:spacing w:val="-4"/>
                <w:lang w:val="en-US" w:eastAsia="zh-CN"/>
              </w:rPr>
              <w:t>5</w:t>
            </w:r>
            <w:r>
              <w:rPr>
                <w:rFonts w:ascii="Times New Roman" w:hAnsi="Times New Roman" w:eastAsia="Times New Roman" w:cs="Times New Roman"/>
                <w:color w:val="auto"/>
                <w:spacing w:val="-4"/>
              </w:rPr>
              <w:t>mg/L</w:t>
            </w:r>
            <w:r>
              <w:rPr>
                <w:rFonts w:ascii="Times New Roman" w:hAnsi="Times New Roman" w:eastAsia="Times New Roman" w:cs="Times New Roman"/>
                <w:color w:val="auto"/>
                <w:spacing w:val="-24"/>
              </w:rPr>
              <w:t xml:space="preserve"> </w:t>
            </w:r>
            <w:r>
              <w:rPr>
                <w:color w:val="auto"/>
                <w:spacing w:val="-4"/>
                <w:highlight w:val="none"/>
              </w:rPr>
              <w:t>。生活污水经过</w:t>
            </w:r>
            <w:r>
              <w:rPr>
                <w:color w:val="auto"/>
                <w:spacing w:val="-1"/>
                <w:highlight w:val="none"/>
              </w:rPr>
              <w:t>化粪池处理后</w:t>
            </w:r>
            <w:r>
              <w:rPr>
                <w:rFonts w:hint="eastAsia"/>
                <w:color w:val="auto"/>
                <w:spacing w:val="-1"/>
                <w:highlight w:val="none"/>
                <w:lang w:eastAsia="zh-CN"/>
              </w:rPr>
              <w:t>，</w:t>
            </w:r>
            <w:r>
              <w:rPr>
                <w:color w:val="auto"/>
                <w:spacing w:val="-1"/>
                <w:highlight w:val="none"/>
              </w:rPr>
              <w:t>用于</w:t>
            </w:r>
            <w:r>
              <w:rPr>
                <w:rFonts w:hint="eastAsia"/>
                <w:color w:val="auto"/>
                <w:spacing w:val="-1"/>
                <w:highlight w:val="none"/>
                <w:lang w:val="en-US" w:eastAsia="zh-CN"/>
              </w:rPr>
              <w:t>周边林地</w:t>
            </w:r>
            <w:r>
              <w:rPr>
                <w:color w:val="auto"/>
                <w:spacing w:val="-1"/>
                <w:highlight w:val="none"/>
              </w:rPr>
              <w:t>灌溉，</w:t>
            </w:r>
            <w:r>
              <w:rPr>
                <w:color w:val="auto"/>
                <w:spacing w:val="-1"/>
              </w:rPr>
              <w:t>不外排。</w:t>
            </w:r>
          </w:p>
          <w:p w14:paraId="50CAC135">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147" w:rightChars="0"/>
              <w:jc w:val="center"/>
              <w:textAlignment w:val="baseline"/>
              <w:rPr>
                <w:rFonts w:hint="default" w:ascii="Times New Roman" w:hAnsi="Times New Roman" w:cs="Times New Roman"/>
                <w:b/>
                <w:bCs/>
                <w:color w:val="auto"/>
                <w:spacing w:val="-1"/>
                <w:lang w:val="en-US" w:eastAsia="zh-CN"/>
              </w:rPr>
            </w:pPr>
            <w:r>
              <w:rPr>
                <w:rFonts w:hint="default" w:ascii="Times New Roman" w:hAnsi="Times New Roman" w:cs="Times New Roman"/>
                <w:b/>
                <w:bCs/>
                <w:color w:val="auto"/>
                <w:spacing w:val="-1"/>
                <w:lang w:val="en-US" w:eastAsia="zh-CN"/>
              </w:rPr>
              <w:t>表4-3 项目生活污水产排情况</w:t>
            </w:r>
          </w:p>
          <w:tbl>
            <w:tblPr>
              <w:tblStyle w:val="18"/>
              <w:tblW w:w="8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386"/>
              <w:gridCol w:w="1011"/>
              <w:gridCol w:w="1050"/>
              <w:gridCol w:w="822"/>
              <w:gridCol w:w="1872"/>
              <w:gridCol w:w="1049"/>
              <w:gridCol w:w="823"/>
            </w:tblGrid>
            <w:tr w14:paraId="46EA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 w:hRule="atLeast"/>
                <w:jc w:val="center"/>
              </w:trPr>
              <w:tc>
                <w:tcPr>
                  <w:tcW w:w="864" w:type="pct"/>
                  <w:vMerge w:val="restart"/>
                  <w:vAlign w:val="center"/>
                </w:tcPr>
                <w:p w14:paraId="71EABA19">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bidi="ar"/>
                    </w:rPr>
                    <w:t>废水</w:t>
                  </w:r>
                </w:p>
              </w:tc>
              <w:tc>
                <w:tcPr>
                  <w:tcW w:w="630" w:type="pct"/>
                  <w:vMerge w:val="restart"/>
                  <w:vAlign w:val="center"/>
                </w:tcPr>
                <w:p w14:paraId="221F0DDD">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bidi="ar"/>
                    </w:rPr>
                    <w:t>污染因子</w:t>
                  </w:r>
                </w:p>
              </w:tc>
              <w:tc>
                <w:tcPr>
                  <w:tcW w:w="1168" w:type="pct"/>
                  <w:gridSpan w:val="2"/>
                  <w:vAlign w:val="center"/>
                </w:tcPr>
                <w:p w14:paraId="3E6CA1CA">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bidi="ar"/>
                    </w:rPr>
                    <w:t>产生情况</w:t>
                  </w:r>
                </w:p>
              </w:tc>
              <w:tc>
                <w:tcPr>
                  <w:tcW w:w="1168" w:type="pct"/>
                  <w:vMerge w:val="restart"/>
                  <w:vAlign w:val="center"/>
                </w:tcPr>
                <w:p w14:paraId="04C2172F">
                  <w:pPr>
                    <w:adjustRightInd w:val="0"/>
                    <w:snapToGrid w:val="0"/>
                    <w:jc w:val="center"/>
                    <w:rPr>
                      <w:rFonts w:hint="default" w:ascii="Times New Roman" w:hAnsi="Times New Roman" w:eastAsia="宋体" w:cs="Times New Roman"/>
                      <w:b/>
                      <w:color w:val="auto"/>
                      <w:sz w:val="21"/>
                      <w:szCs w:val="21"/>
                      <w:lang w:val="en-US" w:eastAsia="zh-CN" w:bidi="ar"/>
                    </w:rPr>
                  </w:pPr>
                  <w:r>
                    <w:rPr>
                      <w:rFonts w:hint="default" w:ascii="Times New Roman" w:hAnsi="Times New Roman" w:eastAsia="宋体" w:cs="Times New Roman"/>
                      <w:b/>
                      <w:color w:val="auto"/>
                      <w:sz w:val="21"/>
                      <w:szCs w:val="21"/>
                      <w:lang w:val="en-US" w:eastAsia="zh-CN" w:bidi="ar"/>
                    </w:rPr>
                    <w:t>治理措施</w:t>
                  </w:r>
                </w:p>
              </w:tc>
              <w:tc>
                <w:tcPr>
                  <w:tcW w:w="1168" w:type="pct"/>
                  <w:gridSpan w:val="2"/>
                  <w:vAlign w:val="center"/>
                </w:tcPr>
                <w:p w14:paraId="71690443">
                  <w:pPr>
                    <w:adjustRightInd w:val="0"/>
                    <w:snapToGrid w:val="0"/>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bidi="ar"/>
                    </w:rPr>
                    <w:t>排放情况</w:t>
                  </w:r>
                </w:p>
              </w:tc>
            </w:tr>
            <w:tr w14:paraId="3A10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864" w:type="pct"/>
                  <w:vMerge w:val="continue"/>
                  <w:vAlign w:val="center"/>
                </w:tcPr>
                <w:p w14:paraId="465B4263">
                  <w:pPr>
                    <w:adjustRightInd w:val="0"/>
                    <w:snapToGrid w:val="0"/>
                    <w:jc w:val="center"/>
                    <w:rPr>
                      <w:rFonts w:hint="default" w:ascii="Times New Roman" w:hAnsi="Times New Roman" w:eastAsia="宋体" w:cs="Times New Roman"/>
                      <w:color w:val="auto"/>
                      <w:sz w:val="21"/>
                      <w:szCs w:val="21"/>
                    </w:rPr>
                  </w:pPr>
                </w:p>
              </w:tc>
              <w:tc>
                <w:tcPr>
                  <w:tcW w:w="630" w:type="pct"/>
                  <w:vMerge w:val="continue"/>
                  <w:vAlign w:val="center"/>
                </w:tcPr>
                <w:p w14:paraId="612F4511">
                  <w:pPr>
                    <w:adjustRightInd w:val="0"/>
                    <w:snapToGrid w:val="0"/>
                    <w:jc w:val="center"/>
                    <w:rPr>
                      <w:rFonts w:hint="default" w:ascii="Times New Roman" w:hAnsi="Times New Roman" w:eastAsia="宋体" w:cs="Times New Roman"/>
                      <w:color w:val="auto"/>
                      <w:sz w:val="21"/>
                      <w:szCs w:val="21"/>
                    </w:rPr>
                  </w:pPr>
                </w:p>
              </w:tc>
              <w:tc>
                <w:tcPr>
                  <w:tcW w:w="655" w:type="pct"/>
                  <w:vAlign w:val="center"/>
                </w:tcPr>
                <w:p w14:paraId="4B7332DA">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bidi="ar"/>
                    </w:rPr>
                    <w:t>产生浓度(mg/L)</w:t>
                  </w:r>
                </w:p>
              </w:tc>
              <w:tc>
                <w:tcPr>
                  <w:tcW w:w="512" w:type="pct"/>
                  <w:vAlign w:val="center"/>
                </w:tcPr>
                <w:p w14:paraId="2D8EFA10">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bidi="ar"/>
                    </w:rPr>
                    <w:t>产生量(t/a)</w:t>
                  </w:r>
                </w:p>
              </w:tc>
              <w:tc>
                <w:tcPr>
                  <w:tcW w:w="1168" w:type="pct"/>
                  <w:vMerge w:val="continue"/>
                  <w:vAlign w:val="center"/>
                </w:tcPr>
                <w:p w14:paraId="447B6913">
                  <w:pPr>
                    <w:adjustRightInd w:val="0"/>
                    <w:snapToGrid w:val="0"/>
                    <w:jc w:val="center"/>
                    <w:rPr>
                      <w:rFonts w:hint="default" w:ascii="Times New Roman" w:hAnsi="Times New Roman" w:eastAsia="宋体" w:cs="Times New Roman"/>
                      <w:b/>
                      <w:color w:val="auto"/>
                      <w:sz w:val="21"/>
                      <w:szCs w:val="21"/>
                      <w:lang w:bidi="ar"/>
                    </w:rPr>
                  </w:pPr>
                </w:p>
              </w:tc>
              <w:tc>
                <w:tcPr>
                  <w:tcW w:w="654" w:type="pct"/>
                  <w:vAlign w:val="center"/>
                </w:tcPr>
                <w:p w14:paraId="48E13EED">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bidi="ar"/>
                    </w:rPr>
                    <w:t>排放浓度(mg/L)</w:t>
                  </w:r>
                </w:p>
              </w:tc>
              <w:tc>
                <w:tcPr>
                  <w:tcW w:w="513" w:type="pct"/>
                  <w:vAlign w:val="center"/>
                </w:tcPr>
                <w:p w14:paraId="6D31C5A5">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bidi="ar"/>
                    </w:rPr>
                    <w:t>产生量(t/a)</w:t>
                  </w:r>
                </w:p>
              </w:tc>
            </w:tr>
            <w:tr w14:paraId="62B8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864" w:type="pct"/>
                  <w:vMerge w:val="restart"/>
                  <w:vAlign w:val="center"/>
                </w:tcPr>
                <w:p w14:paraId="5425B5C9">
                  <w:pPr>
                    <w:adjustRightInd w:val="0"/>
                    <w:snapToGrid w:val="0"/>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生活污水</w:t>
                  </w:r>
                </w:p>
                <w:p w14:paraId="08492C02">
                  <w:pPr>
                    <w:adjustRightInd w:val="0"/>
                    <w:snapToGrid w:val="0"/>
                    <w:jc w:val="center"/>
                    <w:rPr>
                      <w:rFonts w:hint="default" w:ascii="Times New Roman" w:hAnsi="Times New Roman" w:eastAsia="宋体" w:cs="Times New Roman"/>
                      <w:color w:val="auto"/>
                      <w:sz w:val="21"/>
                      <w:szCs w:val="21"/>
                      <w:lang w:bidi="ar"/>
                    </w:rPr>
                  </w:pPr>
                  <w:r>
                    <w:rPr>
                      <w:rFonts w:hint="eastAsia" w:ascii="Times New Roman" w:hAnsi="Times New Roman" w:eastAsia="宋体" w:cs="Times New Roman"/>
                      <w:color w:val="auto"/>
                      <w:sz w:val="21"/>
                      <w:szCs w:val="21"/>
                      <w:lang w:val="en-US" w:eastAsia="zh-CN" w:bidi="ar"/>
                    </w:rPr>
                    <w:t>99</w:t>
                  </w:r>
                  <w:r>
                    <w:rPr>
                      <w:rFonts w:hint="default" w:ascii="Times New Roman" w:hAnsi="Times New Roman" w:eastAsia="宋体" w:cs="Times New Roman"/>
                      <w:color w:val="auto"/>
                      <w:sz w:val="21"/>
                      <w:szCs w:val="21"/>
                      <w:lang w:bidi="ar"/>
                    </w:rPr>
                    <w:t>m³/a</w:t>
                  </w:r>
                </w:p>
                <w:p w14:paraId="083B91BD">
                  <w:pPr>
                    <w:adjustRightInd w:val="0"/>
                    <w:snapToGrid w:val="0"/>
                    <w:jc w:val="center"/>
                    <w:rPr>
                      <w:rFonts w:hint="eastAsia" w:ascii="Times New Roman" w:hAnsi="Times New Roman" w:eastAsia="宋体" w:cs="Times New Roman"/>
                      <w:color w:val="auto"/>
                      <w:sz w:val="21"/>
                      <w:szCs w:val="21"/>
                      <w:lang w:val="en-US" w:eastAsia="zh-CN" w:bidi="ar"/>
                    </w:rPr>
                  </w:pPr>
                  <w:r>
                    <w:rPr>
                      <w:rFonts w:hint="eastAsia" w:ascii="Times New Roman" w:hAnsi="Times New Roman" w:eastAsia="宋体" w:cs="Times New Roman"/>
                      <w:color w:val="auto"/>
                      <w:sz w:val="21"/>
                      <w:szCs w:val="21"/>
                      <w:lang w:val="en-US" w:eastAsia="zh-CN" w:bidi="ar"/>
                    </w:rPr>
                    <w:t>0.32</w:t>
                  </w:r>
                  <w:r>
                    <w:rPr>
                      <w:rFonts w:hint="default" w:ascii="Times New Roman" w:hAnsi="Times New Roman" w:eastAsia="宋体" w:cs="Times New Roman"/>
                      <w:color w:val="auto"/>
                      <w:sz w:val="21"/>
                      <w:szCs w:val="21"/>
                      <w:lang w:bidi="ar"/>
                    </w:rPr>
                    <w:t>m³/</w:t>
                  </w:r>
                  <w:r>
                    <w:rPr>
                      <w:rFonts w:hint="eastAsia" w:ascii="Times New Roman" w:hAnsi="Times New Roman" w:eastAsia="宋体" w:cs="Times New Roman"/>
                      <w:color w:val="auto"/>
                      <w:sz w:val="21"/>
                      <w:szCs w:val="21"/>
                      <w:lang w:val="en-US" w:eastAsia="zh-CN" w:bidi="ar"/>
                    </w:rPr>
                    <w:t>d</w:t>
                  </w:r>
                </w:p>
              </w:tc>
              <w:tc>
                <w:tcPr>
                  <w:tcW w:w="630" w:type="pct"/>
                  <w:vAlign w:val="center"/>
                </w:tcPr>
                <w:p w14:paraId="0B539132">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bidi="ar"/>
                    </w:rPr>
                    <w:t>COD</w:t>
                  </w:r>
                  <w:r>
                    <w:rPr>
                      <w:rFonts w:hint="default" w:ascii="Times New Roman" w:hAnsi="Times New Roman" w:eastAsia="宋体" w:cs="Times New Roman"/>
                      <w:color w:val="auto"/>
                      <w:sz w:val="21"/>
                      <w:szCs w:val="21"/>
                      <w:vertAlign w:val="subscript"/>
                      <w:lang w:bidi="ar"/>
                    </w:rPr>
                    <w:t>Cr</w:t>
                  </w:r>
                </w:p>
              </w:tc>
              <w:tc>
                <w:tcPr>
                  <w:tcW w:w="655" w:type="pct"/>
                  <w:vAlign w:val="center"/>
                </w:tcPr>
                <w:p w14:paraId="03E79081">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250</w:t>
                  </w:r>
                </w:p>
              </w:tc>
              <w:tc>
                <w:tcPr>
                  <w:tcW w:w="822" w:type="dxa"/>
                  <w:tcBorders>
                    <w:top w:val="single" w:color="auto" w:sz="4" w:space="0"/>
                    <w:left w:val="nil"/>
                    <w:bottom w:val="single" w:color="auto" w:sz="4" w:space="0"/>
                    <w:right w:val="nil"/>
                  </w:tcBorders>
                  <w:shd w:val="clear" w:color="auto" w:fill="auto"/>
                  <w:vAlign w:val="center"/>
                </w:tcPr>
                <w:p w14:paraId="6A04C4ED">
                  <w:pPr>
                    <w:widowControl/>
                    <w:jc w:val="center"/>
                    <w:textAlignment w:val="center"/>
                    <w:rPr>
                      <w:rFonts w:hint="default" w:ascii="Times New Roman" w:hAnsi="Times New Roman" w:eastAsia="宋体" w:cs="Times New Roman"/>
                      <w:color w:val="auto"/>
                      <w:kern w:val="0"/>
                      <w:sz w:val="21"/>
                      <w:szCs w:val="21"/>
                      <w:lang w:bidi="ar"/>
                    </w:rPr>
                  </w:pPr>
                  <w:r>
                    <w:rPr>
                      <w:rFonts w:hint="eastAsia" w:ascii="Times New Roman" w:hAnsi="Times New Roman" w:eastAsia="宋体" w:cs="Times New Roman"/>
                      <w:color w:val="auto"/>
                      <w:kern w:val="0"/>
                      <w:sz w:val="21"/>
                      <w:szCs w:val="21"/>
                      <w:lang w:val="en-US" w:eastAsia="zh-CN" w:bidi="ar"/>
                    </w:rPr>
                    <w:t xml:space="preserve">0.025 </w:t>
                  </w:r>
                </w:p>
              </w:tc>
              <w:tc>
                <w:tcPr>
                  <w:tcW w:w="1168" w:type="pct"/>
                  <w:vMerge w:val="restart"/>
                  <w:tcBorders>
                    <w:top w:val="single" w:color="auto" w:sz="4" w:space="0"/>
                  </w:tcBorders>
                  <w:vAlign w:val="center"/>
                </w:tcPr>
                <w:p w14:paraId="78ABE87A">
                  <w:pPr>
                    <w:widowControl/>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sz w:val="21"/>
                      <w:szCs w:val="21"/>
                    </w:rPr>
                    <w:t>经过化粪池处理后，用于</w:t>
                  </w:r>
                  <w:r>
                    <w:rPr>
                      <w:rFonts w:hint="eastAsia" w:ascii="Times New Roman" w:hAnsi="Times New Roman" w:eastAsia="宋体" w:cs="Times New Roman"/>
                      <w:color w:val="auto"/>
                      <w:sz w:val="21"/>
                      <w:szCs w:val="21"/>
                      <w:lang w:val="en-US" w:eastAsia="zh-CN"/>
                    </w:rPr>
                    <w:t>周边林地</w:t>
                  </w:r>
                  <w:r>
                    <w:rPr>
                      <w:rFonts w:hint="default" w:ascii="Times New Roman" w:hAnsi="Times New Roman" w:eastAsia="宋体" w:cs="Times New Roman"/>
                      <w:color w:val="auto"/>
                      <w:sz w:val="21"/>
                      <w:szCs w:val="21"/>
                    </w:rPr>
                    <w:t>灌溉，不外排</w:t>
                  </w:r>
                </w:p>
              </w:tc>
              <w:tc>
                <w:tcPr>
                  <w:tcW w:w="654" w:type="pct"/>
                  <w:tcBorders>
                    <w:top w:val="single" w:color="auto" w:sz="4" w:space="0"/>
                    <w:bottom w:val="single" w:color="auto" w:sz="4" w:space="0"/>
                  </w:tcBorders>
                  <w:vAlign w:val="center"/>
                </w:tcPr>
                <w:p w14:paraId="1DD2CDE5">
                  <w:pPr>
                    <w:widowControl/>
                    <w:jc w:val="center"/>
                    <w:textAlignment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kern w:val="0"/>
                      <w:sz w:val="21"/>
                      <w:szCs w:val="21"/>
                      <w:lang w:bidi="ar"/>
                    </w:rPr>
                    <w:t>200</w:t>
                  </w:r>
                </w:p>
              </w:tc>
              <w:tc>
                <w:tcPr>
                  <w:tcW w:w="823" w:type="dxa"/>
                  <w:tcBorders>
                    <w:top w:val="single" w:color="auto" w:sz="4" w:space="0"/>
                    <w:left w:val="nil"/>
                    <w:bottom w:val="single" w:color="auto" w:sz="4" w:space="0"/>
                  </w:tcBorders>
                  <w:shd w:val="clear" w:color="auto" w:fill="auto"/>
                  <w:vAlign w:val="center"/>
                </w:tcPr>
                <w:p w14:paraId="20BADAA3">
                  <w:pPr>
                    <w:widowControl/>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 xml:space="preserve">0.020 </w:t>
                  </w:r>
                </w:p>
              </w:tc>
            </w:tr>
            <w:tr w14:paraId="4ACB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864" w:type="pct"/>
                  <w:vMerge w:val="continue"/>
                  <w:vAlign w:val="center"/>
                </w:tcPr>
                <w:p w14:paraId="4D5643BF">
                  <w:pPr>
                    <w:adjustRightInd w:val="0"/>
                    <w:snapToGrid w:val="0"/>
                    <w:jc w:val="center"/>
                    <w:rPr>
                      <w:rFonts w:hint="default" w:ascii="Times New Roman" w:hAnsi="Times New Roman" w:eastAsia="宋体" w:cs="Times New Roman"/>
                      <w:color w:val="auto"/>
                      <w:sz w:val="21"/>
                      <w:szCs w:val="21"/>
                    </w:rPr>
                  </w:pPr>
                </w:p>
              </w:tc>
              <w:tc>
                <w:tcPr>
                  <w:tcW w:w="630" w:type="pct"/>
                  <w:vAlign w:val="center"/>
                </w:tcPr>
                <w:p w14:paraId="45E03B2E">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bidi="ar"/>
                    </w:rPr>
                    <w:t>BOD</w:t>
                  </w:r>
                  <w:r>
                    <w:rPr>
                      <w:rFonts w:hint="default" w:ascii="Times New Roman" w:hAnsi="Times New Roman" w:eastAsia="宋体" w:cs="Times New Roman"/>
                      <w:color w:val="auto"/>
                      <w:sz w:val="21"/>
                      <w:szCs w:val="21"/>
                      <w:vertAlign w:val="subscript"/>
                      <w:lang w:bidi="ar"/>
                    </w:rPr>
                    <w:t>5</w:t>
                  </w:r>
                </w:p>
              </w:tc>
              <w:tc>
                <w:tcPr>
                  <w:tcW w:w="655" w:type="pct"/>
                  <w:vAlign w:val="center"/>
                </w:tcPr>
                <w:p w14:paraId="617F18AD">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150</w:t>
                  </w:r>
                </w:p>
              </w:tc>
              <w:tc>
                <w:tcPr>
                  <w:tcW w:w="822" w:type="dxa"/>
                  <w:tcBorders>
                    <w:top w:val="single" w:color="auto" w:sz="4" w:space="0"/>
                    <w:left w:val="nil"/>
                    <w:bottom w:val="single" w:color="auto" w:sz="4" w:space="0"/>
                    <w:right w:val="nil"/>
                  </w:tcBorders>
                  <w:shd w:val="clear" w:color="auto" w:fill="auto"/>
                  <w:vAlign w:val="center"/>
                </w:tcPr>
                <w:p w14:paraId="6B91C9A1">
                  <w:pPr>
                    <w:widowControl/>
                    <w:jc w:val="center"/>
                    <w:textAlignment w:val="center"/>
                    <w:rPr>
                      <w:rFonts w:hint="default" w:ascii="Times New Roman" w:hAnsi="Times New Roman" w:eastAsia="宋体" w:cs="Times New Roman"/>
                      <w:color w:val="auto"/>
                      <w:kern w:val="0"/>
                      <w:sz w:val="21"/>
                      <w:szCs w:val="21"/>
                      <w:lang w:bidi="ar"/>
                    </w:rPr>
                  </w:pPr>
                  <w:r>
                    <w:rPr>
                      <w:rFonts w:hint="eastAsia" w:ascii="Times New Roman" w:hAnsi="Times New Roman" w:eastAsia="宋体" w:cs="Times New Roman"/>
                      <w:color w:val="auto"/>
                      <w:kern w:val="0"/>
                      <w:sz w:val="21"/>
                      <w:szCs w:val="21"/>
                      <w:lang w:val="en-US" w:eastAsia="zh-CN" w:bidi="ar"/>
                    </w:rPr>
                    <w:t xml:space="preserve">0.015 </w:t>
                  </w:r>
                </w:p>
              </w:tc>
              <w:tc>
                <w:tcPr>
                  <w:tcW w:w="1168" w:type="pct"/>
                  <w:vMerge w:val="continue"/>
                  <w:vAlign w:val="center"/>
                </w:tcPr>
                <w:p w14:paraId="31231514">
                  <w:pPr>
                    <w:widowControl/>
                    <w:jc w:val="center"/>
                    <w:textAlignment w:val="center"/>
                    <w:rPr>
                      <w:rFonts w:hint="default" w:ascii="Times New Roman" w:hAnsi="Times New Roman" w:eastAsia="宋体" w:cs="Times New Roman"/>
                      <w:color w:val="auto"/>
                      <w:kern w:val="0"/>
                      <w:sz w:val="21"/>
                      <w:szCs w:val="21"/>
                      <w:lang w:bidi="ar"/>
                    </w:rPr>
                  </w:pPr>
                </w:p>
              </w:tc>
              <w:tc>
                <w:tcPr>
                  <w:tcW w:w="654" w:type="pct"/>
                  <w:tcBorders>
                    <w:top w:val="single" w:color="auto" w:sz="4" w:space="0"/>
                    <w:bottom w:val="single" w:color="auto" w:sz="4" w:space="0"/>
                  </w:tcBorders>
                  <w:vAlign w:val="center"/>
                </w:tcPr>
                <w:p w14:paraId="383FABBE">
                  <w:pPr>
                    <w:widowControl/>
                    <w:jc w:val="center"/>
                    <w:textAlignment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kern w:val="0"/>
                      <w:sz w:val="21"/>
                      <w:szCs w:val="21"/>
                      <w:lang w:bidi="ar"/>
                    </w:rPr>
                    <w:t>100</w:t>
                  </w:r>
                </w:p>
              </w:tc>
              <w:tc>
                <w:tcPr>
                  <w:tcW w:w="823" w:type="dxa"/>
                  <w:tcBorders>
                    <w:top w:val="single" w:color="auto" w:sz="4" w:space="0"/>
                    <w:left w:val="nil"/>
                    <w:bottom w:val="single" w:color="auto" w:sz="4" w:space="0"/>
                  </w:tcBorders>
                  <w:shd w:val="clear" w:color="auto" w:fill="auto"/>
                  <w:vAlign w:val="center"/>
                </w:tcPr>
                <w:p w14:paraId="5F6605A4">
                  <w:pPr>
                    <w:widowControl/>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 xml:space="preserve">0.010 </w:t>
                  </w:r>
                </w:p>
              </w:tc>
            </w:tr>
            <w:tr w14:paraId="3F22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864" w:type="pct"/>
                  <w:vMerge w:val="continue"/>
                  <w:vAlign w:val="center"/>
                </w:tcPr>
                <w:p w14:paraId="19131FE9">
                  <w:pPr>
                    <w:adjustRightInd w:val="0"/>
                    <w:snapToGrid w:val="0"/>
                    <w:jc w:val="center"/>
                    <w:rPr>
                      <w:rFonts w:hint="default" w:ascii="Times New Roman" w:hAnsi="Times New Roman" w:eastAsia="宋体" w:cs="Times New Roman"/>
                      <w:color w:val="auto"/>
                      <w:sz w:val="21"/>
                      <w:szCs w:val="21"/>
                    </w:rPr>
                  </w:pPr>
                </w:p>
              </w:tc>
              <w:tc>
                <w:tcPr>
                  <w:tcW w:w="630" w:type="pct"/>
                  <w:vAlign w:val="center"/>
                </w:tcPr>
                <w:p w14:paraId="4F0CAA48">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bidi="ar"/>
                    </w:rPr>
                    <w:t>SS</w:t>
                  </w:r>
                </w:p>
              </w:tc>
              <w:tc>
                <w:tcPr>
                  <w:tcW w:w="655" w:type="pct"/>
                  <w:vAlign w:val="center"/>
                </w:tcPr>
                <w:p w14:paraId="17EE5F82">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150</w:t>
                  </w:r>
                </w:p>
              </w:tc>
              <w:tc>
                <w:tcPr>
                  <w:tcW w:w="822" w:type="dxa"/>
                  <w:tcBorders>
                    <w:top w:val="single" w:color="auto" w:sz="4" w:space="0"/>
                    <w:left w:val="nil"/>
                    <w:bottom w:val="single" w:color="auto" w:sz="4" w:space="0"/>
                    <w:right w:val="nil"/>
                  </w:tcBorders>
                  <w:shd w:val="clear" w:color="auto" w:fill="auto"/>
                  <w:vAlign w:val="center"/>
                </w:tcPr>
                <w:p w14:paraId="4E42D3DF">
                  <w:pPr>
                    <w:widowControl/>
                    <w:jc w:val="center"/>
                    <w:textAlignment w:val="center"/>
                    <w:rPr>
                      <w:rFonts w:hint="default" w:ascii="Times New Roman" w:hAnsi="Times New Roman" w:eastAsia="宋体" w:cs="Times New Roman"/>
                      <w:color w:val="auto"/>
                      <w:kern w:val="0"/>
                      <w:sz w:val="21"/>
                      <w:szCs w:val="21"/>
                      <w:lang w:bidi="ar"/>
                    </w:rPr>
                  </w:pPr>
                  <w:r>
                    <w:rPr>
                      <w:rFonts w:hint="eastAsia" w:ascii="Times New Roman" w:hAnsi="Times New Roman" w:eastAsia="宋体" w:cs="Times New Roman"/>
                      <w:color w:val="auto"/>
                      <w:kern w:val="0"/>
                      <w:sz w:val="21"/>
                      <w:szCs w:val="21"/>
                      <w:lang w:val="en-US" w:eastAsia="zh-CN" w:bidi="ar"/>
                    </w:rPr>
                    <w:t xml:space="preserve">0.015 </w:t>
                  </w:r>
                </w:p>
              </w:tc>
              <w:tc>
                <w:tcPr>
                  <w:tcW w:w="1168" w:type="pct"/>
                  <w:vMerge w:val="continue"/>
                  <w:vAlign w:val="center"/>
                </w:tcPr>
                <w:p w14:paraId="2A15B11A">
                  <w:pPr>
                    <w:widowControl/>
                    <w:jc w:val="center"/>
                    <w:textAlignment w:val="center"/>
                    <w:rPr>
                      <w:rFonts w:hint="default" w:ascii="Times New Roman" w:hAnsi="Times New Roman" w:eastAsia="宋体" w:cs="Times New Roman"/>
                      <w:color w:val="auto"/>
                      <w:kern w:val="0"/>
                      <w:sz w:val="21"/>
                      <w:szCs w:val="21"/>
                      <w:lang w:bidi="ar"/>
                    </w:rPr>
                  </w:pPr>
                </w:p>
              </w:tc>
              <w:tc>
                <w:tcPr>
                  <w:tcW w:w="654" w:type="pct"/>
                  <w:tcBorders>
                    <w:top w:val="single" w:color="auto" w:sz="4" w:space="0"/>
                    <w:bottom w:val="single" w:color="auto" w:sz="4" w:space="0"/>
                  </w:tcBorders>
                  <w:vAlign w:val="center"/>
                </w:tcPr>
                <w:p w14:paraId="4021CFE2">
                  <w:pPr>
                    <w:widowControl/>
                    <w:jc w:val="center"/>
                    <w:textAlignment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kern w:val="0"/>
                      <w:sz w:val="21"/>
                      <w:szCs w:val="21"/>
                      <w:lang w:bidi="ar"/>
                    </w:rPr>
                    <w:t>100</w:t>
                  </w:r>
                </w:p>
              </w:tc>
              <w:tc>
                <w:tcPr>
                  <w:tcW w:w="823" w:type="dxa"/>
                  <w:tcBorders>
                    <w:top w:val="single" w:color="auto" w:sz="4" w:space="0"/>
                    <w:left w:val="nil"/>
                    <w:bottom w:val="single" w:color="auto" w:sz="4" w:space="0"/>
                  </w:tcBorders>
                  <w:shd w:val="clear" w:color="auto" w:fill="auto"/>
                  <w:vAlign w:val="center"/>
                </w:tcPr>
                <w:p w14:paraId="73BD08F6">
                  <w:pPr>
                    <w:widowControl/>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 xml:space="preserve">0.010 </w:t>
                  </w:r>
                </w:p>
              </w:tc>
            </w:tr>
            <w:tr w14:paraId="32B5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864" w:type="pct"/>
                  <w:vMerge w:val="continue"/>
                  <w:vAlign w:val="center"/>
                </w:tcPr>
                <w:p w14:paraId="693F386C">
                  <w:pPr>
                    <w:adjustRightInd w:val="0"/>
                    <w:snapToGrid w:val="0"/>
                    <w:jc w:val="center"/>
                    <w:rPr>
                      <w:rFonts w:hint="default" w:ascii="Times New Roman" w:hAnsi="Times New Roman" w:eastAsia="宋体" w:cs="Times New Roman"/>
                      <w:color w:val="auto"/>
                      <w:sz w:val="21"/>
                      <w:szCs w:val="21"/>
                    </w:rPr>
                  </w:pPr>
                </w:p>
              </w:tc>
              <w:tc>
                <w:tcPr>
                  <w:tcW w:w="630" w:type="pct"/>
                  <w:vAlign w:val="center"/>
                </w:tcPr>
                <w:p w14:paraId="2F0495B9">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bidi="ar"/>
                    </w:rPr>
                    <w:t>NH</w:t>
                  </w:r>
                  <w:r>
                    <w:rPr>
                      <w:rFonts w:hint="default" w:ascii="Times New Roman" w:hAnsi="Times New Roman" w:eastAsia="宋体" w:cs="Times New Roman"/>
                      <w:color w:val="auto"/>
                      <w:sz w:val="21"/>
                      <w:szCs w:val="21"/>
                      <w:vertAlign w:val="subscript"/>
                      <w:lang w:bidi="ar"/>
                    </w:rPr>
                    <w:t>3</w:t>
                  </w:r>
                  <w:r>
                    <w:rPr>
                      <w:rFonts w:hint="default" w:ascii="Times New Roman" w:hAnsi="Times New Roman" w:eastAsia="宋体" w:cs="Times New Roman"/>
                      <w:color w:val="auto"/>
                      <w:sz w:val="21"/>
                      <w:szCs w:val="21"/>
                      <w:lang w:bidi="ar"/>
                    </w:rPr>
                    <w:t>-N</w:t>
                  </w:r>
                </w:p>
              </w:tc>
              <w:tc>
                <w:tcPr>
                  <w:tcW w:w="655" w:type="pct"/>
                  <w:vAlign w:val="center"/>
                </w:tcPr>
                <w:p w14:paraId="717367B8">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kern w:val="0"/>
                      <w:sz w:val="21"/>
                      <w:szCs w:val="21"/>
                      <w:lang w:val="en-US" w:eastAsia="zh-CN" w:bidi="ar"/>
                    </w:rPr>
                    <w:t>25</w:t>
                  </w:r>
                </w:p>
              </w:tc>
              <w:tc>
                <w:tcPr>
                  <w:tcW w:w="822" w:type="dxa"/>
                  <w:tcBorders>
                    <w:top w:val="single" w:color="auto" w:sz="4" w:space="0"/>
                    <w:left w:val="nil"/>
                    <w:right w:val="nil"/>
                  </w:tcBorders>
                  <w:shd w:val="clear" w:color="auto" w:fill="auto"/>
                  <w:vAlign w:val="center"/>
                </w:tcPr>
                <w:p w14:paraId="659014BA">
                  <w:pPr>
                    <w:widowControl/>
                    <w:jc w:val="center"/>
                    <w:textAlignment w:val="center"/>
                    <w:rPr>
                      <w:rFonts w:hint="default" w:ascii="Times New Roman" w:hAnsi="Times New Roman" w:eastAsia="宋体" w:cs="Times New Roman"/>
                      <w:color w:val="auto"/>
                      <w:kern w:val="0"/>
                      <w:sz w:val="21"/>
                      <w:szCs w:val="21"/>
                      <w:lang w:bidi="ar"/>
                    </w:rPr>
                  </w:pPr>
                  <w:r>
                    <w:rPr>
                      <w:rFonts w:hint="eastAsia" w:ascii="Times New Roman" w:hAnsi="Times New Roman" w:eastAsia="宋体" w:cs="Times New Roman"/>
                      <w:color w:val="auto"/>
                      <w:kern w:val="0"/>
                      <w:sz w:val="21"/>
                      <w:szCs w:val="21"/>
                      <w:lang w:val="en-US" w:eastAsia="zh-CN" w:bidi="ar"/>
                    </w:rPr>
                    <w:t xml:space="preserve">0.002 </w:t>
                  </w:r>
                </w:p>
              </w:tc>
              <w:tc>
                <w:tcPr>
                  <w:tcW w:w="1168" w:type="pct"/>
                  <w:vMerge w:val="continue"/>
                  <w:vAlign w:val="center"/>
                </w:tcPr>
                <w:p w14:paraId="1965B829">
                  <w:pPr>
                    <w:widowControl/>
                    <w:jc w:val="center"/>
                    <w:textAlignment w:val="center"/>
                    <w:rPr>
                      <w:rFonts w:hint="default" w:ascii="Times New Roman" w:hAnsi="Times New Roman" w:eastAsia="宋体" w:cs="Times New Roman"/>
                      <w:color w:val="auto"/>
                      <w:kern w:val="0"/>
                      <w:sz w:val="21"/>
                      <w:szCs w:val="21"/>
                      <w:lang w:bidi="ar"/>
                    </w:rPr>
                  </w:pPr>
                </w:p>
              </w:tc>
              <w:tc>
                <w:tcPr>
                  <w:tcW w:w="654" w:type="pct"/>
                  <w:tcBorders>
                    <w:top w:val="single" w:color="auto" w:sz="4" w:space="0"/>
                  </w:tcBorders>
                  <w:vAlign w:val="center"/>
                </w:tcPr>
                <w:p w14:paraId="4F170522">
                  <w:pPr>
                    <w:widowControl/>
                    <w:jc w:val="center"/>
                    <w:textAlignment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kern w:val="0"/>
                      <w:sz w:val="21"/>
                      <w:szCs w:val="21"/>
                      <w:lang w:bidi="ar"/>
                    </w:rPr>
                    <w:t>20</w:t>
                  </w:r>
                </w:p>
              </w:tc>
              <w:tc>
                <w:tcPr>
                  <w:tcW w:w="823" w:type="dxa"/>
                  <w:tcBorders>
                    <w:top w:val="single" w:color="auto" w:sz="4" w:space="0"/>
                    <w:left w:val="nil"/>
                  </w:tcBorders>
                  <w:shd w:val="clear" w:color="auto" w:fill="auto"/>
                  <w:vAlign w:val="center"/>
                </w:tcPr>
                <w:p w14:paraId="55335584">
                  <w:pPr>
                    <w:widowControl/>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 xml:space="preserve">0.002 </w:t>
                  </w:r>
                </w:p>
              </w:tc>
            </w:tr>
          </w:tbl>
          <w:p w14:paraId="673907F7">
            <w:pPr>
              <w:pStyle w:val="2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703"/>
              <w:textAlignment w:val="baseline"/>
              <w:rPr>
                <w:color w:val="auto"/>
              </w:rPr>
            </w:pPr>
            <w:r>
              <w:rPr>
                <w:color w:val="auto"/>
                <w:spacing w:val="-2"/>
              </w:rPr>
              <w:t>（</w:t>
            </w:r>
            <w:r>
              <w:rPr>
                <w:rFonts w:ascii="Times New Roman" w:hAnsi="Times New Roman" w:eastAsia="Times New Roman" w:cs="Times New Roman"/>
                <w:color w:val="auto"/>
                <w:spacing w:val="-2"/>
              </w:rPr>
              <w:t>2</w:t>
            </w:r>
            <w:r>
              <w:rPr>
                <w:color w:val="auto"/>
                <w:spacing w:val="-2"/>
              </w:rPr>
              <w:t>）废水回用不外排可行性分析</w:t>
            </w:r>
          </w:p>
          <w:p w14:paraId="6F3DDB3E">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color w:val="auto"/>
              </w:rPr>
            </w:pPr>
            <w:r>
              <w:rPr>
                <w:rFonts w:ascii="Times New Roman" w:hAnsi="Times New Roman" w:eastAsia="Times New Roman" w:cs="Times New Roman"/>
                <w:color w:val="auto"/>
                <w:spacing w:val="-5"/>
              </w:rPr>
              <w:t>1</w:t>
            </w:r>
            <w:r>
              <w:rPr>
                <w:color w:val="auto"/>
                <w:spacing w:val="-5"/>
              </w:rPr>
              <w:t>）生产废水</w:t>
            </w:r>
          </w:p>
          <w:p w14:paraId="25D5F41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47" w:firstLine="484" w:firstLineChars="200"/>
              <w:jc w:val="both"/>
              <w:textAlignment w:val="baseline"/>
              <w:rPr>
                <w:rFonts w:hint="eastAsia"/>
                <w:color w:val="auto"/>
                <w:spacing w:val="-1"/>
                <w:lang w:val="en-US" w:eastAsia="zh-CN"/>
              </w:rPr>
            </w:pPr>
            <w:r>
              <w:rPr>
                <w:color w:val="auto"/>
                <w:spacing w:val="1"/>
              </w:rPr>
              <w:t>项目产生的</w:t>
            </w:r>
            <w:r>
              <w:rPr>
                <w:rFonts w:hint="eastAsia"/>
                <w:color w:val="auto"/>
                <w:spacing w:val="1"/>
                <w:lang w:val="en-US" w:eastAsia="zh-CN"/>
              </w:rPr>
              <w:t>生产</w:t>
            </w:r>
            <w:r>
              <w:rPr>
                <w:color w:val="auto"/>
                <w:spacing w:val="1"/>
              </w:rPr>
              <w:t>废水（</w:t>
            </w:r>
            <w:r>
              <w:rPr>
                <w:rFonts w:hint="eastAsia"/>
                <w:color w:val="auto"/>
                <w:spacing w:val="1"/>
              </w:rPr>
              <w:t>洗砂废水、设备清洗废水、地面清洗废水、车辆冲洗用水</w:t>
            </w:r>
            <w:r>
              <w:rPr>
                <w:rFonts w:hint="eastAsia"/>
                <w:color w:val="auto"/>
                <w:spacing w:val="1"/>
                <w:lang w:val="en-US" w:eastAsia="zh-CN"/>
              </w:rPr>
              <w:t>及</w:t>
            </w:r>
            <w:r>
              <w:rPr>
                <w:rFonts w:hint="eastAsia"/>
                <w:color w:val="auto"/>
                <w:spacing w:val="1"/>
              </w:rPr>
              <w:t>初期雨水</w:t>
            </w:r>
            <w:r>
              <w:rPr>
                <w:color w:val="auto"/>
                <w:spacing w:val="1"/>
              </w:rPr>
              <w:t>）经沉淀</w:t>
            </w:r>
            <w:r>
              <w:rPr>
                <w:rFonts w:hint="eastAsia"/>
                <w:color w:val="auto"/>
                <w:spacing w:val="1"/>
                <w:lang w:val="en-US" w:eastAsia="zh-CN"/>
              </w:rPr>
              <w:t>+</w:t>
            </w:r>
            <w:r>
              <w:rPr>
                <w:rFonts w:hint="eastAsia" w:ascii="Times New Roman" w:hAnsi="Times New Roman" w:cs="Times New Roman"/>
                <w:color w:val="auto"/>
                <w:spacing w:val="-1"/>
                <w:sz w:val="24"/>
                <w:szCs w:val="24"/>
                <w:lang w:val="en-US" w:eastAsia="zh-CN"/>
              </w:rPr>
              <w:t>过滤罐</w:t>
            </w:r>
            <w:r>
              <w:rPr>
                <w:rFonts w:ascii="Times New Roman" w:hAnsi="Times New Roman" w:eastAsia="Times New Roman" w:cs="Times New Roman"/>
                <w:color w:val="auto"/>
                <w:spacing w:val="-3"/>
              </w:rPr>
              <w:t>+</w:t>
            </w:r>
            <w:r>
              <w:rPr>
                <w:color w:val="auto"/>
                <w:spacing w:val="-3"/>
              </w:rPr>
              <w:t>板框</w:t>
            </w:r>
            <w:r>
              <w:rPr>
                <w:color w:val="auto"/>
                <w:spacing w:val="-1"/>
              </w:rPr>
              <w:t>压滤</w:t>
            </w:r>
            <w:r>
              <w:rPr>
                <w:color w:val="auto"/>
                <w:spacing w:val="1"/>
              </w:rPr>
              <w:t>后可全部</w:t>
            </w:r>
            <w:r>
              <w:rPr>
                <w:color w:val="auto"/>
                <w:spacing w:val="-7"/>
              </w:rPr>
              <w:t>回用。项目</w:t>
            </w:r>
            <w:r>
              <w:rPr>
                <w:rFonts w:hint="eastAsia"/>
                <w:color w:val="auto"/>
                <w:spacing w:val="-7"/>
                <w:lang w:val="en-US" w:eastAsia="zh-CN"/>
              </w:rPr>
              <w:t>生产</w:t>
            </w:r>
            <w:r>
              <w:rPr>
                <w:color w:val="auto"/>
                <w:spacing w:val="-7"/>
              </w:rPr>
              <w:t>废水共</w:t>
            </w:r>
            <w:r>
              <w:rPr>
                <w:rFonts w:hint="eastAsia" w:ascii="Times New Roman" w:hAnsi="Times New Roman" w:eastAsia="宋体" w:cs="Times New Roman"/>
                <w:color w:val="auto"/>
                <w:spacing w:val="-7"/>
                <w:lang w:val="en-US" w:eastAsia="zh-CN"/>
              </w:rPr>
              <w:t>149.77</w:t>
            </w:r>
            <w:r>
              <w:rPr>
                <w:rFonts w:ascii="Times New Roman" w:hAnsi="Times New Roman" w:eastAsia="Times New Roman" w:cs="Times New Roman"/>
                <w:color w:val="auto"/>
                <w:spacing w:val="-7"/>
              </w:rPr>
              <w:t>m</w:t>
            </w:r>
            <w:r>
              <w:rPr>
                <w:rFonts w:ascii="Times New Roman" w:hAnsi="Times New Roman" w:eastAsia="Times New Roman" w:cs="Times New Roman"/>
                <w:color w:val="auto"/>
                <w:spacing w:val="-7"/>
                <w:position w:val="8"/>
                <w:sz w:val="15"/>
                <w:szCs w:val="15"/>
              </w:rPr>
              <w:t>3</w:t>
            </w:r>
            <w:r>
              <w:rPr>
                <w:rFonts w:ascii="Times New Roman" w:hAnsi="Times New Roman" w:eastAsia="Times New Roman" w:cs="Times New Roman"/>
                <w:color w:val="auto"/>
                <w:spacing w:val="-7"/>
              </w:rPr>
              <w:t>/d</w:t>
            </w:r>
            <w:r>
              <w:rPr>
                <w:color w:val="auto"/>
                <w:spacing w:val="-7"/>
              </w:rPr>
              <w:t>，主要污染物为</w:t>
            </w:r>
            <w:r>
              <w:rPr>
                <w:color w:val="auto"/>
                <w:spacing w:val="-44"/>
              </w:rPr>
              <w:t xml:space="preserve"> </w:t>
            </w:r>
            <w:r>
              <w:rPr>
                <w:rFonts w:ascii="Times New Roman" w:hAnsi="Times New Roman" w:eastAsia="Times New Roman" w:cs="Times New Roman"/>
                <w:color w:val="auto"/>
                <w:spacing w:val="-8"/>
              </w:rPr>
              <w:t xml:space="preserve">SS </w:t>
            </w:r>
            <w:r>
              <w:rPr>
                <w:color w:val="auto"/>
                <w:spacing w:val="-8"/>
              </w:rPr>
              <w:t>等，经处理后</w:t>
            </w:r>
            <w:r>
              <w:rPr>
                <w:color w:val="auto"/>
                <w:spacing w:val="1"/>
              </w:rPr>
              <w:t>可回用于</w:t>
            </w:r>
            <w:r>
              <w:rPr>
                <w:rFonts w:hint="eastAsia"/>
                <w:color w:val="auto"/>
                <w:spacing w:val="1"/>
                <w:lang w:val="en-US" w:eastAsia="zh-CN"/>
              </w:rPr>
              <w:t>生产</w:t>
            </w:r>
            <w:r>
              <w:rPr>
                <w:color w:val="auto"/>
                <w:spacing w:val="1"/>
              </w:rPr>
              <w:t>。</w:t>
            </w:r>
            <w:r>
              <w:rPr>
                <w:rFonts w:hint="eastAsia"/>
                <w:color w:val="auto"/>
                <w:spacing w:val="1"/>
                <w:lang w:val="en-US" w:eastAsia="zh-CN"/>
              </w:rPr>
              <w:t>本项目厂内建设1个污水池</w:t>
            </w:r>
            <w:r>
              <w:rPr>
                <w:rFonts w:hint="default" w:ascii="Times New Roman" w:hAnsi="Times New Roman" w:cs="Times New Roman"/>
                <w:color w:val="auto"/>
                <w:spacing w:val="1"/>
                <w:lang w:val="en-US" w:eastAsia="zh-CN"/>
              </w:rPr>
              <w:t>600m</w:t>
            </w:r>
            <w:r>
              <w:rPr>
                <w:rFonts w:hint="default" w:ascii="Times New Roman" w:hAnsi="Times New Roman" w:cs="Times New Roman"/>
                <w:color w:val="auto"/>
                <w:spacing w:val="1"/>
                <w:vertAlign w:val="superscript"/>
                <w:lang w:val="en-US" w:eastAsia="zh-CN"/>
              </w:rPr>
              <w:t>3</w:t>
            </w:r>
            <w:r>
              <w:rPr>
                <w:rFonts w:hint="default" w:ascii="Times New Roman" w:hAnsi="Times New Roman" w:cs="Times New Roman"/>
                <w:color w:val="auto"/>
                <w:spacing w:val="1"/>
                <w:lang w:val="en-US" w:eastAsia="zh-CN"/>
              </w:rPr>
              <w:t>、1个过滤罐100m</w:t>
            </w:r>
            <w:r>
              <w:rPr>
                <w:rFonts w:hint="default" w:ascii="Times New Roman" w:hAnsi="Times New Roman" w:cs="Times New Roman"/>
                <w:color w:val="auto"/>
                <w:spacing w:val="1"/>
                <w:vertAlign w:val="superscript"/>
                <w:lang w:val="en-US" w:eastAsia="zh-CN"/>
              </w:rPr>
              <w:t>3</w:t>
            </w:r>
            <w:r>
              <w:rPr>
                <w:rFonts w:hint="eastAsia"/>
                <w:color w:val="auto"/>
                <w:spacing w:val="-1"/>
                <w:lang w:eastAsia="zh-CN"/>
              </w:rPr>
              <w:t>，</w:t>
            </w:r>
            <w:r>
              <w:rPr>
                <w:rFonts w:hint="eastAsia"/>
                <w:color w:val="auto"/>
                <w:spacing w:val="-1"/>
                <w:lang w:val="en-US" w:eastAsia="zh-CN"/>
              </w:rPr>
              <w:t>有足够的容积收集项目产生的废水以及初期雨水，项目生产用水量为</w:t>
            </w:r>
            <w:r>
              <w:rPr>
                <w:rFonts w:hint="eastAsia" w:ascii="Times New Roman" w:hAnsi="Times New Roman" w:cs="Times New Roman"/>
                <w:color w:val="auto"/>
                <w:spacing w:val="-1"/>
                <w:lang w:val="en-US" w:eastAsia="zh-CN"/>
              </w:rPr>
              <w:t>192.72</w:t>
            </w:r>
            <w:r>
              <w:rPr>
                <w:rFonts w:hint="default" w:ascii="Times New Roman" w:hAnsi="Times New Roman" w:cs="Times New Roman"/>
                <w:color w:val="auto"/>
                <w:spacing w:val="-1"/>
                <w:lang w:val="en-US" w:eastAsia="zh-CN"/>
              </w:rPr>
              <w:t>m</w:t>
            </w:r>
            <w:r>
              <w:rPr>
                <w:rFonts w:hint="default" w:ascii="Times New Roman" w:hAnsi="Times New Roman" w:cs="Times New Roman"/>
                <w:color w:val="auto"/>
                <w:spacing w:val="-1"/>
                <w:vertAlign w:val="superscript"/>
                <w:lang w:val="en-US" w:eastAsia="zh-CN"/>
              </w:rPr>
              <w:t>3</w:t>
            </w:r>
            <w:r>
              <w:rPr>
                <w:rFonts w:hint="default" w:ascii="Times New Roman" w:hAnsi="Times New Roman" w:cs="Times New Roman"/>
                <w:color w:val="auto"/>
                <w:spacing w:val="-1"/>
                <w:lang w:val="en-US" w:eastAsia="zh-CN"/>
              </w:rPr>
              <w:t>/d</w:t>
            </w:r>
            <w:r>
              <w:rPr>
                <w:rFonts w:hint="eastAsia"/>
                <w:color w:val="auto"/>
                <w:spacing w:val="-1"/>
                <w:lang w:val="en-US" w:eastAsia="zh-CN"/>
              </w:rPr>
              <w:t>，大于本项目产生的废水量，废水回用不外排是可行的。</w:t>
            </w:r>
          </w:p>
          <w:p w14:paraId="789926B4">
            <w:pPr>
              <w:widowControl w:val="0"/>
              <w:adjustRightInd w:val="0"/>
              <w:snapToGrid w:val="0"/>
              <w:spacing w:line="360" w:lineRule="auto"/>
              <w:ind w:firstLine="476" w:firstLineChars="200"/>
              <w:jc w:val="left"/>
              <w:rPr>
                <w:rFonts w:hint="default" w:ascii="Times New Roman" w:hAnsi="Times New Roman" w:eastAsia="宋体" w:cs="Times New Roman"/>
                <w:color w:val="auto"/>
                <w:spacing w:val="-2"/>
                <w:kern w:val="2"/>
                <w:sz w:val="24"/>
                <w:szCs w:val="24"/>
                <w:highlight w:val="none"/>
                <w:lang w:val="en-US" w:eastAsia="zh-CN" w:bidi="ar-SA"/>
              </w:rPr>
            </w:pPr>
            <w:r>
              <w:rPr>
                <w:rFonts w:hint="eastAsia"/>
                <w:color w:val="auto"/>
                <w:spacing w:val="-1"/>
                <w:sz w:val="24"/>
                <w:szCs w:val="24"/>
                <w:lang w:val="en-US" w:eastAsia="zh-CN"/>
              </w:rPr>
              <w:t>一次暴雨初期雨水量：</w:t>
            </w:r>
            <w:r>
              <w:rPr>
                <w:rFonts w:hint="default" w:ascii="Times New Roman" w:hAnsi="Times New Roman" w:eastAsia="宋体" w:cs="Times New Roman"/>
                <w:color w:val="auto"/>
                <w:spacing w:val="-2"/>
                <w:kern w:val="2"/>
                <w:sz w:val="24"/>
                <w:szCs w:val="24"/>
                <w:highlight w:val="none"/>
                <w:lang w:val="en-US" w:eastAsia="zh-CN" w:bidi="ar-SA"/>
              </w:rPr>
              <w:t>按广东省韶关市暴雨强度公式计算</w:t>
            </w:r>
            <w:r>
              <w:rPr>
                <w:rFonts w:hint="eastAsia" w:ascii="Times New Roman" w:hAnsi="Times New Roman" w:eastAsia="宋体" w:cs="Times New Roman"/>
                <w:color w:val="auto"/>
                <w:spacing w:val="-2"/>
                <w:kern w:val="2"/>
                <w:sz w:val="24"/>
                <w:szCs w:val="24"/>
                <w:highlight w:val="none"/>
                <w:lang w:val="en-US" w:eastAsia="zh-CN" w:bidi="ar-SA"/>
              </w:rPr>
              <w:t>：</w:t>
            </w:r>
          </w:p>
          <w:p w14:paraId="79035718">
            <w:pPr>
              <w:widowControl w:val="0"/>
              <w:adjustRightInd w:val="0"/>
              <w:snapToGrid w:val="0"/>
              <w:spacing w:line="360" w:lineRule="auto"/>
              <w:ind w:firstLine="472" w:firstLineChars="200"/>
              <w:jc w:val="left"/>
              <w:rPr>
                <w:rFonts w:hint="default" w:ascii="Times New Roman" w:hAnsi="Times New Roman" w:eastAsia="宋体" w:cs="Times New Roman"/>
                <w:color w:val="auto"/>
                <w:spacing w:val="-2"/>
                <w:kern w:val="2"/>
                <w:sz w:val="24"/>
                <w:szCs w:val="24"/>
                <w:highlight w:val="none"/>
                <w:lang w:val="en-US" w:eastAsia="zh-CN" w:bidi="ar-SA"/>
              </w:rPr>
            </w:pPr>
            <w:r>
              <w:rPr>
                <w:rFonts w:hint="default" w:ascii="Times New Roman" w:hAnsi="Times New Roman" w:eastAsia="宋体" w:cs="Times New Roman"/>
                <w:color w:val="auto"/>
                <w:spacing w:val="-2"/>
                <w:kern w:val="2"/>
                <w:sz w:val="24"/>
                <w:szCs w:val="24"/>
                <w:highlight w:val="none"/>
                <w:lang w:val="en-US" w:eastAsia="zh-CN" w:bidi="ar-SA"/>
              </w:rPr>
              <w:t>q = 958（1+0.631lgP）/t</w:t>
            </w:r>
            <w:r>
              <w:rPr>
                <w:rFonts w:hint="default" w:ascii="Times New Roman" w:hAnsi="Times New Roman" w:eastAsia="宋体" w:cs="Times New Roman"/>
                <w:color w:val="auto"/>
                <w:spacing w:val="-2"/>
                <w:kern w:val="2"/>
                <w:sz w:val="24"/>
                <w:szCs w:val="24"/>
                <w:highlight w:val="none"/>
                <w:vertAlign w:val="superscript"/>
                <w:lang w:val="en-US" w:eastAsia="zh-CN" w:bidi="ar-SA"/>
              </w:rPr>
              <w:t>0.544</w:t>
            </w:r>
          </w:p>
          <w:p w14:paraId="2A4ED55B">
            <w:pPr>
              <w:adjustRightInd w:val="0"/>
              <w:snapToGrid w:val="0"/>
              <w:spacing w:line="360" w:lineRule="auto"/>
              <w:ind w:firstLine="472" w:firstLineChars="200"/>
              <w:jc w:val="left"/>
              <w:rPr>
                <w:rFonts w:hint="default" w:ascii="Times New Roman" w:hAnsi="Times New Roman" w:eastAsia="宋体" w:cs="Times New Roman"/>
                <w:color w:val="auto"/>
                <w:spacing w:val="-2"/>
                <w:kern w:val="0"/>
                <w:sz w:val="24"/>
                <w:szCs w:val="24"/>
                <w:highlight w:val="none"/>
                <w:lang w:val="en-US" w:eastAsia="zh-CN" w:bidi="ar-SA"/>
              </w:rPr>
            </w:pPr>
            <w:r>
              <w:rPr>
                <w:rFonts w:hint="default" w:ascii="Times New Roman" w:hAnsi="Times New Roman" w:eastAsia="宋体" w:cs="Times New Roman"/>
                <w:color w:val="auto"/>
                <w:spacing w:val="-2"/>
                <w:kern w:val="0"/>
                <w:sz w:val="24"/>
                <w:szCs w:val="24"/>
                <w:highlight w:val="none"/>
                <w:lang w:val="en-US" w:eastAsia="zh-CN" w:bidi="ar-SA"/>
              </w:rPr>
              <w:t>Q = q × ψ × S</w:t>
            </w:r>
          </w:p>
          <w:p w14:paraId="1BFD4F80">
            <w:pPr>
              <w:autoSpaceDE w:val="0"/>
              <w:autoSpaceDN w:val="0"/>
              <w:adjustRightInd w:val="0"/>
              <w:snapToGrid w:val="0"/>
              <w:spacing w:line="360" w:lineRule="auto"/>
              <w:ind w:firstLine="472" w:firstLineChars="200"/>
              <w:jc w:val="left"/>
              <w:rPr>
                <w:rFonts w:hint="default" w:ascii="Times New Roman" w:hAnsi="Times New Roman" w:eastAsia="宋体" w:cs="Times New Roman"/>
                <w:color w:val="auto"/>
                <w:spacing w:val="-2"/>
                <w:kern w:val="0"/>
                <w:sz w:val="24"/>
                <w:szCs w:val="24"/>
                <w:highlight w:val="none"/>
                <w:lang w:val="en-US" w:eastAsia="zh-CN" w:bidi="ar-SA"/>
              </w:rPr>
            </w:pPr>
            <w:r>
              <w:rPr>
                <w:rFonts w:hint="default" w:ascii="Times New Roman" w:hAnsi="Times New Roman" w:eastAsia="宋体" w:cs="Times New Roman"/>
                <w:color w:val="auto"/>
                <w:spacing w:val="-2"/>
                <w:kern w:val="0"/>
                <w:sz w:val="24"/>
                <w:szCs w:val="24"/>
                <w:highlight w:val="none"/>
                <w:lang w:val="en-US" w:eastAsia="zh-CN" w:bidi="ar-SA"/>
              </w:rPr>
              <w:t>中：q——暴雨强度，单位：升/秒·公顷；</w:t>
            </w:r>
          </w:p>
          <w:p w14:paraId="583C7E0C">
            <w:pPr>
              <w:autoSpaceDE w:val="0"/>
              <w:autoSpaceDN w:val="0"/>
              <w:adjustRightInd w:val="0"/>
              <w:snapToGrid w:val="0"/>
              <w:spacing w:line="360" w:lineRule="auto"/>
              <w:ind w:firstLine="472" w:firstLineChars="200"/>
              <w:jc w:val="left"/>
              <w:rPr>
                <w:rFonts w:hint="default" w:ascii="Times New Roman" w:hAnsi="Times New Roman" w:eastAsia="宋体" w:cs="Times New Roman"/>
                <w:color w:val="auto"/>
                <w:spacing w:val="-2"/>
                <w:kern w:val="0"/>
                <w:sz w:val="24"/>
                <w:szCs w:val="24"/>
                <w:highlight w:val="none"/>
                <w:lang w:val="en-US" w:eastAsia="zh-CN" w:bidi="ar-SA"/>
              </w:rPr>
            </w:pPr>
            <w:r>
              <w:rPr>
                <w:rFonts w:hint="default" w:ascii="Times New Roman" w:hAnsi="Times New Roman" w:eastAsia="宋体" w:cs="Times New Roman"/>
                <w:color w:val="auto"/>
                <w:spacing w:val="-2"/>
                <w:kern w:val="0"/>
                <w:sz w:val="24"/>
                <w:szCs w:val="24"/>
                <w:highlight w:val="none"/>
                <w:lang w:val="en-US" w:eastAsia="zh-CN" w:bidi="ar-SA"/>
              </w:rPr>
              <w:t>P——重现期，按</w:t>
            </w:r>
            <w:r>
              <w:rPr>
                <w:rFonts w:hint="eastAsia" w:ascii="Times New Roman" w:hAnsi="Times New Roman" w:eastAsia="宋体" w:cs="Times New Roman"/>
                <w:color w:val="auto"/>
                <w:spacing w:val="-2"/>
                <w:kern w:val="0"/>
                <w:sz w:val="24"/>
                <w:szCs w:val="24"/>
                <w:highlight w:val="none"/>
                <w:lang w:val="en-US" w:eastAsia="zh-CN" w:bidi="ar-SA"/>
              </w:rPr>
              <w:t>10</w:t>
            </w:r>
            <w:r>
              <w:rPr>
                <w:rFonts w:hint="default" w:ascii="Times New Roman" w:hAnsi="Times New Roman" w:eastAsia="宋体" w:cs="Times New Roman"/>
                <w:color w:val="auto"/>
                <w:spacing w:val="-2"/>
                <w:kern w:val="0"/>
                <w:sz w:val="24"/>
                <w:szCs w:val="24"/>
                <w:highlight w:val="none"/>
                <w:lang w:val="en-US" w:eastAsia="zh-CN" w:bidi="ar-SA"/>
              </w:rPr>
              <w:t>年计算；</w:t>
            </w:r>
          </w:p>
          <w:p w14:paraId="473FF5C9">
            <w:pPr>
              <w:autoSpaceDE w:val="0"/>
              <w:autoSpaceDN w:val="0"/>
              <w:adjustRightInd w:val="0"/>
              <w:snapToGrid w:val="0"/>
              <w:spacing w:line="360" w:lineRule="auto"/>
              <w:ind w:firstLine="472" w:firstLineChars="200"/>
              <w:jc w:val="left"/>
              <w:rPr>
                <w:rFonts w:hint="default" w:ascii="Times New Roman" w:hAnsi="Times New Roman" w:eastAsia="宋体" w:cs="Times New Roman"/>
                <w:color w:val="auto"/>
                <w:spacing w:val="-2"/>
                <w:kern w:val="0"/>
                <w:sz w:val="24"/>
                <w:szCs w:val="24"/>
                <w:highlight w:val="none"/>
                <w:lang w:val="en-US" w:eastAsia="zh-CN" w:bidi="ar-SA"/>
              </w:rPr>
            </w:pPr>
            <w:r>
              <w:rPr>
                <w:rFonts w:hint="default" w:ascii="Times New Roman" w:hAnsi="Times New Roman" w:eastAsia="宋体" w:cs="Times New Roman"/>
                <w:color w:val="auto"/>
                <w:spacing w:val="-2"/>
                <w:kern w:val="0"/>
                <w:sz w:val="24"/>
                <w:szCs w:val="24"/>
                <w:highlight w:val="none"/>
                <w:lang w:val="en-US" w:eastAsia="zh-CN" w:bidi="ar-SA"/>
              </w:rPr>
              <w:t>t——降雨历时，按1</w:t>
            </w:r>
            <w:r>
              <w:rPr>
                <w:rFonts w:hint="eastAsia" w:ascii="Times New Roman" w:hAnsi="Times New Roman" w:eastAsia="宋体" w:cs="Times New Roman"/>
                <w:color w:val="auto"/>
                <w:spacing w:val="-2"/>
                <w:kern w:val="0"/>
                <w:sz w:val="24"/>
                <w:szCs w:val="24"/>
                <w:highlight w:val="none"/>
                <w:lang w:val="en-US" w:eastAsia="zh-CN" w:bidi="ar-SA"/>
              </w:rPr>
              <w:t>5</w:t>
            </w:r>
            <w:r>
              <w:rPr>
                <w:rFonts w:hint="default" w:ascii="Times New Roman" w:hAnsi="Times New Roman" w:eastAsia="宋体" w:cs="Times New Roman"/>
                <w:color w:val="auto"/>
                <w:spacing w:val="-2"/>
                <w:kern w:val="0"/>
                <w:sz w:val="24"/>
                <w:szCs w:val="24"/>
                <w:highlight w:val="none"/>
                <w:lang w:val="en-US" w:eastAsia="zh-CN" w:bidi="ar-SA"/>
              </w:rPr>
              <w:t>min算；</w:t>
            </w:r>
          </w:p>
          <w:p w14:paraId="21E270D8">
            <w:pPr>
              <w:autoSpaceDE w:val="0"/>
              <w:autoSpaceDN w:val="0"/>
              <w:adjustRightInd w:val="0"/>
              <w:snapToGrid w:val="0"/>
              <w:spacing w:line="360" w:lineRule="auto"/>
              <w:ind w:firstLine="472" w:firstLineChars="200"/>
              <w:jc w:val="left"/>
              <w:rPr>
                <w:rFonts w:hint="default" w:ascii="Times New Roman" w:hAnsi="Times New Roman" w:eastAsia="宋体" w:cs="Times New Roman"/>
                <w:color w:val="auto"/>
                <w:spacing w:val="-2"/>
                <w:kern w:val="0"/>
                <w:sz w:val="24"/>
                <w:szCs w:val="24"/>
                <w:highlight w:val="none"/>
                <w:lang w:val="en-US" w:eastAsia="zh-CN" w:bidi="ar-SA"/>
              </w:rPr>
            </w:pPr>
            <w:r>
              <w:rPr>
                <w:rFonts w:hint="default" w:ascii="Times New Roman" w:hAnsi="Times New Roman" w:eastAsia="宋体" w:cs="Times New Roman"/>
                <w:color w:val="auto"/>
                <w:spacing w:val="-2"/>
                <w:kern w:val="0"/>
                <w:sz w:val="24"/>
                <w:szCs w:val="24"/>
                <w:highlight w:val="none"/>
                <w:lang w:val="en-US" w:eastAsia="zh-CN" w:bidi="ar-SA"/>
              </w:rPr>
              <w:t>ψ——径流系数</w:t>
            </w:r>
            <w:r>
              <w:rPr>
                <w:rFonts w:hint="eastAsia" w:ascii="Times New Roman" w:hAnsi="Times New Roman" w:eastAsia="宋体" w:cs="Times New Roman"/>
                <w:color w:val="auto"/>
                <w:spacing w:val="-2"/>
                <w:kern w:val="0"/>
                <w:sz w:val="24"/>
                <w:szCs w:val="24"/>
                <w:highlight w:val="none"/>
                <w:lang w:val="en-US" w:eastAsia="zh-CN" w:bidi="ar-SA"/>
              </w:rPr>
              <w:t>，0.9</w:t>
            </w:r>
            <w:r>
              <w:rPr>
                <w:rFonts w:hint="default" w:ascii="Times New Roman" w:hAnsi="Times New Roman" w:eastAsia="宋体" w:cs="Times New Roman"/>
                <w:color w:val="auto"/>
                <w:spacing w:val="-2"/>
                <w:kern w:val="0"/>
                <w:sz w:val="24"/>
                <w:szCs w:val="24"/>
                <w:highlight w:val="none"/>
                <w:lang w:val="en-US" w:eastAsia="zh-CN" w:bidi="ar-SA"/>
              </w:rPr>
              <w:t>；</w:t>
            </w:r>
          </w:p>
          <w:p w14:paraId="1D81F4CD">
            <w:pPr>
              <w:autoSpaceDE w:val="0"/>
              <w:autoSpaceDN w:val="0"/>
              <w:adjustRightInd w:val="0"/>
              <w:snapToGrid w:val="0"/>
              <w:spacing w:line="360" w:lineRule="auto"/>
              <w:ind w:firstLine="472" w:firstLineChars="200"/>
              <w:jc w:val="left"/>
              <w:rPr>
                <w:rFonts w:hint="default" w:ascii="Times New Roman" w:hAnsi="Times New Roman" w:eastAsia="宋体" w:cs="Times New Roman"/>
                <w:color w:val="auto"/>
                <w:spacing w:val="-2"/>
                <w:kern w:val="0"/>
                <w:sz w:val="24"/>
                <w:szCs w:val="24"/>
                <w:highlight w:val="none"/>
                <w:lang w:val="en-US" w:eastAsia="zh-CN" w:bidi="ar-SA"/>
              </w:rPr>
            </w:pPr>
            <w:r>
              <w:rPr>
                <w:rFonts w:hint="default" w:ascii="Times New Roman" w:hAnsi="Times New Roman" w:eastAsia="宋体" w:cs="Times New Roman"/>
                <w:color w:val="auto"/>
                <w:spacing w:val="-2"/>
                <w:kern w:val="0"/>
                <w:sz w:val="24"/>
                <w:szCs w:val="24"/>
                <w:highlight w:val="none"/>
                <w:lang w:val="en-US" w:eastAsia="zh-CN" w:bidi="ar-SA"/>
              </w:rPr>
              <w:t>S——S汇水面积，本项目取</w:t>
            </w:r>
            <w:r>
              <w:rPr>
                <w:rFonts w:hint="eastAsia" w:ascii="Times New Roman" w:hAnsi="Times New Roman" w:eastAsia="宋体" w:cs="Times New Roman"/>
                <w:color w:val="auto"/>
                <w:spacing w:val="-2"/>
                <w:kern w:val="0"/>
                <w:sz w:val="24"/>
                <w:szCs w:val="24"/>
                <w:highlight w:val="none"/>
                <w:lang w:val="en-US" w:eastAsia="zh-CN" w:bidi="ar-SA"/>
              </w:rPr>
              <w:t>4000</w:t>
            </w:r>
            <w:r>
              <w:rPr>
                <w:rFonts w:hint="default" w:ascii="Times New Roman" w:hAnsi="Times New Roman" w:eastAsia="宋体" w:cs="Times New Roman"/>
                <w:color w:val="auto"/>
                <w:spacing w:val="-2"/>
                <w:kern w:val="0"/>
                <w:sz w:val="24"/>
                <w:szCs w:val="24"/>
                <w:highlight w:val="none"/>
                <w:lang w:val="en-US" w:eastAsia="zh-CN" w:bidi="ar-SA"/>
              </w:rPr>
              <w:t>m</w:t>
            </w:r>
            <w:r>
              <w:rPr>
                <w:rFonts w:hint="default" w:ascii="Times New Roman" w:hAnsi="Times New Roman" w:eastAsia="宋体" w:cs="Times New Roman"/>
                <w:color w:val="auto"/>
                <w:spacing w:val="-2"/>
                <w:kern w:val="0"/>
                <w:sz w:val="24"/>
                <w:szCs w:val="24"/>
                <w:highlight w:val="none"/>
                <w:vertAlign w:val="superscript"/>
                <w:lang w:val="en-US" w:eastAsia="zh-CN" w:bidi="ar-SA"/>
              </w:rPr>
              <w:t>2</w:t>
            </w:r>
            <w:r>
              <w:rPr>
                <w:rFonts w:hint="default" w:ascii="Times New Roman" w:hAnsi="Times New Roman" w:eastAsia="宋体" w:cs="Times New Roman"/>
                <w:color w:val="auto"/>
                <w:spacing w:val="-2"/>
                <w:kern w:val="0"/>
                <w:sz w:val="24"/>
                <w:szCs w:val="24"/>
                <w:highlight w:val="none"/>
                <w:lang w:val="en-US" w:eastAsia="zh-CN" w:bidi="ar-SA"/>
              </w:rPr>
              <w:t>，为</w:t>
            </w:r>
            <w:r>
              <w:rPr>
                <w:rFonts w:hint="eastAsia" w:ascii="Times New Roman" w:hAnsi="Times New Roman" w:eastAsia="宋体" w:cs="Times New Roman"/>
                <w:color w:val="auto"/>
                <w:spacing w:val="-2"/>
                <w:kern w:val="0"/>
                <w:sz w:val="24"/>
                <w:szCs w:val="24"/>
                <w:highlight w:val="none"/>
                <w:lang w:val="en-US" w:eastAsia="zh-CN" w:bidi="ar-SA"/>
              </w:rPr>
              <w:t>0.4</w:t>
            </w:r>
            <w:r>
              <w:rPr>
                <w:rFonts w:hint="default" w:ascii="Times New Roman" w:hAnsi="Times New Roman" w:eastAsia="宋体" w:cs="Times New Roman"/>
                <w:color w:val="auto"/>
                <w:spacing w:val="-2"/>
                <w:kern w:val="0"/>
                <w:sz w:val="24"/>
                <w:szCs w:val="24"/>
                <w:highlight w:val="none"/>
                <w:lang w:val="en-US" w:eastAsia="zh-CN" w:bidi="ar-SA"/>
              </w:rPr>
              <w:t>ha；</w:t>
            </w:r>
          </w:p>
          <w:p w14:paraId="7C124483">
            <w:pPr>
              <w:autoSpaceDE w:val="0"/>
              <w:autoSpaceDN w:val="0"/>
              <w:adjustRightInd w:val="0"/>
              <w:snapToGrid w:val="0"/>
              <w:spacing w:line="360" w:lineRule="auto"/>
              <w:ind w:firstLine="472" w:firstLineChars="200"/>
              <w:jc w:val="left"/>
              <w:rPr>
                <w:rFonts w:hint="default" w:ascii="Times New Roman" w:hAnsi="Times New Roman" w:eastAsia="宋体" w:cs="Times New Roman"/>
                <w:color w:val="auto"/>
                <w:spacing w:val="-2"/>
                <w:kern w:val="0"/>
                <w:sz w:val="24"/>
                <w:szCs w:val="24"/>
                <w:highlight w:val="none"/>
                <w:lang w:val="en-US" w:eastAsia="zh-CN" w:bidi="ar-SA"/>
              </w:rPr>
            </w:pPr>
            <w:r>
              <w:rPr>
                <w:rFonts w:hint="default" w:ascii="Times New Roman" w:hAnsi="Times New Roman" w:eastAsia="宋体" w:cs="Times New Roman"/>
                <w:color w:val="auto"/>
                <w:spacing w:val="-2"/>
                <w:kern w:val="0"/>
                <w:sz w:val="24"/>
                <w:szCs w:val="24"/>
                <w:highlight w:val="none"/>
                <w:lang w:val="en-US" w:eastAsia="zh-CN" w:bidi="ar-SA"/>
              </w:rPr>
              <w:t>Q——雨水流量，单位：升/秒。</w:t>
            </w:r>
          </w:p>
          <w:p w14:paraId="52BB3B4F">
            <w:pPr>
              <w:adjustRightInd w:val="0"/>
              <w:snapToGrid w:val="0"/>
              <w:spacing w:line="360" w:lineRule="auto"/>
              <w:ind w:firstLine="472" w:firstLineChars="200"/>
              <w:jc w:val="left"/>
              <w:rPr>
                <w:rFonts w:hint="eastAsia"/>
                <w:color w:val="auto"/>
                <w:spacing w:val="-1"/>
                <w:sz w:val="24"/>
                <w:szCs w:val="24"/>
                <w:lang w:val="en-US" w:eastAsia="zh-CN"/>
              </w:rPr>
            </w:pPr>
            <w:r>
              <w:rPr>
                <w:rFonts w:hint="default" w:ascii="Times New Roman" w:hAnsi="Times New Roman" w:eastAsia="宋体" w:cs="Times New Roman"/>
                <w:color w:val="auto"/>
                <w:spacing w:val="-2"/>
                <w:kern w:val="2"/>
                <w:sz w:val="24"/>
                <w:szCs w:val="24"/>
                <w:highlight w:val="none"/>
                <w:lang w:val="en-US" w:eastAsia="zh-CN" w:bidi="ar-SA"/>
              </w:rPr>
              <w:t>代入计算得暴雨强度q=358.1</w:t>
            </w:r>
            <w:r>
              <w:rPr>
                <w:rFonts w:hint="eastAsia" w:ascii="Times New Roman" w:hAnsi="Times New Roman" w:eastAsia="宋体" w:cs="Times New Roman"/>
                <w:color w:val="auto"/>
                <w:spacing w:val="-2"/>
                <w:kern w:val="2"/>
                <w:sz w:val="24"/>
                <w:szCs w:val="24"/>
                <w:highlight w:val="none"/>
                <w:lang w:val="en-US" w:eastAsia="zh-CN" w:bidi="ar-SA"/>
              </w:rPr>
              <w:t>2</w:t>
            </w:r>
            <w:r>
              <w:rPr>
                <w:rFonts w:hint="default" w:ascii="Times New Roman" w:hAnsi="Times New Roman" w:eastAsia="宋体" w:cs="Times New Roman"/>
                <w:color w:val="auto"/>
                <w:spacing w:val="-2"/>
                <w:kern w:val="2"/>
                <w:sz w:val="24"/>
                <w:szCs w:val="24"/>
                <w:highlight w:val="none"/>
                <w:lang w:val="en-US" w:eastAsia="zh-CN" w:bidi="ar-SA"/>
              </w:rPr>
              <w:t>升/秒·公顷，初期雨水收集时间按15min计算，则最大初期雨水量约为</w:t>
            </w:r>
            <w:r>
              <w:rPr>
                <w:rFonts w:hint="eastAsia" w:ascii="Times New Roman" w:hAnsi="Times New Roman" w:eastAsia="宋体" w:cs="Times New Roman"/>
                <w:color w:val="auto"/>
                <w:spacing w:val="-2"/>
                <w:kern w:val="2"/>
                <w:sz w:val="24"/>
                <w:szCs w:val="24"/>
                <w:highlight w:val="none"/>
                <w:lang w:val="en-US" w:eastAsia="zh-CN" w:bidi="ar-SA"/>
              </w:rPr>
              <w:t>128.9</w:t>
            </w:r>
            <w:r>
              <w:rPr>
                <w:rFonts w:hint="default" w:ascii="Times New Roman" w:hAnsi="Times New Roman" w:eastAsia="宋体" w:cs="Times New Roman"/>
                <w:color w:val="auto"/>
                <w:spacing w:val="-2"/>
                <w:kern w:val="2"/>
                <w:sz w:val="24"/>
                <w:szCs w:val="24"/>
                <w:highlight w:val="none"/>
                <w:lang w:val="en-US" w:eastAsia="zh-CN" w:bidi="ar-SA"/>
              </w:rPr>
              <w:t>m</w:t>
            </w:r>
            <w:r>
              <w:rPr>
                <w:rFonts w:hint="default" w:ascii="Times New Roman" w:hAnsi="Times New Roman" w:eastAsia="宋体" w:cs="Times New Roman"/>
                <w:color w:val="auto"/>
                <w:spacing w:val="-2"/>
                <w:kern w:val="2"/>
                <w:sz w:val="24"/>
                <w:szCs w:val="24"/>
                <w:highlight w:val="none"/>
                <w:vertAlign w:val="superscript"/>
                <w:lang w:val="en-US" w:eastAsia="zh-CN" w:bidi="ar-SA"/>
              </w:rPr>
              <w:t>3</w:t>
            </w:r>
            <w:r>
              <w:rPr>
                <w:rFonts w:hint="default" w:ascii="Times New Roman" w:hAnsi="Times New Roman" w:eastAsia="宋体" w:cs="Times New Roman"/>
                <w:color w:val="auto"/>
                <w:spacing w:val="-2"/>
                <w:kern w:val="2"/>
                <w:sz w:val="24"/>
                <w:szCs w:val="24"/>
                <w:highlight w:val="none"/>
                <w:lang w:val="en-US" w:eastAsia="zh-CN" w:bidi="ar-SA"/>
              </w:rPr>
              <w:t>/次。</w:t>
            </w:r>
            <w:r>
              <w:rPr>
                <w:rFonts w:hint="eastAsia" w:ascii="Times New Roman" w:hAnsi="Times New Roman" w:eastAsia="宋体" w:cs="Times New Roman"/>
                <w:color w:val="auto"/>
                <w:spacing w:val="-2"/>
                <w:kern w:val="2"/>
                <w:sz w:val="24"/>
                <w:szCs w:val="24"/>
                <w:highlight w:val="none"/>
                <w:lang w:val="en-US" w:eastAsia="zh-CN" w:bidi="ar-SA"/>
              </w:rPr>
              <w:t>项目初期雨水经收集沟渠排入污水池，污水池总容积600m</w:t>
            </w:r>
            <w:r>
              <w:rPr>
                <w:rFonts w:hint="eastAsia" w:ascii="Times New Roman" w:hAnsi="Times New Roman" w:eastAsia="宋体" w:cs="Times New Roman"/>
                <w:color w:val="auto"/>
                <w:spacing w:val="-2"/>
                <w:kern w:val="2"/>
                <w:sz w:val="24"/>
                <w:szCs w:val="24"/>
                <w:highlight w:val="none"/>
                <w:vertAlign w:val="superscript"/>
                <w:lang w:val="en-US" w:eastAsia="zh-CN" w:bidi="ar-SA"/>
              </w:rPr>
              <w:t>3</w:t>
            </w:r>
            <w:r>
              <w:rPr>
                <w:rFonts w:hint="eastAsia" w:ascii="Times New Roman" w:hAnsi="Times New Roman" w:eastAsia="宋体" w:cs="Times New Roman"/>
                <w:color w:val="auto"/>
                <w:spacing w:val="-2"/>
                <w:kern w:val="2"/>
                <w:sz w:val="24"/>
                <w:szCs w:val="24"/>
                <w:highlight w:val="none"/>
                <w:lang w:val="en-US" w:eastAsia="zh-CN" w:bidi="ar-SA"/>
              </w:rPr>
              <w:t>，日常生产废水为156.48m</w:t>
            </w:r>
            <w:r>
              <w:rPr>
                <w:rFonts w:hint="eastAsia" w:ascii="Times New Roman" w:hAnsi="Times New Roman" w:eastAsia="宋体" w:cs="Times New Roman"/>
                <w:color w:val="auto"/>
                <w:spacing w:val="-2"/>
                <w:kern w:val="2"/>
                <w:sz w:val="24"/>
                <w:szCs w:val="24"/>
                <w:highlight w:val="none"/>
                <w:vertAlign w:val="superscript"/>
                <w:lang w:val="en-US" w:eastAsia="zh-CN" w:bidi="ar-SA"/>
              </w:rPr>
              <w:t>3</w:t>
            </w:r>
            <w:r>
              <w:rPr>
                <w:rFonts w:hint="eastAsia" w:ascii="Times New Roman" w:hAnsi="Times New Roman" w:eastAsia="宋体" w:cs="Times New Roman"/>
                <w:color w:val="auto"/>
                <w:spacing w:val="-2"/>
                <w:kern w:val="2"/>
                <w:sz w:val="24"/>
                <w:szCs w:val="24"/>
                <w:highlight w:val="none"/>
                <w:lang w:val="en-US" w:eastAsia="zh-CN" w:bidi="ar-SA"/>
              </w:rPr>
              <w:t>/d，有足够容积容纳一次</w:t>
            </w:r>
            <w:r>
              <w:rPr>
                <w:rFonts w:hint="eastAsia"/>
                <w:color w:val="auto"/>
                <w:spacing w:val="-1"/>
                <w:sz w:val="24"/>
                <w:szCs w:val="24"/>
                <w:lang w:val="en-US" w:eastAsia="zh-CN"/>
              </w:rPr>
              <w:t>暴雨初期雨水量。</w:t>
            </w:r>
          </w:p>
          <w:p w14:paraId="15C6460B">
            <w:pPr>
              <w:adjustRightInd w:val="0"/>
              <w:snapToGrid w:val="0"/>
              <w:spacing w:line="360" w:lineRule="auto"/>
              <w:ind w:firstLine="476" w:firstLineChars="200"/>
              <w:jc w:val="left"/>
              <w:rPr>
                <w:rFonts w:hint="eastAsia"/>
                <w:color w:val="auto"/>
                <w:spacing w:val="-1"/>
                <w:sz w:val="24"/>
                <w:szCs w:val="24"/>
                <w:lang w:val="en-US" w:eastAsia="zh-CN"/>
              </w:rPr>
            </w:pPr>
            <w:r>
              <w:rPr>
                <w:rFonts w:hint="eastAsia"/>
                <w:color w:val="auto"/>
                <w:spacing w:val="-1"/>
                <w:sz w:val="24"/>
                <w:szCs w:val="24"/>
                <w:lang w:val="en-US" w:eastAsia="zh-CN"/>
              </w:rPr>
              <w:t>根据《混凝土用水标准》（</w:t>
            </w:r>
            <w:r>
              <w:rPr>
                <w:rFonts w:hint="default" w:ascii="Times New Roman" w:hAnsi="Times New Roman" w:eastAsia="宋体" w:cs="Times New Roman"/>
                <w:color w:val="auto"/>
                <w:spacing w:val="-1"/>
                <w:sz w:val="24"/>
                <w:szCs w:val="24"/>
                <w:lang w:val="en-US" w:eastAsia="zh-CN"/>
              </w:rPr>
              <w:t>JGJ-2006</w:t>
            </w:r>
            <w:r>
              <w:rPr>
                <w:rFonts w:hint="eastAsia"/>
                <w:color w:val="auto"/>
                <w:spacing w:val="-1"/>
                <w:sz w:val="24"/>
                <w:szCs w:val="24"/>
                <w:lang w:val="en-US" w:eastAsia="zh-CN"/>
              </w:rPr>
              <w:t>），混凝土拌合用水水质对</w:t>
            </w:r>
            <w:r>
              <w:rPr>
                <w:rFonts w:hint="default" w:ascii="Times New Roman" w:hAnsi="Times New Roman" w:eastAsia="宋体" w:cs="Times New Roman"/>
                <w:color w:val="auto"/>
                <w:spacing w:val="-1"/>
                <w:sz w:val="24"/>
                <w:szCs w:val="24"/>
                <w:lang w:val="en-US" w:eastAsia="zh-CN"/>
              </w:rPr>
              <w:t>pH</w:t>
            </w:r>
            <w:r>
              <w:rPr>
                <w:rFonts w:hint="eastAsia"/>
                <w:color w:val="auto"/>
                <w:spacing w:val="-1"/>
                <w:sz w:val="24"/>
                <w:szCs w:val="24"/>
                <w:lang w:val="en-US" w:eastAsia="zh-CN"/>
              </w:rPr>
              <w:t>值的要求如下：</w:t>
            </w:r>
          </w:p>
          <w:p w14:paraId="66A372B2">
            <w:pPr>
              <w:adjustRightInd w:val="0"/>
              <w:snapToGrid w:val="0"/>
              <w:spacing w:line="360" w:lineRule="auto"/>
              <w:jc w:val="center"/>
              <w:rPr>
                <w:rFonts w:hint="default" w:ascii="Times New Roman" w:hAnsi="Times New Roman" w:eastAsia="宋体" w:cs="Times New Roman"/>
                <w:b/>
                <w:bCs/>
                <w:color w:val="auto"/>
                <w:spacing w:val="-1"/>
                <w:sz w:val="24"/>
                <w:szCs w:val="24"/>
                <w:lang w:val="en-US" w:eastAsia="zh-CN"/>
              </w:rPr>
            </w:pPr>
            <w:r>
              <w:rPr>
                <w:rFonts w:hint="default" w:ascii="Times New Roman" w:hAnsi="Times New Roman" w:eastAsia="宋体" w:cs="Times New Roman"/>
                <w:b/>
                <w:bCs/>
                <w:color w:val="auto"/>
                <w:spacing w:val="-1"/>
                <w:sz w:val="24"/>
                <w:szCs w:val="24"/>
                <w:lang w:val="en-US" w:eastAsia="zh-CN"/>
              </w:rPr>
              <w:t>表4-4 混凝土拌合用水水质要求</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4"/>
              <w:gridCol w:w="1904"/>
              <w:gridCol w:w="1905"/>
            </w:tblGrid>
            <w:tr w14:paraId="280E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904" w:type="dxa"/>
                  <w:vAlign w:val="center"/>
                </w:tcPr>
                <w:p w14:paraId="4CFA0AE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color w:val="auto"/>
                      <w:spacing w:val="-1"/>
                      <w:sz w:val="21"/>
                      <w:szCs w:val="21"/>
                      <w:vertAlign w:val="baseline"/>
                      <w:lang w:val="en-US" w:eastAsia="zh-CN"/>
                    </w:rPr>
                  </w:pPr>
                  <w:r>
                    <w:rPr>
                      <w:rFonts w:hint="eastAsia" w:ascii="Times New Roman" w:hAnsi="Times New Roman" w:eastAsia="宋体" w:cs="Times New Roman"/>
                      <w:b/>
                      <w:bCs/>
                      <w:color w:val="auto"/>
                      <w:spacing w:val="-1"/>
                      <w:sz w:val="21"/>
                      <w:szCs w:val="21"/>
                      <w:vertAlign w:val="baseline"/>
                      <w:lang w:val="en-US" w:eastAsia="zh-CN"/>
                    </w:rPr>
                    <w:t>项目</w:t>
                  </w:r>
                </w:p>
              </w:tc>
              <w:tc>
                <w:tcPr>
                  <w:tcW w:w="1904" w:type="dxa"/>
                  <w:vAlign w:val="center"/>
                </w:tcPr>
                <w:p w14:paraId="1DE3F81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color w:val="auto"/>
                      <w:spacing w:val="-1"/>
                      <w:sz w:val="21"/>
                      <w:szCs w:val="21"/>
                      <w:vertAlign w:val="baseline"/>
                      <w:lang w:val="en-US" w:eastAsia="zh-CN"/>
                    </w:rPr>
                  </w:pPr>
                  <w:r>
                    <w:rPr>
                      <w:rFonts w:hint="eastAsia" w:ascii="Times New Roman" w:hAnsi="Times New Roman" w:eastAsia="宋体" w:cs="Times New Roman"/>
                      <w:b/>
                      <w:bCs/>
                      <w:color w:val="auto"/>
                      <w:spacing w:val="-1"/>
                      <w:sz w:val="21"/>
                      <w:szCs w:val="21"/>
                      <w:vertAlign w:val="baseline"/>
                      <w:lang w:val="en-US" w:eastAsia="zh-CN"/>
                    </w:rPr>
                    <w:t>预应力混凝土</w:t>
                  </w:r>
                </w:p>
              </w:tc>
              <w:tc>
                <w:tcPr>
                  <w:tcW w:w="1904" w:type="dxa"/>
                  <w:vAlign w:val="center"/>
                </w:tcPr>
                <w:p w14:paraId="52FDC84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color w:val="auto"/>
                      <w:spacing w:val="-1"/>
                      <w:sz w:val="21"/>
                      <w:szCs w:val="21"/>
                      <w:vertAlign w:val="baseline"/>
                      <w:lang w:val="en-US" w:eastAsia="zh-CN"/>
                    </w:rPr>
                  </w:pPr>
                  <w:r>
                    <w:rPr>
                      <w:rFonts w:hint="eastAsia" w:ascii="Times New Roman" w:hAnsi="Times New Roman" w:eastAsia="宋体" w:cs="Times New Roman"/>
                      <w:b/>
                      <w:bCs/>
                      <w:color w:val="auto"/>
                      <w:spacing w:val="-1"/>
                      <w:sz w:val="21"/>
                      <w:szCs w:val="21"/>
                      <w:vertAlign w:val="baseline"/>
                      <w:lang w:val="en-US" w:eastAsia="zh-CN"/>
                    </w:rPr>
                    <w:t>钢筋混凝土</w:t>
                  </w:r>
                </w:p>
              </w:tc>
              <w:tc>
                <w:tcPr>
                  <w:tcW w:w="1905" w:type="dxa"/>
                  <w:vAlign w:val="center"/>
                </w:tcPr>
                <w:p w14:paraId="35A9AA8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color w:val="auto"/>
                      <w:spacing w:val="-1"/>
                      <w:sz w:val="21"/>
                      <w:szCs w:val="21"/>
                      <w:vertAlign w:val="baseline"/>
                      <w:lang w:val="en-US" w:eastAsia="zh-CN"/>
                    </w:rPr>
                  </w:pPr>
                  <w:r>
                    <w:rPr>
                      <w:rFonts w:hint="eastAsia" w:ascii="Times New Roman" w:hAnsi="Times New Roman" w:eastAsia="宋体" w:cs="Times New Roman"/>
                      <w:b/>
                      <w:bCs/>
                      <w:color w:val="auto"/>
                      <w:spacing w:val="-1"/>
                      <w:sz w:val="21"/>
                      <w:szCs w:val="21"/>
                      <w:vertAlign w:val="baseline"/>
                      <w:lang w:val="en-US" w:eastAsia="zh-CN"/>
                    </w:rPr>
                    <w:t>素混凝土</w:t>
                  </w:r>
                </w:p>
              </w:tc>
            </w:tr>
            <w:tr w14:paraId="0587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904" w:type="dxa"/>
                  <w:vAlign w:val="center"/>
                </w:tcPr>
                <w:p w14:paraId="7907F80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color w:val="auto"/>
                      <w:spacing w:val="-1"/>
                      <w:sz w:val="21"/>
                      <w:szCs w:val="21"/>
                      <w:vertAlign w:val="baseline"/>
                      <w:lang w:val="en-US" w:eastAsia="zh-CN"/>
                    </w:rPr>
                  </w:pPr>
                  <w:r>
                    <w:rPr>
                      <w:rFonts w:hint="default" w:ascii="Times New Roman" w:hAnsi="Times New Roman" w:eastAsia="宋体" w:cs="Times New Roman"/>
                      <w:color w:val="auto"/>
                      <w:spacing w:val="-1"/>
                      <w:sz w:val="21"/>
                      <w:szCs w:val="21"/>
                      <w:vertAlign w:val="baseline"/>
                      <w:lang w:val="en-US" w:eastAsia="zh-CN"/>
                    </w:rPr>
                    <w:t>pH</w:t>
                  </w:r>
                </w:p>
              </w:tc>
              <w:tc>
                <w:tcPr>
                  <w:tcW w:w="1904" w:type="dxa"/>
                  <w:vAlign w:val="center"/>
                </w:tcPr>
                <w:p w14:paraId="032A689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color w:val="auto"/>
                      <w:spacing w:val="-1"/>
                      <w:sz w:val="21"/>
                      <w:szCs w:val="21"/>
                      <w:vertAlign w:val="baseline"/>
                      <w:lang w:val="en-US" w:eastAsia="zh-CN"/>
                    </w:rPr>
                  </w:pPr>
                  <w:r>
                    <w:rPr>
                      <w:rFonts w:hint="default" w:ascii="Times New Roman" w:hAnsi="Times New Roman" w:eastAsia="宋体" w:cs="Times New Roman"/>
                      <w:color w:val="auto"/>
                      <w:spacing w:val="-1"/>
                      <w:sz w:val="21"/>
                      <w:szCs w:val="21"/>
                      <w:vertAlign w:val="baseline"/>
                      <w:lang w:val="en-US" w:eastAsia="zh-CN"/>
                    </w:rPr>
                    <w:t>≧5.0</w:t>
                  </w:r>
                </w:p>
              </w:tc>
              <w:tc>
                <w:tcPr>
                  <w:tcW w:w="1904" w:type="dxa"/>
                  <w:vAlign w:val="center"/>
                </w:tcPr>
                <w:p w14:paraId="20E05EF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color w:val="auto"/>
                      <w:spacing w:val="-1"/>
                      <w:sz w:val="21"/>
                      <w:szCs w:val="21"/>
                      <w:vertAlign w:val="baseline"/>
                      <w:lang w:val="en-US" w:eastAsia="zh-CN"/>
                    </w:rPr>
                  </w:pPr>
                  <w:r>
                    <w:rPr>
                      <w:rFonts w:hint="default" w:ascii="Times New Roman" w:hAnsi="Times New Roman" w:eastAsia="宋体" w:cs="Times New Roman"/>
                      <w:color w:val="auto"/>
                      <w:spacing w:val="-1"/>
                      <w:sz w:val="21"/>
                      <w:szCs w:val="21"/>
                      <w:vertAlign w:val="baseline"/>
                      <w:lang w:val="en-US" w:eastAsia="zh-CN"/>
                    </w:rPr>
                    <w:t>≧4.5</w:t>
                  </w:r>
                </w:p>
              </w:tc>
              <w:tc>
                <w:tcPr>
                  <w:tcW w:w="1905" w:type="dxa"/>
                  <w:vAlign w:val="center"/>
                </w:tcPr>
                <w:p w14:paraId="08D053F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color w:val="auto"/>
                      <w:spacing w:val="-1"/>
                      <w:sz w:val="21"/>
                      <w:szCs w:val="21"/>
                      <w:vertAlign w:val="baseline"/>
                      <w:lang w:val="en-US" w:eastAsia="zh-CN"/>
                    </w:rPr>
                  </w:pPr>
                  <w:r>
                    <w:rPr>
                      <w:rFonts w:hint="default" w:ascii="Times New Roman" w:hAnsi="Times New Roman" w:eastAsia="宋体" w:cs="Times New Roman"/>
                      <w:color w:val="auto"/>
                      <w:spacing w:val="-1"/>
                      <w:sz w:val="21"/>
                      <w:szCs w:val="21"/>
                      <w:vertAlign w:val="baseline"/>
                      <w:lang w:val="en-US" w:eastAsia="zh-CN"/>
                    </w:rPr>
                    <w:t>≧4.5</w:t>
                  </w:r>
                </w:p>
              </w:tc>
            </w:tr>
          </w:tbl>
          <w:p w14:paraId="2FBDF261">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jc w:val="both"/>
              <w:textAlignment w:val="baseline"/>
              <w:rPr>
                <w:rFonts w:hint="default" w:ascii="Times New Roman" w:hAnsi="Times New Roman" w:eastAsia="宋体" w:cs="Times New Roman"/>
                <w:color w:val="auto"/>
                <w:spacing w:val="-1"/>
                <w:sz w:val="24"/>
                <w:szCs w:val="24"/>
                <w:lang w:val="en-US" w:eastAsia="zh-CN"/>
              </w:rPr>
            </w:pPr>
            <w:r>
              <w:rPr>
                <w:rFonts w:hint="eastAsia"/>
                <w:color w:val="auto"/>
                <w:spacing w:val="-1"/>
                <w:sz w:val="24"/>
                <w:szCs w:val="24"/>
                <w:lang w:val="en-US" w:eastAsia="zh-CN"/>
              </w:rPr>
              <w:t xml:space="preserve">        </w:t>
            </w:r>
            <w:r>
              <w:rPr>
                <w:rFonts w:hint="default" w:ascii="Times New Roman" w:hAnsi="Times New Roman" w:eastAsia="宋体" w:cs="Times New Roman"/>
                <w:color w:val="auto"/>
                <w:spacing w:val="-1"/>
                <w:sz w:val="24"/>
                <w:szCs w:val="24"/>
                <w:lang w:val="en-US" w:eastAsia="zh-CN"/>
              </w:rPr>
              <w:t>根据《&lt;预拌混凝土绿色生产及管理技术规程&gt;广东省实施细则》（DBJ/T 15-117-2016）</w:t>
            </w:r>
            <w:r>
              <w:rPr>
                <w:rFonts w:hint="eastAsia" w:ascii="Times New Roman" w:hAnsi="Times New Roman" w:eastAsia="宋体" w:cs="Times New Roman"/>
                <w:color w:val="auto"/>
                <w:spacing w:val="-1"/>
                <w:sz w:val="24"/>
                <w:szCs w:val="24"/>
                <w:lang w:val="en-US" w:eastAsia="zh-CN"/>
              </w:rPr>
              <w:t>，</w:t>
            </w:r>
            <w:r>
              <w:rPr>
                <w:rFonts w:hint="eastAsia"/>
                <w:color w:val="auto"/>
                <w:spacing w:val="-1"/>
                <w:sz w:val="24"/>
                <w:szCs w:val="24"/>
                <w:lang w:val="en-US" w:eastAsia="zh-CN"/>
              </w:rPr>
              <w:t>混凝土拌合用水水质应满足</w:t>
            </w:r>
            <w:r>
              <w:rPr>
                <w:rFonts w:hint="default" w:ascii="Times New Roman" w:hAnsi="Times New Roman" w:eastAsia="宋体" w:cs="Times New Roman"/>
                <w:color w:val="auto"/>
                <w:spacing w:val="-1"/>
                <w:sz w:val="24"/>
                <w:szCs w:val="24"/>
                <w:lang w:val="en-US" w:eastAsia="zh-CN"/>
              </w:rPr>
              <w:t>《混凝土用水标准》（JGJ-2006）</w:t>
            </w:r>
            <w:r>
              <w:rPr>
                <w:rFonts w:hint="eastAsia" w:ascii="Times New Roman" w:hAnsi="Times New Roman" w:eastAsia="宋体" w:cs="Times New Roman"/>
                <w:color w:val="auto"/>
                <w:spacing w:val="-1"/>
                <w:sz w:val="24"/>
                <w:szCs w:val="24"/>
                <w:lang w:val="en-US" w:eastAsia="zh-CN"/>
              </w:rPr>
              <w:t>。根据废水源强可知，本项目废水水质可满足该标准的要求。项目生产废水同时回用于洗砂工序，由于洗砂过程主要是清洗砂石骨料表面的杂质，对用水水质无要求。因此，项目废水经沉淀+过滤罐+板框压滤处理后回用是可行的。</w:t>
            </w:r>
          </w:p>
          <w:p w14:paraId="4D4A41A4">
            <w:pPr>
              <w:pStyle w:val="22"/>
              <w:keepNext w:val="0"/>
              <w:keepLines w:val="0"/>
              <w:pageBreakBefore w:val="0"/>
              <w:widowControl/>
              <w:kinsoku w:val="0"/>
              <w:wordWrap/>
              <w:overflowPunct/>
              <w:topLinePunct w:val="0"/>
              <w:autoSpaceDE w:val="0"/>
              <w:autoSpaceDN w:val="0"/>
              <w:bidi w:val="0"/>
              <w:adjustRightInd w:val="0"/>
              <w:snapToGrid w:val="0"/>
              <w:spacing w:line="219" w:lineRule="auto"/>
              <w:ind w:firstLine="476" w:firstLineChars="200"/>
              <w:textAlignment w:val="baseline"/>
              <w:rPr>
                <w:color w:val="auto"/>
              </w:rPr>
            </w:pPr>
            <w:r>
              <w:rPr>
                <w:rFonts w:ascii="Times New Roman" w:hAnsi="Times New Roman" w:eastAsia="Times New Roman" w:cs="Times New Roman"/>
                <w:color w:val="auto"/>
                <w:spacing w:val="-1"/>
              </w:rPr>
              <w:t>2</w:t>
            </w:r>
            <w:r>
              <w:rPr>
                <w:color w:val="auto"/>
                <w:spacing w:val="-1"/>
              </w:rPr>
              <w:t>）生活污水</w:t>
            </w:r>
          </w:p>
          <w:p w14:paraId="62E31951">
            <w:pPr>
              <w:pStyle w:val="22"/>
              <w:spacing w:before="184" w:line="355" w:lineRule="auto"/>
              <w:ind w:right="128" w:firstLine="484" w:firstLineChars="200"/>
              <w:rPr>
                <w:color w:val="auto"/>
              </w:rPr>
            </w:pPr>
            <w:r>
              <w:rPr>
                <w:color w:val="auto"/>
                <w:spacing w:val="1"/>
              </w:rPr>
              <w:t>生活污水污染因子单一，可生化降解能力强，经化粪池处理后能达</w:t>
            </w:r>
            <w:r>
              <w:rPr>
                <w:color w:val="auto"/>
                <w:spacing w:val="-3"/>
              </w:rPr>
              <w:t>到</w:t>
            </w:r>
            <w:r>
              <w:rPr>
                <w:color w:val="auto"/>
                <w:spacing w:val="-3"/>
                <w:highlight w:val="none"/>
              </w:rPr>
              <w:t>《农田灌溉水质标准》（</w:t>
            </w:r>
            <w:r>
              <w:rPr>
                <w:rFonts w:ascii="Times New Roman" w:hAnsi="Times New Roman" w:eastAsia="Times New Roman" w:cs="Times New Roman"/>
                <w:color w:val="auto"/>
                <w:spacing w:val="-3"/>
                <w:highlight w:val="none"/>
              </w:rPr>
              <w:t>GB5084-2021</w:t>
            </w:r>
            <w:r>
              <w:rPr>
                <w:color w:val="auto"/>
                <w:spacing w:val="-3"/>
                <w:highlight w:val="none"/>
              </w:rPr>
              <w:t>）中</w:t>
            </w:r>
            <w:r>
              <w:rPr>
                <w:rFonts w:hint="eastAsia"/>
                <w:color w:val="auto"/>
                <w:spacing w:val="-3"/>
                <w:highlight w:val="none"/>
                <w:lang w:val="en-US" w:eastAsia="zh-CN"/>
              </w:rPr>
              <w:t>旱地</w:t>
            </w:r>
            <w:r>
              <w:rPr>
                <w:color w:val="auto"/>
                <w:spacing w:val="-4"/>
                <w:highlight w:val="none"/>
              </w:rPr>
              <w:t>作物标准要求用于</w:t>
            </w:r>
            <w:r>
              <w:rPr>
                <w:rFonts w:hint="eastAsia"/>
                <w:color w:val="auto"/>
                <w:spacing w:val="-4"/>
                <w:highlight w:val="none"/>
                <w:lang w:val="en-US" w:eastAsia="zh-CN"/>
              </w:rPr>
              <w:t>周边林地灌溉</w:t>
            </w:r>
            <w:r>
              <w:rPr>
                <w:color w:val="auto"/>
                <w:spacing w:val="-2"/>
              </w:rPr>
              <w:t>，不外排。</w:t>
            </w:r>
            <w:r>
              <w:rPr>
                <w:rFonts w:hint="eastAsia"/>
                <w:color w:val="auto"/>
                <w:spacing w:val="-2"/>
                <w:lang w:val="en-US" w:eastAsia="zh-CN"/>
              </w:rPr>
              <w:t>参考《用水定额 第1部分：农业》（</w:t>
            </w:r>
            <w:r>
              <w:rPr>
                <w:rFonts w:hint="default" w:ascii="Times New Roman" w:hAnsi="Times New Roman" w:cs="Times New Roman"/>
                <w:color w:val="auto"/>
                <w:spacing w:val="-2"/>
                <w:lang w:val="en-US" w:eastAsia="zh-CN"/>
              </w:rPr>
              <w:t>DB44/T 1461.1-2021）表A.3果树灌溉用水定额表中GFQ3</w:t>
            </w:r>
            <w:r>
              <w:rPr>
                <w:rFonts w:hint="eastAsia"/>
                <w:color w:val="auto"/>
                <w:spacing w:val="-2"/>
                <w:lang w:val="en-US" w:eastAsia="zh-CN"/>
              </w:rPr>
              <w:t>粤北和粤西北山区丘陵引蓄灌溉用水定额分区</w:t>
            </w:r>
            <w:r>
              <w:rPr>
                <w:rFonts w:hint="default" w:ascii="Times New Roman" w:hAnsi="Times New Roman" w:cs="Times New Roman"/>
                <w:color w:val="auto"/>
                <w:spacing w:val="-2"/>
                <w:lang w:val="en-US" w:eastAsia="zh-CN"/>
              </w:rPr>
              <w:t>A0151李子145m</w:t>
            </w:r>
            <w:r>
              <w:rPr>
                <w:rFonts w:hint="default" w:ascii="Times New Roman" w:hAnsi="Times New Roman" w:cs="Times New Roman"/>
                <w:color w:val="auto"/>
                <w:spacing w:val="-2"/>
                <w:vertAlign w:val="superscript"/>
                <w:lang w:val="en-US" w:eastAsia="zh-CN"/>
              </w:rPr>
              <w:t>3</w:t>
            </w:r>
            <w:r>
              <w:rPr>
                <w:rFonts w:hint="default" w:ascii="Times New Roman" w:hAnsi="Times New Roman" w:cs="Times New Roman"/>
                <w:color w:val="auto"/>
                <w:spacing w:val="-2"/>
                <w:lang w:val="en-US" w:eastAsia="zh-CN"/>
              </w:rPr>
              <w:t>/亩▪年</w:t>
            </w:r>
            <w:r>
              <w:rPr>
                <w:rFonts w:hint="eastAsia"/>
                <w:color w:val="auto"/>
                <w:spacing w:val="-2"/>
                <w:lang w:val="en-US" w:eastAsia="zh-CN"/>
              </w:rPr>
              <w:t>，项目生活污水量为</w:t>
            </w:r>
            <w:r>
              <w:rPr>
                <w:rFonts w:hint="default" w:ascii="Times New Roman" w:hAnsi="Times New Roman" w:cs="Times New Roman"/>
                <w:color w:val="auto"/>
                <w:spacing w:val="-2"/>
                <w:lang w:val="en-US" w:eastAsia="zh-CN"/>
              </w:rPr>
              <w:t>99m</w:t>
            </w:r>
            <w:r>
              <w:rPr>
                <w:rFonts w:hint="default" w:ascii="Times New Roman" w:hAnsi="Times New Roman" w:cs="Times New Roman"/>
                <w:color w:val="auto"/>
                <w:spacing w:val="-2"/>
                <w:vertAlign w:val="superscript"/>
                <w:lang w:val="en-US" w:eastAsia="zh-CN"/>
              </w:rPr>
              <w:t>3</w:t>
            </w:r>
            <w:r>
              <w:rPr>
                <w:rFonts w:hint="default" w:ascii="Times New Roman" w:hAnsi="Times New Roman" w:cs="Times New Roman"/>
                <w:color w:val="auto"/>
                <w:spacing w:val="-2"/>
                <w:lang w:val="en-US" w:eastAsia="zh-CN"/>
              </w:rPr>
              <w:t>/a</w:t>
            </w:r>
            <w:r>
              <w:rPr>
                <w:rFonts w:hint="eastAsia"/>
                <w:color w:val="auto"/>
                <w:spacing w:val="-2"/>
                <w:lang w:val="en-US" w:eastAsia="zh-CN"/>
              </w:rPr>
              <w:t>，则需要灌溉林地面积约</w:t>
            </w:r>
            <w:r>
              <w:rPr>
                <w:rFonts w:hint="default" w:ascii="Times New Roman" w:hAnsi="Times New Roman" w:cs="Times New Roman"/>
                <w:color w:val="auto"/>
                <w:spacing w:val="-2"/>
                <w:lang w:val="en-US" w:eastAsia="zh-CN"/>
              </w:rPr>
              <w:t>455m</w:t>
            </w:r>
            <w:r>
              <w:rPr>
                <w:rFonts w:hint="default" w:ascii="Times New Roman" w:hAnsi="Times New Roman" w:cs="Times New Roman"/>
                <w:color w:val="auto"/>
                <w:spacing w:val="-2"/>
                <w:vertAlign w:val="superscript"/>
                <w:lang w:val="en-US" w:eastAsia="zh-CN"/>
              </w:rPr>
              <w:t>2</w:t>
            </w:r>
            <w:r>
              <w:rPr>
                <w:rFonts w:hint="eastAsia"/>
                <w:color w:val="auto"/>
                <w:spacing w:val="-2"/>
                <w:lang w:val="en-US" w:eastAsia="zh-CN"/>
              </w:rPr>
              <w:t>，所需面积较小，</w:t>
            </w:r>
            <w:r>
              <w:rPr>
                <w:color w:val="auto"/>
                <w:spacing w:val="-2"/>
              </w:rPr>
              <w:t>项目厂区</w:t>
            </w:r>
            <w:r>
              <w:rPr>
                <w:rFonts w:hint="eastAsia"/>
                <w:color w:val="auto"/>
                <w:spacing w:val="-2"/>
                <w:lang w:val="en-US" w:eastAsia="zh-CN"/>
              </w:rPr>
              <w:t>东侧为林地</w:t>
            </w:r>
            <w:r>
              <w:rPr>
                <w:color w:val="auto"/>
                <w:spacing w:val="-2"/>
              </w:rPr>
              <w:t>，</w:t>
            </w:r>
            <w:r>
              <w:rPr>
                <w:rFonts w:hint="eastAsia"/>
                <w:color w:val="auto"/>
                <w:spacing w:val="-2"/>
                <w:lang w:val="en-US" w:eastAsia="zh-CN"/>
              </w:rPr>
              <w:t>有足够的面积用于消纳项目产生的生活污水</w:t>
            </w:r>
            <w:r>
              <w:rPr>
                <w:color w:val="auto"/>
                <w:spacing w:val="-4"/>
              </w:rPr>
              <w:t>。因此，</w:t>
            </w:r>
            <w:r>
              <w:rPr>
                <w:color w:val="auto"/>
                <w:spacing w:val="-3"/>
              </w:rPr>
              <w:t>本项目的生活污水从水量、水质上看</w:t>
            </w:r>
            <w:r>
              <w:rPr>
                <w:color w:val="auto"/>
                <w:spacing w:val="-4"/>
              </w:rPr>
              <w:t>，用于</w:t>
            </w:r>
            <w:r>
              <w:rPr>
                <w:rFonts w:hint="eastAsia"/>
                <w:color w:val="auto"/>
                <w:spacing w:val="-4"/>
                <w:lang w:val="en-US" w:eastAsia="zh-CN"/>
              </w:rPr>
              <w:t>周边林地灌溉</w:t>
            </w:r>
            <w:r>
              <w:rPr>
                <w:color w:val="auto"/>
                <w:spacing w:val="-4"/>
              </w:rPr>
              <w:t>是可行的。</w:t>
            </w:r>
          </w:p>
          <w:p w14:paraId="3F09F2E4">
            <w:pPr>
              <w:pStyle w:val="22"/>
              <w:keepNext w:val="0"/>
              <w:keepLines w:val="0"/>
              <w:pageBreakBefore w:val="0"/>
              <w:widowControl/>
              <w:kinsoku w:val="0"/>
              <w:wordWrap/>
              <w:overflowPunct/>
              <w:topLinePunct w:val="0"/>
              <w:autoSpaceDE w:val="0"/>
              <w:autoSpaceDN w:val="0"/>
              <w:bidi w:val="0"/>
              <w:adjustRightInd w:val="0"/>
              <w:snapToGrid w:val="0"/>
              <w:spacing w:before="0" w:line="360" w:lineRule="auto"/>
              <w:ind w:left="703"/>
              <w:textAlignment w:val="baseline"/>
              <w:rPr>
                <w:color w:val="auto"/>
              </w:rPr>
            </w:pPr>
            <w:r>
              <w:rPr>
                <w:color w:val="auto"/>
                <w:spacing w:val="-2"/>
              </w:rPr>
              <w:t>（</w:t>
            </w:r>
            <w:r>
              <w:rPr>
                <w:rFonts w:hint="eastAsia" w:ascii="Times New Roman" w:hAnsi="Times New Roman" w:eastAsia="宋体" w:cs="Times New Roman"/>
                <w:color w:val="auto"/>
                <w:spacing w:val="-2"/>
                <w:lang w:val="en-US" w:eastAsia="zh-CN"/>
              </w:rPr>
              <w:t>3</w:t>
            </w:r>
            <w:r>
              <w:rPr>
                <w:color w:val="auto"/>
                <w:spacing w:val="-2"/>
              </w:rPr>
              <w:t>）</w:t>
            </w:r>
            <w:r>
              <w:rPr>
                <w:rFonts w:hint="eastAsia"/>
                <w:color w:val="auto"/>
                <w:spacing w:val="-2"/>
              </w:rPr>
              <w:t>废水类别、污染物及污染治理设施信息表</w:t>
            </w:r>
          </w:p>
          <w:p w14:paraId="21930A71">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47"/>
              <w:jc w:val="center"/>
              <w:textAlignment w:val="baseline"/>
              <w:rPr>
                <w:rFonts w:hint="default" w:ascii="Times New Roman" w:hAnsi="Times New Roman" w:cs="Times New Roman"/>
                <w:color w:val="auto"/>
                <w:spacing w:val="-1"/>
                <w:lang w:val="en-US" w:eastAsia="zh-CN"/>
              </w:rPr>
            </w:pPr>
          </w:p>
          <w:p w14:paraId="6929499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47"/>
              <w:jc w:val="center"/>
              <w:textAlignment w:val="baseline"/>
              <w:rPr>
                <w:rFonts w:hint="default" w:ascii="Times New Roman" w:hAnsi="Times New Roman" w:cs="Times New Roman"/>
                <w:color w:val="auto"/>
                <w:spacing w:val="-1"/>
                <w:lang w:val="en-US" w:eastAsia="zh-CN"/>
              </w:rPr>
            </w:pPr>
          </w:p>
          <w:p w14:paraId="2722C334">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47"/>
              <w:jc w:val="center"/>
              <w:textAlignment w:val="baseline"/>
              <w:rPr>
                <w:rFonts w:hint="default" w:ascii="Times New Roman" w:hAnsi="Times New Roman" w:cs="Times New Roman"/>
                <w:color w:val="auto"/>
                <w:spacing w:val="-1"/>
                <w:lang w:val="en-US" w:eastAsia="zh-CN"/>
              </w:rPr>
            </w:pPr>
          </w:p>
          <w:p w14:paraId="01485C08">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47"/>
              <w:jc w:val="center"/>
              <w:textAlignment w:val="baseline"/>
              <w:rPr>
                <w:rFonts w:hint="default" w:ascii="Times New Roman" w:hAnsi="Times New Roman" w:cs="Times New Roman"/>
                <w:color w:val="auto"/>
                <w:spacing w:val="-1"/>
                <w:lang w:val="en-US" w:eastAsia="zh-CN"/>
              </w:rPr>
            </w:pPr>
          </w:p>
          <w:p w14:paraId="57983CC8">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47"/>
              <w:jc w:val="center"/>
              <w:textAlignment w:val="baseline"/>
              <w:rPr>
                <w:rFonts w:hint="default" w:ascii="Times New Roman" w:hAnsi="Times New Roman" w:cs="Times New Roman"/>
                <w:color w:val="auto"/>
                <w:spacing w:val="-1"/>
                <w:lang w:val="en-US" w:eastAsia="zh-CN"/>
              </w:rPr>
            </w:pPr>
          </w:p>
          <w:p w14:paraId="62BC076B">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47"/>
              <w:jc w:val="center"/>
              <w:textAlignment w:val="baseline"/>
              <w:rPr>
                <w:rFonts w:hint="default" w:ascii="Times New Roman" w:hAnsi="Times New Roman" w:cs="Times New Roman"/>
                <w:color w:val="auto"/>
                <w:spacing w:val="-1"/>
                <w:lang w:val="en-US" w:eastAsia="zh-CN"/>
              </w:rPr>
            </w:pPr>
          </w:p>
          <w:p w14:paraId="7460647B">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47"/>
              <w:jc w:val="center"/>
              <w:textAlignment w:val="baseline"/>
              <w:rPr>
                <w:rFonts w:hint="default" w:ascii="Times New Roman" w:hAnsi="Times New Roman" w:cs="Times New Roman"/>
                <w:color w:val="auto"/>
                <w:spacing w:val="-1"/>
                <w:lang w:val="en-US" w:eastAsia="zh-CN"/>
              </w:rPr>
            </w:pPr>
          </w:p>
          <w:p w14:paraId="0648A797">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47"/>
              <w:jc w:val="center"/>
              <w:textAlignment w:val="baseline"/>
              <w:rPr>
                <w:rFonts w:hint="default" w:ascii="Times New Roman" w:hAnsi="Times New Roman" w:cs="Times New Roman"/>
                <w:color w:val="auto"/>
                <w:spacing w:val="-1"/>
                <w:lang w:val="en-US" w:eastAsia="zh-CN"/>
              </w:rPr>
            </w:pPr>
          </w:p>
          <w:p w14:paraId="367D6D7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47"/>
              <w:jc w:val="center"/>
              <w:textAlignment w:val="baseline"/>
              <w:rPr>
                <w:rFonts w:hint="default" w:ascii="Times New Roman" w:hAnsi="Times New Roman" w:cs="Times New Roman"/>
                <w:color w:val="auto"/>
                <w:spacing w:val="-1"/>
                <w:lang w:val="en-US" w:eastAsia="zh-CN"/>
              </w:rPr>
            </w:pPr>
            <w:r>
              <w:rPr>
                <w:rFonts w:hint="default" w:ascii="Times New Roman" w:hAnsi="Times New Roman" w:cs="Times New Roman"/>
                <w:color w:val="auto"/>
                <w:spacing w:val="-1"/>
                <w:lang w:val="en-US" w:eastAsia="zh-CN"/>
              </w:rPr>
              <w:t>表4-4 废水类别、污染物及污染治理设施信息表</w:t>
            </w:r>
          </w:p>
          <w:tbl>
            <w:tblPr>
              <w:tblStyle w:val="18"/>
              <w:tblW w:w="7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150"/>
              <w:gridCol w:w="604"/>
              <w:gridCol w:w="558"/>
              <w:gridCol w:w="624"/>
              <w:gridCol w:w="857"/>
              <w:gridCol w:w="812"/>
              <w:gridCol w:w="558"/>
              <w:gridCol w:w="671"/>
              <w:gridCol w:w="859"/>
            </w:tblGrid>
            <w:tr w14:paraId="2B28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blHeader/>
                <w:jc w:val="center"/>
              </w:trPr>
              <w:tc>
                <w:tcPr>
                  <w:tcW w:w="883" w:type="dxa"/>
                  <w:vMerge w:val="restart"/>
                  <w:tcBorders>
                    <w:top w:val="single" w:color="auto" w:sz="4" w:space="0"/>
                    <w:left w:val="single" w:color="auto" w:sz="4" w:space="0"/>
                    <w:bottom w:val="single" w:color="auto" w:sz="4" w:space="0"/>
                    <w:right w:val="single" w:color="auto" w:sz="4" w:space="0"/>
                  </w:tcBorders>
                  <w:noWrap w:val="0"/>
                  <w:vAlign w:val="center"/>
                </w:tcPr>
                <w:p w14:paraId="2B674036">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废水类别</w:t>
                  </w:r>
                  <w:r>
                    <w:rPr>
                      <w:rFonts w:hint="default" w:ascii="Times New Roman" w:hAnsi="Times New Roman" w:eastAsia="宋体" w:cs="Times New Roman"/>
                      <w:color w:val="auto"/>
                      <w:sz w:val="21"/>
                      <w:szCs w:val="21"/>
                      <w:vertAlign w:val="superscript"/>
                    </w:rPr>
                    <w:t>a</w:t>
                  </w:r>
                </w:p>
              </w:tc>
              <w:tc>
                <w:tcPr>
                  <w:tcW w:w="1150" w:type="dxa"/>
                  <w:vMerge w:val="restart"/>
                  <w:tcBorders>
                    <w:top w:val="single" w:color="auto" w:sz="4" w:space="0"/>
                    <w:left w:val="single" w:color="auto" w:sz="4" w:space="0"/>
                    <w:bottom w:val="single" w:color="auto" w:sz="4" w:space="0"/>
                    <w:right w:val="single" w:color="auto" w:sz="4" w:space="0"/>
                  </w:tcBorders>
                  <w:noWrap w:val="0"/>
                  <w:vAlign w:val="center"/>
                </w:tcPr>
                <w:p w14:paraId="6DBC2E30">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污染物种类</w:t>
                  </w:r>
                  <w:r>
                    <w:rPr>
                      <w:rFonts w:hint="default" w:ascii="Times New Roman" w:hAnsi="Times New Roman" w:eastAsia="宋体" w:cs="Times New Roman"/>
                      <w:color w:val="auto"/>
                      <w:sz w:val="21"/>
                      <w:szCs w:val="21"/>
                      <w:vertAlign w:val="superscript"/>
                    </w:rPr>
                    <w:t>b</w:t>
                  </w:r>
                </w:p>
              </w:tc>
              <w:tc>
                <w:tcPr>
                  <w:tcW w:w="604" w:type="dxa"/>
                  <w:vMerge w:val="restart"/>
                  <w:tcBorders>
                    <w:top w:val="single" w:color="auto" w:sz="4" w:space="0"/>
                    <w:left w:val="single" w:color="auto" w:sz="4" w:space="0"/>
                    <w:bottom w:val="single" w:color="auto" w:sz="4" w:space="0"/>
                    <w:right w:val="single" w:color="auto" w:sz="4" w:space="0"/>
                  </w:tcBorders>
                  <w:noWrap w:val="0"/>
                  <w:vAlign w:val="center"/>
                </w:tcPr>
                <w:p w14:paraId="2D60E46F">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排放去向</w:t>
                  </w:r>
                  <w:r>
                    <w:rPr>
                      <w:rFonts w:hint="default" w:ascii="Times New Roman" w:hAnsi="Times New Roman" w:eastAsia="宋体" w:cs="Times New Roman"/>
                      <w:color w:val="auto"/>
                      <w:sz w:val="21"/>
                      <w:szCs w:val="21"/>
                      <w:vertAlign w:val="superscript"/>
                    </w:rPr>
                    <w:t>c</w:t>
                  </w:r>
                </w:p>
              </w:tc>
              <w:tc>
                <w:tcPr>
                  <w:tcW w:w="558" w:type="dxa"/>
                  <w:vMerge w:val="restart"/>
                  <w:tcBorders>
                    <w:top w:val="single" w:color="auto" w:sz="4" w:space="0"/>
                    <w:left w:val="single" w:color="auto" w:sz="4" w:space="0"/>
                    <w:bottom w:val="single" w:color="auto" w:sz="4" w:space="0"/>
                    <w:right w:val="single" w:color="auto" w:sz="4" w:space="0"/>
                  </w:tcBorders>
                  <w:noWrap w:val="0"/>
                  <w:vAlign w:val="center"/>
                </w:tcPr>
                <w:p w14:paraId="0475C942">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排放规律</w:t>
                  </w:r>
                  <w:r>
                    <w:rPr>
                      <w:rFonts w:hint="default" w:ascii="Times New Roman" w:hAnsi="Times New Roman" w:eastAsia="宋体" w:cs="Times New Roman"/>
                      <w:color w:val="auto"/>
                      <w:sz w:val="21"/>
                      <w:szCs w:val="21"/>
                      <w:vertAlign w:val="superscript"/>
                    </w:rPr>
                    <w:t>d</w:t>
                  </w:r>
                </w:p>
              </w:tc>
              <w:tc>
                <w:tcPr>
                  <w:tcW w:w="2293" w:type="dxa"/>
                  <w:gridSpan w:val="3"/>
                  <w:tcBorders>
                    <w:top w:val="single" w:color="auto" w:sz="4" w:space="0"/>
                    <w:left w:val="single" w:color="auto" w:sz="4" w:space="0"/>
                    <w:bottom w:val="single" w:color="auto" w:sz="4" w:space="0"/>
                    <w:right w:val="single" w:color="auto" w:sz="4" w:space="0"/>
                  </w:tcBorders>
                  <w:noWrap w:val="0"/>
                  <w:vAlign w:val="center"/>
                </w:tcPr>
                <w:p w14:paraId="781E9FE7">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污染治理设施</w:t>
                  </w:r>
                </w:p>
              </w:tc>
              <w:tc>
                <w:tcPr>
                  <w:tcW w:w="558" w:type="dxa"/>
                  <w:vMerge w:val="restart"/>
                  <w:tcBorders>
                    <w:top w:val="single" w:color="auto" w:sz="4" w:space="0"/>
                    <w:left w:val="single" w:color="auto" w:sz="4" w:space="0"/>
                    <w:bottom w:val="single" w:color="auto" w:sz="4" w:space="0"/>
                    <w:right w:val="single" w:color="auto" w:sz="4" w:space="0"/>
                  </w:tcBorders>
                  <w:noWrap w:val="0"/>
                  <w:vAlign w:val="center"/>
                </w:tcPr>
                <w:p w14:paraId="45C837F3">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排放口编号</w:t>
                  </w:r>
                  <w:r>
                    <w:rPr>
                      <w:rFonts w:hint="default" w:ascii="Times New Roman" w:hAnsi="Times New Roman" w:eastAsia="宋体" w:cs="Times New Roman"/>
                      <w:color w:val="auto"/>
                      <w:sz w:val="21"/>
                      <w:szCs w:val="21"/>
                      <w:vertAlign w:val="superscript"/>
                    </w:rPr>
                    <w:t>f</w:t>
                  </w:r>
                </w:p>
              </w:tc>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271888BE">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排放口设置是否符合要求</w:t>
                  </w:r>
                  <w:r>
                    <w:rPr>
                      <w:rFonts w:hint="default" w:ascii="Times New Roman" w:hAnsi="Times New Roman" w:eastAsia="宋体" w:cs="Times New Roman"/>
                      <w:color w:val="auto"/>
                      <w:sz w:val="21"/>
                      <w:szCs w:val="21"/>
                      <w:vertAlign w:val="superscript"/>
                    </w:rPr>
                    <w:t>g</w:t>
                  </w:r>
                </w:p>
              </w:tc>
              <w:tc>
                <w:tcPr>
                  <w:tcW w:w="859" w:type="dxa"/>
                  <w:vMerge w:val="restart"/>
                  <w:tcBorders>
                    <w:top w:val="single" w:color="auto" w:sz="4" w:space="0"/>
                    <w:left w:val="single" w:color="auto" w:sz="4" w:space="0"/>
                    <w:bottom w:val="single" w:color="auto" w:sz="4" w:space="0"/>
                    <w:right w:val="single" w:color="auto" w:sz="4" w:space="0"/>
                  </w:tcBorders>
                  <w:noWrap w:val="0"/>
                  <w:vAlign w:val="center"/>
                </w:tcPr>
                <w:p w14:paraId="2D731A48">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排放口</w:t>
                  </w:r>
                </w:p>
                <w:p w14:paraId="5586815B">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类型</w:t>
                  </w:r>
                </w:p>
              </w:tc>
            </w:tr>
            <w:tr w14:paraId="2BE5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blHeader/>
                <w:jc w:val="center"/>
              </w:trPr>
              <w:tc>
                <w:tcPr>
                  <w:tcW w:w="883" w:type="dxa"/>
                  <w:vMerge w:val="continue"/>
                  <w:tcBorders>
                    <w:top w:val="single" w:color="auto" w:sz="4" w:space="0"/>
                    <w:left w:val="single" w:color="auto" w:sz="4" w:space="0"/>
                    <w:bottom w:val="single" w:color="auto" w:sz="4" w:space="0"/>
                    <w:right w:val="single" w:color="auto" w:sz="4" w:space="0"/>
                  </w:tcBorders>
                  <w:noWrap w:val="0"/>
                  <w:vAlign w:val="center"/>
                </w:tcPr>
                <w:p w14:paraId="6912A5F2">
                  <w:pPr>
                    <w:widowControl/>
                    <w:jc w:val="left"/>
                    <w:rPr>
                      <w:rFonts w:hint="default" w:ascii="Times New Roman" w:hAnsi="Times New Roman" w:eastAsia="宋体" w:cs="Times New Roman"/>
                      <w:color w:val="auto"/>
                      <w:sz w:val="21"/>
                      <w:szCs w:val="21"/>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14:paraId="295B4247">
                  <w:pPr>
                    <w:widowControl/>
                    <w:jc w:val="left"/>
                    <w:rPr>
                      <w:rFonts w:hint="default" w:ascii="Times New Roman" w:hAnsi="Times New Roman" w:eastAsia="宋体" w:cs="Times New Roman"/>
                      <w:color w:val="auto"/>
                      <w:sz w:val="21"/>
                      <w:szCs w:val="21"/>
                    </w:rPr>
                  </w:pPr>
                </w:p>
              </w:tc>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14:paraId="5539BD28">
                  <w:pPr>
                    <w:widowControl/>
                    <w:jc w:val="left"/>
                    <w:rPr>
                      <w:rFonts w:hint="default" w:ascii="Times New Roman" w:hAnsi="Times New Roman" w:eastAsia="宋体" w:cs="Times New Roman"/>
                      <w:color w:val="auto"/>
                      <w:sz w:val="21"/>
                      <w:szCs w:val="21"/>
                    </w:rPr>
                  </w:pPr>
                </w:p>
              </w:tc>
              <w:tc>
                <w:tcPr>
                  <w:tcW w:w="558" w:type="dxa"/>
                  <w:vMerge w:val="continue"/>
                  <w:tcBorders>
                    <w:top w:val="single" w:color="auto" w:sz="4" w:space="0"/>
                    <w:left w:val="single" w:color="auto" w:sz="4" w:space="0"/>
                    <w:bottom w:val="single" w:color="auto" w:sz="4" w:space="0"/>
                    <w:right w:val="single" w:color="auto" w:sz="4" w:space="0"/>
                  </w:tcBorders>
                  <w:noWrap w:val="0"/>
                  <w:vAlign w:val="center"/>
                </w:tcPr>
                <w:p w14:paraId="7A90FF04">
                  <w:pPr>
                    <w:widowControl/>
                    <w:jc w:val="left"/>
                    <w:rPr>
                      <w:rFonts w:hint="default" w:ascii="Times New Roman" w:hAnsi="Times New Roman" w:eastAsia="宋体" w:cs="Times New Roman"/>
                      <w:color w:val="auto"/>
                      <w:sz w:val="21"/>
                      <w:szCs w:val="21"/>
                    </w:rPr>
                  </w:pPr>
                </w:p>
              </w:tc>
              <w:tc>
                <w:tcPr>
                  <w:tcW w:w="624" w:type="dxa"/>
                  <w:tcBorders>
                    <w:top w:val="single" w:color="auto" w:sz="4" w:space="0"/>
                    <w:left w:val="single" w:color="auto" w:sz="4" w:space="0"/>
                    <w:bottom w:val="single" w:color="auto" w:sz="4" w:space="0"/>
                    <w:right w:val="single" w:color="auto" w:sz="4" w:space="0"/>
                  </w:tcBorders>
                  <w:noWrap w:val="0"/>
                  <w:vAlign w:val="center"/>
                </w:tcPr>
                <w:p w14:paraId="0A9DCEA2">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污染治理设施编号</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1E5E7BBE">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污染治理设施名称</w:t>
                  </w:r>
                  <w:r>
                    <w:rPr>
                      <w:rFonts w:hint="default" w:ascii="Times New Roman" w:hAnsi="Times New Roman" w:eastAsia="宋体" w:cs="Times New Roman"/>
                      <w:color w:val="auto"/>
                      <w:sz w:val="21"/>
                      <w:szCs w:val="21"/>
                      <w:vertAlign w:val="superscript"/>
                    </w:rPr>
                    <w:t>e</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9A9E66A">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污染治理设施工艺</w:t>
                  </w:r>
                </w:p>
              </w:tc>
              <w:tc>
                <w:tcPr>
                  <w:tcW w:w="558" w:type="dxa"/>
                  <w:vMerge w:val="continue"/>
                  <w:tcBorders>
                    <w:top w:val="single" w:color="auto" w:sz="4" w:space="0"/>
                    <w:left w:val="single" w:color="auto" w:sz="4" w:space="0"/>
                    <w:bottom w:val="single" w:color="auto" w:sz="4" w:space="0"/>
                    <w:right w:val="single" w:color="auto" w:sz="4" w:space="0"/>
                  </w:tcBorders>
                  <w:noWrap w:val="0"/>
                  <w:vAlign w:val="center"/>
                </w:tcPr>
                <w:p w14:paraId="29E3EF62">
                  <w:pPr>
                    <w:widowControl/>
                    <w:jc w:val="left"/>
                    <w:rPr>
                      <w:rFonts w:hint="default" w:ascii="Times New Roman" w:hAnsi="Times New Roman" w:eastAsia="宋体" w:cs="Times New Roman"/>
                      <w:color w:val="auto"/>
                      <w:sz w:val="21"/>
                      <w:szCs w:val="21"/>
                    </w:rPr>
                  </w:pPr>
                </w:p>
              </w:tc>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1DA6600C">
                  <w:pPr>
                    <w:widowControl/>
                    <w:jc w:val="left"/>
                    <w:rPr>
                      <w:rFonts w:hint="default" w:ascii="Times New Roman" w:hAnsi="Times New Roman" w:eastAsia="宋体" w:cs="Times New Roman"/>
                      <w:color w:val="auto"/>
                      <w:sz w:val="21"/>
                      <w:szCs w:val="21"/>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57FBAC9E">
                  <w:pPr>
                    <w:widowControl/>
                    <w:jc w:val="left"/>
                    <w:rPr>
                      <w:rFonts w:hint="default" w:ascii="Times New Roman" w:hAnsi="Times New Roman" w:eastAsia="宋体" w:cs="Times New Roman"/>
                      <w:color w:val="auto"/>
                      <w:sz w:val="21"/>
                      <w:szCs w:val="21"/>
                    </w:rPr>
                  </w:pPr>
                </w:p>
              </w:tc>
            </w:tr>
            <w:tr w14:paraId="79A7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883" w:type="dxa"/>
                  <w:tcBorders>
                    <w:top w:val="single" w:color="auto" w:sz="4" w:space="0"/>
                    <w:left w:val="single" w:color="auto" w:sz="4" w:space="0"/>
                    <w:bottom w:val="single" w:color="auto" w:sz="4" w:space="0"/>
                    <w:right w:val="single" w:color="auto" w:sz="4" w:space="0"/>
                  </w:tcBorders>
                  <w:noWrap w:val="0"/>
                  <w:vAlign w:val="center"/>
                </w:tcPr>
                <w:p w14:paraId="2B524B91">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生活污水</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7DFC470">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COD、BOD、SS、氨氮</w:t>
                  </w:r>
                </w:p>
              </w:tc>
              <w:tc>
                <w:tcPr>
                  <w:tcW w:w="604" w:type="dxa"/>
                  <w:vMerge w:val="restart"/>
                  <w:tcBorders>
                    <w:top w:val="single" w:color="auto" w:sz="4" w:space="0"/>
                    <w:left w:val="single" w:color="auto" w:sz="4" w:space="0"/>
                    <w:right w:val="single" w:color="auto" w:sz="4" w:space="0"/>
                  </w:tcBorders>
                  <w:noWrap w:val="0"/>
                  <w:vAlign w:val="center"/>
                </w:tcPr>
                <w:p w14:paraId="1E39D735">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不外排</w:t>
                  </w:r>
                </w:p>
              </w:tc>
              <w:tc>
                <w:tcPr>
                  <w:tcW w:w="558" w:type="dxa"/>
                  <w:vMerge w:val="restart"/>
                  <w:tcBorders>
                    <w:top w:val="single" w:color="auto" w:sz="4" w:space="0"/>
                    <w:left w:val="single" w:color="auto" w:sz="4" w:space="0"/>
                    <w:right w:val="single" w:color="auto" w:sz="4" w:space="0"/>
                  </w:tcBorders>
                  <w:noWrap w:val="0"/>
                  <w:vAlign w:val="center"/>
                </w:tcPr>
                <w:p w14:paraId="4FC1AC7A">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不外排</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D48064F">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TW001</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2D2DE8DE">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化粪池</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795968D">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厌氧、沉淀</w:t>
                  </w:r>
                </w:p>
              </w:tc>
              <w:tc>
                <w:tcPr>
                  <w:tcW w:w="558" w:type="dxa"/>
                  <w:tcBorders>
                    <w:top w:val="single" w:color="auto" w:sz="4" w:space="0"/>
                    <w:left w:val="single" w:color="auto" w:sz="4" w:space="0"/>
                    <w:bottom w:val="single" w:color="auto" w:sz="4" w:space="0"/>
                    <w:right w:val="single" w:color="auto" w:sz="4" w:space="0"/>
                  </w:tcBorders>
                  <w:noWrap w:val="0"/>
                  <w:vAlign w:val="center"/>
                </w:tcPr>
                <w:p w14:paraId="443DB8D6">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71" w:type="dxa"/>
                  <w:vMerge w:val="restart"/>
                  <w:tcBorders>
                    <w:top w:val="single" w:color="auto" w:sz="4" w:space="0"/>
                    <w:left w:val="single" w:color="auto" w:sz="4" w:space="0"/>
                    <w:right w:val="single" w:color="auto" w:sz="4" w:space="0"/>
                  </w:tcBorders>
                  <w:noWrap w:val="0"/>
                  <w:vAlign w:val="center"/>
                </w:tcPr>
                <w:p w14:paraId="5C672C6B">
                  <w:pPr>
                    <w:adjustRightInd w:val="0"/>
                    <w:snapToGrid w:val="0"/>
                    <w:jc w:val="center"/>
                    <w:rPr>
                      <w:rFonts w:hint="default" w:ascii="Times New Roman" w:hAnsi="Times New Roman" w:eastAsia="宋体" w:cs="Times New Roman"/>
                      <w:snapToGrid w:val="0"/>
                      <w:color w:val="auto"/>
                      <w:kern w:val="20"/>
                      <w:sz w:val="21"/>
                      <w:szCs w:val="21"/>
                    </w:rPr>
                  </w:pPr>
                  <w:r>
                    <w:rPr>
                      <w:rFonts w:hint="default" w:ascii="Times New Roman" w:hAnsi="Times New Roman" w:eastAsia="宋体" w:cs="Times New Roman"/>
                      <w:color w:val="auto"/>
                      <w:sz w:val="21"/>
                      <w:szCs w:val="21"/>
                    </w:rPr>
                    <w:sym w:font="Wingdings 2" w:char="F0A3"/>
                  </w:r>
                  <w:r>
                    <w:rPr>
                      <w:rFonts w:hint="default" w:ascii="Times New Roman" w:hAnsi="Times New Roman" w:eastAsia="宋体" w:cs="Times New Roman"/>
                      <w:color w:val="auto"/>
                      <w:sz w:val="21"/>
                      <w:szCs w:val="21"/>
                    </w:rPr>
                    <w:t>是</w:t>
                  </w:r>
                </w:p>
                <w:p w14:paraId="0FAA8C58">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sym w:font="Wingdings 2" w:char="F0A3"/>
                  </w:r>
                  <w:r>
                    <w:rPr>
                      <w:rFonts w:hint="default" w:ascii="Times New Roman" w:hAnsi="Times New Roman" w:eastAsia="宋体" w:cs="Times New Roman"/>
                      <w:color w:val="auto"/>
                      <w:sz w:val="21"/>
                      <w:szCs w:val="21"/>
                    </w:rPr>
                    <w:t>否</w:t>
                  </w:r>
                </w:p>
              </w:tc>
              <w:tc>
                <w:tcPr>
                  <w:tcW w:w="859" w:type="dxa"/>
                  <w:vMerge w:val="restart"/>
                  <w:tcBorders>
                    <w:top w:val="single" w:color="auto" w:sz="4" w:space="0"/>
                    <w:left w:val="single" w:color="auto" w:sz="4" w:space="0"/>
                    <w:right w:val="single" w:color="auto" w:sz="4" w:space="0"/>
                  </w:tcBorders>
                  <w:noWrap w:val="0"/>
                  <w:vAlign w:val="center"/>
                </w:tcPr>
                <w:p w14:paraId="40BEFB90">
                  <w:pPr>
                    <w:adjustRightInd w:val="0"/>
                    <w:snapToGrid w:val="0"/>
                    <w:jc w:val="center"/>
                    <w:rPr>
                      <w:rFonts w:hint="default" w:ascii="Times New Roman" w:hAnsi="Times New Roman" w:eastAsia="宋体" w:cs="Times New Roman"/>
                      <w:snapToGrid w:val="0"/>
                      <w:color w:val="auto"/>
                      <w:kern w:val="20"/>
                      <w:sz w:val="21"/>
                      <w:szCs w:val="21"/>
                    </w:rPr>
                  </w:pPr>
                  <w:r>
                    <w:rPr>
                      <w:rFonts w:hint="default" w:ascii="Times New Roman" w:hAnsi="Times New Roman" w:eastAsia="宋体" w:cs="Times New Roman"/>
                      <w:color w:val="auto"/>
                      <w:sz w:val="21"/>
                      <w:szCs w:val="21"/>
                    </w:rPr>
                    <w:sym w:font="Wingdings 2" w:char="F0A3"/>
                  </w:r>
                  <w:r>
                    <w:rPr>
                      <w:rFonts w:hint="default" w:ascii="Times New Roman" w:hAnsi="Times New Roman" w:eastAsia="宋体" w:cs="Times New Roman"/>
                      <w:color w:val="auto"/>
                      <w:sz w:val="21"/>
                      <w:szCs w:val="21"/>
                    </w:rPr>
                    <w:t>企业总排</w:t>
                  </w:r>
                </w:p>
                <w:p w14:paraId="7037CED2">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sym w:font="Wingdings 2" w:char="F0A3"/>
                  </w:r>
                  <w:r>
                    <w:rPr>
                      <w:rFonts w:hint="default" w:ascii="Times New Roman" w:hAnsi="Times New Roman" w:eastAsia="宋体" w:cs="Times New Roman"/>
                      <w:color w:val="auto"/>
                      <w:sz w:val="21"/>
                      <w:szCs w:val="21"/>
                    </w:rPr>
                    <w:t>雨水排放</w:t>
                  </w:r>
                </w:p>
                <w:p w14:paraId="2D3CC710">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sym w:font="Wingdings 2" w:char="F0A3"/>
                  </w:r>
                  <w:r>
                    <w:rPr>
                      <w:rFonts w:hint="default" w:ascii="Times New Roman" w:hAnsi="Times New Roman" w:eastAsia="宋体" w:cs="Times New Roman"/>
                      <w:color w:val="auto"/>
                      <w:spacing w:val="-10"/>
                      <w:sz w:val="21"/>
                      <w:szCs w:val="21"/>
                    </w:rPr>
                    <w:t>清净下水排放</w:t>
                  </w:r>
                </w:p>
                <w:p w14:paraId="39F6C998">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sym w:font="Wingdings 2" w:char="F0A3"/>
                  </w:r>
                  <w:r>
                    <w:rPr>
                      <w:rFonts w:hint="default" w:ascii="Times New Roman" w:hAnsi="Times New Roman" w:eastAsia="宋体" w:cs="Times New Roman"/>
                      <w:color w:val="auto"/>
                      <w:sz w:val="21"/>
                      <w:szCs w:val="21"/>
                    </w:rPr>
                    <w:t>温排水排放</w:t>
                  </w:r>
                </w:p>
                <w:p w14:paraId="56982ACB">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sym w:font="Wingdings 2" w:char="F0A3"/>
                  </w:r>
                  <w:r>
                    <w:rPr>
                      <w:rFonts w:hint="default" w:ascii="Times New Roman" w:hAnsi="Times New Roman" w:eastAsia="宋体" w:cs="Times New Roman"/>
                      <w:color w:val="auto"/>
                      <w:sz w:val="21"/>
                      <w:szCs w:val="21"/>
                    </w:rPr>
                    <w:t>车间或车间处理设施排放口</w:t>
                  </w:r>
                </w:p>
              </w:tc>
            </w:tr>
            <w:tr w14:paraId="51CB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83" w:type="dxa"/>
                  <w:tcBorders>
                    <w:top w:val="single" w:color="auto" w:sz="4" w:space="0"/>
                    <w:left w:val="single" w:color="auto" w:sz="4" w:space="0"/>
                    <w:bottom w:val="single" w:color="auto" w:sz="4" w:space="0"/>
                    <w:right w:val="single" w:color="auto" w:sz="4" w:space="0"/>
                  </w:tcBorders>
                  <w:noWrap w:val="0"/>
                  <w:vAlign w:val="center"/>
                </w:tcPr>
                <w:p w14:paraId="36D8001B">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生产废水</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67515BE">
                  <w:pPr>
                    <w:adjustRightInd w:val="0"/>
                    <w:snapToGrid w:val="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pH、</w:t>
                  </w:r>
                  <w:r>
                    <w:rPr>
                      <w:rFonts w:hint="default" w:ascii="Times New Roman" w:hAnsi="Times New Roman" w:eastAsia="宋体" w:cs="Times New Roman"/>
                      <w:color w:val="auto"/>
                      <w:sz w:val="21"/>
                      <w:szCs w:val="21"/>
                    </w:rPr>
                    <w:t>SS</w:t>
                  </w:r>
                </w:p>
              </w:tc>
              <w:tc>
                <w:tcPr>
                  <w:tcW w:w="604" w:type="dxa"/>
                  <w:vMerge w:val="continue"/>
                  <w:tcBorders>
                    <w:left w:val="single" w:color="auto" w:sz="4" w:space="0"/>
                    <w:right w:val="single" w:color="auto" w:sz="4" w:space="0"/>
                  </w:tcBorders>
                  <w:noWrap w:val="0"/>
                  <w:vAlign w:val="center"/>
                </w:tcPr>
                <w:p w14:paraId="13512BDC">
                  <w:pPr>
                    <w:widowControl/>
                    <w:jc w:val="left"/>
                    <w:rPr>
                      <w:rFonts w:hint="default" w:ascii="Times New Roman" w:hAnsi="Times New Roman" w:eastAsia="宋体" w:cs="Times New Roman"/>
                      <w:color w:val="auto"/>
                      <w:sz w:val="21"/>
                      <w:szCs w:val="21"/>
                    </w:rPr>
                  </w:pPr>
                </w:p>
              </w:tc>
              <w:tc>
                <w:tcPr>
                  <w:tcW w:w="558" w:type="dxa"/>
                  <w:vMerge w:val="continue"/>
                  <w:tcBorders>
                    <w:left w:val="single" w:color="auto" w:sz="4" w:space="0"/>
                    <w:right w:val="single" w:color="auto" w:sz="4" w:space="0"/>
                  </w:tcBorders>
                  <w:noWrap w:val="0"/>
                  <w:vAlign w:val="center"/>
                </w:tcPr>
                <w:p w14:paraId="13975D64">
                  <w:pPr>
                    <w:widowControl/>
                    <w:jc w:val="left"/>
                    <w:rPr>
                      <w:rFonts w:hint="default" w:ascii="Times New Roman" w:hAnsi="Times New Roman" w:eastAsia="宋体" w:cs="Times New Roman"/>
                      <w:color w:val="auto"/>
                      <w:sz w:val="21"/>
                      <w:szCs w:val="21"/>
                    </w:rPr>
                  </w:pPr>
                </w:p>
              </w:tc>
              <w:tc>
                <w:tcPr>
                  <w:tcW w:w="624" w:type="dxa"/>
                  <w:tcBorders>
                    <w:top w:val="single" w:color="auto" w:sz="4" w:space="0"/>
                    <w:left w:val="single" w:color="auto" w:sz="4" w:space="0"/>
                    <w:bottom w:val="single" w:color="auto" w:sz="4" w:space="0"/>
                    <w:right w:val="single" w:color="auto" w:sz="4" w:space="0"/>
                  </w:tcBorders>
                  <w:noWrap w:val="0"/>
                  <w:vAlign w:val="center"/>
                </w:tcPr>
                <w:p w14:paraId="3D6271C9">
                  <w:pPr>
                    <w:adjustRightInd w:val="0"/>
                    <w:snapToGrid w:val="0"/>
                    <w:jc w:val="cente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TW00</w:t>
                  </w:r>
                  <w:r>
                    <w:rPr>
                      <w:rFonts w:hint="eastAsia" w:ascii="Times New Roman" w:hAnsi="Times New Roman" w:eastAsia="宋体" w:cs="Times New Roman"/>
                      <w:color w:val="auto"/>
                      <w:sz w:val="21"/>
                      <w:szCs w:val="21"/>
                      <w:lang w:val="en-US" w:eastAsia="zh-CN"/>
                    </w:rPr>
                    <w:t>2</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3F1FB912">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生产废水处理设施</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A9440BC">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沉淀+过滤罐+板框压滤</w:t>
                  </w:r>
                </w:p>
              </w:tc>
              <w:tc>
                <w:tcPr>
                  <w:tcW w:w="558" w:type="dxa"/>
                  <w:tcBorders>
                    <w:top w:val="single" w:color="auto" w:sz="4" w:space="0"/>
                    <w:left w:val="single" w:color="auto" w:sz="4" w:space="0"/>
                    <w:bottom w:val="single" w:color="auto" w:sz="4" w:space="0"/>
                    <w:right w:val="single" w:color="auto" w:sz="4" w:space="0"/>
                  </w:tcBorders>
                  <w:noWrap w:val="0"/>
                  <w:vAlign w:val="center"/>
                </w:tcPr>
                <w:p w14:paraId="3926C65B">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71" w:type="dxa"/>
                  <w:vMerge w:val="continue"/>
                  <w:tcBorders>
                    <w:left w:val="single" w:color="auto" w:sz="4" w:space="0"/>
                    <w:right w:val="single" w:color="auto" w:sz="4" w:space="0"/>
                  </w:tcBorders>
                  <w:noWrap w:val="0"/>
                  <w:vAlign w:val="center"/>
                </w:tcPr>
                <w:p w14:paraId="0714A547">
                  <w:pPr>
                    <w:widowControl/>
                    <w:jc w:val="left"/>
                    <w:rPr>
                      <w:rFonts w:hint="default" w:ascii="Times New Roman" w:hAnsi="Times New Roman" w:eastAsia="宋体" w:cs="Times New Roman"/>
                      <w:color w:val="auto"/>
                      <w:sz w:val="21"/>
                      <w:szCs w:val="21"/>
                    </w:rPr>
                  </w:pPr>
                </w:p>
              </w:tc>
              <w:tc>
                <w:tcPr>
                  <w:tcW w:w="859" w:type="dxa"/>
                  <w:vMerge w:val="continue"/>
                  <w:tcBorders>
                    <w:left w:val="single" w:color="auto" w:sz="4" w:space="0"/>
                    <w:right w:val="single" w:color="auto" w:sz="4" w:space="0"/>
                  </w:tcBorders>
                  <w:noWrap w:val="0"/>
                  <w:vAlign w:val="center"/>
                </w:tcPr>
                <w:p w14:paraId="30DE1DB7">
                  <w:pPr>
                    <w:widowControl/>
                    <w:jc w:val="left"/>
                    <w:rPr>
                      <w:rFonts w:hint="default" w:ascii="Times New Roman" w:hAnsi="Times New Roman" w:eastAsia="宋体" w:cs="Times New Roman"/>
                      <w:color w:val="auto"/>
                      <w:sz w:val="21"/>
                      <w:szCs w:val="21"/>
                    </w:rPr>
                  </w:pPr>
                </w:p>
              </w:tc>
            </w:tr>
          </w:tbl>
          <w:p w14:paraId="70954C7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47"/>
              <w:jc w:val="both"/>
              <w:textAlignment w:val="baseline"/>
              <w:rPr>
                <w:rFonts w:hint="default" w:ascii="Times New Roman" w:hAnsi="Times New Roman" w:cs="Times New Roman"/>
                <w:color w:val="auto"/>
                <w:spacing w:val="-1"/>
                <w:lang w:val="en-US" w:eastAsia="zh-CN"/>
              </w:rPr>
            </w:pPr>
          </w:p>
        </w:tc>
      </w:tr>
    </w:tbl>
    <w:p w14:paraId="365979CE">
      <w:pPr>
        <w:pStyle w:val="6"/>
        <w:rPr>
          <w:color w:val="auto"/>
        </w:rPr>
      </w:pPr>
    </w:p>
    <w:p w14:paraId="546527A5">
      <w:pPr>
        <w:rPr>
          <w:color w:val="auto"/>
        </w:rPr>
        <w:sectPr>
          <w:footerReference r:id="rId14" w:type="default"/>
          <w:pgSz w:w="11907" w:h="16840"/>
          <w:pgMar w:top="1431" w:right="1490" w:bottom="1220" w:left="1489" w:header="0" w:footer="1058" w:gutter="0"/>
          <w:pgNumType w:fmt="numberInDash"/>
          <w:cols w:space="720" w:num="1"/>
        </w:sectPr>
      </w:pPr>
    </w:p>
    <w:p w14:paraId="47130A20">
      <w:pPr>
        <w:spacing w:before="28"/>
        <w:rPr>
          <w:color w:val="auto"/>
        </w:rPr>
      </w:pPr>
    </w:p>
    <w:tbl>
      <w:tblPr>
        <w:tblStyle w:val="21"/>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54"/>
        <w:gridCol w:w="8158"/>
      </w:tblGrid>
      <w:tr w14:paraId="43A99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60" w:hRule="atLeast"/>
        </w:trPr>
        <w:tc>
          <w:tcPr>
            <w:tcW w:w="754" w:type="dxa"/>
            <w:tcBorders>
              <w:right w:val="single" w:color="000000" w:sz="2" w:space="0"/>
            </w:tcBorders>
            <w:vAlign w:val="top"/>
          </w:tcPr>
          <w:p w14:paraId="355B5E0E">
            <w:pPr>
              <w:rPr>
                <w:rFonts w:ascii="Arial"/>
                <w:color w:val="auto"/>
                <w:sz w:val="21"/>
              </w:rPr>
            </w:pPr>
          </w:p>
        </w:tc>
        <w:tc>
          <w:tcPr>
            <w:tcW w:w="8158" w:type="dxa"/>
            <w:tcBorders>
              <w:left w:val="single" w:color="000000" w:sz="2" w:space="0"/>
            </w:tcBorders>
            <w:vAlign w:val="top"/>
          </w:tcPr>
          <w:p w14:paraId="088309A2">
            <w:pPr>
              <w:pStyle w:val="22"/>
              <w:spacing w:before="36" w:line="220" w:lineRule="auto"/>
              <w:ind w:left="572"/>
              <w:rPr>
                <w:color w:val="auto"/>
              </w:rPr>
            </w:pPr>
            <w:r>
              <w:rPr>
                <w:rFonts w:ascii="Times New Roman" w:hAnsi="Times New Roman" w:eastAsia="Times New Roman" w:cs="Times New Roman"/>
                <w:b/>
                <w:bCs/>
                <w:color w:val="auto"/>
                <w:spacing w:val="-3"/>
              </w:rPr>
              <w:t>3.</w:t>
            </w:r>
            <w:r>
              <w:rPr>
                <w:b/>
                <w:bCs/>
                <w:color w:val="auto"/>
                <w:spacing w:val="-3"/>
              </w:rPr>
              <w:t>噪声</w:t>
            </w:r>
          </w:p>
          <w:p w14:paraId="7E2D1F89">
            <w:pPr>
              <w:pStyle w:val="22"/>
              <w:spacing w:before="179" w:line="345" w:lineRule="auto"/>
              <w:ind w:right="98" w:firstLine="452" w:firstLineChars="200"/>
              <w:rPr>
                <w:color w:val="auto"/>
              </w:rPr>
            </w:pPr>
            <w:r>
              <w:rPr>
                <w:color w:val="auto"/>
                <w:spacing w:val="-7"/>
              </w:rPr>
              <w:t>本项目主要噪声源为机器设备运行时产生的噪声，主要生产设备的噪声源</w:t>
            </w:r>
            <w:r>
              <w:rPr>
                <w:color w:val="auto"/>
                <w:spacing w:val="13"/>
              </w:rPr>
              <w:t xml:space="preserve"> </w:t>
            </w:r>
            <w:r>
              <w:rPr>
                <w:color w:val="auto"/>
                <w:spacing w:val="-5"/>
              </w:rPr>
              <w:t>强详见表</w:t>
            </w:r>
            <w:r>
              <w:rPr>
                <w:color w:val="auto"/>
                <w:spacing w:val="-59"/>
              </w:rPr>
              <w:t xml:space="preserve"> </w:t>
            </w:r>
            <w:r>
              <w:rPr>
                <w:rFonts w:ascii="Times New Roman" w:hAnsi="Times New Roman" w:eastAsia="Times New Roman" w:cs="Times New Roman"/>
                <w:color w:val="auto"/>
                <w:spacing w:val="-5"/>
              </w:rPr>
              <w:t>4-</w:t>
            </w:r>
            <w:r>
              <w:rPr>
                <w:rFonts w:hint="eastAsia" w:ascii="Times New Roman" w:hAnsi="Times New Roman" w:eastAsia="宋体" w:cs="Times New Roman"/>
                <w:color w:val="auto"/>
                <w:spacing w:val="-5"/>
                <w:lang w:val="en-US" w:eastAsia="zh-CN"/>
              </w:rPr>
              <w:t>5</w:t>
            </w:r>
            <w:r>
              <w:rPr>
                <w:color w:val="auto"/>
                <w:spacing w:val="-5"/>
              </w:rPr>
              <w:t>。</w:t>
            </w:r>
          </w:p>
          <w:p w14:paraId="045EDC83">
            <w:pPr>
              <w:pStyle w:val="22"/>
              <w:spacing w:before="36" w:line="219" w:lineRule="auto"/>
              <w:ind w:left="2567"/>
              <w:rPr>
                <w:b/>
                <w:bCs/>
                <w:color w:val="auto"/>
                <w:spacing w:val="-2"/>
              </w:rPr>
            </w:pPr>
            <w:r>
              <w:rPr>
                <w:b/>
                <w:bCs/>
                <w:color w:val="auto"/>
                <w:spacing w:val="-2"/>
              </w:rPr>
              <w:t>表</w:t>
            </w:r>
            <w:r>
              <w:rPr>
                <w:color w:val="auto"/>
                <w:spacing w:val="-54"/>
              </w:rPr>
              <w:t xml:space="preserve"> </w:t>
            </w:r>
            <w:r>
              <w:rPr>
                <w:rFonts w:ascii="Times New Roman" w:hAnsi="Times New Roman" w:eastAsia="Times New Roman" w:cs="Times New Roman"/>
                <w:b/>
                <w:bCs/>
                <w:color w:val="auto"/>
                <w:spacing w:val="-2"/>
              </w:rPr>
              <w:t>4-</w:t>
            </w:r>
            <w:r>
              <w:rPr>
                <w:rFonts w:hint="eastAsia" w:ascii="Times New Roman" w:hAnsi="Times New Roman" w:eastAsia="宋体" w:cs="Times New Roman"/>
                <w:b/>
                <w:bCs/>
                <w:color w:val="auto"/>
                <w:spacing w:val="-2"/>
                <w:lang w:val="en-US" w:eastAsia="zh-CN"/>
              </w:rPr>
              <w:t>5</w:t>
            </w:r>
            <w:r>
              <w:rPr>
                <w:rFonts w:ascii="Times New Roman" w:hAnsi="Times New Roman" w:eastAsia="Times New Roman" w:cs="Times New Roman"/>
                <w:b/>
                <w:bCs/>
                <w:color w:val="auto"/>
                <w:spacing w:val="-2"/>
              </w:rPr>
              <w:t xml:space="preserve">    </w:t>
            </w:r>
            <w:r>
              <w:rPr>
                <w:b/>
                <w:bCs/>
                <w:color w:val="auto"/>
                <w:spacing w:val="-2"/>
              </w:rPr>
              <w:t>本项目主要噪声源强</w:t>
            </w:r>
          </w:p>
          <w:tbl>
            <w:tblPr>
              <w:tblStyle w:val="18"/>
              <w:tblW w:w="7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24"/>
              <w:gridCol w:w="1928"/>
              <w:gridCol w:w="952"/>
              <w:gridCol w:w="848"/>
              <w:gridCol w:w="1245"/>
              <w:gridCol w:w="1125"/>
              <w:gridCol w:w="1030"/>
            </w:tblGrid>
            <w:tr w14:paraId="3FA4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24" w:type="dxa"/>
                  <w:noWrap w:val="0"/>
                  <w:vAlign w:val="center"/>
                </w:tcPr>
                <w:p w14:paraId="17D4776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声源位置</w:t>
                  </w:r>
                </w:p>
              </w:tc>
              <w:tc>
                <w:tcPr>
                  <w:tcW w:w="1928" w:type="dxa"/>
                  <w:noWrap w:val="0"/>
                  <w:vAlign w:val="center"/>
                </w:tcPr>
                <w:p w14:paraId="3C90C0B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设备名称</w:t>
                  </w:r>
                </w:p>
              </w:tc>
              <w:tc>
                <w:tcPr>
                  <w:tcW w:w="952" w:type="dxa"/>
                  <w:noWrap w:val="0"/>
                  <w:vAlign w:val="center"/>
                </w:tcPr>
                <w:p w14:paraId="60C302B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源强dB(A)</w:t>
                  </w:r>
                </w:p>
              </w:tc>
              <w:tc>
                <w:tcPr>
                  <w:tcW w:w="848" w:type="dxa"/>
                  <w:noWrap w:val="0"/>
                  <w:vAlign w:val="center"/>
                </w:tcPr>
                <w:p w14:paraId="746C096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color w:val="auto"/>
                      <w:sz w:val="21"/>
                      <w:szCs w:val="21"/>
                    </w:rPr>
                  </w:pPr>
                  <w:r>
                    <w:rPr>
                      <w:b/>
                      <w:bCs/>
                      <w:color w:val="auto"/>
                      <w:spacing w:val="3"/>
                      <w:sz w:val="21"/>
                      <w:szCs w:val="21"/>
                    </w:rPr>
                    <w:t>数量</w:t>
                  </w:r>
                </w:p>
              </w:tc>
              <w:tc>
                <w:tcPr>
                  <w:tcW w:w="1245" w:type="dxa"/>
                  <w:noWrap w:val="0"/>
                  <w:vAlign w:val="center"/>
                </w:tcPr>
                <w:p w14:paraId="5430D0C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b/>
                      <w:bCs/>
                      <w:color w:val="auto"/>
                      <w:spacing w:val="3"/>
                      <w:sz w:val="21"/>
                      <w:szCs w:val="21"/>
                    </w:rPr>
                  </w:pPr>
                  <w:r>
                    <w:rPr>
                      <w:rFonts w:hint="eastAsia"/>
                      <w:b/>
                      <w:bCs/>
                      <w:color w:val="auto"/>
                      <w:spacing w:val="3"/>
                      <w:sz w:val="21"/>
                      <w:szCs w:val="21"/>
                    </w:rPr>
                    <w:t>降噪措施</w:t>
                  </w:r>
                  <w:r>
                    <w:rPr>
                      <w:rFonts w:hint="default" w:ascii="Times New Roman" w:hAnsi="Times New Roman" w:cs="Times New Roman"/>
                      <w:b/>
                      <w:bCs/>
                      <w:color w:val="auto"/>
                      <w:spacing w:val="3"/>
                      <w:sz w:val="21"/>
                      <w:szCs w:val="21"/>
                    </w:rPr>
                    <w:t>dB(A)</w:t>
                  </w:r>
                </w:p>
              </w:tc>
              <w:tc>
                <w:tcPr>
                  <w:tcW w:w="1125" w:type="dxa"/>
                  <w:noWrap w:val="0"/>
                  <w:vAlign w:val="center"/>
                </w:tcPr>
                <w:p w14:paraId="775CD15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排放强度</w:t>
                  </w:r>
                </w:p>
                <w:p w14:paraId="78DBE04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dB(A)</w:t>
                  </w:r>
                </w:p>
              </w:tc>
              <w:tc>
                <w:tcPr>
                  <w:tcW w:w="1030" w:type="dxa"/>
                  <w:noWrap w:val="0"/>
                  <w:vAlign w:val="center"/>
                </w:tcPr>
                <w:p w14:paraId="1C3F4BE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等效源强dB(A)</w:t>
                  </w:r>
                </w:p>
              </w:tc>
            </w:tr>
            <w:tr w14:paraId="62B9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24" w:type="dxa"/>
                  <w:vMerge w:val="restart"/>
                  <w:noWrap w:val="0"/>
                  <w:vAlign w:val="center"/>
                </w:tcPr>
                <w:p w14:paraId="27BA2A4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制砂区</w:t>
                  </w:r>
                </w:p>
              </w:tc>
              <w:tc>
                <w:tcPr>
                  <w:tcW w:w="1928" w:type="dxa"/>
                  <w:noWrap w:val="0"/>
                  <w:vAlign w:val="center"/>
                </w:tcPr>
                <w:p w14:paraId="5DC9AA4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固定电鄂破</w:t>
                  </w:r>
                </w:p>
              </w:tc>
              <w:tc>
                <w:tcPr>
                  <w:tcW w:w="952" w:type="dxa"/>
                  <w:noWrap w:val="0"/>
                  <w:vAlign w:val="center"/>
                </w:tcPr>
                <w:p w14:paraId="7CE5824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95</w:t>
                  </w:r>
                </w:p>
              </w:tc>
              <w:tc>
                <w:tcPr>
                  <w:tcW w:w="848" w:type="dxa"/>
                  <w:noWrap w:val="0"/>
                  <w:vAlign w:val="center"/>
                </w:tcPr>
                <w:p w14:paraId="766FBCA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w:t>
                  </w:r>
                </w:p>
              </w:tc>
              <w:tc>
                <w:tcPr>
                  <w:tcW w:w="1245" w:type="dxa"/>
                  <w:noWrap w:val="0"/>
                  <w:vAlign w:val="center"/>
                </w:tcPr>
                <w:p w14:paraId="5DF34A2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减振</w:t>
                  </w:r>
                </w:p>
              </w:tc>
              <w:tc>
                <w:tcPr>
                  <w:tcW w:w="1125" w:type="dxa"/>
                  <w:noWrap w:val="0"/>
                  <w:vAlign w:val="center"/>
                </w:tcPr>
                <w:p w14:paraId="081D717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85</w:t>
                  </w:r>
                </w:p>
              </w:tc>
              <w:tc>
                <w:tcPr>
                  <w:tcW w:w="1030" w:type="dxa"/>
                  <w:vMerge w:val="restart"/>
                  <w:noWrap w:val="0"/>
                  <w:vAlign w:val="center"/>
                </w:tcPr>
                <w:p w14:paraId="1F44FE8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91</w:t>
                  </w:r>
                </w:p>
              </w:tc>
            </w:tr>
            <w:tr w14:paraId="5421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24" w:type="dxa"/>
                  <w:vMerge w:val="continue"/>
                  <w:noWrap w:val="0"/>
                  <w:vAlign w:val="center"/>
                </w:tcPr>
                <w:p w14:paraId="70420FC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rPr>
                  </w:pPr>
                </w:p>
              </w:tc>
              <w:tc>
                <w:tcPr>
                  <w:tcW w:w="1928" w:type="dxa"/>
                  <w:noWrap w:val="0"/>
                  <w:vAlign w:val="center"/>
                </w:tcPr>
                <w:p w14:paraId="4F58521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水洗筛</w:t>
                  </w:r>
                </w:p>
              </w:tc>
              <w:tc>
                <w:tcPr>
                  <w:tcW w:w="952" w:type="dxa"/>
                  <w:noWrap w:val="0"/>
                  <w:vAlign w:val="center"/>
                </w:tcPr>
                <w:p w14:paraId="68C37DC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80</w:t>
                  </w:r>
                </w:p>
              </w:tc>
              <w:tc>
                <w:tcPr>
                  <w:tcW w:w="848" w:type="dxa"/>
                  <w:noWrap w:val="0"/>
                  <w:vAlign w:val="center"/>
                </w:tcPr>
                <w:p w14:paraId="7A2BA2C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w:t>
                  </w:r>
                </w:p>
              </w:tc>
              <w:tc>
                <w:tcPr>
                  <w:tcW w:w="1245" w:type="dxa"/>
                  <w:noWrap w:val="0"/>
                  <w:vAlign w:val="center"/>
                </w:tcPr>
                <w:p w14:paraId="6E822C2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eastAsia" w:ascii="Times New Roman" w:hAnsi="Times New Roman" w:eastAsia="宋体" w:cs="Times New Roman"/>
                      <w:b w:val="0"/>
                      <w:bCs w:val="0"/>
                      <w:color w:val="auto"/>
                      <w:sz w:val="21"/>
                      <w:szCs w:val="21"/>
                      <w:lang w:val="en-US" w:eastAsia="zh-CN"/>
                    </w:rPr>
                    <w:t>减振</w:t>
                  </w:r>
                </w:p>
              </w:tc>
              <w:tc>
                <w:tcPr>
                  <w:tcW w:w="1125" w:type="dxa"/>
                  <w:noWrap w:val="0"/>
                  <w:vAlign w:val="center"/>
                </w:tcPr>
                <w:p w14:paraId="6D7560D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70</w:t>
                  </w:r>
                </w:p>
              </w:tc>
              <w:tc>
                <w:tcPr>
                  <w:tcW w:w="1030" w:type="dxa"/>
                  <w:vMerge w:val="continue"/>
                  <w:noWrap w:val="0"/>
                  <w:vAlign w:val="center"/>
                </w:tcPr>
                <w:p w14:paraId="27F9CBC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p>
              </w:tc>
            </w:tr>
            <w:tr w14:paraId="761B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24" w:type="dxa"/>
                  <w:vMerge w:val="continue"/>
                  <w:noWrap w:val="0"/>
                  <w:vAlign w:val="center"/>
                </w:tcPr>
                <w:p w14:paraId="28F495A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rPr>
                  </w:pPr>
                </w:p>
              </w:tc>
              <w:tc>
                <w:tcPr>
                  <w:tcW w:w="1928" w:type="dxa"/>
                  <w:noWrap w:val="0"/>
                  <w:vAlign w:val="center"/>
                </w:tcPr>
                <w:p w14:paraId="68BFF40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二槽水洗轮</w:t>
                  </w:r>
                </w:p>
              </w:tc>
              <w:tc>
                <w:tcPr>
                  <w:tcW w:w="952" w:type="dxa"/>
                  <w:noWrap w:val="0"/>
                  <w:vAlign w:val="center"/>
                </w:tcPr>
                <w:p w14:paraId="6DA6E3A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80</w:t>
                  </w:r>
                </w:p>
              </w:tc>
              <w:tc>
                <w:tcPr>
                  <w:tcW w:w="848" w:type="dxa"/>
                  <w:noWrap w:val="0"/>
                  <w:vAlign w:val="center"/>
                </w:tcPr>
                <w:p w14:paraId="34397C5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w:t>
                  </w:r>
                </w:p>
              </w:tc>
              <w:tc>
                <w:tcPr>
                  <w:tcW w:w="1245" w:type="dxa"/>
                  <w:noWrap w:val="0"/>
                  <w:vAlign w:val="center"/>
                </w:tcPr>
                <w:p w14:paraId="514218C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eastAsia" w:ascii="Times New Roman" w:hAnsi="Times New Roman" w:eastAsia="宋体" w:cs="Times New Roman"/>
                      <w:b w:val="0"/>
                      <w:bCs w:val="0"/>
                      <w:color w:val="auto"/>
                      <w:sz w:val="21"/>
                      <w:szCs w:val="21"/>
                      <w:lang w:val="en-US" w:eastAsia="zh-CN"/>
                    </w:rPr>
                    <w:t>减振</w:t>
                  </w:r>
                </w:p>
              </w:tc>
              <w:tc>
                <w:tcPr>
                  <w:tcW w:w="1125" w:type="dxa"/>
                  <w:noWrap w:val="0"/>
                  <w:vAlign w:val="center"/>
                </w:tcPr>
                <w:p w14:paraId="041E3D7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70</w:t>
                  </w:r>
                </w:p>
              </w:tc>
              <w:tc>
                <w:tcPr>
                  <w:tcW w:w="1030" w:type="dxa"/>
                  <w:vMerge w:val="continue"/>
                  <w:noWrap w:val="0"/>
                  <w:vAlign w:val="center"/>
                </w:tcPr>
                <w:p w14:paraId="04F25FE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p>
              </w:tc>
            </w:tr>
            <w:tr w14:paraId="51AE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24" w:type="dxa"/>
                  <w:vMerge w:val="continue"/>
                  <w:noWrap w:val="0"/>
                  <w:vAlign w:val="center"/>
                </w:tcPr>
                <w:p w14:paraId="73A8DDD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rPr>
                  </w:pPr>
                </w:p>
              </w:tc>
              <w:tc>
                <w:tcPr>
                  <w:tcW w:w="1928" w:type="dxa"/>
                  <w:noWrap w:val="0"/>
                  <w:vAlign w:val="center"/>
                </w:tcPr>
                <w:p w14:paraId="15892C0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三合一机</w:t>
                  </w:r>
                </w:p>
              </w:tc>
              <w:tc>
                <w:tcPr>
                  <w:tcW w:w="952" w:type="dxa"/>
                  <w:noWrap w:val="0"/>
                  <w:vAlign w:val="center"/>
                </w:tcPr>
                <w:p w14:paraId="4B785AB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85</w:t>
                  </w:r>
                </w:p>
              </w:tc>
              <w:tc>
                <w:tcPr>
                  <w:tcW w:w="848" w:type="dxa"/>
                  <w:noWrap w:val="0"/>
                  <w:vAlign w:val="center"/>
                </w:tcPr>
                <w:p w14:paraId="7136A81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w:t>
                  </w:r>
                </w:p>
              </w:tc>
              <w:tc>
                <w:tcPr>
                  <w:tcW w:w="1245" w:type="dxa"/>
                  <w:noWrap w:val="0"/>
                  <w:vAlign w:val="center"/>
                </w:tcPr>
                <w:p w14:paraId="1AD799E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eastAsia" w:ascii="Times New Roman" w:hAnsi="Times New Roman" w:eastAsia="宋体" w:cs="Times New Roman"/>
                      <w:b w:val="0"/>
                      <w:bCs w:val="0"/>
                      <w:color w:val="auto"/>
                      <w:sz w:val="21"/>
                      <w:szCs w:val="21"/>
                      <w:lang w:val="en-US" w:eastAsia="zh-CN"/>
                    </w:rPr>
                    <w:t>减振</w:t>
                  </w:r>
                </w:p>
              </w:tc>
              <w:tc>
                <w:tcPr>
                  <w:tcW w:w="1125" w:type="dxa"/>
                  <w:noWrap w:val="0"/>
                  <w:vAlign w:val="center"/>
                </w:tcPr>
                <w:p w14:paraId="7DFBD43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75</w:t>
                  </w:r>
                </w:p>
              </w:tc>
              <w:tc>
                <w:tcPr>
                  <w:tcW w:w="1030" w:type="dxa"/>
                  <w:vMerge w:val="continue"/>
                  <w:noWrap w:val="0"/>
                  <w:vAlign w:val="center"/>
                </w:tcPr>
                <w:p w14:paraId="300AB5C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p>
              </w:tc>
            </w:tr>
            <w:tr w14:paraId="3B5C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24" w:type="dxa"/>
                  <w:vMerge w:val="continue"/>
                  <w:noWrap w:val="0"/>
                  <w:vAlign w:val="center"/>
                </w:tcPr>
                <w:p w14:paraId="5BDAB9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rPr>
                  </w:pPr>
                </w:p>
              </w:tc>
              <w:tc>
                <w:tcPr>
                  <w:tcW w:w="1928" w:type="dxa"/>
                  <w:noWrap w:val="0"/>
                  <w:vAlign w:val="center"/>
                </w:tcPr>
                <w:p w14:paraId="11B792A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对辊机</w:t>
                  </w:r>
                </w:p>
              </w:tc>
              <w:tc>
                <w:tcPr>
                  <w:tcW w:w="952" w:type="dxa"/>
                  <w:noWrap w:val="0"/>
                  <w:vAlign w:val="center"/>
                </w:tcPr>
                <w:p w14:paraId="7E28A1A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90</w:t>
                  </w:r>
                </w:p>
              </w:tc>
              <w:tc>
                <w:tcPr>
                  <w:tcW w:w="848" w:type="dxa"/>
                  <w:noWrap w:val="0"/>
                  <w:vAlign w:val="center"/>
                </w:tcPr>
                <w:p w14:paraId="1240B65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w:t>
                  </w:r>
                </w:p>
              </w:tc>
              <w:tc>
                <w:tcPr>
                  <w:tcW w:w="1245" w:type="dxa"/>
                  <w:noWrap w:val="0"/>
                  <w:vAlign w:val="center"/>
                </w:tcPr>
                <w:p w14:paraId="748F284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eastAsia" w:ascii="Times New Roman" w:hAnsi="Times New Roman" w:eastAsia="宋体" w:cs="Times New Roman"/>
                      <w:b w:val="0"/>
                      <w:bCs w:val="0"/>
                      <w:color w:val="auto"/>
                      <w:sz w:val="21"/>
                      <w:szCs w:val="21"/>
                      <w:lang w:val="en-US" w:eastAsia="zh-CN"/>
                    </w:rPr>
                    <w:t>减振</w:t>
                  </w:r>
                </w:p>
              </w:tc>
              <w:tc>
                <w:tcPr>
                  <w:tcW w:w="1125" w:type="dxa"/>
                  <w:noWrap w:val="0"/>
                  <w:vAlign w:val="center"/>
                </w:tcPr>
                <w:p w14:paraId="32D9FA9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80</w:t>
                  </w:r>
                </w:p>
              </w:tc>
              <w:tc>
                <w:tcPr>
                  <w:tcW w:w="1030" w:type="dxa"/>
                  <w:vMerge w:val="continue"/>
                  <w:noWrap w:val="0"/>
                  <w:vAlign w:val="center"/>
                </w:tcPr>
                <w:p w14:paraId="428BAFE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p>
              </w:tc>
            </w:tr>
            <w:tr w14:paraId="68E5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24" w:type="dxa"/>
                  <w:vMerge w:val="continue"/>
                  <w:noWrap w:val="0"/>
                  <w:vAlign w:val="center"/>
                </w:tcPr>
                <w:p w14:paraId="37DC924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rPr>
                  </w:pPr>
                </w:p>
              </w:tc>
              <w:tc>
                <w:tcPr>
                  <w:tcW w:w="1928" w:type="dxa"/>
                  <w:noWrap w:val="0"/>
                  <w:vAlign w:val="center"/>
                </w:tcPr>
                <w:p w14:paraId="01FC225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圆锥机</w:t>
                  </w:r>
                </w:p>
              </w:tc>
              <w:tc>
                <w:tcPr>
                  <w:tcW w:w="952" w:type="dxa"/>
                  <w:noWrap w:val="0"/>
                  <w:vAlign w:val="center"/>
                </w:tcPr>
                <w:p w14:paraId="4B5B067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95</w:t>
                  </w:r>
                </w:p>
              </w:tc>
              <w:tc>
                <w:tcPr>
                  <w:tcW w:w="848" w:type="dxa"/>
                  <w:noWrap w:val="0"/>
                  <w:vAlign w:val="center"/>
                </w:tcPr>
                <w:p w14:paraId="3AC1C93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w:t>
                  </w:r>
                </w:p>
              </w:tc>
              <w:tc>
                <w:tcPr>
                  <w:tcW w:w="1245" w:type="dxa"/>
                  <w:noWrap w:val="0"/>
                  <w:vAlign w:val="center"/>
                </w:tcPr>
                <w:p w14:paraId="3DE7671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eastAsia" w:ascii="Times New Roman" w:hAnsi="Times New Roman" w:eastAsia="宋体" w:cs="Times New Roman"/>
                      <w:b w:val="0"/>
                      <w:bCs w:val="0"/>
                      <w:color w:val="auto"/>
                      <w:sz w:val="21"/>
                      <w:szCs w:val="21"/>
                      <w:lang w:val="en-US" w:eastAsia="zh-CN"/>
                    </w:rPr>
                    <w:t>减振</w:t>
                  </w:r>
                </w:p>
              </w:tc>
              <w:tc>
                <w:tcPr>
                  <w:tcW w:w="1125" w:type="dxa"/>
                  <w:noWrap w:val="0"/>
                  <w:vAlign w:val="center"/>
                </w:tcPr>
                <w:p w14:paraId="307FC29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85</w:t>
                  </w:r>
                </w:p>
              </w:tc>
              <w:tc>
                <w:tcPr>
                  <w:tcW w:w="1030" w:type="dxa"/>
                  <w:vMerge w:val="continue"/>
                  <w:noWrap w:val="0"/>
                  <w:vAlign w:val="center"/>
                </w:tcPr>
                <w:p w14:paraId="6462FC7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p>
              </w:tc>
            </w:tr>
            <w:tr w14:paraId="0336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24" w:type="dxa"/>
                  <w:vMerge w:val="continue"/>
                  <w:noWrap w:val="0"/>
                  <w:vAlign w:val="center"/>
                </w:tcPr>
                <w:p w14:paraId="02976B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rPr>
                  </w:pPr>
                </w:p>
              </w:tc>
              <w:tc>
                <w:tcPr>
                  <w:tcW w:w="1928" w:type="dxa"/>
                  <w:noWrap w:val="0"/>
                  <w:vAlign w:val="center"/>
                </w:tcPr>
                <w:p w14:paraId="7B711B3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移动破碎机</w:t>
                  </w:r>
                </w:p>
              </w:tc>
              <w:tc>
                <w:tcPr>
                  <w:tcW w:w="952" w:type="dxa"/>
                  <w:noWrap w:val="0"/>
                  <w:vAlign w:val="center"/>
                </w:tcPr>
                <w:p w14:paraId="7DCA783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95</w:t>
                  </w:r>
                </w:p>
              </w:tc>
              <w:tc>
                <w:tcPr>
                  <w:tcW w:w="848" w:type="dxa"/>
                  <w:noWrap w:val="0"/>
                  <w:vAlign w:val="center"/>
                </w:tcPr>
                <w:p w14:paraId="7D83D27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w:t>
                  </w:r>
                </w:p>
              </w:tc>
              <w:tc>
                <w:tcPr>
                  <w:tcW w:w="1245" w:type="dxa"/>
                  <w:noWrap w:val="0"/>
                  <w:vAlign w:val="center"/>
                </w:tcPr>
                <w:p w14:paraId="767A863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eastAsia" w:ascii="Times New Roman" w:hAnsi="Times New Roman" w:eastAsia="宋体" w:cs="Times New Roman"/>
                      <w:b w:val="0"/>
                      <w:bCs w:val="0"/>
                      <w:color w:val="auto"/>
                      <w:sz w:val="21"/>
                      <w:szCs w:val="21"/>
                      <w:lang w:val="en-US" w:eastAsia="zh-CN"/>
                    </w:rPr>
                    <w:t>减振</w:t>
                  </w:r>
                </w:p>
              </w:tc>
              <w:tc>
                <w:tcPr>
                  <w:tcW w:w="1125" w:type="dxa"/>
                  <w:noWrap w:val="0"/>
                  <w:vAlign w:val="center"/>
                </w:tcPr>
                <w:p w14:paraId="77E35E6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85</w:t>
                  </w:r>
                </w:p>
              </w:tc>
              <w:tc>
                <w:tcPr>
                  <w:tcW w:w="1030" w:type="dxa"/>
                  <w:vMerge w:val="continue"/>
                  <w:noWrap w:val="0"/>
                  <w:vAlign w:val="center"/>
                </w:tcPr>
                <w:p w14:paraId="4118CA6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p>
              </w:tc>
            </w:tr>
            <w:tr w14:paraId="42E0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24" w:type="dxa"/>
                  <w:vMerge w:val="continue"/>
                  <w:noWrap w:val="0"/>
                  <w:vAlign w:val="center"/>
                </w:tcPr>
                <w:p w14:paraId="2C8664F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rPr>
                  </w:pPr>
                </w:p>
              </w:tc>
              <w:tc>
                <w:tcPr>
                  <w:tcW w:w="1928" w:type="dxa"/>
                  <w:noWrap w:val="0"/>
                  <w:vAlign w:val="center"/>
                </w:tcPr>
                <w:p w14:paraId="3DBB60A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
                    </w:rPr>
                    <w:t>两层</w:t>
                  </w:r>
                  <w:r>
                    <w:rPr>
                      <w:rFonts w:hint="eastAsia" w:ascii="Times New Roman" w:hAnsi="Times New Roman" w:eastAsia="宋体" w:cs="Times New Roman"/>
                      <w:b w:val="0"/>
                      <w:bCs w:val="0"/>
                      <w:color w:val="auto"/>
                      <w:sz w:val="21"/>
                      <w:szCs w:val="21"/>
                      <w:lang w:eastAsia="zh-CN"/>
                    </w:rPr>
                    <w:t>振动筛</w:t>
                  </w:r>
                </w:p>
              </w:tc>
              <w:tc>
                <w:tcPr>
                  <w:tcW w:w="952" w:type="dxa"/>
                  <w:noWrap w:val="0"/>
                  <w:vAlign w:val="center"/>
                </w:tcPr>
                <w:p w14:paraId="44DDA83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85</w:t>
                  </w:r>
                </w:p>
              </w:tc>
              <w:tc>
                <w:tcPr>
                  <w:tcW w:w="848" w:type="dxa"/>
                  <w:noWrap w:val="0"/>
                  <w:vAlign w:val="center"/>
                </w:tcPr>
                <w:p w14:paraId="3EA3CD2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w:t>
                  </w:r>
                </w:p>
              </w:tc>
              <w:tc>
                <w:tcPr>
                  <w:tcW w:w="1245" w:type="dxa"/>
                  <w:noWrap w:val="0"/>
                  <w:vAlign w:val="center"/>
                </w:tcPr>
                <w:p w14:paraId="57CA1CA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eastAsia" w:ascii="Times New Roman" w:hAnsi="Times New Roman" w:eastAsia="宋体" w:cs="Times New Roman"/>
                      <w:b w:val="0"/>
                      <w:bCs w:val="0"/>
                      <w:color w:val="auto"/>
                      <w:sz w:val="21"/>
                      <w:szCs w:val="21"/>
                      <w:lang w:val="en-US" w:eastAsia="zh-CN"/>
                    </w:rPr>
                    <w:t>减振</w:t>
                  </w:r>
                </w:p>
              </w:tc>
              <w:tc>
                <w:tcPr>
                  <w:tcW w:w="1125" w:type="dxa"/>
                  <w:noWrap w:val="0"/>
                  <w:vAlign w:val="center"/>
                </w:tcPr>
                <w:p w14:paraId="3CE0BFC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75</w:t>
                  </w:r>
                </w:p>
              </w:tc>
              <w:tc>
                <w:tcPr>
                  <w:tcW w:w="1030" w:type="dxa"/>
                  <w:vMerge w:val="continue"/>
                  <w:noWrap w:val="0"/>
                  <w:vAlign w:val="center"/>
                </w:tcPr>
                <w:p w14:paraId="548D710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p>
              </w:tc>
            </w:tr>
            <w:tr w14:paraId="41B1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24" w:type="dxa"/>
                  <w:vMerge w:val="continue"/>
                  <w:noWrap w:val="0"/>
                  <w:vAlign w:val="center"/>
                </w:tcPr>
                <w:p w14:paraId="2BB7924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rPr>
                  </w:pPr>
                </w:p>
              </w:tc>
              <w:tc>
                <w:tcPr>
                  <w:tcW w:w="1928" w:type="dxa"/>
                  <w:noWrap w:val="0"/>
                  <w:vAlign w:val="center"/>
                </w:tcPr>
                <w:p w14:paraId="2323B1E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输送带</w:t>
                  </w:r>
                </w:p>
              </w:tc>
              <w:tc>
                <w:tcPr>
                  <w:tcW w:w="952" w:type="dxa"/>
                  <w:noWrap w:val="0"/>
                  <w:vAlign w:val="center"/>
                </w:tcPr>
                <w:p w14:paraId="3BCEF4F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70</w:t>
                  </w:r>
                </w:p>
              </w:tc>
              <w:tc>
                <w:tcPr>
                  <w:tcW w:w="848" w:type="dxa"/>
                  <w:noWrap w:val="0"/>
                  <w:vAlign w:val="center"/>
                </w:tcPr>
                <w:p w14:paraId="346909D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7</w:t>
                  </w:r>
                </w:p>
              </w:tc>
              <w:tc>
                <w:tcPr>
                  <w:tcW w:w="1245" w:type="dxa"/>
                  <w:noWrap w:val="0"/>
                  <w:vAlign w:val="center"/>
                </w:tcPr>
                <w:p w14:paraId="360BFF4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eastAsia" w:ascii="Times New Roman" w:hAnsi="Times New Roman" w:eastAsia="宋体" w:cs="Times New Roman"/>
                      <w:b w:val="0"/>
                      <w:bCs w:val="0"/>
                      <w:color w:val="auto"/>
                      <w:sz w:val="21"/>
                      <w:szCs w:val="21"/>
                      <w:lang w:val="en-US" w:eastAsia="zh-CN"/>
                    </w:rPr>
                    <w:t>减振</w:t>
                  </w:r>
                </w:p>
              </w:tc>
              <w:tc>
                <w:tcPr>
                  <w:tcW w:w="1125" w:type="dxa"/>
                  <w:noWrap w:val="0"/>
                  <w:vAlign w:val="center"/>
                </w:tcPr>
                <w:p w14:paraId="3AF2D9E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60</w:t>
                  </w:r>
                </w:p>
              </w:tc>
              <w:tc>
                <w:tcPr>
                  <w:tcW w:w="1030" w:type="dxa"/>
                  <w:vMerge w:val="continue"/>
                  <w:noWrap w:val="0"/>
                  <w:vAlign w:val="center"/>
                </w:tcPr>
                <w:p w14:paraId="2C686BF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p>
              </w:tc>
            </w:tr>
            <w:tr w14:paraId="1480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24" w:type="dxa"/>
                  <w:vMerge w:val="restart"/>
                  <w:noWrap w:val="0"/>
                  <w:vAlign w:val="center"/>
                </w:tcPr>
                <w:p w14:paraId="2AFF48E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混凝土生产区</w:t>
                  </w:r>
                </w:p>
              </w:tc>
              <w:tc>
                <w:tcPr>
                  <w:tcW w:w="1928" w:type="dxa"/>
                  <w:noWrap w:val="0"/>
                  <w:vAlign w:val="center"/>
                </w:tcPr>
                <w:p w14:paraId="37F31DB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泥浆泵</w:t>
                  </w:r>
                </w:p>
              </w:tc>
              <w:tc>
                <w:tcPr>
                  <w:tcW w:w="952" w:type="dxa"/>
                  <w:noWrap w:val="0"/>
                  <w:vAlign w:val="center"/>
                </w:tcPr>
                <w:p w14:paraId="7DE9191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85</w:t>
                  </w:r>
                </w:p>
              </w:tc>
              <w:tc>
                <w:tcPr>
                  <w:tcW w:w="848" w:type="dxa"/>
                  <w:noWrap w:val="0"/>
                  <w:vAlign w:val="center"/>
                </w:tcPr>
                <w:p w14:paraId="4EBC0F5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w:t>
                  </w:r>
                </w:p>
              </w:tc>
              <w:tc>
                <w:tcPr>
                  <w:tcW w:w="1245" w:type="dxa"/>
                  <w:noWrap w:val="0"/>
                  <w:vAlign w:val="center"/>
                </w:tcPr>
                <w:p w14:paraId="2532B65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eastAsia" w:ascii="Times New Roman" w:hAnsi="Times New Roman" w:eastAsia="宋体" w:cs="Times New Roman"/>
                      <w:b w:val="0"/>
                      <w:bCs w:val="0"/>
                      <w:color w:val="auto"/>
                      <w:sz w:val="21"/>
                      <w:szCs w:val="21"/>
                      <w:lang w:val="en-US" w:eastAsia="zh-CN"/>
                    </w:rPr>
                    <w:t>减振</w:t>
                  </w:r>
                </w:p>
              </w:tc>
              <w:tc>
                <w:tcPr>
                  <w:tcW w:w="1125" w:type="dxa"/>
                  <w:noWrap w:val="0"/>
                  <w:vAlign w:val="center"/>
                </w:tcPr>
                <w:p w14:paraId="50507CF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75</w:t>
                  </w:r>
                </w:p>
              </w:tc>
              <w:tc>
                <w:tcPr>
                  <w:tcW w:w="1030" w:type="dxa"/>
                  <w:vMerge w:val="restart"/>
                  <w:noWrap w:val="0"/>
                  <w:vAlign w:val="center"/>
                </w:tcPr>
                <w:p w14:paraId="4D6D46A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84</w:t>
                  </w:r>
                </w:p>
              </w:tc>
            </w:tr>
            <w:tr w14:paraId="4CFA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24" w:type="dxa"/>
                  <w:vMerge w:val="continue"/>
                  <w:noWrap w:val="0"/>
                  <w:vAlign w:val="center"/>
                </w:tcPr>
                <w:p w14:paraId="129039C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eastAsia="zh-CN"/>
                    </w:rPr>
                  </w:pPr>
                </w:p>
              </w:tc>
              <w:tc>
                <w:tcPr>
                  <w:tcW w:w="1928" w:type="dxa"/>
                  <w:noWrap w:val="0"/>
                  <w:vAlign w:val="center"/>
                </w:tcPr>
                <w:p w14:paraId="7A478B9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压滤机</w:t>
                  </w:r>
                </w:p>
              </w:tc>
              <w:tc>
                <w:tcPr>
                  <w:tcW w:w="952" w:type="dxa"/>
                  <w:noWrap w:val="0"/>
                  <w:vAlign w:val="center"/>
                </w:tcPr>
                <w:p w14:paraId="67FDBA7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80</w:t>
                  </w:r>
                </w:p>
              </w:tc>
              <w:tc>
                <w:tcPr>
                  <w:tcW w:w="848" w:type="dxa"/>
                  <w:noWrap w:val="0"/>
                  <w:vAlign w:val="center"/>
                </w:tcPr>
                <w:p w14:paraId="42E0D35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w:t>
                  </w:r>
                </w:p>
              </w:tc>
              <w:tc>
                <w:tcPr>
                  <w:tcW w:w="1245" w:type="dxa"/>
                  <w:noWrap w:val="0"/>
                  <w:vAlign w:val="center"/>
                </w:tcPr>
                <w:p w14:paraId="6064B80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eastAsia" w:ascii="Times New Roman" w:hAnsi="Times New Roman" w:eastAsia="宋体" w:cs="Times New Roman"/>
                      <w:b w:val="0"/>
                      <w:bCs w:val="0"/>
                      <w:color w:val="auto"/>
                      <w:sz w:val="21"/>
                      <w:szCs w:val="21"/>
                      <w:lang w:val="en-US" w:eastAsia="zh-CN"/>
                    </w:rPr>
                    <w:t>减振</w:t>
                  </w:r>
                </w:p>
              </w:tc>
              <w:tc>
                <w:tcPr>
                  <w:tcW w:w="1125" w:type="dxa"/>
                  <w:noWrap w:val="0"/>
                  <w:vAlign w:val="center"/>
                </w:tcPr>
                <w:p w14:paraId="51FAC54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70</w:t>
                  </w:r>
                </w:p>
              </w:tc>
              <w:tc>
                <w:tcPr>
                  <w:tcW w:w="1030" w:type="dxa"/>
                  <w:vMerge w:val="continue"/>
                  <w:noWrap w:val="0"/>
                  <w:vAlign w:val="center"/>
                </w:tcPr>
                <w:p w14:paraId="38D38AD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p>
              </w:tc>
            </w:tr>
            <w:tr w14:paraId="6C39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24" w:type="dxa"/>
                  <w:vMerge w:val="continue"/>
                  <w:noWrap w:val="0"/>
                  <w:vAlign w:val="center"/>
                </w:tcPr>
                <w:p w14:paraId="70936FA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p>
              </w:tc>
              <w:tc>
                <w:tcPr>
                  <w:tcW w:w="1928" w:type="dxa"/>
                  <w:noWrap w:val="0"/>
                  <w:vAlign w:val="center"/>
                </w:tcPr>
                <w:p w14:paraId="2BFC613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一体化折叠式免基础混凝土搅拌站</w:t>
                  </w:r>
                </w:p>
              </w:tc>
              <w:tc>
                <w:tcPr>
                  <w:tcW w:w="952" w:type="dxa"/>
                  <w:noWrap w:val="0"/>
                  <w:vAlign w:val="center"/>
                </w:tcPr>
                <w:p w14:paraId="1BA8DCA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80</w:t>
                  </w:r>
                </w:p>
              </w:tc>
              <w:tc>
                <w:tcPr>
                  <w:tcW w:w="848" w:type="dxa"/>
                  <w:noWrap w:val="0"/>
                  <w:vAlign w:val="center"/>
                </w:tcPr>
                <w:p w14:paraId="0B76DDC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w:t>
                  </w:r>
                </w:p>
              </w:tc>
              <w:tc>
                <w:tcPr>
                  <w:tcW w:w="1245" w:type="dxa"/>
                  <w:noWrap w:val="0"/>
                  <w:vAlign w:val="center"/>
                </w:tcPr>
                <w:p w14:paraId="716376F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
                    </w:rPr>
                  </w:pPr>
                  <w:r>
                    <w:rPr>
                      <w:rFonts w:hint="eastAsia" w:ascii="Times New Roman" w:hAnsi="Times New Roman" w:eastAsia="宋体" w:cs="Times New Roman"/>
                      <w:b w:val="0"/>
                      <w:bCs w:val="0"/>
                      <w:color w:val="auto"/>
                      <w:sz w:val="21"/>
                      <w:szCs w:val="21"/>
                      <w:lang w:val="en-US" w:eastAsia="zh-CN"/>
                    </w:rPr>
                    <w:t>减振、隔声</w:t>
                  </w:r>
                </w:p>
              </w:tc>
              <w:tc>
                <w:tcPr>
                  <w:tcW w:w="1125" w:type="dxa"/>
                  <w:noWrap w:val="0"/>
                  <w:vAlign w:val="center"/>
                </w:tcPr>
                <w:p w14:paraId="765731B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70</w:t>
                  </w:r>
                </w:p>
              </w:tc>
              <w:tc>
                <w:tcPr>
                  <w:tcW w:w="1030" w:type="dxa"/>
                  <w:vMerge w:val="continue"/>
                  <w:noWrap w:val="0"/>
                  <w:vAlign w:val="center"/>
                </w:tcPr>
                <w:p w14:paraId="57AC47A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p>
              </w:tc>
            </w:tr>
            <w:tr w14:paraId="5058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24" w:type="dxa"/>
                  <w:vMerge w:val="continue"/>
                  <w:noWrap w:val="0"/>
                  <w:vAlign w:val="center"/>
                </w:tcPr>
                <w:p w14:paraId="6A9C0E2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p>
              </w:tc>
              <w:tc>
                <w:tcPr>
                  <w:tcW w:w="1928" w:type="dxa"/>
                  <w:noWrap w:val="0"/>
                  <w:vAlign w:val="center"/>
                </w:tcPr>
                <w:p w14:paraId="6A26592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铲车</w:t>
                  </w:r>
                </w:p>
              </w:tc>
              <w:tc>
                <w:tcPr>
                  <w:tcW w:w="952" w:type="dxa"/>
                  <w:noWrap w:val="0"/>
                  <w:vAlign w:val="center"/>
                </w:tcPr>
                <w:p w14:paraId="52C3744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90</w:t>
                  </w:r>
                </w:p>
              </w:tc>
              <w:tc>
                <w:tcPr>
                  <w:tcW w:w="848" w:type="dxa"/>
                  <w:noWrap w:val="0"/>
                  <w:vAlign w:val="center"/>
                </w:tcPr>
                <w:p w14:paraId="20CFA37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default" w:ascii="Times New Roman" w:hAnsi="Times New Roman" w:eastAsia="宋体" w:cs="Times New Roman"/>
                      <w:b w:val="0"/>
                      <w:bCs w:val="0"/>
                      <w:color w:val="auto"/>
                      <w:sz w:val="21"/>
                      <w:szCs w:val="21"/>
                      <w:lang w:eastAsia="zh"/>
                    </w:rPr>
                    <w:t>2</w:t>
                  </w:r>
                </w:p>
              </w:tc>
              <w:tc>
                <w:tcPr>
                  <w:tcW w:w="1245" w:type="dxa"/>
                  <w:noWrap w:val="0"/>
                  <w:vAlign w:val="center"/>
                </w:tcPr>
                <w:p w14:paraId="04FAF9D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eastAsia="zh"/>
                    </w:rPr>
                  </w:pPr>
                  <w:r>
                    <w:rPr>
                      <w:rFonts w:hint="eastAsia" w:ascii="Times New Roman" w:hAnsi="Times New Roman" w:eastAsia="宋体" w:cs="Times New Roman"/>
                      <w:b w:val="0"/>
                      <w:bCs w:val="0"/>
                      <w:color w:val="auto"/>
                      <w:sz w:val="21"/>
                      <w:szCs w:val="21"/>
                      <w:lang w:val="en-US" w:eastAsia="zh-CN"/>
                    </w:rPr>
                    <w:t>减振</w:t>
                  </w:r>
                </w:p>
              </w:tc>
              <w:tc>
                <w:tcPr>
                  <w:tcW w:w="1125" w:type="dxa"/>
                  <w:noWrap w:val="0"/>
                  <w:vAlign w:val="center"/>
                </w:tcPr>
                <w:p w14:paraId="07D5974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80</w:t>
                  </w:r>
                </w:p>
              </w:tc>
              <w:tc>
                <w:tcPr>
                  <w:tcW w:w="1030" w:type="dxa"/>
                  <w:vMerge w:val="continue"/>
                  <w:noWrap w:val="0"/>
                  <w:vAlign w:val="center"/>
                </w:tcPr>
                <w:p w14:paraId="6B4E6D8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21"/>
                      <w:szCs w:val="21"/>
                      <w:lang w:val="en-US" w:eastAsia="zh-CN"/>
                    </w:rPr>
                  </w:pPr>
                </w:p>
              </w:tc>
            </w:tr>
          </w:tbl>
          <w:p w14:paraId="12F78DA5">
            <w:pPr>
              <w:pStyle w:val="22"/>
              <w:spacing w:before="156" w:line="218" w:lineRule="auto"/>
              <w:ind w:left="680"/>
              <w:rPr>
                <w:color w:val="auto"/>
              </w:rPr>
            </w:pPr>
            <w:r>
              <w:rPr>
                <w:color w:val="auto"/>
              </w:rPr>
              <w:t>噪声预测计算按《</w:t>
            </w:r>
            <w:r>
              <w:rPr>
                <w:rFonts w:hint="eastAsia"/>
                <w:color w:val="auto"/>
                <w:lang w:eastAsia="zh-CN"/>
              </w:rPr>
              <w:t>环境</w:t>
            </w:r>
            <w:r>
              <w:rPr>
                <w:color w:val="auto"/>
              </w:rPr>
              <w:t>影响评价技术导则</w:t>
            </w:r>
            <w:r>
              <w:rPr>
                <w:rFonts w:ascii="Times New Roman" w:hAnsi="Times New Roman" w:eastAsia="Times New Roman" w:cs="Times New Roman"/>
                <w:color w:val="auto"/>
              </w:rPr>
              <w:t>—</w:t>
            </w:r>
            <w:r>
              <w:rPr>
                <w:color w:val="auto"/>
              </w:rPr>
              <w:t>声环境》（</w:t>
            </w:r>
            <w:r>
              <w:rPr>
                <w:rFonts w:ascii="Times New Roman" w:hAnsi="Times New Roman" w:eastAsia="Times New Roman" w:cs="Times New Roman"/>
                <w:color w:val="auto"/>
              </w:rPr>
              <w:t>HJ2.4-2021</w:t>
            </w:r>
            <w:r>
              <w:rPr>
                <w:color w:val="auto"/>
              </w:rPr>
              <w:t>）进</w:t>
            </w:r>
          </w:p>
          <w:p w14:paraId="53CA8B0F">
            <w:pPr>
              <w:pStyle w:val="22"/>
              <w:spacing w:before="182" w:line="219" w:lineRule="auto"/>
              <w:ind w:left="111"/>
              <w:rPr>
                <w:color w:val="auto"/>
              </w:rPr>
            </w:pPr>
            <w:r>
              <w:rPr>
                <w:color w:val="auto"/>
                <w:spacing w:val="-2"/>
              </w:rPr>
              <w:t>行，噪声预测计算公式如下：</w:t>
            </w:r>
          </w:p>
          <w:p w14:paraId="5F94A22E">
            <w:pPr>
              <w:pStyle w:val="22"/>
              <w:spacing w:before="183" w:line="333" w:lineRule="auto"/>
              <w:ind w:left="592" w:right="1458" w:firstLine="1346"/>
              <w:rPr>
                <w:color w:val="auto"/>
              </w:rPr>
            </w:pPr>
            <w:r>
              <w:rPr>
                <w:rFonts w:ascii="Times New Roman" w:hAnsi="Times New Roman" w:eastAsia="Times New Roman" w:cs="Times New Roman"/>
                <w:color w:val="auto"/>
              </w:rPr>
              <w:t>Lp(r)</w:t>
            </w:r>
            <w:r>
              <w:rPr>
                <w:rFonts w:ascii="Times New Roman" w:hAnsi="Times New Roman" w:eastAsia="Times New Roman" w:cs="Times New Roman"/>
                <w:color w:val="auto"/>
                <w:spacing w:val="-25"/>
              </w:rPr>
              <w:t xml:space="preserve"> </w:t>
            </w:r>
            <w:r>
              <w:rPr>
                <w:color w:val="auto"/>
              </w:rPr>
              <w:t>＝</w:t>
            </w:r>
            <w:r>
              <w:rPr>
                <w:rFonts w:ascii="Times New Roman" w:hAnsi="Times New Roman" w:eastAsia="Times New Roman" w:cs="Times New Roman"/>
                <w:color w:val="auto"/>
              </w:rPr>
              <w:t>Lw+D</w:t>
            </w:r>
            <w:r>
              <w:rPr>
                <w:rFonts w:ascii="Times New Roman" w:hAnsi="Times New Roman" w:eastAsia="Times New Roman" w:cs="Times New Roman"/>
                <w:color w:val="auto"/>
                <w:position w:val="-1"/>
                <w:sz w:val="15"/>
                <w:szCs w:val="15"/>
              </w:rPr>
              <w:t>C</w:t>
            </w:r>
            <w:r>
              <w:rPr>
                <w:color w:val="auto"/>
              </w:rPr>
              <w:t>－</w:t>
            </w:r>
            <w:r>
              <w:rPr>
                <w:rFonts w:ascii="Times New Roman" w:hAnsi="Times New Roman" w:eastAsia="Times New Roman" w:cs="Times New Roman"/>
                <w:color w:val="auto"/>
              </w:rPr>
              <w:t>(A</w:t>
            </w:r>
            <w:r>
              <w:rPr>
                <w:rFonts w:ascii="Times New Roman" w:hAnsi="Times New Roman" w:eastAsia="Times New Roman" w:cs="Times New Roman"/>
                <w:color w:val="auto"/>
                <w:position w:val="-1"/>
                <w:sz w:val="15"/>
                <w:szCs w:val="15"/>
              </w:rPr>
              <w:t>div</w:t>
            </w:r>
            <w:r>
              <w:rPr>
                <w:color w:val="auto"/>
              </w:rPr>
              <w:t>＋</w:t>
            </w:r>
            <w:r>
              <w:rPr>
                <w:rFonts w:ascii="Times New Roman" w:hAnsi="Times New Roman" w:eastAsia="Times New Roman" w:cs="Times New Roman"/>
                <w:color w:val="auto"/>
              </w:rPr>
              <w:t>A</w:t>
            </w:r>
            <w:r>
              <w:rPr>
                <w:rFonts w:ascii="Times New Roman" w:hAnsi="Times New Roman" w:eastAsia="Times New Roman" w:cs="Times New Roman"/>
                <w:color w:val="auto"/>
                <w:position w:val="-1"/>
                <w:sz w:val="15"/>
                <w:szCs w:val="15"/>
              </w:rPr>
              <w:t>atm</w:t>
            </w:r>
            <w:r>
              <w:rPr>
                <w:color w:val="auto"/>
              </w:rPr>
              <w:t>＋</w:t>
            </w:r>
            <w:r>
              <w:rPr>
                <w:rFonts w:ascii="Times New Roman" w:hAnsi="Times New Roman" w:eastAsia="Times New Roman" w:cs="Times New Roman"/>
                <w:color w:val="auto"/>
              </w:rPr>
              <w:t>A</w:t>
            </w:r>
            <w:r>
              <w:rPr>
                <w:rFonts w:ascii="Times New Roman" w:hAnsi="Times New Roman" w:eastAsia="Times New Roman" w:cs="Times New Roman"/>
                <w:color w:val="auto"/>
                <w:position w:val="-1"/>
                <w:sz w:val="15"/>
                <w:szCs w:val="15"/>
              </w:rPr>
              <w:t>gr</w:t>
            </w:r>
            <w:r>
              <w:rPr>
                <w:color w:val="auto"/>
              </w:rPr>
              <w:t>＋</w:t>
            </w:r>
            <w:r>
              <w:rPr>
                <w:rFonts w:ascii="Times New Roman" w:hAnsi="Times New Roman" w:eastAsia="Times New Roman" w:cs="Times New Roman"/>
                <w:color w:val="auto"/>
              </w:rPr>
              <w:t>A</w:t>
            </w:r>
            <w:r>
              <w:rPr>
                <w:rFonts w:ascii="Times New Roman" w:hAnsi="Times New Roman" w:eastAsia="Times New Roman" w:cs="Times New Roman"/>
                <w:color w:val="auto"/>
                <w:position w:val="-1"/>
                <w:sz w:val="15"/>
                <w:szCs w:val="15"/>
              </w:rPr>
              <w:t>bar</w:t>
            </w:r>
            <w:r>
              <w:rPr>
                <w:color w:val="auto"/>
              </w:rPr>
              <w:t>＋</w:t>
            </w:r>
            <w:r>
              <w:rPr>
                <w:rFonts w:ascii="Times New Roman" w:hAnsi="Times New Roman" w:eastAsia="Times New Roman" w:cs="Times New Roman"/>
                <w:color w:val="auto"/>
              </w:rPr>
              <w:t>A</w:t>
            </w:r>
            <w:r>
              <w:rPr>
                <w:rFonts w:ascii="Times New Roman" w:hAnsi="Times New Roman" w:eastAsia="Times New Roman" w:cs="Times New Roman"/>
                <w:color w:val="auto"/>
                <w:sz w:val="15"/>
                <w:szCs w:val="15"/>
              </w:rPr>
              <w:t>m</w:t>
            </w:r>
            <w:r>
              <w:rPr>
                <w:rFonts w:ascii="Times New Roman" w:hAnsi="Times New Roman" w:eastAsia="Times New Roman" w:cs="Times New Roman"/>
                <w:color w:val="auto"/>
                <w:spacing w:val="-1"/>
                <w:sz w:val="15"/>
                <w:szCs w:val="15"/>
              </w:rPr>
              <w:t>isc</w:t>
            </w:r>
            <w:r>
              <w:rPr>
                <w:rFonts w:ascii="Times New Roman" w:hAnsi="Times New Roman" w:eastAsia="Times New Roman" w:cs="Times New Roman"/>
                <w:color w:val="auto"/>
                <w:spacing w:val="-1"/>
              </w:rPr>
              <w:t>)</w:t>
            </w:r>
            <w:r>
              <w:rPr>
                <w:rFonts w:ascii="Times New Roman" w:hAnsi="Times New Roman" w:eastAsia="Times New Roman" w:cs="Times New Roman"/>
                <w:color w:val="auto"/>
              </w:rPr>
              <w:t xml:space="preserve"> </w:t>
            </w:r>
            <w:r>
              <w:rPr>
                <w:color w:val="auto"/>
              </w:rPr>
              <w:t>式中：</w:t>
            </w:r>
            <w:r>
              <w:rPr>
                <w:rFonts w:ascii="Times New Roman" w:hAnsi="Times New Roman" w:eastAsia="Times New Roman" w:cs="Times New Roman"/>
                <w:color w:val="auto"/>
                <w:sz w:val="20"/>
                <w:szCs w:val="20"/>
              </w:rPr>
              <w:t>Lp(r)</w:t>
            </w:r>
            <w:r>
              <w:rPr>
                <w:rFonts w:ascii="Times New Roman" w:hAnsi="Times New Roman" w:eastAsia="Times New Roman" w:cs="Times New Roman"/>
                <w:color w:val="auto"/>
              </w:rPr>
              <w:t>—</w:t>
            </w:r>
            <w:r>
              <w:rPr>
                <w:color w:val="auto"/>
              </w:rPr>
              <w:t>预测点处声压级，</w:t>
            </w:r>
            <w:r>
              <w:rPr>
                <w:rFonts w:ascii="Times New Roman" w:hAnsi="Times New Roman" w:eastAsia="Times New Roman" w:cs="Times New Roman"/>
                <w:color w:val="auto"/>
              </w:rPr>
              <w:t>dB</w:t>
            </w:r>
            <w:r>
              <w:rPr>
                <w:color w:val="auto"/>
              </w:rPr>
              <w:t>；</w:t>
            </w:r>
          </w:p>
          <w:p w14:paraId="7FABD047">
            <w:pPr>
              <w:pStyle w:val="22"/>
              <w:spacing w:before="69" w:line="219" w:lineRule="auto"/>
              <w:ind w:left="1303"/>
              <w:rPr>
                <w:color w:val="auto"/>
              </w:rPr>
            </w:pPr>
            <w:r>
              <w:rPr>
                <w:rFonts w:ascii="Times New Roman" w:hAnsi="Times New Roman" w:eastAsia="Times New Roman" w:cs="Times New Roman"/>
                <w:color w:val="auto"/>
                <w:spacing w:val="-1"/>
              </w:rPr>
              <w:t xml:space="preserve">Lw  </w:t>
            </w:r>
            <w:r>
              <w:rPr>
                <w:color w:val="auto"/>
                <w:spacing w:val="-1"/>
              </w:rPr>
              <w:t>——由点声源产生的声功率级（</w:t>
            </w:r>
            <w:r>
              <w:rPr>
                <w:rFonts w:ascii="Times New Roman" w:hAnsi="Times New Roman" w:eastAsia="Times New Roman" w:cs="Times New Roman"/>
                <w:color w:val="auto"/>
                <w:spacing w:val="-1"/>
              </w:rPr>
              <w:t xml:space="preserve">A </w:t>
            </w:r>
            <w:r>
              <w:rPr>
                <w:color w:val="auto"/>
                <w:spacing w:val="-1"/>
              </w:rPr>
              <w:t>计权或倍频带</w:t>
            </w:r>
            <w:r>
              <w:rPr>
                <w:color w:val="auto"/>
                <w:spacing w:val="12"/>
              </w:rPr>
              <w:t>），</w:t>
            </w:r>
            <w:r>
              <w:rPr>
                <w:rFonts w:ascii="Times New Roman" w:hAnsi="Times New Roman" w:eastAsia="Times New Roman" w:cs="Times New Roman"/>
                <w:color w:val="auto"/>
                <w:spacing w:val="-1"/>
              </w:rPr>
              <w:t>dB</w:t>
            </w:r>
            <w:r>
              <w:rPr>
                <w:color w:val="auto"/>
                <w:spacing w:val="-1"/>
              </w:rPr>
              <w:t>；</w:t>
            </w:r>
          </w:p>
          <w:p w14:paraId="10C26142">
            <w:pPr>
              <w:pStyle w:val="22"/>
              <w:spacing w:before="180" w:line="219" w:lineRule="auto"/>
              <w:ind w:left="1302"/>
              <w:rPr>
                <w:color w:val="auto"/>
              </w:rPr>
            </w:pPr>
            <w:r>
              <w:rPr>
                <w:rFonts w:ascii="Times New Roman" w:hAnsi="Times New Roman" w:eastAsia="Times New Roman" w:cs="Times New Roman"/>
                <w:color w:val="auto"/>
              </w:rPr>
              <w:t>D</w:t>
            </w:r>
            <w:r>
              <w:rPr>
                <w:rFonts w:ascii="Times New Roman" w:hAnsi="Times New Roman" w:eastAsia="Times New Roman" w:cs="Times New Roman"/>
                <w:color w:val="auto"/>
                <w:position w:val="-1"/>
                <w:sz w:val="15"/>
                <w:szCs w:val="15"/>
              </w:rPr>
              <w:t>C</w:t>
            </w:r>
            <w:r>
              <w:rPr>
                <w:rFonts w:ascii="Times New Roman" w:hAnsi="Times New Roman" w:eastAsia="Times New Roman" w:cs="Times New Roman"/>
                <w:color w:val="auto"/>
                <w:spacing w:val="4"/>
                <w:position w:val="-1"/>
                <w:sz w:val="15"/>
                <w:szCs w:val="15"/>
              </w:rPr>
              <w:t xml:space="preserve">   </w:t>
            </w:r>
            <w:r>
              <w:rPr>
                <w:color w:val="auto"/>
                <w:spacing w:val="4"/>
              </w:rPr>
              <w:t>——指向性校正，它描述点声源的等效连续声压级与产生声</w:t>
            </w:r>
          </w:p>
          <w:p w14:paraId="163F405E">
            <w:pPr>
              <w:pStyle w:val="22"/>
              <w:spacing w:before="182" w:line="345" w:lineRule="auto"/>
              <w:ind w:left="1299" w:right="1630" w:hanging="1188"/>
              <w:rPr>
                <w:color w:val="auto"/>
              </w:rPr>
            </w:pPr>
            <w:r>
              <w:rPr>
                <w:color w:val="auto"/>
                <w:spacing w:val="-4"/>
              </w:rPr>
              <w:t>功率级</w:t>
            </w:r>
            <w:r>
              <w:rPr>
                <w:color w:val="auto"/>
                <w:spacing w:val="-55"/>
              </w:rPr>
              <w:t xml:space="preserve"> </w:t>
            </w:r>
            <w:r>
              <w:rPr>
                <w:rFonts w:ascii="Times New Roman" w:hAnsi="Times New Roman" w:eastAsia="Times New Roman" w:cs="Times New Roman"/>
                <w:color w:val="auto"/>
                <w:spacing w:val="-4"/>
              </w:rPr>
              <w:t>Lw</w:t>
            </w:r>
            <w:r>
              <w:rPr>
                <w:rFonts w:ascii="Times New Roman" w:hAnsi="Times New Roman" w:eastAsia="Times New Roman" w:cs="Times New Roman"/>
                <w:color w:val="auto"/>
                <w:spacing w:val="31"/>
                <w:w w:val="101"/>
              </w:rPr>
              <w:t xml:space="preserve"> </w:t>
            </w:r>
            <w:r>
              <w:rPr>
                <w:color w:val="auto"/>
                <w:spacing w:val="-4"/>
              </w:rPr>
              <w:t>的全向点声源在规定方向的声级的偏差程度，</w:t>
            </w:r>
            <w:r>
              <w:rPr>
                <w:rFonts w:ascii="Times New Roman" w:hAnsi="Times New Roman" w:eastAsia="Times New Roman" w:cs="Times New Roman"/>
                <w:color w:val="auto"/>
                <w:spacing w:val="-4"/>
              </w:rPr>
              <w:t>dB</w:t>
            </w:r>
            <w:r>
              <w:rPr>
                <w:color w:val="auto"/>
                <w:spacing w:val="-4"/>
              </w:rPr>
              <w:t>；</w:t>
            </w:r>
            <w:r>
              <w:rPr>
                <w:color w:val="auto"/>
              </w:rPr>
              <w:t xml:space="preserve"> </w:t>
            </w:r>
            <w:r>
              <w:rPr>
                <w:rFonts w:ascii="Times New Roman" w:hAnsi="Times New Roman" w:eastAsia="Times New Roman" w:cs="Times New Roman"/>
                <w:color w:val="auto"/>
              </w:rPr>
              <w:t>A</w:t>
            </w:r>
            <w:r>
              <w:rPr>
                <w:rFonts w:ascii="Times New Roman" w:hAnsi="Times New Roman" w:eastAsia="Times New Roman" w:cs="Times New Roman"/>
                <w:color w:val="auto"/>
                <w:position w:val="-1"/>
                <w:sz w:val="15"/>
                <w:szCs w:val="15"/>
              </w:rPr>
              <w:t xml:space="preserve">div   </w:t>
            </w:r>
            <w:r>
              <w:rPr>
                <w:color w:val="auto"/>
              </w:rPr>
              <w:t>——几何发散引起的衰减，</w:t>
            </w:r>
            <w:r>
              <w:rPr>
                <w:rFonts w:ascii="Times New Roman" w:hAnsi="Times New Roman" w:eastAsia="Times New Roman" w:cs="Times New Roman"/>
                <w:color w:val="auto"/>
              </w:rPr>
              <w:t>dB</w:t>
            </w:r>
            <w:r>
              <w:rPr>
                <w:color w:val="auto"/>
              </w:rPr>
              <w:t>；</w:t>
            </w:r>
          </w:p>
          <w:p w14:paraId="5F45A902">
            <w:pPr>
              <w:pStyle w:val="22"/>
              <w:keepNext w:val="0"/>
              <w:keepLines w:val="0"/>
              <w:pageBreakBefore w:val="0"/>
              <w:widowControl/>
              <w:kinsoku w:val="0"/>
              <w:wordWrap/>
              <w:overflowPunct/>
              <w:topLinePunct w:val="0"/>
              <w:autoSpaceDE w:val="0"/>
              <w:autoSpaceDN w:val="0"/>
              <w:bidi w:val="0"/>
              <w:adjustRightInd w:val="0"/>
              <w:snapToGrid w:val="0"/>
              <w:spacing w:line="348" w:lineRule="auto"/>
              <w:ind w:left="1298" w:right="2982"/>
              <w:textAlignment w:val="baseline"/>
              <w:rPr>
                <w:color w:val="auto"/>
              </w:rPr>
            </w:pPr>
            <w:r>
              <w:rPr>
                <w:rFonts w:ascii="Times New Roman" w:hAnsi="Times New Roman" w:eastAsia="Times New Roman" w:cs="Times New Roman"/>
                <w:color w:val="auto"/>
                <w:spacing w:val="-3"/>
              </w:rPr>
              <w:t>A</w:t>
            </w:r>
            <w:r>
              <w:rPr>
                <w:rFonts w:ascii="Times New Roman" w:hAnsi="Times New Roman" w:eastAsia="Times New Roman" w:cs="Times New Roman"/>
                <w:color w:val="auto"/>
                <w:spacing w:val="-3"/>
                <w:position w:val="-1"/>
                <w:sz w:val="15"/>
                <w:szCs w:val="15"/>
              </w:rPr>
              <w:t xml:space="preserve">atm   </w:t>
            </w:r>
            <w:r>
              <w:rPr>
                <w:color w:val="auto"/>
                <w:spacing w:val="-3"/>
              </w:rPr>
              <w:t>——大气吸收引起的衰减，</w:t>
            </w:r>
            <w:r>
              <w:rPr>
                <w:rFonts w:ascii="Times New Roman" w:hAnsi="Times New Roman" w:eastAsia="Times New Roman" w:cs="Times New Roman"/>
                <w:color w:val="auto"/>
                <w:spacing w:val="-3"/>
              </w:rPr>
              <w:t>dB</w:t>
            </w:r>
            <w:r>
              <w:rPr>
                <w:color w:val="auto"/>
                <w:spacing w:val="-3"/>
              </w:rPr>
              <w:t>；</w:t>
            </w:r>
            <w:r>
              <w:rPr>
                <w:color w:val="auto"/>
                <w:spacing w:val="17"/>
              </w:rPr>
              <w:t xml:space="preserve"> </w:t>
            </w:r>
            <w:r>
              <w:rPr>
                <w:rFonts w:ascii="Times New Roman" w:hAnsi="Times New Roman" w:eastAsia="Times New Roman" w:cs="Times New Roman"/>
                <w:color w:val="auto"/>
              </w:rPr>
              <w:t>A</w:t>
            </w:r>
            <w:r>
              <w:rPr>
                <w:rFonts w:ascii="Times New Roman" w:hAnsi="Times New Roman" w:eastAsia="Times New Roman" w:cs="Times New Roman"/>
                <w:color w:val="auto"/>
                <w:position w:val="-1"/>
                <w:sz w:val="15"/>
                <w:szCs w:val="15"/>
              </w:rPr>
              <w:t xml:space="preserve">gr   </w:t>
            </w:r>
            <w:r>
              <w:rPr>
                <w:color w:val="auto"/>
              </w:rPr>
              <w:t>——地面效应引起的衰减，</w:t>
            </w:r>
            <w:r>
              <w:rPr>
                <w:rFonts w:ascii="Times New Roman" w:hAnsi="Times New Roman" w:eastAsia="Times New Roman" w:cs="Times New Roman"/>
                <w:color w:val="auto"/>
              </w:rPr>
              <w:t>dB</w:t>
            </w:r>
            <w:r>
              <w:rPr>
                <w:color w:val="auto"/>
              </w:rPr>
              <w:t>；</w:t>
            </w:r>
          </w:p>
          <w:p w14:paraId="6F5D2ABD">
            <w:pPr>
              <w:pStyle w:val="22"/>
              <w:spacing w:before="26" w:line="219" w:lineRule="auto"/>
              <w:ind w:left="1300"/>
              <w:rPr>
                <w:color w:val="auto"/>
              </w:rPr>
            </w:pPr>
            <w:r>
              <w:rPr>
                <w:rFonts w:ascii="Times New Roman" w:hAnsi="Times New Roman" w:eastAsia="Times New Roman" w:cs="Times New Roman"/>
                <w:color w:val="auto"/>
              </w:rPr>
              <w:t>A</w:t>
            </w:r>
            <w:r>
              <w:rPr>
                <w:rFonts w:ascii="Times New Roman" w:hAnsi="Times New Roman" w:eastAsia="Times New Roman" w:cs="Times New Roman"/>
                <w:color w:val="auto"/>
                <w:position w:val="-1"/>
                <w:sz w:val="15"/>
                <w:szCs w:val="15"/>
              </w:rPr>
              <w:t xml:space="preserve">bar   </w:t>
            </w:r>
            <w:r>
              <w:rPr>
                <w:color w:val="auto"/>
              </w:rPr>
              <w:t>——障碍物屏蔽引起的衰减，</w:t>
            </w:r>
            <w:r>
              <w:rPr>
                <w:rFonts w:ascii="Times New Roman" w:hAnsi="Times New Roman" w:eastAsia="Times New Roman" w:cs="Times New Roman"/>
                <w:color w:val="auto"/>
              </w:rPr>
              <w:t>dB</w:t>
            </w:r>
            <w:r>
              <w:rPr>
                <w:color w:val="auto"/>
              </w:rPr>
              <w:t>；</w:t>
            </w:r>
          </w:p>
          <w:p w14:paraId="3A1498DC">
            <w:pPr>
              <w:pStyle w:val="22"/>
              <w:spacing w:before="182" w:line="220" w:lineRule="auto"/>
              <w:ind w:left="1300"/>
              <w:rPr>
                <w:color w:val="auto"/>
              </w:rPr>
            </w:pPr>
            <w:r>
              <w:rPr>
                <w:rFonts w:ascii="Times New Roman" w:hAnsi="Times New Roman" w:eastAsia="Times New Roman" w:cs="Times New Roman"/>
                <w:color w:val="auto"/>
              </w:rPr>
              <w:t>A</w:t>
            </w:r>
            <w:r>
              <w:rPr>
                <w:rFonts w:ascii="Times New Roman" w:hAnsi="Times New Roman" w:eastAsia="Times New Roman" w:cs="Times New Roman"/>
                <w:color w:val="auto"/>
                <w:position w:val="-1"/>
                <w:sz w:val="15"/>
                <w:szCs w:val="15"/>
              </w:rPr>
              <w:t xml:space="preserve">misc   </w:t>
            </w:r>
            <w:r>
              <w:rPr>
                <w:color w:val="auto"/>
              </w:rPr>
              <w:t>——其他多方面效应引起的衰减，</w:t>
            </w:r>
            <w:r>
              <w:rPr>
                <w:rFonts w:ascii="Times New Roman" w:hAnsi="Times New Roman" w:eastAsia="Times New Roman" w:cs="Times New Roman"/>
                <w:color w:val="auto"/>
              </w:rPr>
              <w:t>dB</w:t>
            </w:r>
            <w:r>
              <w:rPr>
                <w:color w:val="auto"/>
              </w:rPr>
              <w:t>。</w:t>
            </w:r>
          </w:p>
          <w:p w14:paraId="48172DCE">
            <w:pPr>
              <w:pStyle w:val="22"/>
              <w:spacing w:before="180" w:line="342" w:lineRule="auto"/>
              <w:ind w:left="587" w:right="1849" w:firstLine="720"/>
              <w:rPr>
                <w:color w:val="auto"/>
              </w:rPr>
            </w:pPr>
            <w:r>
              <w:rPr>
                <w:color w:val="auto"/>
                <w:spacing w:val="-3"/>
              </w:rPr>
              <w:t>注：本预测不考虑声屏障、附加衰减量的影响。</w:t>
            </w:r>
            <w:r>
              <w:rPr>
                <w:color w:val="auto"/>
                <w:spacing w:val="12"/>
              </w:rPr>
              <w:t xml:space="preserve"> </w:t>
            </w:r>
            <w:r>
              <w:rPr>
                <w:color w:val="auto"/>
                <w:spacing w:val="-1"/>
              </w:rPr>
              <w:t>在</w:t>
            </w:r>
            <w:r>
              <w:rPr>
                <w:rFonts w:hint="eastAsia"/>
                <w:color w:val="auto"/>
                <w:spacing w:val="-1"/>
                <w:lang w:val="en-US" w:eastAsia="zh-CN"/>
              </w:rPr>
              <w:t>半</w:t>
            </w:r>
            <w:r>
              <w:rPr>
                <w:color w:val="auto"/>
                <w:spacing w:val="-1"/>
              </w:rPr>
              <w:t>自由场中，点声源几何发散衰减基本公式如下：</w:t>
            </w:r>
          </w:p>
          <w:p w14:paraId="763474FE">
            <w:pPr>
              <w:pStyle w:val="22"/>
              <w:spacing w:before="3" w:line="309" w:lineRule="auto"/>
              <w:ind w:left="592" w:right="2719" w:firstLine="2611"/>
              <w:rPr>
                <w:color w:val="auto"/>
              </w:rPr>
            </w:pPr>
            <w:r>
              <w:rPr>
                <w:rFonts w:ascii="Times New Roman" w:hAnsi="Times New Roman" w:eastAsia="Times New Roman" w:cs="Times New Roman"/>
                <w:color w:val="auto"/>
                <w:spacing w:val="-1"/>
              </w:rPr>
              <w:t>Lp</w:t>
            </w:r>
            <w:r>
              <w:rPr>
                <w:color w:val="auto"/>
                <w:spacing w:val="-1"/>
              </w:rPr>
              <w:t>（</w:t>
            </w:r>
            <w:r>
              <w:rPr>
                <w:rFonts w:ascii="Times New Roman" w:hAnsi="Times New Roman" w:eastAsia="Times New Roman" w:cs="Times New Roman"/>
                <w:color w:val="auto"/>
                <w:spacing w:val="-1"/>
              </w:rPr>
              <w:t>r</w:t>
            </w:r>
            <w:r>
              <w:rPr>
                <w:color w:val="auto"/>
                <w:spacing w:val="-1"/>
              </w:rPr>
              <w:t>）</w:t>
            </w:r>
            <w:r>
              <w:rPr>
                <w:rFonts w:ascii="Times New Roman" w:hAnsi="Times New Roman" w:eastAsia="Times New Roman" w:cs="Times New Roman"/>
                <w:color w:val="auto"/>
                <w:spacing w:val="-1"/>
              </w:rPr>
              <w:t>=Lw-201gr-</w:t>
            </w:r>
            <w:r>
              <w:rPr>
                <w:rFonts w:hint="eastAsia" w:ascii="Times New Roman" w:hAnsi="Times New Roman" w:eastAsia="宋体" w:cs="Times New Roman"/>
                <w:color w:val="auto"/>
                <w:spacing w:val="-1"/>
                <w:lang w:val="en-US" w:eastAsia="zh-CN"/>
              </w:rPr>
              <w:t>8</w:t>
            </w:r>
            <w:r>
              <w:rPr>
                <w:rFonts w:ascii="Times New Roman" w:hAnsi="Times New Roman" w:eastAsia="Times New Roman" w:cs="Times New Roman"/>
                <w:color w:val="auto"/>
              </w:rPr>
              <w:t xml:space="preserve"> </w:t>
            </w:r>
            <w:r>
              <w:rPr>
                <w:color w:val="auto"/>
              </w:rPr>
              <w:t>式中：</w:t>
            </w:r>
            <w:r>
              <w:rPr>
                <w:rFonts w:ascii="Times New Roman" w:hAnsi="Times New Roman" w:eastAsia="Times New Roman" w:cs="Times New Roman"/>
                <w:color w:val="auto"/>
                <w:sz w:val="20"/>
                <w:szCs w:val="20"/>
              </w:rPr>
              <w:t>Lp(r)</w:t>
            </w:r>
            <w:r>
              <w:rPr>
                <w:rFonts w:ascii="Times New Roman" w:hAnsi="Times New Roman" w:eastAsia="Times New Roman" w:cs="Times New Roman"/>
                <w:color w:val="auto"/>
              </w:rPr>
              <w:t>—</w:t>
            </w:r>
            <w:r>
              <w:rPr>
                <w:color w:val="auto"/>
              </w:rPr>
              <w:t>预测点处声压级，</w:t>
            </w:r>
            <w:r>
              <w:rPr>
                <w:rFonts w:ascii="Times New Roman" w:hAnsi="Times New Roman" w:eastAsia="Times New Roman" w:cs="Times New Roman"/>
                <w:color w:val="auto"/>
              </w:rPr>
              <w:t>dB</w:t>
            </w:r>
            <w:r>
              <w:rPr>
                <w:color w:val="auto"/>
              </w:rPr>
              <w:t>；</w:t>
            </w:r>
          </w:p>
          <w:p w14:paraId="0C4AFFCF">
            <w:pPr>
              <w:pStyle w:val="22"/>
              <w:spacing w:before="140" w:line="347" w:lineRule="auto"/>
              <w:ind w:left="1300" w:right="437" w:firstLine="3"/>
              <w:rPr>
                <w:color w:val="auto"/>
              </w:rPr>
            </w:pPr>
            <w:r>
              <w:rPr>
                <w:rFonts w:ascii="Times New Roman" w:hAnsi="Times New Roman" w:eastAsia="Times New Roman" w:cs="Times New Roman"/>
                <w:color w:val="auto"/>
                <w:spacing w:val="-3"/>
              </w:rPr>
              <w:t xml:space="preserve">Lw  </w:t>
            </w:r>
            <w:r>
              <w:rPr>
                <w:color w:val="auto"/>
                <w:spacing w:val="-3"/>
              </w:rPr>
              <w:t>——由点声源产生的声功率级（</w:t>
            </w:r>
            <w:r>
              <w:rPr>
                <w:rFonts w:ascii="Times New Roman" w:hAnsi="Times New Roman" w:eastAsia="Times New Roman" w:cs="Times New Roman"/>
                <w:color w:val="auto"/>
                <w:spacing w:val="-3"/>
              </w:rPr>
              <w:t xml:space="preserve">A </w:t>
            </w:r>
            <w:r>
              <w:rPr>
                <w:color w:val="auto"/>
                <w:spacing w:val="-3"/>
              </w:rPr>
              <w:t>计权或倍频带</w:t>
            </w:r>
            <w:r>
              <w:rPr>
                <w:color w:val="auto"/>
                <w:spacing w:val="9"/>
              </w:rPr>
              <w:t>），</w:t>
            </w:r>
            <w:r>
              <w:rPr>
                <w:rFonts w:ascii="Times New Roman" w:hAnsi="Times New Roman" w:eastAsia="Times New Roman" w:cs="Times New Roman"/>
                <w:color w:val="auto"/>
                <w:spacing w:val="-3"/>
              </w:rPr>
              <w:t>dB</w:t>
            </w:r>
            <w:r>
              <w:rPr>
                <w:color w:val="auto"/>
                <w:spacing w:val="-3"/>
              </w:rPr>
              <w:t>；</w:t>
            </w:r>
            <w:r>
              <w:rPr>
                <w:color w:val="auto"/>
                <w:spacing w:val="1"/>
              </w:rPr>
              <w:t xml:space="preserve"> </w:t>
            </w:r>
            <w:r>
              <w:rPr>
                <w:rFonts w:ascii="Times New Roman" w:hAnsi="Times New Roman" w:eastAsia="Times New Roman" w:cs="Times New Roman"/>
                <w:color w:val="auto"/>
                <w:spacing w:val="-1"/>
              </w:rPr>
              <w:t>r</w:t>
            </w:r>
            <w:r>
              <w:rPr>
                <w:color w:val="auto"/>
                <w:spacing w:val="-1"/>
              </w:rPr>
              <w:t>——预测点距声源的距离；</w:t>
            </w:r>
          </w:p>
          <w:p w14:paraId="22A37F2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多噪声源叠加公式：</w:t>
            </w:r>
          </w:p>
          <w:p w14:paraId="5B902418">
            <w:pPr>
              <w:widowControl/>
              <w:spacing w:line="360" w:lineRule="auto"/>
              <w:jc w:val="center"/>
              <w:rPr>
                <w:color w:val="auto"/>
                <w:kern w:val="0"/>
                <w:szCs w:val="21"/>
              </w:rPr>
            </w:pPr>
            <w:r>
              <w:rPr>
                <w:color w:val="auto"/>
                <w:kern w:val="0"/>
                <w:szCs w:val="21"/>
              </w:rPr>
              <w:object>
                <v:shape id="_x0000_i1025" o:spt="75" type="#_x0000_t75" style="height:36.3pt;width:116.1pt;" o:ole="t" filled="f" o:preferrelative="t" stroked="f" coordsize="21600,21600">
                  <v:path/>
                  <v:fill on="f" focussize="0,0"/>
                  <v:stroke on="f" joinstyle="miter"/>
                  <v:imagedata r:id="rId26" o:title=""/>
                  <o:lock v:ext="edit" aspectratio="t"/>
                  <w10:wrap type="none"/>
                  <w10:anchorlock/>
                </v:shape>
                <o:OLEObject Type="Embed" ProgID="Equations" ShapeID="_x0000_i1025" DrawAspect="Content" ObjectID="_1468075725" r:id="rId25">
                  <o:LockedField>false</o:LockedField>
                </o:OLEObject>
              </w:object>
            </w:r>
          </w:p>
          <w:p w14:paraId="7991833E">
            <w:pPr>
              <w:widowControl/>
              <w:spacing w:line="360" w:lineRule="auto"/>
              <w:ind w:firstLine="446"/>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式中：L</w:t>
            </w:r>
            <w:r>
              <w:rPr>
                <w:rFonts w:hint="default" w:ascii="Times New Roman" w:hAnsi="Times New Roman" w:eastAsia="宋体" w:cs="Times New Roman"/>
                <w:color w:val="auto"/>
                <w:kern w:val="0"/>
                <w:sz w:val="24"/>
                <w:szCs w:val="24"/>
                <w:vertAlign w:val="subscript"/>
              </w:rPr>
              <w:t>A</w:t>
            </w:r>
            <w:r>
              <w:rPr>
                <w:rFonts w:hint="default" w:ascii="Times New Roman" w:hAnsi="Times New Roman" w:eastAsia="宋体" w:cs="Times New Roman"/>
                <w:color w:val="auto"/>
                <w:kern w:val="0"/>
                <w:sz w:val="24"/>
                <w:szCs w:val="24"/>
              </w:rPr>
              <w:t>—叠加后噪声声压级，dB；</w:t>
            </w:r>
          </w:p>
          <w:p w14:paraId="3BAC7C86">
            <w:pPr>
              <w:widowControl/>
              <w:spacing w:line="360" w:lineRule="auto"/>
              <w:ind w:firstLine="1200" w:firstLineChars="5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L</w:t>
            </w:r>
            <w:r>
              <w:rPr>
                <w:rFonts w:hint="default" w:ascii="Times New Roman" w:hAnsi="Times New Roman" w:eastAsia="宋体" w:cs="Times New Roman"/>
                <w:color w:val="auto"/>
                <w:kern w:val="0"/>
                <w:sz w:val="24"/>
                <w:szCs w:val="24"/>
                <w:vertAlign w:val="subscript"/>
              </w:rPr>
              <w:t>Ai</w:t>
            </w:r>
            <w:r>
              <w:rPr>
                <w:rFonts w:hint="default" w:ascii="Times New Roman" w:hAnsi="Times New Roman" w:eastAsia="宋体" w:cs="Times New Roman"/>
                <w:color w:val="auto"/>
                <w:kern w:val="0"/>
                <w:sz w:val="24"/>
                <w:szCs w:val="24"/>
              </w:rPr>
              <w:t>—各噪声源对预测点贡献噪声的声压级，dB；</w:t>
            </w:r>
          </w:p>
          <w:p w14:paraId="6B43C7D2">
            <w:pPr>
              <w:widowControl/>
              <w:spacing w:line="360" w:lineRule="auto"/>
              <w:ind w:firstLine="1200" w:firstLineChars="5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n—噪声源的数量</w:t>
            </w:r>
          </w:p>
          <w:p w14:paraId="5143690E">
            <w:pPr>
              <w:widowControl/>
              <w:spacing w:line="360" w:lineRule="auto"/>
              <w:ind w:firstLine="1200" w:firstLineChars="5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i—i=1,2……n</w:t>
            </w:r>
          </w:p>
          <w:p w14:paraId="4DE15686">
            <w:pPr>
              <w:pStyle w:val="22"/>
              <w:spacing w:before="32" w:line="352" w:lineRule="auto"/>
              <w:ind w:right="103"/>
              <w:jc w:val="center"/>
              <w:rPr>
                <w:rFonts w:hint="default" w:ascii="Times New Roman" w:hAnsi="Times New Roman" w:cs="Times New Roman"/>
                <w:b/>
                <w:bCs/>
                <w:color w:val="auto"/>
                <w:spacing w:val="-2"/>
                <w:lang w:val="en-US" w:eastAsia="zh-CN"/>
              </w:rPr>
            </w:pPr>
            <w:r>
              <w:rPr>
                <w:rFonts w:hint="default" w:ascii="Times New Roman" w:hAnsi="Times New Roman" w:cs="Times New Roman"/>
                <w:b/>
                <w:bCs/>
                <w:color w:val="auto"/>
                <w:spacing w:val="-2"/>
                <w:lang w:val="en-US" w:eastAsia="zh-CN"/>
              </w:rPr>
              <w:t>表4-</w:t>
            </w:r>
            <w:r>
              <w:rPr>
                <w:rFonts w:hint="eastAsia" w:ascii="Times New Roman" w:hAnsi="Times New Roman" w:cs="Times New Roman"/>
                <w:b/>
                <w:bCs/>
                <w:color w:val="auto"/>
                <w:spacing w:val="-2"/>
                <w:lang w:val="en-US" w:eastAsia="zh-CN"/>
              </w:rPr>
              <w:t>6</w:t>
            </w:r>
            <w:r>
              <w:rPr>
                <w:rFonts w:hint="default" w:ascii="Times New Roman" w:hAnsi="Times New Roman" w:cs="Times New Roman"/>
                <w:b/>
                <w:bCs/>
                <w:color w:val="auto"/>
                <w:spacing w:val="-2"/>
                <w:lang w:val="en-US" w:eastAsia="zh-CN"/>
              </w:rPr>
              <w:t xml:space="preserve"> 噪声源与预测点相对关系一览表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331"/>
              <w:gridCol w:w="1556"/>
              <w:gridCol w:w="1556"/>
              <w:gridCol w:w="1556"/>
            </w:tblGrid>
            <w:tr w14:paraId="1A96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780" w:type="dxa"/>
                  <w:vAlign w:val="center"/>
                </w:tcPr>
                <w:p w14:paraId="2A67862B">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bCs/>
                      <w:color w:val="auto"/>
                      <w:spacing w:val="-2"/>
                      <w:sz w:val="21"/>
                      <w:szCs w:val="21"/>
                      <w:vertAlign w:val="baseline"/>
                      <w:lang w:val="en-US" w:eastAsia="zh-CN"/>
                    </w:rPr>
                  </w:pPr>
                  <w:r>
                    <w:rPr>
                      <w:rFonts w:hint="eastAsia" w:ascii="Times New Roman" w:hAnsi="Times New Roman" w:cs="Times New Roman"/>
                      <w:b/>
                      <w:bCs/>
                      <w:color w:val="auto"/>
                      <w:spacing w:val="-2"/>
                      <w:sz w:val="21"/>
                      <w:szCs w:val="21"/>
                      <w:vertAlign w:val="baseline"/>
                      <w:lang w:val="en-US" w:eastAsia="zh-CN"/>
                    </w:rPr>
                    <w:t>声源位置</w:t>
                  </w:r>
                </w:p>
              </w:tc>
              <w:tc>
                <w:tcPr>
                  <w:tcW w:w="1331" w:type="dxa"/>
                  <w:vAlign w:val="center"/>
                </w:tcPr>
                <w:p w14:paraId="747A26B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bCs/>
                      <w:color w:val="auto"/>
                      <w:spacing w:val="-2"/>
                      <w:sz w:val="21"/>
                      <w:szCs w:val="21"/>
                      <w:vertAlign w:val="baseline"/>
                      <w:lang w:val="en-US" w:eastAsia="zh-CN"/>
                    </w:rPr>
                  </w:pPr>
                  <w:r>
                    <w:rPr>
                      <w:rFonts w:hint="default" w:ascii="Times New Roman" w:hAnsi="Times New Roman" w:cs="Times New Roman"/>
                      <w:b/>
                      <w:bCs/>
                      <w:color w:val="auto"/>
                      <w:spacing w:val="-2"/>
                      <w:sz w:val="21"/>
                      <w:szCs w:val="21"/>
                      <w:vertAlign w:val="baseline"/>
                      <w:lang w:val="en-US" w:eastAsia="zh-CN"/>
                    </w:rPr>
                    <w:t>与东厂界距离</w:t>
                  </w:r>
                  <w:r>
                    <w:rPr>
                      <w:rFonts w:hint="eastAsia" w:ascii="Times New Roman" w:hAnsi="Times New Roman" w:cs="Times New Roman"/>
                      <w:b/>
                      <w:bCs/>
                      <w:color w:val="auto"/>
                      <w:spacing w:val="-2"/>
                      <w:sz w:val="21"/>
                      <w:szCs w:val="21"/>
                      <w:vertAlign w:val="baseline"/>
                      <w:lang w:val="en-US" w:eastAsia="zh-CN"/>
                    </w:rPr>
                    <w:t>/m</w:t>
                  </w:r>
                </w:p>
              </w:tc>
              <w:tc>
                <w:tcPr>
                  <w:tcW w:w="1556" w:type="dxa"/>
                  <w:vAlign w:val="center"/>
                </w:tcPr>
                <w:p w14:paraId="5A50D314">
                  <w:pPr>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bCs/>
                      <w:color w:val="auto"/>
                      <w:spacing w:val="-2"/>
                      <w:sz w:val="21"/>
                      <w:szCs w:val="21"/>
                      <w:vertAlign w:val="baseline"/>
                      <w:lang w:val="en-US" w:eastAsia="zh-CN"/>
                    </w:rPr>
                  </w:pPr>
                  <w:r>
                    <w:rPr>
                      <w:rFonts w:hint="default" w:ascii="Times New Roman" w:hAnsi="Times New Roman" w:cs="Times New Roman"/>
                      <w:b/>
                      <w:bCs/>
                      <w:color w:val="auto"/>
                      <w:spacing w:val="-2"/>
                      <w:sz w:val="21"/>
                      <w:szCs w:val="21"/>
                      <w:vertAlign w:val="baseline"/>
                      <w:lang w:val="en-US" w:eastAsia="zh-CN"/>
                    </w:rPr>
                    <w:t>与</w:t>
                  </w:r>
                  <w:r>
                    <w:rPr>
                      <w:rFonts w:hint="eastAsia" w:ascii="Times New Roman" w:hAnsi="Times New Roman" w:cs="Times New Roman"/>
                      <w:b/>
                      <w:bCs/>
                      <w:color w:val="auto"/>
                      <w:spacing w:val="-2"/>
                      <w:sz w:val="21"/>
                      <w:szCs w:val="21"/>
                      <w:vertAlign w:val="baseline"/>
                      <w:lang w:val="en-US" w:eastAsia="zh-CN"/>
                    </w:rPr>
                    <w:t>南</w:t>
                  </w:r>
                  <w:r>
                    <w:rPr>
                      <w:rFonts w:hint="default" w:ascii="Times New Roman" w:hAnsi="Times New Roman" w:cs="Times New Roman"/>
                      <w:b/>
                      <w:bCs/>
                      <w:color w:val="auto"/>
                      <w:spacing w:val="-2"/>
                      <w:sz w:val="21"/>
                      <w:szCs w:val="21"/>
                      <w:vertAlign w:val="baseline"/>
                      <w:lang w:val="en-US" w:eastAsia="zh-CN"/>
                    </w:rPr>
                    <w:t>厂界距离</w:t>
                  </w:r>
                  <w:r>
                    <w:rPr>
                      <w:rFonts w:hint="eastAsia" w:ascii="Times New Roman" w:hAnsi="Times New Roman" w:cs="Times New Roman"/>
                      <w:b/>
                      <w:bCs/>
                      <w:color w:val="auto"/>
                      <w:spacing w:val="-2"/>
                      <w:sz w:val="21"/>
                      <w:szCs w:val="21"/>
                      <w:vertAlign w:val="baseline"/>
                      <w:lang w:val="en-US" w:eastAsia="zh-CN"/>
                    </w:rPr>
                    <w:t>/m</w:t>
                  </w:r>
                </w:p>
              </w:tc>
              <w:tc>
                <w:tcPr>
                  <w:tcW w:w="1556" w:type="dxa"/>
                  <w:vAlign w:val="center"/>
                </w:tcPr>
                <w:p w14:paraId="54497200">
                  <w:pPr>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bCs/>
                      <w:color w:val="auto"/>
                      <w:spacing w:val="-2"/>
                      <w:sz w:val="21"/>
                      <w:szCs w:val="21"/>
                      <w:vertAlign w:val="baseline"/>
                      <w:lang w:val="en-US" w:eastAsia="zh-CN"/>
                    </w:rPr>
                  </w:pPr>
                  <w:r>
                    <w:rPr>
                      <w:rFonts w:hint="default" w:ascii="Times New Roman" w:hAnsi="Times New Roman" w:cs="Times New Roman"/>
                      <w:b/>
                      <w:bCs/>
                      <w:color w:val="auto"/>
                      <w:spacing w:val="-2"/>
                      <w:sz w:val="21"/>
                      <w:szCs w:val="21"/>
                      <w:vertAlign w:val="baseline"/>
                      <w:lang w:val="en-US" w:eastAsia="zh-CN"/>
                    </w:rPr>
                    <w:t>与</w:t>
                  </w:r>
                  <w:r>
                    <w:rPr>
                      <w:rFonts w:hint="eastAsia" w:ascii="Times New Roman" w:hAnsi="Times New Roman" w:cs="Times New Roman"/>
                      <w:b/>
                      <w:bCs/>
                      <w:color w:val="auto"/>
                      <w:spacing w:val="-2"/>
                      <w:sz w:val="21"/>
                      <w:szCs w:val="21"/>
                      <w:vertAlign w:val="baseline"/>
                      <w:lang w:val="en-US" w:eastAsia="zh-CN"/>
                    </w:rPr>
                    <w:t>西</w:t>
                  </w:r>
                  <w:r>
                    <w:rPr>
                      <w:rFonts w:hint="default" w:ascii="Times New Roman" w:hAnsi="Times New Roman" w:cs="Times New Roman"/>
                      <w:b/>
                      <w:bCs/>
                      <w:color w:val="auto"/>
                      <w:spacing w:val="-2"/>
                      <w:sz w:val="21"/>
                      <w:szCs w:val="21"/>
                      <w:vertAlign w:val="baseline"/>
                      <w:lang w:val="en-US" w:eastAsia="zh-CN"/>
                    </w:rPr>
                    <w:t>厂界距离</w:t>
                  </w:r>
                  <w:r>
                    <w:rPr>
                      <w:rFonts w:hint="eastAsia" w:ascii="Times New Roman" w:hAnsi="Times New Roman" w:cs="Times New Roman"/>
                      <w:b/>
                      <w:bCs/>
                      <w:color w:val="auto"/>
                      <w:spacing w:val="-2"/>
                      <w:sz w:val="21"/>
                      <w:szCs w:val="21"/>
                      <w:vertAlign w:val="baseline"/>
                      <w:lang w:val="en-US" w:eastAsia="zh-CN"/>
                    </w:rPr>
                    <w:t>/m</w:t>
                  </w:r>
                </w:p>
              </w:tc>
              <w:tc>
                <w:tcPr>
                  <w:tcW w:w="1556" w:type="dxa"/>
                  <w:vAlign w:val="center"/>
                </w:tcPr>
                <w:p w14:paraId="4F89BA8F">
                  <w:pPr>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bCs/>
                      <w:color w:val="auto"/>
                      <w:spacing w:val="-2"/>
                      <w:sz w:val="21"/>
                      <w:szCs w:val="21"/>
                      <w:vertAlign w:val="baseline"/>
                      <w:lang w:val="en-US" w:eastAsia="zh-CN"/>
                    </w:rPr>
                  </w:pPr>
                  <w:r>
                    <w:rPr>
                      <w:rFonts w:hint="default" w:ascii="Times New Roman" w:hAnsi="Times New Roman" w:cs="Times New Roman"/>
                      <w:b/>
                      <w:bCs/>
                      <w:color w:val="auto"/>
                      <w:spacing w:val="-2"/>
                      <w:sz w:val="21"/>
                      <w:szCs w:val="21"/>
                      <w:vertAlign w:val="baseline"/>
                      <w:lang w:val="en-US" w:eastAsia="zh-CN"/>
                    </w:rPr>
                    <w:t>与</w:t>
                  </w:r>
                  <w:r>
                    <w:rPr>
                      <w:rFonts w:hint="eastAsia" w:ascii="Times New Roman" w:hAnsi="Times New Roman" w:cs="Times New Roman"/>
                      <w:b/>
                      <w:bCs/>
                      <w:color w:val="auto"/>
                      <w:spacing w:val="-2"/>
                      <w:sz w:val="21"/>
                      <w:szCs w:val="21"/>
                      <w:vertAlign w:val="baseline"/>
                      <w:lang w:val="en-US" w:eastAsia="zh-CN"/>
                    </w:rPr>
                    <w:t>北</w:t>
                  </w:r>
                  <w:r>
                    <w:rPr>
                      <w:rFonts w:hint="default" w:ascii="Times New Roman" w:hAnsi="Times New Roman" w:cs="Times New Roman"/>
                      <w:b/>
                      <w:bCs/>
                      <w:color w:val="auto"/>
                      <w:spacing w:val="-2"/>
                      <w:sz w:val="21"/>
                      <w:szCs w:val="21"/>
                      <w:vertAlign w:val="baseline"/>
                      <w:lang w:val="en-US" w:eastAsia="zh-CN"/>
                    </w:rPr>
                    <w:t>厂界距离</w:t>
                  </w:r>
                  <w:r>
                    <w:rPr>
                      <w:rFonts w:hint="eastAsia" w:ascii="Times New Roman" w:hAnsi="Times New Roman" w:cs="Times New Roman"/>
                      <w:b/>
                      <w:bCs/>
                      <w:color w:val="auto"/>
                      <w:spacing w:val="-2"/>
                      <w:sz w:val="21"/>
                      <w:szCs w:val="21"/>
                      <w:vertAlign w:val="baseline"/>
                      <w:lang w:val="en-US" w:eastAsia="zh-CN"/>
                    </w:rPr>
                    <w:t>/m</w:t>
                  </w:r>
                </w:p>
              </w:tc>
            </w:tr>
            <w:tr w14:paraId="687D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14:paraId="6DCA089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制砂区</w:t>
                  </w:r>
                </w:p>
              </w:tc>
              <w:tc>
                <w:tcPr>
                  <w:tcW w:w="1331" w:type="dxa"/>
                  <w:vAlign w:val="center"/>
                </w:tcPr>
                <w:p w14:paraId="3922776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87</w:t>
                  </w:r>
                </w:p>
              </w:tc>
              <w:tc>
                <w:tcPr>
                  <w:tcW w:w="1556" w:type="dxa"/>
                  <w:vAlign w:val="center"/>
                </w:tcPr>
                <w:p w14:paraId="308EF57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60</w:t>
                  </w:r>
                </w:p>
              </w:tc>
              <w:tc>
                <w:tcPr>
                  <w:tcW w:w="1556" w:type="dxa"/>
                  <w:vAlign w:val="center"/>
                </w:tcPr>
                <w:p w14:paraId="4F51D7D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45</w:t>
                  </w:r>
                </w:p>
              </w:tc>
              <w:tc>
                <w:tcPr>
                  <w:tcW w:w="1556" w:type="dxa"/>
                  <w:vAlign w:val="center"/>
                </w:tcPr>
                <w:p w14:paraId="22E3061B">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59</w:t>
                  </w:r>
                </w:p>
              </w:tc>
            </w:tr>
            <w:tr w14:paraId="7D4C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14:paraId="2061440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混凝土生产区</w:t>
                  </w:r>
                </w:p>
              </w:tc>
              <w:tc>
                <w:tcPr>
                  <w:tcW w:w="1331" w:type="dxa"/>
                  <w:vAlign w:val="center"/>
                </w:tcPr>
                <w:p w14:paraId="650152F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rightChars="0"/>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12</w:t>
                  </w:r>
                </w:p>
              </w:tc>
              <w:tc>
                <w:tcPr>
                  <w:tcW w:w="1556" w:type="dxa"/>
                  <w:vAlign w:val="center"/>
                </w:tcPr>
                <w:p w14:paraId="51E1015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rightChars="0"/>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68</w:t>
                  </w:r>
                </w:p>
              </w:tc>
              <w:tc>
                <w:tcPr>
                  <w:tcW w:w="1556" w:type="dxa"/>
                  <w:vAlign w:val="center"/>
                </w:tcPr>
                <w:p w14:paraId="38592E5B">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rightChars="0"/>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120</w:t>
                  </w:r>
                </w:p>
              </w:tc>
              <w:tc>
                <w:tcPr>
                  <w:tcW w:w="1556" w:type="dxa"/>
                  <w:vAlign w:val="center"/>
                </w:tcPr>
                <w:p w14:paraId="328EC57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rightChars="0"/>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77</w:t>
                  </w:r>
                </w:p>
              </w:tc>
            </w:tr>
          </w:tbl>
          <w:p w14:paraId="4489607B">
            <w:pPr>
              <w:pStyle w:val="22"/>
              <w:keepNext w:val="0"/>
              <w:keepLines w:val="0"/>
              <w:pageBreakBefore w:val="0"/>
              <w:widowControl/>
              <w:kinsoku w:val="0"/>
              <w:wordWrap/>
              <w:overflowPunct/>
              <w:topLinePunct w:val="0"/>
              <w:autoSpaceDE w:val="0"/>
              <w:autoSpaceDN w:val="0"/>
              <w:bidi w:val="0"/>
              <w:adjustRightInd w:val="0"/>
              <w:snapToGrid w:val="0"/>
              <w:spacing w:before="0" w:beforeLines="50" w:line="353" w:lineRule="auto"/>
              <w:ind w:right="102"/>
              <w:jc w:val="center"/>
              <w:textAlignment w:val="baseline"/>
              <w:rPr>
                <w:rFonts w:hint="default" w:ascii="Times New Roman" w:hAnsi="Times New Roman" w:cs="Times New Roman"/>
                <w:b/>
                <w:bCs/>
                <w:color w:val="auto"/>
                <w:spacing w:val="-2"/>
                <w:lang w:val="en-US" w:eastAsia="zh-CN"/>
              </w:rPr>
            </w:pPr>
            <w:r>
              <w:rPr>
                <w:rFonts w:hint="default" w:ascii="Times New Roman" w:hAnsi="Times New Roman" w:cs="Times New Roman"/>
                <w:b/>
                <w:bCs/>
                <w:color w:val="auto"/>
                <w:spacing w:val="-2"/>
                <w:lang w:val="en-US" w:eastAsia="zh-CN"/>
              </w:rPr>
              <w:t>表4-</w:t>
            </w:r>
            <w:r>
              <w:rPr>
                <w:rFonts w:hint="eastAsia" w:ascii="Times New Roman" w:hAnsi="Times New Roman" w:cs="Times New Roman"/>
                <w:b/>
                <w:bCs/>
                <w:color w:val="auto"/>
                <w:spacing w:val="-2"/>
                <w:lang w:val="en-US" w:eastAsia="zh-CN"/>
              </w:rPr>
              <w:t>7</w:t>
            </w:r>
            <w:r>
              <w:rPr>
                <w:rFonts w:hint="default" w:ascii="Times New Roman" w:hAnsi="Times New Roman" w:cs="Times New Roman"/>
                <w:b/>
                <w:bCs/>
                <w:color w:val="auto"/>
                <w:spacing w:val="-2"/>
                <w:lang w:val="en-US" w:eastAsia="zh-CN"/>
              </w:rPr>
              <w:t xml:space="preserve"> </w:t>
            </w:r>
            <w:r>
              <w:rPr>
                <w:rFonts w:hint="eastAsia" w:ascii="Times New Roman" w:hAnsi="Times New Roman" w:cs="Times New Roman"/>
                <w:b/>
                <w:bCs/>
                <w:color w:val="auto"/>
                <w:spacing w:val="-2"/>
                <w:lang w:val="en-US" w:eastAsia="zh-CN"/>
              </w:rPr>
              <w:t>噪声</w:t>
            </w:r>
            <w:r>
              <w:rPr>
                <w:rFonts w:hint="default" w:ascii="Times New Roman" w:hAnsi="Times New Roman" w:cs="Times New Roman"/>
                <w:b/>
                <w:bCs/>
                <w:color w:val="auto"/>
                <w:spacing w:val="-2"/>
                <w:lang w:val="en-US" w:eastAsia="zh-CN"/>
              </w:rPr>
              <w:t>影响预测结果</w:t>
            </w:r>
            <w:r>
              <w:rPr>
                <w:rFonts w:hint="eastAsia" w:ascii="Times New Roman" w:hAnsi="Times New Roman" w:cs="Times New Roman"/>
                <w:b/>
                <w:bCs/>
                <w:color w:val="auto"/>
                <w:spacing w:val="-2"/>
                <w:lang w:val="en-US" w:eastAsia="zh-CN"/>
              </w:rPr>
              <w:t xml:space="preserve"> 单位：dB（A）</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331"/>
              <w:gridCol w:w="1556"/>
              <w:gridCol w:w="1556"/>
              <w:gridCol w:w="1556"/>
            </w:tblGrid>
            <w:tr w14:paraId="1186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Align w:val="center"/>
                </w:tcPr>
                <w:p w14:paraId="0618F0B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bCs/>
                      <w:color w:val="auto"/>
                      <w:spacing w:val="-2"/>
                      <w:sz w:val="21"/>
                      <w:szCs w:val="21"/>
                      <w:vertAlign w:val="baseline"/>
                      <w:lang w:val="en-US" w:eastAsia="zh-CN"/>
                    </w:rPr>
                  </w:pPr>
                  <w:r>
                    <w:rPr>
                      <w:rFonts w:hint="eastAsia" w:ascii="Times New Roman" w:hAnsi="Times New Roman" w:cs="Times New Roman"/>
                      <w:b/>
                      <w:bCs/>
                      <w:color w:val="auto"/>
                      <w:spacing w:val="-2"/>
                      <w:sz w:val="21"/>
                      <w:szCs w:val="21"/>
                      <w:vertAlign w:val="baseline"/>
                      <w:lang w:val="en-US" w:eastAsia="zh-CN"/>
                    </w:rPr>
                    <w:t>预测点</w:t>
                  </w:r>
                </w:p>
              </w:tc>
              <w:tc>
                <w:tcPr>
                  <w:tcW w:w="1331" w:type="dxa"/>
                  <w:vAlign w:val="center"/>
                </w:tcPr>
                <w:p w14:paraId="42D9378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bCs/>
                      <w:color w:val="auto"/>
                      <w:spacing w:val="-2"/>
                      <w:sz w:val="21"/>
                      <w:szCs w:val="21"/>
                      <w:vertAlign w:val="baseline"/>
                      <w:lang w:val="en-US" w:eastAsia="zh-CN"/>
                    </w:rPr>
                  </w:pPr>
                  <w:r>
                    <w:rPr>
                      <w:rFonts w:hint="default" w:ascii="Times New Roman" w:hAnsi="Times New Roman" w:cs="Times New Roman"/>
                      <w:b/>
                      <w:bCs/>
                      <w:color w:val="auto"/>
                      <w:spacing w:val="-2"/>
                      <w:sz w:val="21"/>
                      <w:szCs w:val="21"/>
                      <w:vertAlign w:val="baseline"/>
                      <w:lang w:val="en-US" w:eastAsia="zh-CN"/>
                    </w:rPr>
                    <w:t>东厂界</w:t>
                  </w:r>
                </w:p>
              </w:tc>
              <w:tc>
                <w:tcPr>
                  <w:tcW w:w="1556" w:type="dxa"/>
                  <w:vAlign w:val="center"/>
                </w:tcPr>
                <w:p w14:paraId="6EF17758">
                  <w:pPr>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bCs/>
                      <w:color w:val="auto"/>
                      <w:spacing w:val="-2"/>
                      <w:sz w:val="21"/>
                      <w:szCs w:val="21"/>
                      <w:vertAlign w:val="baseline"/>
                      <w:lang w:val="en-US" w:eastAsia="zh-CN"/>
                    </w:rPr>
                  </w:pPr>
                  <w:r>
                    <w:rPr>
                      <w:rFonts w:hint="eastAsia" w:ascii="Times New Roman" w:hAnsi="Times New Roman" w:cs="Times New Roman"/>
                      <w:b/>
                      <w:bCs/>
                      <w:color w:val="auto"/>
                      <w:spacing w:val="-2"/>
                      <w:sz w:val="21"/>
                      <w:szCs w:val="21"/>
                      <w:vertAlign w:val="baseline"/>
                      <w:lang w:val="en-US" w:eastAsia="zh-CN"/>
                    </w:rPr>
                    <w:t>南</w:t>
                  </w:r>
                  <w:r>
                    <w:rPr>
                      <w:rFonts w:hint="default" w:ascii="Times New Roman" w:hAnsi="Times New Roman" w:cs="Times New Roman"/>
                      <w:b/>
                      <w:bCs/>
                      <w:color w:val="auto"/>
                      <w:spacing w:val="-2"/>
                      <w:sz w:val="21"/>
                      <w:szCs w:val="21"/>
                      <w:vertAlign w:val="baseline"/>
                      <w:lang w:val="en-US" w:eastAsia="zh-CN"/>
                    </w:rPr>
                    <w:t>厂界</w:t>
                  </w:r>
                </w:p>
              </w:tc>
              <w:tc>
                <w:tcPr>
                  <w:tcW w:w="1556" w:type="dxa"/>
                  <w:vAlign w:val="center"/>
                </w:tcPr>
                <w:p w14:paraId="0FCEACE4">
                  <w:pPr>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bCs/>
                      <w:color w:val="auto"/>
                      <w:spacing w:val="-2"/>
                      <w:sz w:val="21"/>
                      <w:szCs w:val="21"/>
                      <w:vertAlign w:val="baseline"/>
                      <w:lang w:val="en-US" w:eastAsia="zh-CN"/>
                    </w:rPr>
                  </w:pPr>
                  <w:r>
                    <w:rPr>
                      <w:rFonts w:hint="eastAsia" w:ascii="Times New Roman" w:hAnsi="Times New Roman" w:cs="Times New Roman"/>
                      <w:b/>
                      <w:bCs/>
                      <w:color w:val="auto"/>
                      <w:spacing w:val="-2"/>
                      <w:sz w:val="21"/>
                      <w:szCs w:val="21"/>
                      <w:vertAlign w:val="baseline"/>
                      <w:lang w:val="en-US" w:eastAsia="zh-CN"/>
                    </w:rPr>
                    <w:t>西</w:t>
                  </w:r>
                  <w:r>
                    <w:rPr>
                      <w:rFonts w:hint="default" w:ascii="Times New Roman" w:hAnsi="Times New Roman" w:cs="Times New Roman"/>
                      <w:b/>
                      <w:bCs/>
                      <w:color w:val="auto"/>
                      <w:spacing w:val="-2"/>
                      <w:sz w:val="21"/>
                      <w:szCs w:val="21"/>
                      <w:vertAlign w:val="baseline"/>
                      <w:lang w:val="en-US" w:eastAsia="zh-CN"/>
                    </w:rPr>
                    <w:t>厂界</w:t>
                  </w:r>
                </w:p>
              </w:tc>
              <w:tc>
                <w:tcPr>
                  <w:tcW w:w="1556" w:type="dxa"/>
                  <w:vAlign w:val="center"/>
                </w:tcPr>
                <w:p w14:paraId="5E8E4CC7">
                  <w:pPr>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bCs/>
                      <w:color w:val="auto"/>
                      <w:spacing w:val="-2"/>
                      <w:sz w:val="21"/>
                      <w:szCs w:val="21"/>
                      <w:vertAlign w:val="baseline"/>
                      <w:lang w:val="en-US" w:eastAsia="zh-CN"/>
                    </w:rPr>
                  </w:pPr>
                  <w:r>
                    <w:rPr>
                      <w:rFonts w:hint="eastAsia" w:ascii="Times New Roman" w:hAnsi="Times New Roman" w:cs="Times New Roman"/>
                      <w:b/>
                      <w:bCs/>
                      <w:color w:val="auto"/>
                      <w:spacing w:val="-2"/>
                      <w:sz w:val="21"/>
                      <w:szCs w:val="21"/>
                      <w:vertAlign w:val="baseline"/>
                      <w:lang w:val="en-US" w:eastAsia="zh-CN"/>
                    </w:rPr>
                    <w:t>北</w:t>
                  </w:r>
                  <w:r>
                    <w:rPr>
                      <w:rFonts w:hint="default" w:ascii="Times New Roman" w:hAnsi="Times New Roman" w:cs="Times New Roman"/>
                      <w:b/>
                      <w:bCs/>
                      <w:color w:val="auto"/>
                      <w:spacing w:val="-2"/>
                      <w:sz w:val="21"/>
                      <w:szCs w:val="21"/>
                      <w:vertAlign w:val="baseline"/>
                      <w:lang w:val="en-US" w:eastAsia="zh-CN"/>
                    </w:rPr>
                    <w:t>厂界</w:t>
                  </w:r>
                </w:p>
              </w:tc>
            </w:tr>
            <w:tr w14:paraId="77CB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14:paraId="3E5C359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贡献值（昼间）</w:t>
                  </w:r>
                </w:p>
              </w:tc>
              <w:tc>
                <w:tcPr>
                  <w:tcW w:w="1331" w:type="dxa"/>
                  <w:vAlign w:val="center"/>
                </w:tcPr>
                <w:p w14:paraId="79F452C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54.8</w:t>
                  </w:r>
                </w:p>
              </w:tc>
              <w:tc>
                <w:tcPr>
                  <w:tcW w:w="1556" w:type="dxa"/>
                  <w:vAlign w:val="center"/>
                </w:tcPr>
                <w:p w14:paraId="5400878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47.7</w:t>
                  </w:r>
                </w:p>
              </w:tc>
              <w:tc>
                <w:tcPr>
                  <w:tcW w:w="1556" w:type="dxa"/>
                  <w:vAlign w:val="center"/>
                </w:tcPr>
                <w:p w14:paraId="0BA16EE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49.7</w:t>
                  </w:r>
                </w:p>
              </w:tc>
              <w:tc>
                <w:tcPr>
                  <w:tcW w:w="1556" w:type="dxa"/>
                  <w:vAlign w:val="center"/>
                </w:tcPr>
                <w:p w14:paraId="7E8D54C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47.7</w:t>
                  </w:r>
                </w:p>
              </w:tc>
            </w:tr>
            <w:tr w14:paraId="7A9A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14:paraId="6D54F9A9">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标准值（昼间）</w:t>
                  </w:r>
                </w:p>
              </w:tc>
              <w:tc>
                <w:tcPr>
                  <w:tcW w:w="1331" w:type="dxa"/>
                  <w:vAlign w:val="center"/>
                </w:tcPr>
                <w:p w14:paraId="32E72F7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60</w:t>
                  </w:r>
                </w:p>
              </w:tc>
              <w:tc>
                <w:tcPr>
                  <w:tcW w:w="1556" w:type="dxa"/>
                  <w:vAlign w:val="center"/>
                </w:tcPr>
                <w:p w14:paraId="482F564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60</w:t>
                  </w:r>
                </w:p>
              </w:tc>
              <w:tc>
                <w:tcPr>
                  <w:tcW w:w="1556" w:type="dxa"/>
                  <w:vAlign w:val="center"/>
                </w:tcPr>
                <w:p w14:paraId="5573DBE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60</w:t>
                  </w:r>
                </w:p>
              </w:tc>
              <w:tc>
                <w:tcPr>
                  <w:tcW w:w="1556" w:type="dxa"/>
                  <w:vAlign w:val="center"/>
                </w:tcPr>
                <w:p w14:paraId="5CEB861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60</w:t>
                  </w:r>
                </w:p>
              </w:tc>
            </w:tr>
            <w:tr w14:paraId="3489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14:paraId="5950C82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达标情况</w:t>
                  </w:r>
                </w:p>
              </w:tc>
              <w:tc>
                <w:tcPr>
                  <w:tcW w:w="1331" w:type="dxa"/>
                  <w:vAlign w:val="center"/>
                </w:tcPr>
                <w:p w14:paraId="457BAFD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达标</w:t>
                  </w:r>
                </w:p>
              </w:tc>
              <w:tc>
                <w:tcPr>
                  <w:tcW w:w="1556" w:type="dxa"/>
                  <w:vAlign w:val="center"/>
                </w:tcPr>
                <w:p w14:paraId="5BAB1C8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达标</w:t>
                  </w:r>
                </w:p>
              </w:tc>
              <w:tc>
                <w:tcPr>
                  <w:tcW w:w="1556" w:type="dxa"/>
                  <w:vAlign w:val="center"/>
                </w:tcPr>
                <w:p w14:paraId="6C52FC1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达标</w:t>
                  </w:r>
                </w:p>
              </w:tc>
              <w:tc>
                <w:tcPr>
                  <w:tcW w:w="1556" w:type="dxa"/>
                  <w:vAlign w:val="center"/>
                </w:tcPr>
                <w:p w14:paraId="72EE1AB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102"/>
                    <w:jc w:val="center"/>
                    <w:textAlignment w:val="baseline"/>
                    <w:rPr>
                      <w:rFonts w:hint="default" w:ascii="Times New Roman" w:hAnsi="Times New Roman" w:cs="Times New Roman"/>
                      <w:b w:val="0"/>
                      <w:bCs w:val="0"/>
                      <w:color w:val="auto"/>
                      <w:spacing w:val="-2"/>
                      <w:sz w:val="21"/>
                      <w:szCs w:val="21"/>
                      <w:vertAlign w:val="baseline"/>
                      <w:lang w:val="en-US" w:eastAsia="zh-CN"/>
                    </w:rPr>
                  </w:pPr>
                  <w:r>
                    <w:rPr>
                      <w:rFonts w:hint="eastAsia" w:ascii="Times New Roman" w:hAnsi="Times New Roman" w:cs="Times New Roman"/>
                      <w:b w:val="0"/>
                      <w:bCs w:val="0"/>
                      <w:color w:val="auto"/>
                      <w:spacing w:val="-2"/>
                      <w:sz w:val="21"/>
                      <w:szCs w:val="21"/>
                      <w:vertAlign w:val="baseline"/>
                      <w:lang w:val="en-US" w:eastAsia="zh-CN"/>
                    </w:rPr>
                    <w:t>达标</w:t>
                  </w:r>
                </w:p>
              </w:tc>
            </w:tr>
          </w:tbl>
          <w:p w14:paraId="27B696D5">
            <w:pPr>
              <w:pStyle w:val="22"/>
              <w:keepNext w:val="0"/>
              <w:keepLines w:val="0"/>
              <w:pageBreakBefore w:val="0"/>
              <w:widowControl/>
              <w:kinsoku w:val="0"/>
              <w:wordWrap/>
              <w:overflowPunct/>
              <w:topLinePunct w:val="0"/>
              <w:autoSpaceDE w:val="0"/>
              <w:autoSpaceDN w:val="0"/>
              <w:bidi w:val="0"/>
              <w:adjustRightInd w:val="0"/>
              <w:snapToGrid w:val="0"/>
              <w:spacing w:before="200" w:line="353" w:lineRule="auto"/>
              <w:ind w:left="108" w:right="102" w:firstLine="482"/>
              <w:jc w:val="both"/>
              <w:textAlignment w:val="baseline"/>
              <w:rPr>
                <w:rFonts w:hint="default"/>
                <w:color w:val="auto"/>
                <w:lang w:val="en-US"/>
              </w:rPr>
            </w:pPr>
            <w:r>
              <w:rPr>
                <w:rFonts w:hint="default" w:ascii="Times New Roman" w:hAnsi="Times New Roman" w:cs="Times New Roman"/>
                <w:color w:val="auto"/>
                <w:spacing w:val="-2"/>
              </w:rPr>
              <w:t>通过计算可知，</w:t>
            </w:r>
            <w:r>
              <w:rPr>
                <w:rFonts w:hint="default" w:ascii="Times New Roman" w:hAnsi="Times New Roman" w:cs="Times New Roman"/>
                <w:color w:val="auto"/>
                <w:spacing w:val="-2"/>
                <w:lang w:val="en-US" w:eastAsia="zh-CN"/>
              </w:rPr>
              <w:t>项目各厂界噪声贡献值均能满足《工业企业厂界环境噪声排放标准》（GB12348 -2008）2类标准的要求</w:t>
            </w:r>
            <w:r>
              <w:rPr>
                <w:rFonts w:hint="eastAsia" w:ascii="Times New Roman" w:hAnsi="Times New Roman" w:cs="Times New Roman"/>
                <w:color w:val="auto"/>
                <w:spacing w:val="-2"/>
                <w:lang w:val="en-US" w:eastAsia="zh-CN"/>
              </w:rPr>
              <w:t>，项目夜间不生产，周边50m范围内无声环境保护目标，对周边敏感点影响较小。因此，本项目噪声对周边环境影响较小。</w:t>
            </w:r>
          </w:p>
          <w:p w14:paraId="2EFC255C">
            <w:pPr>
              <w:pStyle w:val="22"/>
              <w:spacing w:before="47" w:line="346" w:lineRule="auto"/>
              <w:ind w:left="590" w:right="1009"/>
              <w:rPr>
                <w:color w:val="auto"/>
              </w:rPr>
            </w:pPr>
            <w:r>
              <w:rPr>
                <w:color w:val="auto"/>
                <w:spacing w:val="-1"/>
              </w:rPr>
              <w:t>建设单位拟采用以下噪声防治措施：</w:t>
            </w:r>
          </w:p>
          <w:p w14:paraId="1605DF6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1" w:right="103" w:firstLine="475"/>
              <w:textAlignment w:val="baseline"/>
              <w:rPr>
                <w:rFonts w:hint="eastAsia"/>
                <w:color w:val="auto"/>
              </w:rPr>
            </w:pPr>
            <w:r>
              <w:rPr>
                <w:color w:val="auto"/>
              </w:rPr>
              <w:t>①</w:t>
            </w:r>
            <w:r>
              <w:rPr>
                <w:rFonts w:hint="eastAsia"/>
                <w:color w:val="auto"/>
              </w:rPr>
              <w:t>在设备选型方面，在满足工艺生产的前提下，选用精度高、装配质量</w:t>
            </w:r>
          </w:p>
          <w:p w14:paraId="19F2B132">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3"/>
              <w:textAlignment w:val="baseline"/>
              <w:rPr>
                <w:rFonts w:hint="eastAsia"/>
                <w:color w:val="auto"/>
              </w:rPr>
            </w:pPr>
            <w:r>
              <w:rPr>
                <w:rFonts w:hint="eastAsia"/>
                <w:color w:val="auto"/>
              </w:rPr>
              <w:t>好、噪声低的设备，对于部分使用年限较长的有强噪声的设备，考虑对其进</w:t>
            </w:r>
          </w:p>
          <w:p w14:paraId="2B36DE6E">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03"/>
              <w:textAlignment w:val="baseline"/>
              <w:rPr>
                <w:color w:val="auto"/>
              </w:rPr>
            </w:pPr>
            <w:r>
              <w:rPr>
                <w:rFonts w:hint="eastAsia"/>
                <w:color w:val="auto"/>
              </w:rPr>
              <w:t>行更新换代</w:t>
            </w:r>
            <w:r>
              <w:rPr>
                <w:color w:val="auto"/>
                <w:spacing w:val="-5"/>
              </w:rPr>
              <w:t>；</w:t>
            </w:r>
          </w:p>
          <w:p w14:paraId="151667CB">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86"/>
              <w:textAlignment w:val="baseline"/>
              <w:rPr>
                <w:color w:val="auto"/>
              </w:rPr>
            </w:pPr>
            <w:r>
              <w:rPr>
                <w:color w:val="auto"/>
                <w:spacing w:val="-1"/>
              </w:rPr>
              <w:t>②对设备运行时振动产生的噪声，设计时将采取减振基础；</w:t>
            </w:r>
          </w:p>
          <w:p w14:paraId="6E131C0E">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86"/>
              <w:textAlignment w:val="baseline"/>
              <w:rPr>
                <w:rFonts w:hint="eastAsia"/>
                <w:color w:val="auto"/>
                <w:spacing w:val="-1"/>
              </w:rPr>
            </w:pPr>
            <w:r>
              <w:rPr>
                <w:color w:val="auto"/>
                <w:spacing w:val="-1"/>
              </w:rPr>
              <w:t>③</w:t>
            </w:r>
            <w:r>
              <w:rPr>
                <w:rFonts w:hint="eastAsia"/>
                <w:color w:val="auto"/>
                <w:spacing w:val="-1"/>
              </w:rPr>
              <w:t>加强管理建立设备定期维护、保养的管理制度，以防止设备故障形成</w:t>
            </w:r>
          </w:p>
          <w:p w14:paraId="26FFA747">
            <w:pPr>
              <w:pStyle w:val="2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spacing w:val="-1"/>
              </w:rPr>
            </w:pPr>
            <w:r>
              <w:rPr>
                <w:rFonts w:hint="eastAsia"/>
                <w:color w:val="auto"/>
                <w:spacing w:val="-1"/>
              </w:rPr>
              <w:t>的非生产噪声，同时确保环保措施发挥最有效的功能；加强职工环保意识教育，提倡文明生产，防止人为噪声</w:t>
            </w:r>
            <w:r>
              <w:rPr>
                <w:color w:val="auto"/>
                <w:spacing w:val="-1"/>
              </w:rPr>
              <w:t>。</w:t>
            </w:r>
          </w:p>
          <w:p w14:paraId="446559C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color w:val="auto"/>
                <w:spacing w:val="-1"/>
                <w:lang w:val="en-US" w:eastAsia="zh-CN"/>
              </w:rPr>
            </w:pPr>
            <w:r>
              <w:rPr>
                <w:rFonts w:hint="eastAsia"/>
                <w:color w:val="auto"/>
                <w:spacing w:val="-1"/>
              </w:rPr>
              <w:t>上述防治措施经济投资小，技术上简单可行，可使厂界</w:t>
            </w:r>
            <w:r>
              <w:rPr>
                <w:rFonts w:hint="eastAsia"/>
                <w:color w:val="auto"/>
                <w:spacing w:val="-1"/>
                <w:lang w:val="en-US" w:eastAsia="zh-CN"/>
              </w:rPr>
              <w:t>噪声达标排放，</w:t>
            </w:r>
          </w:p>
          <w:p w14:paraId="63EF8EDE">
            <w:pPr>
              <w:pStyle w:val="2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eastAsia="宋体"/>
                <w:color w:val="auto"/>
                <w:spacing w:val="-1"/>
                <w:lang w:val="en-US" w:eastAsia="zh-CN"/>
              </w:rPr>
            </w:pPr>
            <w:r>
              <w:rPr>
                <w:rFonts w:hint="eastAsia"/>
                <w:color w:val="auto"/>
                <w:spacing w:val="-1"/>
                <w:lang w:val="en-US" w:eastAsia="zh-CN"/>
              </w:rPr>
              <w:t>防治措施是可行的。</w:t>
            </w:r>
          </w:p>
          <w:p w14:paraId="2FCB57C9">
            <w:pPr>
              <w:pStyle w:val="22"/>
              <w:spacing w:before="32" w:line="360" w:lineRule="auto"/>
              <w:ind w:left="584"/>
              <w:rPr>
                <w:color w:val="auto"/>
              </w:rPr>
            </w:pPr>
            <w:r>
              <w:rPr>
                <w:rFonts w:ascii="Times New Roman" w:hAnsi="Times New Roman" w:eastAsia="Times New Roman" w:cs="Times New Roman"/>
                <w:b/>
                <w:bCs/>
                <w:color w:val="auto"/>
                <w:spacing w:val="-8"/>
              </w:rPr>
              <w:t>4.</w:t>
            </w:r>
            <w:r>
              <w:rPr>
                <w:rFonts w:ascii="Times New Roman" w:hAnsi="Times New Roman" w:eastAsia="Times New Roman" w:cs="Times New Roman"/>
                <w:b/>
                <w:bCs/>
                <w:color w:val="auto"/>
                <w:spacing w:val="-27"/>
              </w:rPr>
              <w:t xml:space="preserve"> </w:t>
            </w:r>
            <w:r>
              <w:rPr>
                <w:b/>
                <w:bCs/>
                <w:color w:val="auto"/>
                <w:spacing w:val="-8"/>
              </w:rPr>
              <w:t>固体废物</w:t>
            </w:r>
          </w:p>
          <w:p w14:paraId="44FDAF9B">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color w:val="auto"/>
              </w:rPr>
            </w:pPr>
            <w:r>
              <w:rPr>
                <w:rFonts w:hint="eastAsia"/>
                <w:color w:val="auto"/>
                <w:spacing w:val="-1"/>
              </w:rPr>
              <w:t>本项目固体废弃物主要为除尘器收集的粉尘</w:t>
            </w:r>
            <w:r>
              <w:rPr>
                <w:rFonts w:hint="eastAsia"/>
                <w:color w:val="auto"/>
                <w:spacing w:val="-1"/>
                <w:lang w:eastAsia="zh-CN"/>
              </w:rPr>
              <w:t>、</w:t>
            </w:r>
            <w:r>
              <w:rPr>
                <w:rFonts w:hint="eastAsia"/>
                <w:color w:val="auto"/>
                <w:spacing w:val="-1"/>
                <w:lang w:val="en-US" w:eastAsia="zh-CN"/>
              </w:rPr>
              <w:t>废水沉淀污泥、废润滑油、废含油抹布以及</w:t>
            </w:r>
            <w:r>
              <w:rPr>
                <w:color w:val="auto"/>
                <w:spacing w:val="-5"/>
              </w:rPr>
              <w:t>员工生活垃圾等。</w:t>
            </w:r>
          </w:p>
          <w:p w14:paraId="0C863E4A">
            <w:pPr>
              <w:pStyle w:val="22"/>
              <w:keepNext w:val="0"/>
              <w:keepLines w:val="0"/>
              <w:pageBreakBefore w:val="0"/>
              <w:widowControl/>
              <w:kinsoku w:val="0"/>
              <w:wordWrap/>
              <w:overflowPunct/>
              <w:topLinePunct w:val="0"/>
              <w:autoSpaceDE w:val="0"/>
              <w:autoSpaceDN w:val="0"/>
              <w:bidi w:val="0"/>
              <w:adjustRightInd w:val="0"/>
              <w:snapToGrid w:val="0"/>
              <w:spacing w:line="346" w:lineRule="auto"/>
              <w:ind w:right="102" w:firstLine="472" w:firstLineChars="200"/>
              <w:textAlignment w:val="baseline"/>
              <w:rPr>
                <w:color w:val="auto"/>
              </w:rPr>
            </w:pPr>
            <w:r>
              <w:rPr>
                <w:rFonts w:hint="eastAsia"/>
                <w:color w:val="auto"/>
                <w:spacing w:val="-2"/>
                <w:lang w:eastAsia="zh-CN"/>
              </w:rPr>
              <w:t>（</w:t>
            </w:r>
            <w:r>
              <w:rPr>
                <w:rFonts w:hint="default" w:ascii="Times New Roman" w:hAnsi="Times New Roman" w:cs="Times New Roman"/>
                <w:color w:val="auto"/>
                <w:spacing w:val="-2"/>
                <w:lang w:val="en-US" w:eastAsia="zh-CN"/>
              </w:rPr>
              <w:t>1</w:t>
            </w:r>
            <w:r>
              <w:rPr>
                <w:rFonts w:hint="eastAsia"/>
                <w:color w:val="auto"/>
                <w:spacing w:val="-2"/>
                <w:lang w:eastAsia="zh-CN"/>
              </w:rPr>
              <w:t>）</w:t>
            </w:r>
            <w:r>
              <w:rPr>
                <w:color w:val="auto"/>
                <w:spacing w:val="-2"/>
              </w:rPr>
              <w:t>除尘器收集的粉尘</w:t>
            </w:r>
            <w:r>
              <w:rPr>
                <w:color w:val="auto"/>
                <w:spacing w:val="-45"/>
              </w:rPr>
              <w:t xml:space="preserve"> </w:t>
            </w:r>
            <w:r>
              <w:rPr>
                <w:rFonts w:ascii="Times New Roman" w:hAnsi="Times New Roman" w:eastAsia="Times New Roman" w:cs="Times New Roman"/>
                <w:color w:val="auto"/>
                <w:spacing w:val="-9"/>
                <w:position w:val="-1"/>
                <w:sz w:val="15"/>
                <w:szCs w:val="15"/>
              </w:rPr>
              <w:t xml:space="preserve"> </w:t>
            </w:r>
            <w:r>
              <w:rPr>
                <w:color w:val="auto"/>
                <w:spacing w:val="-2"/>
              </w:rPr>
              <w:t>：根据工程分析，项目生产过程中</w:t>
            </w:r>
            <w:r>
              <w:rPr>
                <w:color w:val="auto"/>
                <w:spacing w:val="-3"/>
              </w:rPr>
              <w:t>布袋除尘器收集的粉尘为</w:t>
            </w:r>
            <w:r>
              <w:rPr>
                <w:color w:val="auto"/>
                <w:spacing w:val="-47"/>
              </w:rPr>
              <w:t xml:space="preserve"> </w:t>
            </w:r>
            <w:r>
              <w:rPr>
                <w:rFonts w:hint="eastAsia" w:ascii="Times New Roman" w:hAnsi="Times New Roman" w:eastAsia="宋体" w:cs="Times New Roman"/>
                <w:color w:val="auto"/>
                <w:spacing w:val="-3"/>
                <w:lang w:val="en-US" w:eastAsia="zh-CN"/>
              </w:rPr>
              <w:t>29.91</w:t>
            </w:r>
            <w:r>
              <w:rPr>
                <w:rFonts w:ascii="Times New Roman" w:hAnsi="Times New Roman" w:eastAsia="Times New Roman" w:cs="Times New Roman"/>
                <w:color w:val="auto"/>
                <w:spacing w:val="-3"/>
              </w:rPr>
              <w:t>t/a</w:t>
            </w:r>
            <w:r>
              <w:rPr>
                <w:rFonts w:ascii="Times New Roman" w:hAnsi="Times New Roman" w:eastAsia="Times New Roman" w:cs="Times New Roman"/>
                <w:color w:val="auto"/>
                <w:spacing w:val="-31"/>
              </w:rPr>
              <w:t xml:space="preserve"> </w:t>
            </w:r>
            <w:r>
              <w:rPr>
                <w:color w:val="auto"/>
                <w:spacing w:val="-3"/>
              </w:rPr>
              <w:t>，定期清理回用于生产。</w:t>
            </w:r>
          </w:p>
          <w:p w14:paraId="4BEEBE05">
            <w:pPr>
              <w:pStyle w:val="22"/>
              <w:spacing w:before="36" w:line="350" w:lineRule="auto"/>
              <w:ind w:right="103" w:firstLine="468" w:firstLineChars="200"/>
              <w:rPr>
                <w:color w:val="auto"/>
              </w:rPr>
            </w:pPr>
            <w:r>
              <w:rPr>
                <w:rFonts w:hint="eastAsia"/>
                <w:color w:val="auto"/>
                <w:spacing w:val="-3"/>
                <w:lang w:eastAsia="zh-CN"/>
              </w:rPr>
              <w:t>（</w:t>
            </w:r>
            <w:r>
              <w:rPr>
                <w:rFonts w:hint="default" w:ascii="Times New Roman" w:hAnsi="Times New Roman" w:cs="Times New Roman"/>
                <w:color w:val="auto"/>
                <w:spacing w:val="-3"/>
                <w:lang w:val="en-US" w:eastAsia="zh-CN"/>
              </w:rPr>
              <w:t>2</w:t>
            </w:r>
            <w:r>
              <w:rPr>
                <w:rFonts w:hint="eastAsia"/>
                <w:color w:val="auto"/>
                <w:spacing w:val="-3"/>
                <w:lang w:eastAsia="zh-CN"/>
              </w:rPr>
              <w:t>）</w:t>
            </w:r>
            <w:r>
              <w:rPr>
                <w:rFonts w:hint="eastAsia"/>
                <w:color w:val="auto"/>
                <w:spacing w:val="-3"/>
                <w:lang w:val="en-US" w:eastAsia="zh-CN"/>
              </w:rPr>
              <w:t>废水沉淀</w:t>
            </w:r>
            <w:r>
              <w:rPr>
                <w:color w:val="auto"/>
                <w:spacing w:val="-3"/>
              </w:rPr>
              <w:t>污泥</w:t>
            </w:r>
            <w:r>
              <w:rPr>
                <w:rFonts w:hint="eastAsia"/>
                <w:color w:val="auto"/>
                <w:spacing w:val="-45"/>
                <w:lang w:eastAsia="zh-CN"/>
              </w:rPr>
              <w:t>：</w:t>
            </w:r>
            <w:r>
              <w:rPr>
                <w:rFonts w:hint="default" w:ascii="Times New Roman" w:hAnsi="Times New Roman" w:cs="Times New Roman"/>
                <w:color w:val="auto"/>
                <w:spacing w:val="-3"/>
              </w:rPr>
              <w:t>根据前文分析可知，沉淀池的沉渣即为其去除的SS，产生量为</w:t>
            </w:r>
            <w:r>
              <w:rPr>
                <w:rFonts w:hint="eastAsia" w:ascii="Times New Roman" w:hAnsi="Times New Roman" w:cs="Times New Roman"/>
                <w:color w:val="auto"/>
                <w:spacing w:val="-3"/>
                <w:lang w:val="en-US" w:eastAsia="zh-CN"/>
              </w:rPr>
              <w:t>123.53</w:t>
            </w:r>
            <w:r>
              <w:rPr>
                <w:rFonts w:hint="default" w:ascii="Times New Roman" w:hAnsi="Times New Roman" w:cs="Times New Roman"/>
                <w:color w:val="auto"/>
                <w:spacing w:val="-3"/>
              </w:rPr>
              <w:t>t/a</w:t>
            </w:r>
            <w:r>
              <w:rPr>
                <w:rFonts w:hint="eastAsia" w:ascii="Times New Roman" w:hAnsi="Times New Roman" w:cs="Times New Roman"/>
                <w:color w:val="auto"/>
                <w:spacing w:val="-3"/>
                <w:lang w:eastAsia="zh-CN"/>
              </w:rPr>
              <w:t>，</w:t>
            </w:r>
            <w:r>
              <w:rPr>
                <w:rFonts w:hint="eastAsia" w:ascii="Times New Roman" w:hAnsi="Times New Roman" w:cs="Times New Roman"/>
                <w:color w:val="auto"/>
                <w:spacing w:val="-3"/>
                <w:lang w:val="en-US" w:eastAsia="zh-CN"/>
              </w:rPr>
              <w:t>压滤后含水率为65%，则污泥产生量为352.9t/a</w:t>
            </w:r>
            <w:r>
              <w:rPr>
                <w:rFonts w:hint="default" w:ascii="Times New Roman" w:hAnsi="Times New Roman" w:cs="Times New Roman"/>
                <w:color w:val="auto"/>
                <w:spacing w:val="-3"/>
              </w:rPr>
              <w:t>。其主要成分为砂、碎石、</w:t>
            </w:r>
            <w:r>
              <w:rPr>
                <w:rFonts w:hint="eastAsia" w:ascii="Times New Roman" w:hAnsi="Times New Roman" w:cs="Times New Roman"/>
                <w:color w:val="auto"/>
                <w:spacing w:val="-3"/>
                <w:lang w:val="en-US" w:eastAsia="zh-CN"/>
              </w:rPr>
              <w:t>细泥</w:t>
            </w:r>
            <w:r>
              <w:rPr>
                <w:rFonts w:hint="default" w:ascii="Times New Roman" w:hAnsi="Times New Roman" w:cs="Times New Roman"/>
                <w:color w:val="auto"/>
                <w:spacing w:val="-3"/>
              </w:rPr>
              <w:t>等，</w:t>
            </w:r>
            <w:r>
              <w:rPr>
                <w:rFonts w:hint="eastAsia" w:ascii="Times New Roman" w:hAnsi="Times New Roman" w:cs="Times New Roman"/>
                <w:color w:val="auto"/>
                <w:spacing w:val="-3"/>
                <w:lang w:val="en-US" w:eastAsia="zh-CN"/>
              </w:rPr>
              <w:t>由于洗砂过程产生泥土等杂质</w:t>
            </w:r>
            <w:r>
              <w:rPr>
                <w:rFonts w:hint="default" w:ascii="Times New Roman" w:hAnsi="Times New Roman" w:cs="Times New Roman"/>
                <w:color w:val="auto"/>
                <w:spacing w:val="-3"/>
              </w:rPr>
              <w:t>，</w:t>
            </w:r>
            <w:r>
              <w:rPr>
                <w:rFonts w:hint="eastAsia" w:ascii="Times New Roman" w:hAnsi="Times New Roman" w:cs="Times New Roman"/>
                <w:color w:val="auto"/>
                <w:spacing w:val="-3"/>
                <w:lang w:val="en-US" w:eastAsia="zh-CN"/>
              </w:rPr>
              <w:t>本项目废水沉淀池污泥无法作为混凝土原料再利用，收集后外售相关综合利用</w:t>
            </w:r>
            <w:r>
              <w:rPr>
                <w:rFonts w:hint="default" w:ascii="Times New Roman" w:hAnsi="Times New Roman" w:cs="Times New Roman"/>
                <w:color w:val="auto"/>
                <w:spacing w:val="-1"/>
              </w:rPr>
              <w:t>。</w:t>
            </w:r>
          </w:p>
          <w:p w14:paraId="14D493A4">
            <w:pPr>
              <w:pStyle w:val="22"/>
              <w:spacing w:before="35" w:line="345" w:lineRule="auto"/>
              <w:ind w:right="156" w:firstLine="464" w:firstLineChars="200"/>
              <w:rPr>
                <w:rFonts w:hint="default" w:eastAsia="宋体"/>
                <w:color w:val="auto"/>
                <w:lang w:val="en-US" w:eastAsia="zh-CN"/>
              </w:rPr>
            </w:pPr>
            <w:r>
              <w:rPr>
                <w:rFonts w:hint="eastAsia"/>
                <w:color w:val="auto"/>
                <w:spacing w:val="-4"/>
                <w:lang w:eastAsia="zh-CN"/>
              </w:rPr>
              <w:t>（</w:t>
            </w:r>
            <w:r>
              <w:rPr>
                <w:rFonts w:hint="default" w:ascii="Times New Roman" w:hAnsi="Times New Roman" w:cs="Times New Roman"/>
                <w:color w:val="auto"/>
                <w:spacing w:val="-4"/>
                <w:lang w:val="en-US" w:eastAsia="zh-CN"/>
              </w:rPr>
              <w:t>3</w:t>
            </w:r>
            <w:r>
              <w:rPr>
                <w:rFonts w:hint="eastAsia"/>
                <w:color w:val="auto"/>
                <w:spacing w:val="-4"/>
                <w:lang w:eastAsia="zh-CN"/>
              </w:rPr>
              <w:t>）</w:t>
            </w:r>
            <w:r>
              <w:rPr>
                <w:rFonts w:hint="eastAsia"/>
                <w:color w:val="auto"/>
                <w:spacing w:val="-4"/>
              </w:rPr>
              <w:t>废润滑油</w:t>
            </w:r>
            <w:r>
              <w:rPr>
                <w:rFonts w:ascii="Times New Roman" w:hAnsi="Times New Roman" w:eastAsia="Times New Roman" w:cs="Times New Roman"/>
                <w:color w:val="auto"/>
                <w:spacing w:val="-9"/>
                <w:position w:val="-1"/>
                <w:sz w:val="15"/>
                <w:szCs w:val="15"/>
              </w:rPr>
              <w:t xml:space="preserve"> </w:t>
            </w:r>
            <w:r>
              <w:rPr>
                <w:b/>
                <w:bCs/>
                <w:color w:val="auto"/>
                <w:spacing w:val="-4"/>
              </w:rPr>
              <w:t>：</w:t>
            </w:r>
            <w:r>
              <w:rPr>
                <w:rFonts w:hint="eastAsia"/>
                <w:b w:val="0"/>
                <w:bCs w:val="0"/>
                <w:color w:val="auto"/>
                <w:spacing w:val="-4"/>
                <w:lang w:val="en-US" w:eastAsia="zh-CN"/>
              </w:rPr>
              <w:t>本</w:t>
            </w:r>
            <w:r>
              <w:rPr>
                <w:rFonts w:hint="eastAsia"/>
                <w:color w:val="auto"/>
                <w:spacing w:val="-4"/>
              </w:rPr>
              <w:t>项目生产设备维护保养、设备修理时会产生少量的废矿物油，约为</w:t>
            </w:r>
            <w:r>
              <w:rPr>
                <w:rFonts w:hint="default" w:ascii="Times New Roman" w:hAnsi="Times New Roman" w:cs="Times New Roman"/>
                <w:color w:val="auto"/>
                <w:spacing w:val="-4"/>
                <w:lang w:val="en-US" w:eastAsia="zh-CN"/>
              </w:rPr>
              <w:t>0.</w:t>
            </w:r>
            <w:r>
              <w:rPr>
                <w:rFonts w:hint="eastAsia" w:ascii="Times New Roman" w:hAnsi="Times New Roman" w:cs="Times New Roman"/>
                <w:color w:val="auto"/>
                <w:spacing w:val="-4"/>
                <w:lang w:val="en-US" w:eastAsia="zh-CN"/>
              </w:rPr>
              <w:t>1</w:t>
            </w:r>
            <w:r>
              <w:rPr>
                <w:rFonts w:hint="default" w:ascii="Times New Roman" w:hAnsi="Times New Roman" w:cs="Times New Roman"/>
                <w:color w:val="auto"/>
                <w:spacing w:val="-4"/>
              </w:rPr>
              <w:t>t/a</w:t>
            </w:r>
            <w:r>
              <w:rPr>
                <w:color w:val="auto"/>
                <w:spacing w:val="-2"/>
              </w:rPr>
              <w:t>。</w:t>
            </w:r>
            <w:r>
              <w:rPr>
                <w:rFonts w:hint="eastAsia"/>
                <w:color w:val="auto"/>
                <w:spacing w:val="-2"/>
              </w:rPr>
              <w:t>属于《国家危险废物名录》（202</w:t>
            </w:r>
            <w:r>
              <w:rPr>
                <w:rFonts w:hint="eastAsia"/>
                <w:color w:val="auto"/>
                <w:spacing w:val="-2"/>
                <w:lang w:val="en-US" w:eastAsia="zh-CN"/>
              </w:rPr>
              <w:t>5</w:t>
            </w:r>
            <w:r>
              <w:rPr>
                <w:rFonts w:hint="eastAsia"/>
                <w:color w:val="auto"/>
                <w:spacing w:val="-2"/>
              </w:rPr>
              <w:t>年版）的危险废物</w:t>
            </w:r>
            <w:r>
              <w:rPr>
                <w:rFonts w:hint="eastAsia"/>
                <w:color w:val="auto"/>
                <w:spacing w:val="-2"/>
                <w:lang w:eastAsia="zh-CN"/>
              </w:rPr>
              <w:t>，</w:t>
            </w:r>
            <w:r>
              <w:rPr>
                <w:rFonts w:hint="eastAsia"/>
                <w:color w:val="auto"/>
                <w:spacing w:val="-2"/>
              </w:rPr>
              <w:t>废物类别为</w:t>
            </w:r>
            <w:r>
              <w:rPr>
                <w:rFonts w:hint="default" w:ascii="Times New Roman" w:hAnsi="Times New Roman" w:cs="Times New Roman"/>
                <w:color w:val="auto"/>
                <w:spacing w:val="-2"/>
              </w:rPr>
              <w:t>HW08，废物代码为：900-214-08（</w:t>
            </w:r>
            <w:r>
              <w:rPr>
                <w:rFonts w:hint="eastAsia"/>
                <w:color w:val="auto"/>
                <w:spacing w:val="-2"/>
              </w:rPr>
              <w:t>车辆、轮船及其它机械维修过程中产生的废发动机油、制动器油、自动变速器油、齿轮油等废润滑油）</w:t>
            </w:r>
            <w:r>
              <w:rPr>
                <w:rFonts w:hint="eastAsia"/>
                <w:color w:val="auto"/>
                <w:spacing w:val="-2"/>
                <w:lang w:eastAsia="zh-CN"/>
              </w:rPr>
              <w:t>，</w:t>
            </w:r>
            <w:r>
              <w:rPr>
                <w:rFonts w:hint="eastAsia"/>
                <w:color w:val="auto"/>
                <w:spacing w:val="-2"/>
                <w:lang w:val="en-US" w:eastAsia="zh-CN"/>
              </w:rPr>
              <w:t>委托有资质单位清运处置。</w:t>
            </w:r>
          </w:p>
          <w:p w14:paraId="19D85EF4">
            <w:pPr>
              <w:pStyle w:val="22"/>
              <w:spacing w:before="35" w:line="347" w:lineRule="auto"/>
              <w:ind w:firstLine="448" w:firstLineChars="200"/>
              <w:jc w:val="both"/>
              <w:rPr>
                <w:rFonts w:hint="default" w:ascii="Times New Roman" w:hAnsi="Times New Roman" w:cs="Times New Roman"/>
                <w:color w:val="auto"/>
                <w:spacing w:val="-8"/>
                <w:lang w:val="en-US" w:eastAsia="zh-CN"/>
              </w:rPr>
            </w:pPr>
            <w:r>
              <w:rPr>
                <w:rFonts w:hint="default" w:ascii="Times New Roman" w:hAnsi="Times New Roman" w:cs="Times New Roman"/>
                <w:color w:val="auto"/>
                <w:spacing w:val="-8"/>
                <w:lang w:eastAsia="zh-CN"/>
              </w:rPr>
              <w:t>（</w:t>
            </w:r>
            <w:r>
              <w:rPr>
                <w:rFonts w:hint="default" w:ascii="Times New Roman" w:hAnsi="Times New Roman" w:cs="Times New Roman"/>
                <w:color w:val="auto"/>
                <w:spacing w:val="-8"/>
                <w:lang w:val="en-US" w:eastAsia="zh-CN"/>
              </w:rPr>
              <w:t>4</w:t>
            </w:r>
            <w:r>
              <w:rPr>
                <w:rFonts w:hint="default" w:ascii="Times New Roman" w:hAnsi="Times New Roman" w:cs="Times New Roman"/>
                <w:color w:val="auto"/>
                <w:spacing w:val="-8"/>
                <w:lang w:eastAsia="zh-CN"/>
              </w:rPr>
              <w:t>）</w:t>
            </w:r>
            <w:r>
              <w:rPr>
                <w:rFonts w:hint="default" w:ascii="Times New Roman" w:hAnsi="Times New Roman" w:cs="Times New Roman"/>
                <w:color w:val="auto"/>
                <w:spacing w:val="-8"/>
                <w:lang w:val="en-US" w:eastAsia="zh-CN"/>
              </w:rPr>
              <w:t>废含油抹布：机械设备、运输车辆维护保养、修理过程中，擦拭油污会产生</w:t>
            </w:r>
            <w:r>
              <w:rPr>
                <w:rFonts w:hint="eastAsia" w:ascii="Times New Roman" w:hAnsi="Times New Roman" w:cs="Times New Roman"/>
                <w:color w:val="auto"/>
                <w:spacing w:val="-8"/>
                <w:lang w:val="en-US" w:eastAsia="zh-CN"/>
              </w:rPr>
              <w:t>废</w:t>
            </w:r>
            <w:r>
              <w:rPr>
                <w:rFonts w:hint="default" w:ascii="Times New Roman" w:hAnsi="Times New Roman" w:cs="Times New Roman"/>
                <w:color w:val="auto"/>
                <w:spacing w:val="-8"/>
                <w:lang w:val="en-US" w:eastAsia="zh-CN"/>
              </w:rPr>
              <w:t>含油抹布，产生量约0.0</w:t>
            </w:r>
            <w:r>
              <w:rPr>
                <w:rFonts w:hint="eastAsia" w:ascii="Times New Roman" w:hAnsi="Times New Roman" w:cs="Times New Roman"/>
                <w:color w:val="auto"/>
                <w:spacing w:val="-8"/>
                <w:lang w:val="en-US" w:eastAsia="zh-CN"/>
              </w:rPr>
              <w:t>1</w:t>
            </w:r>
            <w:r>
              <w:rPr>
                <w:rFonts w:hint="default" w:ascii="Times New Roman" w:hAnsi="Times New Roman" w:cs="Times New Roman"/>
                <w:color w:val="auto"/>
                <w:spacing w:val="-8"/>
                <w:lang w:val="en-US" w:eastAsia="zh-CN"/>
              </w:rPr>
              <w:t>t/a</w:t>
            </w:r>
            <w:r>
              <w:rPr>
                <w:rFonts w:hint="eastAsia" w:ascii="Times New Roman" w:hAnsi="Times New Roman" w:cs="Times New Roman"/>
                <w:color w:val="auto"/>
                <w:spacing w:val="-8"/>
                <w:lang w:val="en-US" w:eastAsia="zh-CN"/>
              </w:rPr>
              <w:t>。</w:t>
            </w:r>
            <w:r>
              <w:rPr>
                <w:rFonts w:hint="default" w:ascii="Times New Roman" w:hAnsi="Times New Roman" w:cs="Times New Roman"/>
                <w:color w:val="auto"/>
                <w:spacing w:val="-8"/>
                <w:lang w:val="en-US" w:eastAsia="zh-CN"/>
              </w:rPr>
              <w:t>属于《国家危险废物名录》（202</w:t>
            </w:r>
            <w:r>
              <w:rPr>
                <w:rFonts w:hint="eastAsia" w:ascii="Times New Roman" w:hAnsi="Times New Roman" w:cs="Times New Roman"/>
                <w:color w:val="auto"/>
                <w:spacing w:val="-8"/>
                <w:lang w:val="en-US" w:eastAsia="zh-CN"/>
              </w:rPr>
              <w:t>5</w:t>
            </w:r>
            <w:r>
              <w:rPr>
                <w:rFonts w:hint="default" w:ascii="Times New Roman" w:hAnsi="Times New Roman" w:cs="Times New Roman"/>
                <w:color w:val="auto"/>
                <w:spacing w:val="-8"/>
                <w:lang w:val="en-US" w:eastAsia="zh-CN"/>
              </w:rPr>
              <w:t>年版）的危险废物，废物类别为HW49 其他废物，废物代码为900-041-49（含有或沾染毒性、感染性危险废物的废弃包装物、容器、过滤吸附介质）</w:t>
            </w:r>
            <w:r>
              <w:rPr>
                <w:rFonts w:hint="eastAsia" w:ascii="Times New Roman" w:hAnsi="Times New Roman" w:cs="Times New Roman"/>
                <w:color w:val="auto"/>
                <w:spacing w:val="-8"/>
                <w:lang w:val="en-US" w:eastAsia="zh-CN"/>
              </w:rPr>
              <w:t>，</w:t>
            </w:r>
            <w:r>
              <w:rPr>
                <w:rFonts w:hint="eastAsia"/>
                <w:color w:val="auto"/>
                <w:spacing w:val="-2"/>
                <w:lang w:val="en-US" w:eastAsia="zh-CN"/>
              </w:rPr>
              <w:t>委托有资质单位清运处置。</w:t>
            </w:r>
          </w:p>
          <w:p w14:paraId="0D11751A">
            <w:pPr>
              <w:pStyle w:val="22"/>
              <w:spacing w:before="35" w:line="347" w:lineRule="auto"/>
              <w:ind w:firstLine="448" w:firstLineChars="200"/>
              <w:jc w:val="both"/>
              <w:rPr>
                <w:color w:val="auto"/>
                <w:spacing w:val="-3"/>
              </w:rPr>
            </w:pPr>
            <w:r>
              <w:rPr>
                <w:rFonts w:hint="eastAsia"/>
                <w:color w:val="auto"/>
                <w:spacing w:val="-8"/>
                <w:lang w:eastAsia="zh-CN"/>
              </w:rPr>
              <w:t>（</w:t>
            </w:r>
            <w:r>
              <w:rPr>
                <w:rFonts w:hint="default" w:ascii="Times New Roman" w:hAnsi="Times New Roman" w:cs="Times New Roman"/>
                <w:color w:val="auto"/>
                <w:spacing w:val="-8"/>
                <w:lang w:val="en-US" w:eastAsia="zh-CN"/>
              </w:rPr>
              <w:t>5</w:t>
            </w:r>
            <w:r>
              <w:rPr>
                <w:rFonts w:hint="eastAsia"/>
                <w:color w:val="auto"/>
                <w:spacing w:val="-8"/>
                <w:lang w:eastAsia="zh-CN"/>
              </w:rPr>
              <w:t>）</w:t>
            </w:r>
            <w:r>
              <w:rPr>
                <w:color w:val="auto"/>
                <w:spacing w:val="-8"/>
              </w:rPr>
              <w:t>生活垃圾</w:t>
            </w:r>
            <w:r>
              <w:rPr>
                <w:color w:val="auto"/>
                <w:spacing w:val="-45"/>
              </w:rPr>
              <w:t>：</w:t>
            </w:r>
            <w:r>
              <w:rPr>
                <w:color w:val="auto"/>
                <w:spacing w:val="-8"/>
              </w:rPr>
              <w:t>本项目劳动定员</w:t>
            </w:r>
            <w:r>
              <w:rPr>
                <w:color w:val="auto"/>
                <w:spacing w:val="-54"/>
              </w:rPr>
              <w:t xml:space="preserve"> </w:t>
            </w:r>
            <w:r>
              <w:rPr>
                <w:rFonts w:hint="eastAsia" w:ascii="Times New Roman" w:hAnsi="Times New Roman" w:eastAsia="宋体" w:cs="Times New Roman"/>
                <w:color w:val="auto"/>
                <w:spacing w:val="-8"/>
                <w:lang w:val="en-US" w:eastAsia="zh-CN"/>
              </w:rPr>
              <w:t>11</w:t>
            </w:r>
            <w:r>
              <w:rPr>
                <w:rFonts w:ascii="Times New Roman" w:hAnsi="Times New Roman" w:eastAsia="Times New Roman" w:cs="Times New Roman"/>
                <w:color w:val="auto"/>
                <w:spacing w:val="-8"/>
              </w:rPr>
              <w:t xml:space="preserve"> </w:t>
            </w:r>
            <w:r>
              <w:rPr>
                <w:color w:val="auto"/>
                <w:spacing w:val="-8"/>
              </w:rPr>
              <w:t>人，生活垃圾</w:t>
            </w:r>
            <w:r>
              <w:rPr>
                <w:color w:val="auto"/>
                <w:spacing w:val="-9"/>
              </w:rPr>
              <w:t>产生量按</w:t>
            </w:r>
            <w:r>
              <w:rPr>
                <w:color w:val="auto"/>
                <w:spacing w:val="-52"/>
              </w:rPr>
              <w:t xml:space="preserve"> </w:t>
            </w:r>
            <w:r>
              <w:rPr>
                <w:rFonts w:ascii="Times New Roman" w:hAnsi="Times New Roman" w:eastAsia="Times New Roman" w:cs="Times New Roman"/>
                <w:color w:val="auto"/>
                <w:spacing w:val="-9"/>
              </w:rPr>
              <w:t>0.5kg/</w:t>
            </w:r>
            <w:r>
              <w:rPr>
                <w:color w:val="auto"/>
                <w:spacing w:val="-9"/>
              </w:rPr>
              <w:t>人</w:t>
            </w:r>
            <w:r>
              <w:rPr>
                <w:color w:val="auto"/>
                <w:spacing w:val="-29"/>
              </w:rPr>
              <w:t xml:space="preserve"> </w:t>
            </w:r>
            <w:r>
              <w:rPr>
                <w:color w:val="auto"/>
                <w:spacing w:val="-9"/>
              </w:rPr>
              <w:t>·</w:t>
            </w:r>
            <w:r>
              <w:rPr>
                <w:rFonts w:ascii="Times New Roman" w:hAnsi="Times New Roman" w:eastAsia="Times New Roman" w:cs="Times New Roman"/>
                <w:color w:val="auto"/>
                <w:spacing w:val="-9"/>
              </w:rPr>
              <w:t>d</w:t>
            </w:r>
            <w:r>
              <w:rPr>
                <w:color w:val="auto"/>
                <w:spacing w:val="-42"/>
              </w:rPr>
              <w:t>、</w:t>
            </w:r>
            <w:r>
              <w:rPr>
                <w:color w:val="auto"/>
              </w:rPr>
              <w:t xml:space="preserve"> </w:t>
            </w:r>
            <w:r>
              <w:rPr>
                <w:rFonts w:ascii="Times New Roman" w:hAnsi="Times New Roman" w:eastAsia="Times New Roman" w:cs="Times New Roman"/>
                <w:color w:val="auto"/>
                <w:spacing w:val="-1"/>
              </w:rPr>
              <w:t>3</w:t>
            </w:r>
            <w:r>
              <w:rPr>
                <w:rFonts w:hint="eastAsia" w:ascii="Times New Roman" w:hAnsi="Times New Roman" w:eastAsia="宋体" w:cs="Times New Roman"/>
                <w:color w:val="auto"/>
                <w:spacing w:val="-1"/>
                <w:lang w:val="en-US" w:eastAsia="zh-CN"/>
              </w:rPr>
              <w:t>12</w:t>
            </w:r>
            <w:r>
              <w:rPr>
                <w:rFonts w:ascii="Times New Roman" w:hAnsi="Times New Roman" w:eastAsia="Times New Roman" w:cs="Times New Roman"/>
                <w:color w:val="auto"/>
                <w:spacing w:val="-1"/>
              </w:rPr>
              <w:t xml:space="preserve">d/a </w:t>
            </w:r>
            <w:r>
              <w:rPr>
                <w:color w:val="auto"/>
                <w:spacing w:val="-1"/>
              </w:rPr>
              <w:t>计，则生活垃圾产生量为</w:t>
            </w:r>
            <w:r>
              <w:rPr>
                <w:rFonts w:hint="default" w:ascii="Times New Roman" w:hAnsi="Times New Roman" w:cs="Times New Roman"/>
                <w:color w:val="auto"/>
                <w:spacing w:val="-1"/>
                <w:lang w:val="en-US" w:eastAsia="zh-CN"/>
              </w:rPr>
              <w:t>1.72t/a</w:t>
            </w:r>
            <w:r>
              <w:rPr>
                <w:rFonts w:ascii="Times New Roman" w:hAnsi="Times New Roman" w:eastAsia="Times New Roman" w:cs="Times New Roman"/>
                <w:color w:val="auto"/>
                <w:spacing w:val="-30"/>
              </w:rPr>
              <w:t xml:space="preserve"> </w:t>
            </w:r>
            <w:r>
              <w:rPr>
                <w:color w:val="auto"/>
                <w:spacing w:val="-1"/>
              </w:rPr>
              <w:t>，经分类收集后交</w:t>
            </w:r>
            <w:r>
              <w:rPr>
                <w:color w:val="auto"/>
                <w:spacing w:val="-2"/>
              </w:rPr>
              <w:t>环卫部</w:t>
            </w:r>
            <w:r>
              <w:rPr>
                <w:color w:val="auto"/>
                <w:spacing w:val="-3"/>
              </w:rPr>
              <w:t>门统一处理。</w:t>
            </w:r>
          </w:p>
          <w:p w14:paraId="28786D14">
            <w:pPr>
              <w:pStyle w:val="22"/>
              <w:spacing w:before="35" w:line="347" w:lineRule="auto"/>
              <w:ind w:firstLine="468" w:firstLineChars="200"/>
              <w:jc w:val="both"/>
              <w:rPr>
                <w:rFonts w:hint="default" w:ascii="Times New Roman" w:hAnsi="Times New Roman" w:cs="Times New Roman"/>
                <w:color w:val="auto"/>
                <w:spacing w:val="-3"/>
              </w:rPr>
            </w:pPr>
            <w:r>
              <w:rPr>
                <w:rFonts w:hint="eastAsia" w:ascii="Times New Roman" w:hAnsi="Times New Roman" w:cs="Times New Roman"/>
                <w:color w:val="auto"/>
                <w:spacing w:val="-3"/>
                <w:lang w:eastAsia="zh-CN"/>
              </w:rPr>
              <w:t>（</w:t>
            </w:r>
            <w:r>
              <w:rPr>
                <w:rFonts w:hint="eastAsia" w:ascii="Times New Roman" w:hAnsi="Times New Roman" w:cs="Times New Roman"/>
                <w:color w:val="auto"/>
                <w:spacing w:val="-3"/>
                <w:lang w:val="en-US" w:eastAsia="zh-CN"/>
              </w:rPr>
              <w:t>6</w:t>
            </w:r>
            <w:r>
              <w:rPr>
                <w:rFonts w:hint="eastAsia" w:ascii="Times New Roman" w:hAnsi="Times New Roman" w:cs="Times New Roman"/>
                <w:color w:val="auto"/>
                <w:spacing w:val="-3"/>
                <w:lang w:eastAsia="zh-CN"/>
              </w:rPr>
              <w:t>）</w:t>
            </w:r>
            <w:r>
              <w:rPr>
                <w:rFonts w:hint="default" w:ascii="Times New Roman" w:hAnsi="Times New Roman" w:cs="Times New Roman"/>
                <w:color w:val="auto"/>
                <w:spacing w:val="-3"/>
              </w:rPr>
              <w:t>固体废物环境管理要求</w:t>
            </w:r>
          </w:p>
          <w:p w14:paraId="29E6E4BF">
            <w:pPr>
              <w:pStyle w:val="22"/>
              <w:spacing w:before="35" w:line="347" w:lineRule="auto"/>
              <w:ind w:firstLine="468" w:firstLineChars="200"/>
              <w:jc w:val="both"/>
              <w:rPr>
                <w:rFonts w:hint="eastAsia" w:ascii="Times New Roman" w:hAnsi="Times New Roman" w:cs="Times New Roman"/>
                <w:color w:val="auto"/>
                <w:spacing w:val="-3"/>
                <w:lang w:val="en-US" w:eastAsia="zh-CN"/>
              </w:rPr>
            </w:pPr>
            <w:r>
              <w:rPr>
                <w:rFonts w:hint="eastAsia" w:ascii="宋体" w:hAnsi="宋体" w:eastAsia="宋体" w:cs="宋体"/>
                <w:color w:val="auto"/>
                <w:spacing w:val="-3"/>
              </w:rPr>
              <w:t>①</w:t>
            </w:r>
            <w:r>
              <w:rPr>
                <w:rFonts w:hint="default" w:ascii="Times New Roman" w:hAnsi="Times New Roman" w:cs="Times New Roman"/>
                <w:color w:val="auto"/>
                <w:spacing w:val="-3"/>
              </w:rPr>
              <w:t>一般</w:t>
            </w:r>
            <w:r>
              <w:rPr>
                <w:rFonts w:hint="eastAsia" w:ascii="Times New Roman" w:hAnsi="Times New Roman" w:cs="Times New Roman"/>
                <w:color w:val="auto"/>
                <w:spacing w:val="-3"/>
                <w:lang w:val="en-US" w:eastAsia="zh-CN"/>
              </w:rPr>
              <w:t>固体废物</w:t>
            </w:r>
          </w:p>
          <w:p w14:paraId="55A94C2B">
            <w:pPr>
              <w:pStyle w:val="22"/>
              <w:spacing w:before="35" w:line="347" w:lineRule="auto"/>
              <w:ind w:firstLine="468" w:firstLineChars="200"/>
              <w:jc w:val="both"/>
              <w:rPr>
                <w:rFonts w:hint="eastAsia" w:ascii="Times New Roman" w:hAnsi="Times New Roman" w:cs="Times New Roman"/>
                <w:color w:val="auto"/>
                <w:spacing w:val="-3"/>
                <w:lang w:val="en-US" w:eastAsia="zh-CN"/>
              </w:rPr>
            </w:pPr>
            <w:r>
              <w:rPr>
                <w:rFonts w:hint="eastAsia" w:ascii="Times New Roman" w:hAnsi="Times New Roman" w:cs="Times New Roman"/>
                <w:color w:val="auto"/>
                <w:spacing w:val="-3"/>
                <w:lang w:val="en-US" w:eastAsia="zh-CN"/>
              </w:rPr>
              <w:t>根据《一般工业固体废物贮存和填埋污染控制标准》（GB18599-2020），在厂内采用库房以及包装工具贮存，贮存过程应满足相应防渗漏、防雨淋、防扬尘等环境保护要求。生活垃圾暂存与垃圾桶、袋中，集中收集后交环卫部门处理。根据《中华人民共和国固体废物污染环境防治法》（2020 年 9 月1日起施行），需采取的措施如下：</w:t>
            </w:r>
          </w:p>
          <w:p w14:paraId="2798F5AB">
            <w:pPr>
              <w:pStyle w:val="22"/>
              <w:numPr>
                <w:ilvl w:val="0"/>
                <w:numId w:val="4"/>
              </w:numPr>
              <w:spacing w:before="35" w:line="347" w:lineRule="auto"/>
              <w:ind w:firstLine="468" w:firstLineChars="200"/>
              <w:jc w:val="both"/>
              <w:rPr>
                <w:rFonts w:hint="eastAsia" w:ascii="Times New Roman" w:hAnsi="Times New Roman" w:cs="Times New Roman"/>
                <w:color w:val="auto"/>
                <w:spacing w:val="-3"/>
                <w:lang w:val="en-US" w:eastAsia="zh-CN"/>
              </w:rPr>
            </w:pPr>
            <w:r>
              <w:rPr>
                <w:rFonts w:hint="eastAsia" w:ascii="Times New Roman" w:hAnsi="Times New Roman" w:cs="Times New Roman"/>
                <w:color w:val="auto"/>
                <w:spacing w:val="-3"/>
                <w:lang w:val="en-US" w:eastAsia="zh-CN"/>
              </w:rPr>
              <w:t>产生、收集、贮存、运输、利用、处置固体废物的单位和其他生产经营者，应当采取防扬散、防流失、防渗漏或者其他防止污染环境的措施，不得擅自倾倒、堆放、丢弃、遗撒固体废物；</w:t>
            </w:r>
          </w:p>
          <w:p w14:paraId="5B0AED6C">
            <w:pPr>
              <w:pStyle w:val="22"/>
              <w:numPr>
                <w:ilvl w:val="0"/>
                <w:numId w:val="4"/>
              </w:numPr>
              <w:spacing w:before="35" w:line="347" w:lineRule="auto"/>
              <w:ind w:firstLine="468" w:firstLineChars="200"/>
              <w:jc w:val="both"/>
              <w:rPr>
                <w:rFonts w:hint="eastAsia" w:ascii="Times New Roman" w:hAnsi="Times New Roman" w:cs="Times New Roman"/>
                <w:color w:val="auto"/>
                <w:spacing w:val="-3"/>
                <w:lang w:val="en-US" w:eastAsia="zh-CN"/>
              </w:rPr>
            </w:pPr>
            <w:r>
              <w:rPr>
                <w:rFonts w:hint="eastAsia" w:ascii="Times New Roman" w:hAnsi="Times New Roman" w:cs="Times New Roman"/>
                <w:color w:val="auto"/>
                <w:spacing w:val="-3"/>
                <w:lang w:val="en-US" w:eastAsia="zh-CN"/>
              </w:rPr>
              <w:t>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禁止向生活垃圾收集设施中投放工业固体废物；</w:t>
            </w:r>
          </w:p>
          <w:p w14:paraId="27964FF1">
            <w:pPr>
              <w:pStyle w:val="22"/>
              <w:numPr>
                <w:ilvl w:val="0"/>
                <w:numId w:val="4"/>
              </w:numPr>
              <w:spacing w:before="35" w:line="347" w:lineRule="auto"/>
              <w:ind w:firstLine="468" w:firstLineChars="200"/>
              <w:jc w:val="both"/>
              <w:rPr>
                <w:rFonts w:hint="eastAsia" w:ascii="Times New Roman" w:hAnsi="Times New Roman" w:cs="Times New Roman"/>
                <w:color w:val="auto"/>
                <w:spacing w:val="-3"/>
                <w:lang w:val="en-US" w:eastAsia="zh-CN"/>
              </w:rPr>
            </w:pPr>
            <w:r>
              <w:rPr>
                <w:rFonts w:hint="eastAsia" w:ascii="Times New Roman" w:hAnsi="Times New Roman" w:cs="Times New Roman"/>
                <w:color w:val="auto"/>
                <w:spacing w:val="-3"/>
                <w:lang w:val="en-US" w:eastAsia="zh-CN"/>
              </w:rPr>
              <w:t>产生工业固体废物的单位委托他人运输、利用、处置工业固体废物的，应当对受托方的主体资格和技术能力进行核实，依法签订书面合同，在合同中约定污染防治要求；</w:t>
            </w:r>
          </w:p>
          <w:p w14:paraId="0D8E425B">
            <w:pPr>
              <w:pStyle w:val="22"/>
              <w:numPr>
                <w:ilvl w:val="0"/>
                <w:numId w:val="4"/>
              </w:numPr>
              <w:spacing w:before="35" w:line="347" w:lineRule="auto"/>
              <w:ind w:firstLine="468" w:firstLineChars="200"/>
              <w:jc w:val="both"/>
              <w:rPr>
                <w:rFonts w:hint="eastAsia" w:ascii="Times New Roman" w:hAnsi="Times New Roman" w:cs="Times New Roman"/>
                <w:color w:val="auto"/>
                <w:spacing w:val="-3"/>
                <w:lang w:val="en-US" w:eastAsia="zh-CN"/>
              </w:rPr>
            </w:pPr>
            <w:r>
              <w:rPr>
                <w:rFonts w:hint="eastAsia" w:ascii="Times New Roman" w:hAnsi="Times New Roman" w:cs="Times New Roman"/>
                <w:color w:val="auto"/>
                <w:spacing w:val="-3"/>
                <w:lang w:val="en-US" w:eastAsia="zh-CN"/>
              </w:rPr>
              <w:t>禁止向江河、湖泊、运河、渠道、水库及其最高水位线以下的滩地和岸坡以及法律法规规定的其他地点倾倒、堆放、贮存固体废物；</w:t>
            </w:r>
          </w:p>
          <w:p w14:paraId="789FE40E">
            <w:pPr>
              <w:pStyle w:val="22"/>
              <w:numPr>
                <w:ilvl w:val="0"/>
                <w:numId w:val="4"/>
              </w:numPr>
              <w:spacing w:before="35" w:line="347" w:lineRule="auto"/>
              <w:ind w:firstLine="468" w:firstLineChars="200"/>
              <w:jc w:val="both"/>
              <w:rPr>
                <w:rFonts w:hint="eastAsia" w:ascii="Times New Roman" w:hAnsi="Times New Roman" w:cs="Times New Roman"/>
                <w:color w:val="auto"/>
                <w:spacing w:val="-3"/>
                <w:lang w:val="en-US" w:eastAsia="zh-CN"/>
              </w:rPr>
            </w:pPr>
            <w:r>
              <w:rPr>
                <w:rFonts w:hint="eastAsia" w:ascii="Times New Roman" w:hAnsi="Times New Roman" w:cs="Times New Roman"/>
                <w:color w:val="auto"/>
                <w:spacing w:val="-3"/>
                <w:lang w:val="en-US" w:eastAsia="zh-CN"/>
              </w:rPr>
              <w:t>产生工业固体废物的单位应当根据经济、技术条件对工业固体废物加以利用；对暂时不利用或者不能利用的，应当按照国务院生态环境等主管部门的规定建设贮存设施、场所，安全分类存放，或者采取无害化处置措施。贮存工业固体废物应当采取符合国家环境保护标准的防护措施。</w:t>
            </w:r>
          </w:p>
          <w:p w14:paraId="5CBC31CD">
            <w:pPr>
              <w:pStyle w:val="22"/>
              <w:spacing w:before="35" w:line="347" w:lineRule="auto"/>
              <w:ind w:firstLine="468" w:firstLineChars="200"/>
              <w:jc w:val="both"/>
              <w:rPr>
                <w:rFonts w:hint="eastAsia" w:ascii="Times New Roman" w:hAnsi="Times New Roman" w:cs="Times New Roman"/>
                <w:color w:val="auto"/>
                <w:spacing w:val="-3"/>
                <w:lang w:val="en-US" w:eastAsia="zh-CN"/>
              </w:rPr>
            </w:pPr>
            <w:r>
              <w:rPr>
                <w:rFonts w:hint="eastAsia" w:ascii="宋体" w:hAnsi="宋体" w:eastAsia="宋体" w:cs="宋体"/>
                <w:color w:val="auto"/>
                <w:spacing w:val="-3"/>
              </w:rPr>
              <w:t>②</w:t>
            </w:r>
            <w:r>
              <w:rPr>
                <w:rFonts w:hint="eastAsia" w:ascii="宋体" w:hAnsi="宋体" w:eastAsia="宋体" w:cs="宋体"/>
                <w:color w:val="auto"/>
                <w:spacing w:val="-3"/>
                <w:lang w:val="en-US" w:eastAsia="zh-CN"/>
              </w:rPr>
              <w:t>危险</w:t>
            </w:r>
            <w:r>
              <w:rPr>
                <w:rFonts w:hint="eastAsia" w:ascii="Times New Roman" w:hAnsi="Times New Roman" w:cs="Times New Roman"/>
                <w:color w:val="auto"/>
                <w:spacing w:val="-3"/>
                <w:lang w:val="en-US" w:eastAsia="zh-CN"/>
              </w:rPr>
              <w:t>废物</w:t>
            </w:r>
          </w:p>
          <w:p w14:paraId="40ED610D">
            <w:pPr>
              <w:pStyle w:val="24"/>
              <w:adjustRightInd w:val="0"/>
              <w:snapToGrid w:val="0"/>
              <w:spacing w:after="0"/>
              <w:ind w:left="0" w:leftChars="0" w:firstLine="420"/>
              <w:rPr>
                <w:color w:val="auto"/>
                <w:sz w:val="24"/>
                <w:szCs w:val="24"/>
              </w:rPr>
            </w:pPr>
            <w:r>
              <w:rPr>
                <w:rFonts w:hint="eastAsia"/>
                <w:color w:val="auto"/>
                <w:sz w:val="24"/>
                <w:szCs w:val="24"/>
              </w:rPr>
              <w:t>项目</w:t>
            </w:r>
            <w:r>
              <w:rPr>
                <w:snapToGrid w:val="0"/>
                <w:color w:val="auto"/>
                <w:sz w:val="24"/>
                <w:szCs w:val="24"/>
              </w:rPr>
              <w:t>设置</w:t>
            </w:r>
            <w:r>
              <w:rPr>
                <w:rFonts w:hint="default" w:ascii="Times New Roman" w:hAnsi="Times New Roman" w:cs="Times New Roman"/>
                <w:snapToGrid w:val="0"/>
                <w:color w:val="auto"/>
                <w:sz w:val="24"/>
                <w:szCs w:val="24"/>
              </w:rPr>
              <w:t>1 间</w:t>
            </w:r>
            <w:r>
              <w:rPr>
                <w:rFonts w:hint="default" w:ascii="Times New Roman" w:hAnsi="Times New Roman" w:eastAsia="宋体" w:cs="Times New Roman"/>
                <w:snapToGrid w:val="0"/>
                <w:color w:val="auto"/>
                <w:sz w:val="24"/>
                <w:szCs w:val="24"/>
                <w:lang w:val="en-US" w:eastAsia="zh-CN"/>
              </w:rPr>
              <w:t>5</w:t>
            </w:r>
            <w:r>
              <w:rPr>
                <w:rFonts w:hint="default" w:ascii="Times New Roman" w:hAnsi="Times New Roman" w:cs="Times New Roman"/>
                <w:snapToGrid w:val="0"/>
                <w:color w:val="auto"/>
                <w:sz w:val="24"/>
                <w:szCs w:val="24"/>
              </w:rPr>
              <w:t>m</w:t>
            </w:r>
            <w:r>
              <w:rPr>
                <w:rFonts w:hint="default" w:ascii="Times New Roman" w:hAnsi="Times New Roman" w:cs="Times New Roman"/>
                <w:snapToGrid w:val="0"/>
                <w:color w:val="auto"/>
                <w:sz w:val="24"/>
                <w:szCs w:val="24"/>
                <w:vertAlign w:val="superscript"/>
              </w:rPr>
              <w:t>2</w:t>
            </w:r>
            <w:r>
              <w:rPr>
                <w:snapToGrid w:val="0"/>
                <w:color w:val="auto"/>
                <w:sz w:val="24"/>
                <w:szCs w:val="24"/>
              </w:rPr>
              <w:t>的危险废物暂存间，</w:t>
            </w:r>
            <w:r>
              <w:rPr>
                <w:rFonts w:hint="eastAsia"/>
                <w:snapToGrid w:val="0"/>
                <w:color w:val="auto"/>
                <w:sz w:val="24"/>
                <w:szCs w:val="24"/>
              </w:rPr>
              <w:t>暂存废</w:t>
            </w:r>
            <w:r>
              <w:rPr>
                <w:rFonts w:hint="eastAsia" w:eastAsia="宋体"/>
                <w:snapToGrid w:val="0"/>
                <w:color w:val="auto"/>
                <w:sz w:val="24"/>
                <w:szCs w:val="24"/>
                <w:lang w:val="en-US" w:eastAsia="zh-CN"/>
              </w:rPr>
              <w:t>润滑</w:t>
            </w:r>
            <w:r>
              <w:rPr>
                <w:rFonts w:hint="eastAsia"/>
                <w:snapToGrid w:val="0"/>
                <w:color w:val="auto"/>
                <w:sz w:val="24"/>
                <w:szCs w:val="24"/>
              </w:rPr>
              <w:t>油、</w:t>
            </w:r>
            <w:r>
              <w:rPr>
                <w:rFonts w:hint="eastAsia" w:eastAsia="宋体"/>
                <w:snapToGrid w:val="0"/>
                <w:color w:val="auto"/>
                <w:sz w:val="24"/>
                <w:szCs w:val="24"/>
                <w:lang w:val="en-US" w:eastAsia="zh-CN"/>
              </w:rPr>
              <w:t>废</w:t>
            </w:r>
            <w:r>
              <w:rPr>
                <w:rFonts w:hint="eastAsia"/>
                <w:snapToGrid w:val="0"/>
                <w:color w:val="auto"/>
                <w:sz w:val="24"/>
                <w:szCs w:val="24"/>
              </w:rPr>
              <w:t>含油抹布，再定期交有资质单位处理</w:t>
            </w:r>
            <w:r>
              <w:rPr>
                <w:rFonts w:hint="eastAsia"/>
                <w:color w:val="auto"/>
                <w:sz w:val="24"/>
                <w:szCs w:val="24"/>
              </w:rPr>
              <w:t>，不得随意丢弃。</w:t>
            </w:r>
          </w:p>
          <w:p w14:paraId="006148C7">
            <w:pPr>
              <w:pStyle w:val="24"/>
              <w:numPr>
                <w:ilvl w:val="0"/>
                <w:numId w:val="5"/>
              </w:numPr>
              <w:adjustRightInd w:val="0"/>
              <w:snapToGrid w:val="0"/>
              <w:spacing w:after="0"/>
              <w:ind w:left="0" w:leftChars="0" w:firstLine="42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收集：危险废物由专人负责收集。对危险废物容器和包装物以及收集的区域设置危险废物识别标志。禁止将不相容（相互反应）的危险废物在同一容器内混装。装载液体、半固体危险废物的容器内须留足够空间，容器顶部与液体表面之间保留 100mm 以上的空间。装载危险废物的容器必须完好无损。</w:t>
            </w:r>
          </w:p>
          <w:p w14:paraId="78EE2F72">
            <w:pPr>
              <w:pStyle w:val="24"/>
              <w:numPr>
                <w:ilvl w:val="0"/>
                <w:numId w:val="5"/>
              </w:numPr>
              <w:adjustRightInd w:val="0"/>
              <w:snapToGrid w:val="0"/>
              <w:spacing w:after="0"/>
              <w:ind w:left="0" w:leftChars="0" w:firstLine="42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贮存</w:t>
            </w:r>
            <w:r>
              <w:rPr>
                <w:rFonts w:hint="eastAsia" w:ascii="Times New Roman" w:hAnsi="Times New Roman" w:eastAsia="宋体" w:cs="Times New Roman"/>
                <w:color w:val="auto"/>
                <w:sz w:val="24"/>
                <w:szCs w:val="24"/>
                <w:lang w:val="en-US" w:eastAsia="zh-CN"/>
              </w:rPr>
              <w:t>：危险废物的厂内贮存措施需要严格执行《危险废物贮存污染控制标准》（GB18597-2023）中的有关标准，项目设置危险废物存储场所，需要做到以下几点：</w:t>
            </w:r>
          </w:p>
          <w:p w14:paraId="70E50BCB">
            <w:pPr>
              <w:adjustRightInd w:val="0"/>
              <w:snapToGrid w:val="0"/>
              <w:spacing w:line="360" w:lineRule="auto"/>
              <w:ind w:firstLine="496" w:firstLineChars="200"/>
              <w:rPr>
                <w:rFonts w:hint="default" w:ascii="Times New Roman" w:hAnsi="Times New Roman" w:eastAsia="宋体" w:cs="Times New Roman"/>
                <w:color w:val="auto"/>
                <w:spacing w:val="4"/>
                <w:sz w:val="24"/>
                <w:szCs w:val="24"/>
              </w:rPr>
            </w:pPr>
            <w:r>
              <w:rPr>
                <w:rFonts w:hint="eastAsia" w:ascii="Times New Roman" w:hAnsi="Times New Roman" w:eastAsia="宋体" w:cs="Times New Roman"/>
                <w:color w:val="auto"/>
                <w:spacing w:val="4"/>
                <w:sz w:val="24"/>
                <w:szCs w:val="24"/>
                <w:lang w:val="en-US" w:eastAsia="zh-CN"/>
              </w:rPr>
              <w:t>a.</w:t>
            </w:r>
            <w:r>
              <w:rPr>
                <w:rFonts w:hint="default" w:ascii="Times New Roman" w:hAnsi="Times New Roman" w:eastAsia="宋体" w:cs="Times New Roman"/>
                <w:color w:val="auto"/>
                <w:spacing w:val="4"/>
                <w:sz w:val="24"/>
                <w:szCs w:val="24"/>
              </w:rPr>
              <w:t>项目危险废物存储场所对各类危险废物的堆存要求较严，危险废物存储场所应根据不同性质的危废进行分区堆放储存；桶装危险废物可集中堆放在某区块，但必须用标签标明该桶所装危险废物名称，且不相容废物不得混合</w:t>
            </w:r>
            <w:r>
              <w:rPr>
                <w:rFonts w:hint="eastAsia" w:ascii="Times New Roman" w:hAnsi="Times New Roman" w:eastAsia="宋体" w:cs="Times New Roman"/>
                <w:color w:val="auto"/>
                <w:spacing w:val="4"/>
                <w:sz w:val="24"/>
                <w:szCs w:val="24"/>
                <w:lang w:eastAsia="zh-CN"/>
              </w:rPr>
              <w:t>装在</w:t>
            </w:r>
            <w:r>
              <w:rPr>
                <w:rFonts w:hint="default" w:ascii="Times New Roman" w:hAnsi="Times New Roman" w:eastAsia="宋体" w:cs="Times New Roman"/>
                <w:color w:val="auto"/>
                <w:spacing w:val="4"/>
                <w:sz w:val="24"/>
                <w:szCs w:val="24"/>
              </w:rPr>
              <w:t>同一桶内。各分区之间须有明确界限，并做好防风、防雨、防晒、防渗漏和防火等措施，存储区严格按照《危险废物贮存污染控制标准》（GB18597-20</w:t>
            </w:r>
            <w:r>
              <w:rPr>
                <w:rFonts w:hint="eastAsia" w:ascii="Times New Roman" w:hAnsi="Times New Roman" w:eastAsia="宋体" w:cs="Times New Roman"/>
                <w:color w:val="auto"/>
                <w:spacing w:val="4"/>
                <w:sz w:val="24"/>
                <w:szCs w:val="24"/>
                <w:lang w:val="en-US" w:eastAsia="zh-CN"/>
              </w:rPr>
              <w:t>23</w:t>
            </w:r>
            <w:r>
              <w:rPr>
                <w:rFonts w:hint="default" w:ascii="Times New Roman" w:hAnsi="Times New Roman" w:eastAsia="宋体" w:cs="Times New Roman"/>
                <w:color w:val="auto"/>
                <w:spacing w:val="4"/>
                <w:sz w:val="24"/>
                <w:szCs w:val="24"/>
              </w:rPr>
              <w:t>）建设和维护使用；</w:t>
            </w:r>
          </w:p>
          <w:p w14:paraId="6FF7B450">
            <w:pPr>
              <w:adjustRightInd w:val="0"/>
              <w:snapToGrid w:val="0"/>
              <w:spacing w:line="360" w:lineRule="auto"/>
              <w:ind w:firstLine="496" w:firstLineChars="200"/>
              <w:rPr>
                <w:rFonts w:hint="eastAsia" w:ascii="Times New Roman" w:hAnsi="Times New Roman" w:eastAsia="宋体" w:cs="Times New Roman"/>
                <w:color w:val="auto"/>
                <w:spacing w:val="4"/>
                <w:sz w:val="24"/>
                <w:szCs w:val="24"/>
                <w:lang w:val="en-US" w:eastAsia="zh-CN"/>
              </w:rPr>
            </w:pPr>
            <w:r>
              <w:rPr>
                <w:rFonts w:hint="eastAsia" w:ascii="Times New Roman" w:hAnsi="Times New Roman" w:eastAsia="宋体" w:cs="Times New Roman"/>
                <w:color w:val="auto"/>
                <w:spacing w:val="4"/>
                <w:sz w:val="24"/>
                <w:szCs w:val="24"/>
                <w:lang w:val="en-US" w:eastAsia="zh-CN"/>
              </w:rPr>
              <w:t>b.应使用符合标准的容器装危险废物，装载危险废物的容器必须完好无损，禁止将不相容（相互反应）的危险废物在同一容器内混装；</w:t>
            </w:r>
          </w:p>
          <w:p w14:paraId="4E404D3E">
            <w:pPr>
              <w:adjustRightInd w:val="0"/>
              <w:snapToGrid w:val="0"/>
              <w:spacing w:line="360" w:lineRule="auto"/>
              <w:ind w:firstLine="496" w:firstLineChars="200"/>
              <w:rPr>
                <w:rFonts w:hint="default" w:ascii="Times New Roman" w:hAnsi="Times New Roman" w:eastAsia="宋体" w:cs="Times New Roman"/>
                <w:color w:val="auto"/>
                <w:spacing w:val="4"/>
                <w:sz w:val="24"/>
                <w:szCs w:val="24"/>
                <w:lang w:val="en-US" w:eastAsia="zh-CN"/>
              </w:rPr>
            </w:pPr>
            <w:r>
              <w:rPr>
                <w:rFonts w:hint="eastAsia" w:ascii="Times New Roman" w:hAnsi="Times New Roman" w:eastAsia="宋体" w:cs="Times New Roman"/>
                <w:color w:val="auto"/>
                <w:spacing w:val="4"/>
                <w:sz w:val="24"/>
                <w:szCs w:val="24"/>
                <w:lang w:val="en-US" w:eastAsia="zh-CN"/>
              </w:rPr>
              <w:t>c.不相容危险废物必须分开存放，并设置隔离带。</w:t>
            </w:r>
          </w:p>
          <w:p w14:paraId="1149317F">
            <w:pPr>
              <w:adjustRightInd w:val="0"/>
              <w:snapToGrid w:val="0"/>
              <w:spacing w:line="360" w:lineRule="auto"/>
              <w:ind w:firstLine="496" w:firstLineChars="200"/>
              <w:rPr>
                <w:rFonts w:hint="default" w:ascii="Times New Roman" w:hAnsi="Times New Roman" w:eastAsia="宋体" w:cs="Times New Roman"/>
                <w:color w:val="auto"/>
                <w:spacing w:val="4"/>
                <w:sz w:val="24"/>
                <w:szCs w:val="24"/>
                <w:lang w:val="en-US" w:eastAsia="zh-CN"/>
              </w:rPr>
            </w:pPr>
            <w:r>
              <w:rPr>
                <w:rFonts w:hint="eastAsia" w:ascii="Times New Roman" w:hAnsi="Times New Roman" w:eastAsia="宋体" w:cs="Times New Roman"/>
                <w:color w:val="auto"/>
                <w:spacing w:val="4"/>
                <w:sz w:val="24"/>
                <w:szCs w:val="24"/>
                <w:lang w:val="en-US" w:eastAsia="zh-CN"/>
              </w:rPr>
              <w:t>3）运输：对危险废物的运输要求安全可靠，应交有危险废物运输资质的单位进行危险废物运输。危险废物运输过程，应严格按照危险废物运输的管理规定，减少运输过程中的二次污染和可能造成的环境风险，运输车辆需有特殊标志。</w:t>
            </w:r>
          </w:p>
          <w:p w14:paraId="378A957F">
            <w:pPr>
              <w:adjustRightInd w:val="0"/>
              <w:snapToGrid w:val="0"/>
              <w:spacing w:line="360" w:lineRule="auto"/>
              <w:ind w:firstLine="49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4"/>
                <w:sz w:val="24"/>
                <w:szCs w:val="24"/>
              </w:rPr>
              <w:t>本项目危险废物暂存场所基本情况详见表4-8。</w:t>
            </w:r>
          </w:p>
          <w:p w14:paraId="690D366B">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表4-8  建设项目危险废物贮存场所（设施）基本情况表</w:t>
            </w:r>
          </w:p>
          <w:tbl>
            <w:tblPr>
              <w:tblStyle w:val="18"/>
              <w:tblW w:w="48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
              <w:gridCol w:w="819"/>
              <w:gridCol w:w="744"/>
              <w:gridCol w:w="874"/>
              <w:gridCol w:w="863"/>
              <w:gridCol w:w="747"/>
              <w:gridCol w:w="446"/>
              <w:gridCol w:w="604"/>
              <w:gridCol w:w="756"/>
              <w:gridCol w:w="601"/>
              <w:gridCol w:w="432"/>
              <w:gridCol w:w="686"/>
            </w:tblGrid>
            <w:tr w14:paraId="2863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16" w:type="pct"/>
                  <w:tcBorders>
                    <w:top w:val="single" w:color="auto" w:sz="4" w:space="0"/>
                    <w:left w:val="single" w:color="auto" w:sz="4" w:space="0"/>
                    <w:bottom w:val="single" w:color="auto" w:sz="4" w:space="0"/>
                    <w:right w:val="single" w:color="auto" w:sz="4" w:space="0"/>
                  </w:tcBorders>
                  <w:noWrap w:val="0"/>
                  <w:vAlign w:val="center"/>
                </w:tcPr>
                <w:p w14:paraId="7A4B991B">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064FA8FE">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贮存场所（设施）名称</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02A850FC">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危险废物名称</w:t>
                  </w:r>
                </w:p>
              </w:tc>
              <w:tc>
                <w:tcPr>
                  <w:tcW w:w="552" w:type="pct"/>
                  <w:tcBorders>
                    <w:top w:val="single" w:color="auto" w:sz="4" w:space="0"/>
                    <w:left w:val="single" w:color="auto" w:sz="4" w:space="0"/>
                    <w:bottom w:val="single" w:color="auto" w:sz="4" w:space="0"/>
                    <w:right w:val="single" w:color="auto" w:sz="4" w:space="0"/>
                  </w:tcBorders>
                  <w:noWrap w:val="0"/>
                  <w:vAlign w:val="center"/>
                </w:tcPr>
                <w:p w14:paraId="65CF106E">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危险废物类别</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65C3CA2F">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危险废物代码</w:t>
                  </w:r>
                </w:p>
              </w:tc>
              <w:tc>
                <w:tcPr>
                  <w:tcW w:w="471" w:type="pct"/>
                  <w:tcBorders>
                    <w:top w:val="single" w:color="auto" w:sz="4" w:space="0"/>
                    <w:left w:val="single" w:color="auto" w:sz="4" w:space="0"/>
                    <w:bottom w:val="single" w:color="auto" w:sz="4" w:space="0"/>
                    <w:right w:val="single" w:color="auto" w:sz="4" w:space="0"/>
                  </w:tcBorders>
                  <w:noWrap w:val="0"/>
                  <w:vAlign w:val="center"/>
                </w:tcPr>
                <w:p w14:paraId="7C2A34EB">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产生量（t/a）</w:t>
                  </w:r>
                </w:p>
              </w:tc>
              <w:tc>
                <w:tcPr>
                  <w:tcW w:w="281" w:type="pct"/>
                  <w:tcBorders>
                    <w:top w:val="single" w:color="auto" w:sz="4" w:space="0"/>
                    <w:left w:val="single" w:color="auto" w:sz="4" w:space="0"/>
                    <w:bottom w:val="single" w:color="auto" w:sz="4" w:space="0"/>
                    <w:right w:val="single" w:color="auto" w:sz="4" w:space="0"/>
                  </w:tcBorders>
                  <w:noWrap w:val="0"/>
                  <w:vAlign w:val="center"/>
                </w:tcPr>
                <w:p w14:paraId="33F94A1B">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位置</w:t>
                  </w:r>
                </w:p>
              </w:tc>
              <w:tc>
                <w:tcPr>
                  <w:tcW w:w="381" w:type="pct"/>
                  <w:tcBorders>
                    <w:top w:val="single" w:color="auto" w:sz="4" w:space="0"/>
                    <w:left w:val="single" w:color="auto" w:sz="4" w:space="0"/>
                    <w:bottom w:val="single" w:color="auto" w:sz="4" w:space="0"/>
                    <w:right w:val="single" w:color="auto" w:sz="4" w:space="0"/>
                  </w:tcBorders>
                  <w:noWrap w:val="0"/>
                  <w:vAlign w:val="center"/>
                </w:tcPr>
                <w:p w14:paraId="38E2DF99">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占地面积</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D3A6129">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贮存方式</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38377697">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贮存能力</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4169C7C1">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贮存周期</w:t>
                  </w:r>
                </w:p>
              </w:tc>
              <w:tc>
                <w:tcPr>
                  <w:tcW w:w="433" w:type="pct"/>
                  <w:tcBorders>
                    <w:top w:val="single" w:color="auto" w:sz="4" w:space="0"/>
                    <w:left w:val="single" w:color="auto" w:sz="4" w:space="0"/>
                    <w:bottom w:val="single" w:color="auto" w:sz="4" w:space="0"/>
                    <w:right w:val="single" w:color="auto" w:sz="4" w:space="0"/>
                  </w:tcBorders>
                  <w:noWrap w:val="0"/>
                  <w:vAlign w:val="center"/>
                </w:tcPr>
                <w:p w14:paraId="23D4029F">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处理去向</w:t>
                  </w:r>
                </w:p>
              </w:tc>
            </w:tr>
            <w:tr w14:paraId="4071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 w:type="pct"/>
                  <w:tcBorders>
                    <w:top w:val="single" w:color="auto" w:sz="4" w:space="0"/>
                    <w:left w:val="single" w:color="auto" w:sz="4" w:space="0"/>
                    <w:bottom w:val="single" w:color="auto" w:sz="4" w:space="0"/>
                    <w:right w:val="single" w:color="auto" w:sz="4" w:space="0"/>
                  </w:tcBorders>
                  <w:noWrap w:val="0"/>
                  <w:vAlign w:val="center"/>
                </w:tcPr>
                <w:p w14:paraId="5BC92AA8">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517" w:type="pct"/>
                  <w:vMerge w:val="restart"/>
                  <w:tcBorders>
                    <w:top w:val="single" w:color="auto" w:sz="4" w:space="0"/>
                    <w:left w:val="single" w:color="auto" w:sz="4" w:space="0"/>
                    <w:right w:val="single" w:color="auto" w:sz="4" w:space="0"/>
                  </w:tcBorders>
                  <w:noWrap w:val="0"/>
                  <w:vAlign w:val="center"/>
                </w:tcPr>
                <w:p w14:paraId="08FB2A25">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危废暂存间</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019E8106">
                  <w:pPr>
                    <w:pStyle w:val="2"/>
                    <w:keepNext w:val="0"/>
                    <w:keepLines w:val="0"/>
                    <w:autoSpaceDE w:val="0"/>
                    <w:autoSpaceDN w:val="0"/>
                    <w:adjustRightInd w:val="0"/>
                    <w:snapToGrid w:val="0"/>
                    <w:jc w:val="cente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b w:val="0"/>
                      <w:color w:val="auto"/>
                      <w:sz w:val="21"/>
                      <w:szCs w:val="21"/>
                    </w:rPr>
                    <w:t>废</w:t>
                  </w:r>
                  <w:r>
                    <w:rPr>
                      <w:rFonts w:hint="eastAsia" w:ascii="Times New Roman" w:hAnsi="Times New Roman" w:eastAsia="宋体" w:cs="Times New Roman"/>
                      <w:b w:val="0"/>
                      <w:color w:val="auto"/>
                      <w:sz w:val="21"/>
                      <w:szCs w:val="21"/>
                      <w:lang w:val="en-US" w:eastAsia="zh-CN"/>
                    </w:rPr>
                    <w:t>润滑</w:t>
                  </w:r>
                  <w:r>
                    <w:rPr>
                      <w:rFonts w:hint="default" w:ascii="Times New Roman" w:hAnsi="Times New Roman" w:eastAsia="宋体" w:cs="Times New Roman"/>
                      <w:b w:val="0"/>
                      <w:color w:val="auto"/>
                      <w:sz w:val="21"/>
                      <w:szCs w:val="21"/>
                    </w:rPr>
                    <w:t>油</w:t>
                  </w:r>
                </w:p>
              </w:tc>
              <w:tc>
                <w:tcPr>
                  <w:tcW w:w="552" w:type="pct"/>
                  <w:tcBorders>
                    <w:top w:val="single" w:color="auto" w:sz="4" w:space="0"/>
                    <w:left w:val="single" w:color="auto" w:sz="4" w:space="0"/>
                    <w:bottom w:val="single" w:color="auto" w:sz="4" w:space="0"/>
                    <w:right w:val="single" w:color="auto" w:sz="4" w:space="0"/>
                  </w:tcBorders>
                  <w:noWrap w:val="0"/>
                  <w:vAlign w:val="center"/>
                </w:tcPr>
                <w:p w14:paraId="60639001">
                  <w:pPr>
                    <w:pStyle w:val="2"/>
                    <w:keepNext w:val="0"/>
                    <w:keepLines w:val="0"/>
                    <w:autoSpaceDE w:val="0"/>
                    <w:autoSpaceDN w:val="0"/>
                    <w:adjustRightInd w:val="0"/>
                    <w:snapToGrid w:val="0"/>
                    <w:jc w:val="cente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b w:val="0"/>
                      <w:color w:val="auto"/>
                      <w:sz w:val="21"/>
                      <w:szCs w:val="21"/>
                    </w:rPr>
                    <w:t>HW08</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48B93E9B">
                  <w:pPr>
                    <w:pStyle w:val="2"/>
                    <w:keepNext w:val="0"/>
                    <w:keepLines w:val="0"/>
                    <w:autoSpaceDE w:val="0"/>
                    <w:autoSpaceDN w:val="0"/>
                    <w:adjustRightInd w:val="0"/>
                    <w:snapToGrid w:val="0"/>
                    <w:jc w:val="center"/>
                    <w:outlineLvl w:val="2"/>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900-214-08</w:t>
                  </w:r>
                </w:p>
              </w:tc>
              <w:tc>
                <w:tcPr>
                  <w:tcW w:w="471" w:type="pct"/>
                  <w:tcBorders>
                    <w:top w:val="single" w:color="auto" w:sz="4" w:space="0"/>
                    <w:left w:val="single" w:color="auto" w:sz="4" w:space="0"/>
                    <w:bottom w:val="single" w:color="auto" w:sz="4" w:space="0"/>
                    <w:right w:val="single" w:color="auto" w:sz="4" w:space="0"/>
                  </w:tcBorders>
                  <w:noWrap w:val="0"/>
                  <w:vAlign w:val="center"/>
                </w:tcPr>
                <w:p w14:paraId="3989FD27">
                  <w:pPr>
                    <w:pStyle w:val="2"/>
                    <w:keepNext w:val="0"/>
                    <w:keepLines w:val="0"/>
                    <w:autoSpaceDE w:val="0"/>
                    <w:autoSpaceDN w:val="0"/>
                    <w:adjustRightInd w:val="0"/>
                    <w:snapToGrid w:val="0"/>
                    <w:jc w:val="center"/>
                    <w:outlineLvl w:val="2"/>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val="0"/>
                      <w:color w:val="auto"/>
                      <w:sz w:val="21"/>
                      <w:szCs w:val="21"/>
                      <w:lang w:val="en-US" w:eastAsia="zh-CN"/>
                    </w:rPr>
                    <w:t>0.1</w:t>
                  </w:r>
                </w:p>
              </w:tc>
              <w:tc>
                <w:tcPr>
                  <w:tcW w:w="281" w:type="pct"/>
                  <w:vMerge w:val="restart"/>
                  <w:tcBorders>
                    <w:top w:val="single" w:color="auto" w:sz="4" w:space="0"/>
                    <w:left w:val="single" w:color="auto" w:sz="4" w:space="0"/>
                    <w:right w:val="single" w:color="auto" w:sz="4" w:space="0"/>
                  </w:tcBorders>
                  <w:noWrap w:val="0"/>
                  <w:vAlign w:val="center"/>
                </w:tcPr>
                <w:p w14:paraId="7D2390A2">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办公室旁</w:t>
                  </w:r>
                </w:p>
              </w:tc>
              <w:tc>
                <w:tcPr>
                  <w:tcW w:w="381" w:type="pct"/>
                  <w:vMerge w:val="restart"/>
                  <w:tcBorders>
                    <w:top w:val="single" w:color="auto" w:sz="4" w:space="0"/>
                    <w:left w:val="single" w:color="auto" w:sz="4" w:space="0"/>
                    <w:right w:val="single" w:color="auto" w:sz="4" w:space="0"/>
                  </w:tcBorders>
                  <w:noWrap w:val="0"/>
                  <w:vAlign w:val="center"/>
                </w:tcPr>
                <w:p w14:paraId="290CC312">
                  <w:pPr>
                    <w:adjustRightInd w:val="0"/>
                    <w:snapToGrid w:val="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85C8ED6">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铁桶密封贮存</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477DFBED">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1t</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1388185D">
                  <w:pPr>
                    <w:adjustRightInd w:val="0"/>
                    <w:snapToGrid w:val="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个月</w:t>
                  </w:r>
                </w:p>
              </w:tc>
              <w:tc>
                <w:tcPr>
                  <w:tcW w:w="433" w:type="pct"/>
                  <w:vMerge w:val="restart"/>
                  <w:tcBorders>
                    <w:top w:val="single" w:color="auto" w:sz="4" w:space="0"/>
                    <w:left w:val="single" w:color="auto" w:sz="4" w:space="0"/>
                    <w:right w:val="single" w:color="auto" w:sz="4" w:space="0"/>
                  </w:tcBorders>
                  <w:noWrap w:val="0"/>
                  <w:vAlign w:val="center"/>
                </w:tcPr>
                <w:p w14:paraId="39E97AB6">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交有危险废物处理资质的单位处理</w:t>
                  </w:r>
                </w:p>
              </w:tc>
            </w:tr>
            <w:tr w14:paraId="2747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 w:type="pct"/>
                  <w:tcBorders>
                    <w:top w:val="single" w:color="auto" w:sz="4" w:space="0"/>
                    <w:left w:val="single" w:color="auto" w:sz="4" w:space="0"/>
                    <w:bottom w:val="single" w:color="auto" w:sz="4" w:space="0"/>
                    <w:right w:val="single" w:color="auto" w:sz="4" w:space="0"/>
                  </w:tcBorders>
                  <w:noWrap w:val="0"/>
                  <w:vAlign w:val="center"/>
                </w:tcPr>
                <w:p w14:paraId="3AB62E16">
                  <w:pPr>
                    <w:adjustRightInd w:val="0"/>
                    <w:snapToGrid w:val="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2</w:t>
                  </w:r>
                </w:p>
              </w:tc>
              <w:tc>
                <w:tcPr>
                  <w:tcW w:w="517" w:type="pct"/>
                  <w:vMerge w:val="continue"/>
                  <w:tcBorders>
                    <w:left w:val="single" w:color="auto" w:sz="4" w:space="0"/>
                    <w:bottom w:val="single" w:color="auto" w:sz="4" w:space="0"/>
                    <w:right w:val="single" w:color="auto" w:sz="4" w:space="0"/>
                  </w:tcBorders>
                  <w:noWrap w:val="0"/>
                  <w:vAlign w:val="center"/>
                </w:tcPr>
                <w:p w14:paraId="038E048F">
                  <w:pPr>
                    <w:widowControl/>
                    <w:jc w:val="left"/>
                    <w:rPr>
                      <w:rFonts w:hint="default" w:ascii="Times New Roman" w:hAnsi="Times New Roman" w:eastAsia="宋体" w:cs="Times New Roman"/>
                      <w:color w:val="auto"/>
                      <w:sz w:val="21"/>
                      <w:szCs w:val="21"/>
                    </w:rPr>
                  </w:pPr>
                </w:p>
              </w:tc>
              <w:tc>
                <w:tcPr>
                  <w:tcW w:w="469" w:type="pct"/>
                  <w:tcBorders>
                    <w:top w:val="single" w:color="auto" w:sz="4" w:space="0"/>
                    <w:left w:val="single" w:color="auto" w:sz="4" w:space="0"/>
                    <w:bottom w:val="single" w:color="auto" w:sz="4" w:space="0"/>
                    <w:right w:val="single" w:color="auto" w:sz="4" w:space="0"/>
                  </w:tcBorders>
                  <w:noWrap w:val="0"/>
                  <w:vAlign w:val="center"/>
                </w:tcPr>
                <w:p w14:paraId="2C5167FC">
                  <w:pPr>
                    <w:pStyle w:val="2"/>
                    <w:keepNext w:val="0"/>
                    <w:keepLines w:val="0"/>
                    <w:autoSpaceDE w:val="0"/>
                    <w:autoSpaceDN w:val="0"/>
                    <w:adjustRightInd w:val="0"/>
                    <w:snapToGrid w:val="0"/>
                    <w:jc w:val="center"/>
                    <w:outlineLvl w:val="2"/>
                    <w:rPr>
                      <w:rFonts w:hint="default" w:ascii="Times New Roman" w:hAnsi="Times New Roman" w:eastAsia="宋体" w:cs="Times New Roman"/>
                      <w:b w:val="0"/>
                      <w:color w:val="auto"/>
                      <w:sz w:val="21"/>
                      <w:szCs w:val="21"/>
                    </w:rPr>
                  </w:pPr>
                  <w:r>
                    <w:rPr>
                      <w:rFonts w:hint="eastAsia" w:ascii="Times New Roman" w:hAnsi="Times New Roman" w:eastAsia="宋体" w:cs="Times New Roman"/>
                      <w:b w:val="0"/>
                      <w:color w:val="auto"/>
                      <w:sz w:val="21"/>
                      <w:szCs w:val="21"/>
                      <w:lang w:val="en-US" w:eastAsia="zh-CN"/>
                    </w:rPr>
                    <w:t>废</w:t>
                  </w:r>
                  <w:r>
                    <w:rPr>
                      <w:rFonts w:hint="default" w:ascii="Times New Roman" w:hAnsi="Times New Roman" w:eastAsia="宋体" w:cs="Times New Roman"/>
                      <w:b w:val="0"/>
                      <w:color w:val="auto"/>
                      <w:sz w:val="21"/>
                      <w:szCs w:val="21"/>
                    </w:rPr>
                    <w:t>含油抹布</w:t>
                  </w:r>
                </w:p>
              </w:tc>
              <w:tc>
                <w:tcPr>
                  <w:tcW w:w="552" w:type="pct"/>
                  <w:tcBorders>
                    <w:top w:val="single" w:color="auto" w:sz="4" w:space="0"/>
                    <w:left w:val="single" w:color="auto" w:sz="4" w:space="0"/>
                    <w:bottom w:val="single" w:color="auto" w:sz="4" w:space="0"/>
                    <w:right w:val="single" w:color="auto" w:sz="4" w:space="0"/>
                  </w:tcBorders>
                  <w:noWrap w:val="0"/>
                  <w:vAlign w:val="center"/>
                </w:tcPr>
                <w:p w14:paraId="34B7075E">
                  <w:pPr>
                    <w:pStyle w:val="2"/>
                    <w:keepNext w:val="0"/>
                    <w:keepLines w:val="0"/>
                    <w:autoSpaceDE w:val="0"/>
                    <w:autoSpaceDN w:val="0"/>
                    <w:adjustRightInd w:val="0"/>
                    <w:snapToGrid w:val="0"/>
                    <w:jc w:val="center"/>
                    <w:outlineLvl w:val="2"/>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HW49</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7649BAFB">
                  <w:pPr>
                    <w:pStyle w:val="2"/>
                    <w:keepNext w:val="0"/>
                    <w:keepLines w:val="0"/>
                    <w:autoSpaceDE w:val="0"/>
                    <w:autoSpaceDN w:val="0"/>
                    <w:adjustRightInd w:val="0"/>
                    <w:snapToGrid w:val="0"/>
                    <w:jc w:val="center"/>
                    <w:outlineLvl w:val="2"/>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900-041-49</w:t>
                  </w:r>
                </w:p>
              </w:tc>
              <w:tc>
                <w:tcPr>
                  <w:tcW w:w="471" w:type="pct"/>
                  <w:tcBorders>
                    <w:top w:val="single" w:color="auto" w:sz="4" w:space="0"/>
                    <w:left w:val="single" w:color="auto" w:sz="4" w:space="0"/>
                    <w:bottom w:val="single" w:color="auto" w:sz="4" w:space="0"/>
                    <w:right w:val="single" w:color="auto" w:sz="4" w:space="0"/>
                  </w:tcBorders>
                  <w:noWrap w:val="0"/>
                  <w:vAlign w:val="center"/>
                </w:tcPr>
                <w:p w14:paraId="2B85D33C">
                  <w:pPr>
                    <w:pStyle w:val="2"/>
                    <w:keepNext w:val="0"/>
                    <w:keepLines w:val="0"/>
                    <w:autoSpaceDE w:val="0"/>
                    <w:autoSpaceDN w:val="0"/>
                    <w:adjustRightInd w:val="0"/>
                    <w:snapToGrid w:val="0"/>
                    <w:jc w:val="center"/>
                    <w:outlineLvl w:val="2"/>
                    <w:rPr>
                      <w:rFonts w:hint="eastAsia"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0.0</w:t>
                  </w:r>
                  <w:r>
                    <w:rPr>
                      <w:rFonts w:hint="eastAsia" w:ascii="Times New Roman" w:hAnsi="Times New Roman" w:eastAsia="宋体" w:cs="Times New Roman"/>
                      <w:b w:val="0"/>
                      <w:color w:val="auto"/>
                      <w:sz w:val="21"/>
                      <w:szCs w:val="21"/>
                      <w:lang w:val="en-US" w:eastAsia="zh-CN"/>
                    </w:rPr>
                    <w:t>1</w:t>
                  </w:r>
                </w:p>
              </w:tc>
              <w:tc>
                <w:tcPr>
                  <w:tcW w:w="281" w:type="pct"/>
                  <w:vMerge w:val="continue"/>
                  <w:tcBorders>
                    <w:left w:val="single" w:color="auto" w:sz="4" w:space="0"/>
                    <w:bottom w:val="single" w:color="auto" w:sz="4" w:space="0"/>
                    <w:right w:val="single" w:color="auto" w:sz="4" w:space="0"/>
                  </w:tcBorders>
                  <w:noWrap w:val="0"/>
                  <w:vAlign w:val="center"/>
                </w:tcPr>
                <w:p w14:paraId="5484CD98">
                  <w:pPr>
                    <w:widowControl/>
                    <w:jc w:val="left"/>
                    <w:rPr>
                      <w:rFonts w:hint="default" w:ascii="Times New Roman" w:hAnsi="Times New Roman" w:eastAsia="宋体" w:cs="Times New Roman"/>
                      <w:color w:val="auto"/>
                      <w:sz w:val="21"/>
                      <w:szCs w:val="21"/>
                    </w:rPr>
                  </w:pPr>
                </w:p>
              </w:tc>
              <w:tc>
                <w:tcPr>
                  <w:tcW w:w="381" w:type="pct"/>
                  <w:vMerge w:val="continue"/>
                  <w:tcBorders>
                    <w:left w:val="single" w:color="auto" w:sz="4" w:space="0"/>
                    <w:bottom w:val="single" w:color="auto" w:sz="4" w:space="0"/>
                    <w:right w:val="single" w:color="auto" w:sz="4" w:space="0"/>
                  </w:tcBorders>
                  <w:noWrap w:val="0"/>
                  <w:vAlign w:val="center"/>
                </w:tcPr>
                <w:p w14:paraId="011F4E36">
                  <w:pPr>
                    <w:widowControl/>
                    <w:jc w:val="left"/>
                    <w:rPr>
                      <w:rFonts w:hint="default" w:ascii="Times New Roman" w:hAnsi="Times New Roman" w:eastAsia="宋体" w:cs="Times New Roman"/>
                      <w:color w:val="auto"/>
                      <w:sz w:val="21"/>
                      <w:szCs w:val="21"/>
                    </w:rPr>
                  </w:pPr>
                </w:p>
              </w:tc>
              <w:tc>
                <w:tcPr>
                  <w:tcW w:w="477" w:type="pct"/>
                  <w:tcBorders>
                    <w:top w:val="single" w:color="auto" w:sz="4" w:space="0"/>
                    <w:left w:val="single" w:color="auto" w:sz="4" w:space="0"/>
                    <w:bottom w:val="single" w:color="auto" w:sz="4" w:space="0"/>
                    <w:right w:val="single" w:color="auto" w:sz="4" w:space="0"/>
                  </w:tcBorders>
                  <w:noWrap w:val="0"/>
                  <w:vAlign w:val="center"/>
                </w:tcPr>
                <w:p w14:paraId="32D1C64A">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密封袋装</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5D378622">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0.1t</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7784BD61">
                  <w:pPr>
                    <w:adjustRightInd w:val="0"/>
                    <w:snapToGrid w:val="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个月</w:t>
                  </w:r>
                </w:p>
              </w:tc>
              <w:tc>
                <w:tcPr>
                  <w:tcW w:w="433" w:type="pct"/>
                  <w:vMerge w:val="continue"/>
                  <w:tcBorders>
                    <w:left w:val="single" w:color="auto" w:sz="4" w:space="0"/>
                    <w:bottom w:val="single" w:color="auto" w:sz="4" w:space="0"/>
                    <w:right w:val="single" w:color="auto" w:sz="4" w:space="0"/>
                  </w:tcBorders>
                  <w:noWrap w:val="0"/>
                  <w:vAlign w:val="center"/>
                </w:tcPr>
                <w:p w14:paraId="0F1A90DF">
                  <w:pPr>
                    <w:widowControl/>
                    <w:jc w:val="left"/>
                    <w:rPr>
                      <w:rFonts w:hint="default" w:ascii="Times New Roman" w:hAnsi="Times New Roman" w:eastAsia="宋体" w:cs="Times New Roman"/>
                      <w:color w:val="auto"/>
                      <w:sz w:val="21"/>
                      <w:szCs w:val="21"/>
                    </w:rPr>
                  </w:pPr>
                </w:p>
              </w:tc>
            </w:tr>
          </w:tbl>
          <w:p w14:paraId="4D555D4D">
            <w:pPr>
              <w:pStyle w:val="24"/>
              <w:adjustRightInd w:val="0"/>
              <w:snapToGrid w:val="0"/>
              <w:spacing w:before="120" w:beforeLines="50" w:after="0"/>
              <w:ind w:left="0" w:leftChars="0" w:firstLine="420"/>
              <w:rPr>
                <w:rFonts w:hint="eastAsia"/>
                <w:color w:val="auto"/>
                <w:spacing w:val="-3"/>
              </w:rPr>
            </w:pPr>
            <w:r>
              <w:rPr>
                <w:rFonts w:hint="default" w:ascii="Times New Roman" w:hAnsi="Times New Roman" w:eastAsia="宋体" w:cs="Times New Roman"/>
                <w:color w:val="auto"/>
                <w:sz w:val="24"/>
                <w:szCs w:val="24"/>
              </w:rPr>
              <w:t>综上所述，本项目产生的固体废物均能得到合理的处置，对项目周围的环境影响不大。</w:t>
            </w:r>
          </w:p>
          <w:p w14:paraId="7CF37BE8">
            <w:pPr>
              <w:pStyle w:val="22"/>
              <w:spacing w:before="182" w:line="345" w:lineRule="auto"/>
              <w:ind w:right="1630"/>
              <w:rPr>
                <w:rFonts w:hint="default" w:eastAsia="宋体"/>
                <w:color w:val="auto"/>
                <w:lang w:val="en-US" w:eastAsia="zh-CN"/>
              </w:rPr>
            </w:pPr>
          </w:p>
        </w:tc>
      </w:tr>
    </w:tbl>
    <w:p w14:paraId="3F5DC87E">
      <w:pPr>
        <w:pStyle w:val="6"/>
        <w:rPr>
          <w:color w:val="auto"/>
        </w:rPr>
      </w:pPr>
    </w:p>
    <w:p w14:paraId="2952599A">
      <w:pPr>
        <w:rPr>
          <w:color w:val="auto"/>
        </w:rPr>
        <w:sectPr>
          <w:footerReference r:id="rId15" w:type="default"/>
          <w:pgSz w:w="11907" w:h="16840"/>
          <w:pgMar w:top="1431" w:right="1490" w:bottom="1220" w:left="1489" w:header="0" w:footer="1058" w:gutter="0"/>
          <w:pgNumType w:fmt="numberInDash"/>
          <w:cols w:space="720" w:num="1"/>
        </w:sectPr>
      </w:pPr>
    </w:p>
    <w:p w14:paraId="7C491B9A">
      <w:pPr>
        <w:spacing w:before="28"/>
        <w:rPr>
          <w:color w:val="auto"/>
        </w:rPr>
      </w:pPr>
    </w:p>
    <w:p w14:paraId="43B37B08">
      <w:pPr>
        <w:pStyle w:val="6"/>
        <w:spacing w:line="296" w:lineRule="auto"/>
        <w:rPr>
          <w:color w:val="auto"/>
        </w:rPr>
      </w:pPr>
    </w:p>
    <w:p w14:paraId="092FAE5A">
      <w:pPr>
        <w:spacing w:before="156" w:line="219" w:lineRule="auto"/>
        <w:ind w:left="5201"/>
        <w:rPr>
          <w:rFonts w:ascii="宋体" w:hAnsi="宋体" w:eastAsia="宋体" w:cs="宋体"/>
          <w:color w:val="auto"/>
          <w:sz w:val="24"/>
          <w:szCs w:val="24"/>
        </w:rPr>
      </w:pPr>
      <w:r>
        <w:rPr>
          <w:rFonts w:ascii="宋体" w:hAnsi="宋体" w:eastAsia="宋体" w:cs="宋体"/>
          <w:b/>
          <w:bCs/>
          <w:color w:val="auto"/>
          <w:spacing w:val="-4"/>
          <w:sz w:val="24"/>
          <w:szCs w:val="24"/>
        </w:rPr>
        <w:t>表</w:t>
      </w:r>
      <w:r>
        <w:rPr>
          <w:rFonts w:ascii="宋体" w:hAnsi="宋体" w:eastAsia="宋体" w:cs="宋体"/>
          <w:color w:val="auto"/>
          <w:spacing w:val="-50"/>
          <w:sz w:val="24"/>
          <w:szCs w:val="24"/>
        </w:rPr>
        <w:t xml:space="preserve"> </w:t>
      </w:r>
      <w:r>
        <w:rPr>
          <w:rFonts w:ascii="Times New Roman" w:hAnsi="Times New Roman" w:eastAsia="Times New Roman" w:cs="Times New Roman"/>
          <w:b/>
          <w:bCs/>
          <w:color w:val="auto"/>
          <w:spacing w:val="-4"/>
          <w:sz w:val="24"/>
          <w:szCs w:val="24"/>
        </w:rPr>
        <w:t>4-4</w:t>
      </w:r>
      <w:r>
        <w:rPr>
          <w:rFonts w:ascii="Times New Roman" w:hAnsi="Times New Roman" w:eastAsia="Times New Roman" w:cs="Times New Roman"/>
          <w:b/>
          <w:bCs/>
          <w:color w:val="auto"/>
          <w:spacing w:val="16"/>
          <w:sz w:val="24"/>
          <w:szCs w:val="24"/>
        </w:rPr>
        <w:t xml:space="preserve"> </w:t>
      </w:r>
      <w:r>
        <w:rPr>
          <w:rFonts w:ascii="宋体" w:hAnsi="宋体" w:eastAsia="宋体" w:cs="宋体"/>
          <w:b/>
          <w:bCs/>
          <w:color w:val="auto"/>
          <w:spacing w:val="-4"/>
          <w:sz w:val="24"/>
          <w:szCs w:val="24"/>
        </w:rPr>
        <w:t>项目固体废物信息表</w:t>
      </w:r>
    </w:p>
    <w:p w14:paraId="184AAC7E">
      <w:pPr>
        <w:spacing w:line="146" w:lineRule="exact"/>
        <w:rPr>
          <w:color w:val="auto"/>
        </w:rPr>
      </w:pPr>
    </w:p>
    <w:tbl>
      <w:tblPr>
        <w:tblStyle w:val="21"/>
        <w:tblW w:w="132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108"/>
        <w:gridCol w:w="1480"/>
        <w:gridCol w:w="1465"/>
        <w:gridCol w:w="1272"/>
        <w:gridCol w:w="704"/>
        <w:gridCol w:w="1130"/>
        <w:gridCol w:w="1130"/>
        <w:gridCol w:w="1351"/>
        <w:gridCol w:w="1730"/>
        <w:gridCol w:w="1279"/>
      </w:tblGrid>
      <w:tr w14:paraId="72BB3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83" w:type="dxa"/>
            <w:textDirection w:val="tbRlV"/>
            <w:vAlign w:val="top"/>
          </w:tcPr>
          <w:p w14:paraId="66A29755">
            <w:pPr>
              <w:pStyle w:val="22"/>
              <w:spacing w:before="187" w:line="218" w:lineRule="auto"/>
              <w:ind w:left="79"/>
              <w:rPr>
                <w:color w:val="auto"/>
                <w:sz w:val="20"/>
                <w:szCs w:val="20"/>
              </w:rPr>
            </w:pPr>
            <w:r>
              <w:rPr>
                <w:b/>
                <w:bCs/>
                <w:color w:val="auto"/>
                <w:spacing w:val="6"/>
                <w:sz w:val="20"/>
                <w:szCs w:val="20"/>
              </w:rPr>
              <w:t>序</w:t>
            </w:r>
            <w:r>
              <w:rPr>
                <w:color w:val="auto"/>
                <w:spacing w:val="-38"/>
                <w:sz w:val="20"/>
                <w:szCs w:val="20"/>
              </w:rPr>
              <w:t xml:space="preserve"> </w:t>
            </w:r>
            <w:r>
              <w:rPr>
                <w:b/>
                <w:bCs/>
                <w:color w:val="auto"/>
                <w:spacing w:val="6"/>
                <w:sz w:val="20"/>
                <w:szCs w:val="20"/>
              </w:rPr>
              <w:t>号</w:t>
            </w:r>
          </w:p>
        </w:tc>
        <w:tc>
          <w:tcPr>
            <w:tcW w:w="1108" w:type="dxa"/>
            <w:vAlign w:val="top"/>
          </w:tcPr>
          <w:p w14:paraId="5B62EFCD">
            <w:pPr>
              <w:pStyle w:val="22"/>
              <w:spacing w:before="216" w:line="228" w:lineRule="auto"/>
              <w:ind w:left="134"/>
              <w:rPr>
                <w:color w:val="auto"/>
                <w:sz w:val="20"/>
                <w:szCs w:val="20"/>
              </w:rPr>
            </w:pPr>
            <w:r>
              <w:rPr>
                <w:b/>
                <w:bCs/>
                <w:color w:val="auto"/>
                <w:spacing w:val="6"/>
                <w:sz w:val="20"/>
                <w:szCs w:val="20"/>
              </w:rPr>
              <w:t>产生环节</w:t>
            </w:r>
          </w:p>
        </w:tc>
        <w:tc>
          <w:tcPr>
            <w:tcW w:w="1480" w:type="dxa"/>
            <w:vAlign w:val="top"/>
          </w:tcPr>
          <w:p w14:paraId="3AD69D64">
            <w:pPr>
              <w:pStyle w:val="22"/>
              <w:spacing w:before="216" w:line="228" w:lineRule="auto"/>
              <w:ind w:left="340"/>
              <w:rPr>
                <w:color w:val="auto"/>
                <w:sz w:val="20"/>
                <w:szCs w:val="20"/>
              </w:rPr>
            </w:pPr>
            <w:r>
              <w:rPr>
                <w:b/>
                <w:bCs/>
                <w:color w:val="auto"/>
                <w:spacing w:val="2"/>
                <w:sz w:val="20"/>
                <w:szCs w:val="20"/>
              </w:rPr>
              <w:t>固废名称</w:t>
            </w:r>
          </w:p>
        </w:tc>
        <w:tc>
          <w:tcPr>
            <w:tcW w:w="1465" w:type="dxa"/>
            <w:vAlign w:val="top"/>
          </w:tcPr>
          <w:p w14:paraId="6A0C9C3D">
            <w:pPr>
              <w:pStyle w:val="22"/>
              <w:spacing w:before="216" w:line="229" w:lineRule="auto"/>
              <w:ind w:left="526"/>
              <w:rPr>
                <w:color w:val="auto"/>
                <w:sz w:val="20"/>
                <w:szCs w:val="20"/>
              </w:rPr>
            </w:pPr>
            <w:r>
              <w:rPr>
                <w:b/>
                <w:bCs/>
                <w:color w:val="auto"/>
                <w:spacing w:val="3"/>
                <w:sz w:val="20"/>
                <w:szCs w:val="20"/>
              </w:rPr>
              <w:t>属性</w:t>
            </w:r>
          </w:p>
        </w:tc>
        <w:tc>
          <w:tcPr>
            <w:tcW w:w="1272" w:type="dxa"/>
            <w:vAlign w:val="top"/>
          </w:tcPr>
          <w:p w14:paraId="3E2087F0">
            <w:pPr>
              <w:pStyle w:val="22"/>
              <w:spacing w:before="80" w:line="239" w:lineRule="auto"/>
              <w:ind w:left="117" w:right="110" w:hanging="2"/>
              <w:rPr>
                <w:color w:val="auto"/>
                <w:sz w:val="20"/>
                <w:szCs w:val="20"/>
              </w:rPr>
            </w:pPr>
            <w:r>
              <w:rPr>
                <w:b/>
                <w:bCs/>
                <w:color w:val="auto"/>
                <w:spacing w:val="6"/>
                <w:sz w:val="20"/>
                <w:szCs w:val="20"/>
              </w:rPr>
              <w:t>主要有毒有</w:t>
            </w:r>
            <w:r>
              <w:rPr>
                <w:color w:val="auto"/>
                <w:sz w:val="20"/>
                <w:szCs w:val="20"/>
              </w:rPr>
              <w:t xml:space="preserve"> </w:t>
            </w:r>
            <w:r>
              <w:rPr>
                <w:b/>
                <w:bCs/>
                <w:color w:val="auto"/>
                <w:spacing w:val="5"/>
                <w:sz w:val="20"/>
                <w:szCs w:val="20"/>
              </w:rPr>
              <w:t>害物质名称</w:t>
            </w:r>
          </w:p>
        </w:tc>
        <w:tc>
          <w:tcPr>
            <w:tcW w:w="704" w:type="dxa"/>
            <w:vAlign w:val="top"/>
          </w:tcPr>
          <w:p w14:paraId="26235A98">
            <w:pPr>
              <w:pStyle w:val="22"/>
              <w:spacing w:before="79" w:line="239" w:lineRule="auto"/>
              <w:ind w:left="149" w:right="139" w:hanging="2"/>
              <w:rPr>
                <w:color w:val="auto"/>
                <w:sz w:val="20"/>
                <w:szCs w:val="20"/>
              </w:rPr>
            </w:pPr>
            <w:r>
              <w:rPr>
                <w:b/>
                <w:bCs/>
                <w:color w:val="auto"/>
                <w:spacing w:val="3"/>
                <w:sz w:val="20"/>
                <w:szCs w:val="20"/>
              </w:rPr>
              <w:t>物理</w:t>
            </w:r>
            <w:r>
              <w:rPr>
                <w:color w:val="auto"/>
                <w:sz w:val="20"/>
                <w:szCs w:val="20"/>
              </w:rPr>
              <w:t xml:space="preserve"> </w:t>
            </w:r>
            <w:r>
              <w:rPr>
                <w:b/>
                <w:bCs/>
                <w:color w:val="auto"/>
                <w:spacing w:val="2"/>
                <w:sz w:val="20"/>
                <w:szCs w:val="20"/>
              </w:rPr>
              <w:t>性状</w:t>
            </w:r>
          </w:p>
        </w:tc>
        <w:tc>
          <w:tcPr>
            <w:tcW w:w="1130" w:type="dxa"/>
            <w:vAlign w:val="top"/>
          </w:tcPr>
          <w:p w14:paraId="668F6424">
            <w:pPr>
              <w:pStyle w:val="22"/>
              <w:spacing w:before="79" w:line="239" w:lineRule="auto"/>
              <w:ind w:left="359" w:right="141" w:hanging="211"/>
              <w:rPr>
                <w:color w:val="auto"/>
                <w:sz w:val="20"/>
                <w:szCs w:val="20"/>
              </w:rPr>
            </w:pPr>
            <w:r>
              <w:rPr>
                <w:b/>
                <w:bCs/>
                <w:color w:val="auto"/>
                <w:spacing w:val="6"/>
                <w:sz w:val="20"/>
                <w:szCs w:val="20"/>
              </w:rPr>
              <w:t>环境危险</w:t>
            </w:r>
            <w:r>
              <w:rPr>
                <w:color w:val="auto"/>
                <w:spacing w:val="1"/>
                <w:sz w:val="20"/>
                <w:szCs w:val="20"/>
              </w:rPr>
              <w:t xml:space="preserve"> </w:t>
            </w:r>
            <w:r>
              <w:rPr>
                <w:b/>
                <w:bCs/>
                <w:color w:val="auto"/>
                <w:spacing w:val="3"/>
                <w:sz w:val="20"/>
                <w:szCs w:val="20"/>
              </w:rPr>
              <w:t>特性</w:t>
            </w:r>
          </w:p>
        </w:tc>
        <w:tc>
          <w:tcPr>
            <w:tcW w:w="1130" w:type="dxa"/>
            <w:vAlign w:val="top"/>
          </w:tcPr>
          <w:p w14:paraId="4D66556B">
            <w:pPr>
              <w:pStyle w:val="22"/>
              <w:spacing w:before="216" w:line="228" w:lineRule="auto"/>
              <w:ind w:left="113"/>
              <w:rPr>
                <w:rFonts w:ascii="Times New Roman" w:hAnsi="Times New Roman" w:eastAsia="Times New Roman" w:cs="Times New Roman"/>
                <w:color w:val="auto"/>
                <w:sz w:val="20"/>
                <w:szCs w:val="20"/>
              </w:rPr>
            </w:pPr>
            <w:r>
              <w:rPr>
                <w:b/>
                <w:bCs/>
                <w:color w:val="auto"/>
                <w:spacing w:val="3"/>
                <w:sz w:val="20"/>
                <w:szCs w:val="20"/>
              </w:rPr>
              <w:t>产生量</w:t>
            </w:r>
            <w:r>
              <w:rPr>
                <w:color w:val="auto"/>
                <w:spacing w:val="-43"/>
                <w:sz w:val="20"/>
                <w:szCs w:val="20"/>
              </w:rPr>
              <w:t xml:space="preserve"> </w:t>
            </w:r>
            <w:r>
              <w:rPr>
                <w:rFonts w:ascii="Times New Roman" w:hAnsi="Times New Roman" w:eastAsia="Times New Roman" w:cs="Times New Roman"/>
                <w:b/>
                <w:bCs/>
                <w:color w:val="auto"/>
                <w:spacing w:val="3"/>
                <w:sz w:val="20"/>
                <w:szCs w:val="20"/>
              </w:rPr>
              <w:t>t/a</w:t>
            </w:r>
          </w:p>
        </w:tc>
        <w:tc>
          <w:tcPr>
            <w:tcW w:w="1351" w:type="dxa"/>
            <w:vAlign w:val="top"/>
          </w:tcPr>
          <w:p w14:paraId="769B0BA1">
            <w:pPr>
              <w:pStyle w:val="22"/>
              <w:spacing w:before="216" w:line="228" w:lineRule="auto"/>
              <w:ind w:left="260"/>
              <w:rPr>
                <w:color w:val="auto"/>
                <w:sz w:val="20"/>
                <w:szCs w:val="20"/>
              </w:rPr>
            </w:pPr>
            <w:r>
              <w:rPr>
                <w:b/>
                <w:bCs/>
                <w:color w:val="auto"/>
                <w:spacing w:val="6"/>
                <w:sz w:val="20"/>
                <w:szCs w:val="20"/>
              </w:rPr>
              <w:t>贮存方式</w:t>
            </w:r>
          </w:p>
        </w:tc>
        <w:tc>
          <w:tcPr>
            <w:tcW w:w="1730" w:type="dxa"/>
            <w:vAlign w:val="top"/>
          </w:tcPr>
          <w:p w14:paraId="5EB1E573">
            <w:pPr>
              <w:pStyle w:val="22"/>
              <w:spacing w:before="79"/>
              <w:ind w:left="720" w:right="181" w:hanging="531"/>
              <w:rPr>
                <w:color w:val="auto"/>
                <w:sz w:val="20"/>
                <w:szCs w:val="20"/>
              </w:rPr>
            </w:pPr>
            <w:r>
              <w:rPr>
                <w:b/>
                <w:bCs/>
                <w:color w:val="auto"/>
                <w:spacing w:val="6"/>
                <w:sz w:val="20"/>
                <w:szCs w:val="20"/>
              </w:rPr>
              <w:t>利用或处置方</w:t>
            </w:r>
            <w:r>
              <w:rPr>
                <w:color w:val="auto"/>
                <w:spacing w:val="3"/>
                <w:sz w:val="20"/>
                <w:szCs w:val="20"/>
              </w:rPr>
              <w:t xml:space="preserve"> </w:t>
            </w:r>
            <w:r>
              <w:rPr>
                <w:b/>
                <w:bCs/>
                <w:color w:val="auto"/>
                <w:spacing w:val="-3"/>
                <w:sz w:val="20"/>
                <w:szCs w:val="20"/>
              </w:rPr>
              <w:t>式</w:t>
            </w:r>
          </w:p>
        </w:tc>
        <w:tc>
          <w:tcPr>
            <w:tcW w:w="1279" w:type="dxa"/>
            <w:vAlign w:val="top"/>
          </w:tcPr>
          <w:p w14:paraId="2A2D5A43">
            <w:pPr>
              <w:pStyle w:val="22"/>
              <w:spacing w:before="79" w:line="242" w:lineRule="auto"/>
              <w:ind w:left="445" w:right="162" w:hanging="275"/>
              <w:rPr>
                <w:rFonts w:ascii="Times New Roman" w:hAnsi="Times New Roman" w:eastAsia="Times New Roman" w:cs="Times New Roman"/>
                <w:color w:val="auto"/>
                <w:sz w:val="20"/>
                <w:szCs w:val="20"/>
              </w:rPr>
            </w:pPr>
            <w:r>
              <w:rPr>
                <w:b/>
                <w:bCs/>
                <w:color w:val="auto"/>
                <w:spacing w:val="6"/>
                <w:sz w:val="20"/>
                <w:szCs w:val="20"/>
              </w:rPr>
              <w:t>利用或处置</w:t>
            </w:r>
            <w:r>
              <w:rPr>
                <w:color w:val="auto"/>
                <w:sz w:val="20"/>
                <w:szCs w:val="20"/>
              </w:rPr>
              <w:t xml:space="preserve"> </w:t>
            </w:r>
            <w:r>
              <w:rPr>
                <w:b/>
                <w:bCs/>
                <w:color w:val="auto"/>
                <w:spacing w:val="1"/>
                <w:sz w:val="20"/>
                <w:szCs w:val="20"/>
              </w:rPr>
              <w:t>量</w:t>
            </w:r>
            <w:r>
              <w:rPr>
                <w:color w:val="auto"/>
                <w:spacing w:val="-42"/>
                <w:sz w:val="20"/>
                <w:szCs w:val="20"/>
              </w:rPr>
              <w:t xml:space="preserve"> </w:t>
            </w:r>
            <w:r>
              <w:rPr>
                <w:rFonts w:ascii="Times New Roman" w:hAnsi="Times New Roman" w:eastAsia="Times New Roman" w:cs="Times New Roman"/>
                <w:b/>
                <w:bCs/>
                <w:color w:val="auto"/>
                <w:spacing w:val="1"/>
                <w:sz w:val="20"/>
                <w:szCs w:val="20"/>
              </w:rPr>
              <w:t>t/a</w:t>
            </w:r>
          </w:p>
        </w:tc>
      </w:tr>
      <w:tr w14:paraId="6C4D0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83" w:type="dxa"/>
            <w:vAlign w:val="top"/>
          </w:tcPr>
          <w:p w14:paraId="5A8E3716">
            <w:pPr>
              <w:spacing w:before="204" w:line="195" w:lineRule="auto"/>
              <w:ind w:left="261"/>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1</w:t>
            </w:r>
          </w:p>
        </w:tc>
        <w:tc>
          <w:tcPr>
            <w:tcW w:w="1108" w:type="dxa"/>
            <w:vAlign w:val="top"/>
          </w:tcPr>
          <w:p w14:paraId="351CAB4A">
            <w:pPr>
              <w:pStyle w:val="22"/>
              <w:spacing w:before="165" w:line="227" w:lineRule="auto"/>
              <w:ind w:left="137"/>
              <w:rPr>
                <w:color w:val="auto"/>
                <w:sz w:val="20"/>
                <w:szCs w:val="20"/>
              </w:rPr>
            </w:pPr>
            <w:r>
              <w:rPr>
                <w:color w:val="auto"/>
                <w:spacing w:val="7"/>
                <w:sz w:val="20"/>
                <w:szCs w:val="20"/>
              </w:rPr>
              <w:t>布袋除尘</w:t>
            </w:r>
          </w:p>
        </w:tc>
        <w:tc>
          <w:tcPr>
            <w:tcW w:w="1480" w:type="dxa"/>
            <w:vAlign w:val="top"/>
          </w:tcPr>
          <w:p w14:paraId="1983EB1F">
            <w:pPr>
              <w:pStyle w:val="22"/>
              <w:spacing w:before="165" w:line="227" w:lineRule="auto"/>
              <w:ind w:left="428"/>
              <w:rPr>
                <w:color w:val="auto"/>
                <w:sz w:val="20"/>
                <w:szCs w:val="20"/>
              </w:rPr>
            </w:pPr>
            <w:r>
              <w:rPr>
                <w:color w:val="auto"/>
                <w:spacing w:val="6"/>
                <w:sz w:val="20"/>
                <w:szCs w:val="20"/>
              </w:rPr>
              <w:t>布袋灰</w:t>
            </w:r>
          </w:p>
        </w:tc>
        <w:tc>
          <w:tcPr>
            <w:tcW w:w="1465" w:type="dxa"/>
            <w:vAlign w:val="top"/>
          </w:tcPr>
          <w:p w14:paraId="094E3A46">
            <w:pPr>
              <w:pStyle w:val="22"/>
              <w:spacing w:before="32" w:line="234" w:lineRule="auto"/>
              <w:ind w:left="629" w:right="208" w:hanging="415"/>
              <w:rPr>
                <w:color w:val="auto"/>
                <w:sz w:val="20"/>
                <w:szCs w:val="20"/>
              </w:rPr>
            </w:pPr>
            <w:r>
              <w:rPr>
                <w:color w:val="auto"/>
                <w:spacing w:val="7"/>
                <w:sz w:val="20"/>
                <w:szCs w:val="20"/>
              </w:rPr>
              <w:t>一般工业固</w:t>
            </w:r>
            <w:r>
              <w:rPr>
                <w:color w:val="auto"/>
                <w:spacing w:val="1"/>
                <w:sz w:val="20"/>
                <w:szCs w:val="20"/>
              </w:rPr>
              <w:t xml:space="preserve"> 废</w:t>
            </w:r>
          </w:p>
        </w:tc>
        <w:tc>
          <w:tcPr>
            <w:tcW w:w="1272" w:type="dxa"/>
            <w:vAlign w:val="top"/>
          </w:tcPr>
          <w:p w14:paraId="6C52584E">
            <w:pPr>
              <w:spacing w:before="200" w:line="199" w:lineRule="auto"/>
              <w:jc w:val="center"/>
              <w:rPr>
                <w:rFonts w:ascii="Times New Roman" w:hAnsi="Times New Roman" w:eastAsia="Times New Roman" w:cs="Times New Roman"/>
                <w:color w:val="auto"/>
                <w:sz w:val="20"/>
                <w:szCs w:val="20"/>
              </w:rPr>
            </w:pPr>
            <w:r>
              <w:rPr>
                <w:color w:val="auto"/>
                <w:sz w:val="20"/>
                <w:szCs w:val="20"/>
              </w:rPr>
              <w:t>无</w:t>
            </w:r>
          </w:p>
        </w:tc>
        <w:tc>
          <w:tcPr>
            <w:tcW w:w="704" w:type="dxa"/>
            <w:vAlign w:val="top"/>
          </w:tcPr>
          <w:p w14:paraId="25D77ADD">
            <w:pPr>
              <w:pStyle w:val="22"/>
              <w:spacing w:before="166" w:line="228" w:lineRule="auto"/>
              <w:ind w:left="165"/>
              <w:rPr>
                <w:color w:val="auto"/>
                <w:sz w:val="20"/>
                <w:szCs w:val="20"/>
              </w:rPr>
            </w:pPr>
            <w:r>
              <w:rPr>
                <w:color w:val="auto"/>
                <w:spacing w:val="-5"/>
                <w:sz w:val="20"/>
                <w:szCs w:val="20"/>
              </w:rPr>
              <w:t>固体</w:t>
            </w:r>
          </w:p>
        </w:tc>
        <w:tc>
          <w:tcPr>
            <w:tcW w:w="1130" w:type="dxa"/>
            <w:vAlign w:val="top"/>
          </w:tcPr>
          <w:p w14:paraId="6B14DB84">
            <w:pPr>
              <w:spacing w:before="200" w:line="199" w:lineRule="auto"/>
              <w:jc w:val="center"/>
              <w:rPr>
                <w:rFonts w:ascii="Times New Roman" w:hAnsi="Times New Roman" w:eastAsia="Times New Roman" w:cs="Times New Roman"/>
                <w:color w:val="auto"/>
                <w:sz w:val="20"/>
                <w:szCs w:val="20"/>
              </w:rPr>
            </w:pPr>
            <w:r>
              <w:rPr>
                <w:color w:val="auto"/>
                <w:sz w:val="20"/>
                <w:szCs w:val="20"/>
              </w:rPr>
              <w:t>无</w:t>
            </w:r>
          </w:p>
        </w:tc>
        <w:tc>
          <w:tcPr>
            <w:tcW w:w="1130" w:type="dxa"/>
            <w:vAlign w:val="top"/>
          </w:tcPr>
          <w:p w14:paraId="7611F94F">
            <w:pPr>
              <w:spacing w:before="204" w:line="195" w:lineRule="auto"/>
              <w:jc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29.91</w:t>
            </w:r>
          </w:p>
        </w:tc>
        <w:tc>
          <w:tcPr>
            <w:tcW w:w="1351" w:type="dxa"/>
            <w:vAlign w:val="top"/>
          </w:tcPr>
          <w:p w14:paraId="4894531B">
            <w:pPr>
              <w:pStyle w:val="22"/>
              <w:spacing w:before="165" w:line="228" w:lineRule="auto"/>
              <w:ind w:left="264"/>
              <w:rPr>
                <w:color w:val="auto"/>
                <w:sz w:val="20"/>
                <w:szCs w:val="20"/>
              </w:rPr>
            </w:pPr>
            <w:r>
              <w:rPr>
                <w:color w:val="auto"/>
                <w:spacing w:val="6"/>
                <w:sz w:val="20"/>
                <w:szCs w:val="20"/>
              </w:rPr>
              <w:t>生产车间</w:t>
            </w:r>
          </w:p>
        </w:tc>
        <w:tc>
          <w:tcPr>
            <w:tcW w:w="1730" w:type="dxa"/>
            <w:vAlign w:val="top"/>
          </w:tcPr>
          <w:p w14:paraId="0F7E3D12">
            <w:pPr>
              <w:pStyle w:val="22"/>
              <w:spacing w:before="166" w:line="228" w:lineRule="auto"/>
              <w:ind w:left="191"/>
              <w:rPr>
                <w:color w:val="auto"/>
                <w:sz w:val="20"/>
                <w:szCs w:val="20"/>
              </w:rPr>
            </w:pPr>
            <w:r>
              <w:rPr>
                <w:color w:val="auto"/>
                <w:spacing w:val="8"/>
                <w:sz w:val="20"/>
                <w:szCs w:val="20"/>
              </w:rPr>
              <w:t>作为原料回用</w:t>
            </w:r>
          </w:p>
        </w:tc>
        <w:tc>
          <w:tcPr>
            <w:tcW w:w="1279" w:type="dxa"/>
            <w:vAlign w:val="top"/>
          </w:tcPr>
          <w:p w14:paraId="4BBEEB0B">
            <w:pPr>
              <w:spacing w:before="204" w:line="195" w:lineRule="auto"/>
              <w:jc w:val="center"/>
              <w:rPr>
                <w:rFonts w:ascii="Times New Roman" w:hAnsi="Times New Roman" w:eastAsia="Times New Roman" w:cs="Times New Roman"/>
                <w:color w:val="auto"/>
                <w:sz w:val="20"/>
                <w:szCs w:val="20"/>
              </w:rPr>
            </w:pPr>
            <w:r>
              <w:rPr>
                <w:rFonts w:hint="eastAsia" w:ascii="Times New Roman" w:hAnsi="Times New Roman" w:eastAsia="宋体" w:cs="Times New Roman"/>
                <w:color w:val="auto"/>
                <w:sz w:val="20"/>
                <w:szCs w:val="20"/>
                <w:lang w:val="en-US" w:eastAsia="zh-CN"/>
              </w:rPr>
              <w:t>29.91</w:t>
            </w:r>
          </w:p>
        </w:tc>
      </w:tr>
      <w:tr w14:paraId="46FE5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83" w:type="dxa"/>
            <w:vAlign w:val="top"/>
          </w:tcPr>
          <w:p w14:paraId="59295738">
            <w:pPr>
              <w:spacing w:before="204" w:line="195" w:lineRule="auto"/>
              <w:ind w:left="241"/>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2</w:t>
            </w:r>
          </w:p>
        </w:tc>
        <w:tc>
          <w:tcPr>
            <w:tcW w:w="1108" w:type="dxa"/>
            <w:vAlign w:val="top"/>
          </w:tcPr>
          <w:p w14:paraId="7B5362DE">
            <w:pPr>
              <w:pStyle w:val="22"/>
              <w:spacing w:before="166" w:line="228" w:lineRule="auto"/>
              <w:ind w:left="136"/>
              <w:rPr>
                <w:color w:val="auto"/>
                <w:sz w:val="20"/>
                <w:szCs w:val="20"/>
              </w:rPr>
            </w:pPr>
            <w:r>
              <w:rPr>
                <w:color w:val="auto"/>
                <w:spacing w:val="7"/>
                <w:sz w:val="20"/>
                <w:szCs w:val="20"/>
              </w:rPr>
              <w:t>废水处理</w:t>
            </w:r>
          </w:p>
        </w:tc>
        <w:tc>
          <w:tcPr>
            <w:tcW w:w="1480" w:type="dxa"/>
            <w:vAlign w:val="top"/>
          </w:tcPr>
          <w:p w14:paraId="4BAA5A9D">
            <w:pPr>
              <w:pStyle w:val="22"/>
              <w:spacing w:before="166" w:line="230" w:lineRule="auto"/>
              <w:ind w:left="535"/>
              <w:rPr>
                <w:color w:val="auto"/>
                <w:sz w:val="20"/>
                <w:szCs w:val="20"/>
              </w:rPr>
            </w:pPr>
            <w:r>
              <w:rPr>
                <w:color w:val="auto"/>
                <w:spacing w:val="3"/>
                <w:sz w:val="20"/>
                <w:szCs w:val="20"/>
              </w:rPr>
              <w:t>污泥</w:t>
            </w:r>
          </w:p>
        </w:tc>
        <w:tc>
          <w:tcPr>
            <w:tcW w:w="1465" w:type="dxa"/>
            <w:vAlign w:val="top"/>
          </w:tcPr>
          <w:p w14:paraId="6D40A419">
            <w:pPr>
              <w:pStyle w:val="22"/>
              <w:spacing w:before="32" w:line="234" w:lineRule="auto"/>
              <w:ind w:left="629" w:right="208" w:hanging="415"/>
              <w:rPr>
                <w:color w:val="auto"/>
                <w:sz w:val="20"/>
                <w:szCs w:val="20"/>
              </w:rPr>
            </w:pPr>
            <w:r>
              <w:rPr>
                <w:color w:val="auto"/>
                <w:spacing w:val="7"/>
                <w:sz w:val="20"/>
                <w:szCs w:val="20"/>
              </w:rPr>
              <w:t>一般工业固</w:t>
            </w:r>
            <w:r>
              <w:rPr>
                <w:color w:val="auto"/>
                <w:spacing w:val="1"/>
                <w:sz w:val="20"/>
                <w:szCs w:val="20"/>
              </w:rPr>
              <w:t xml:space="preserve"> 废</w:t>
            </w:r>
          </w:p>
        </w:tc>
        <w:tc>
          <w:tcPr>
            <w:tcW w:w="1272" w:type="dxa"/>
            <w:vAlign w:val="top"/>
          </w:tcPr>
          <w:p w14:paraId="7A0F5379">
            <w:pPr>
              <w:spacing w:before="200" w:line="199" w:lineRule="auto"/>
              <w:jc w:val="center"/>
              <w:rPr>
                <w:rFonts w:ascii="Times New Roman" w:hAnsi="Times New Roman" w:eastAsia="Times New Roman" w:cs="Times New Roman"/>
                <w:color w:val="auto"/>
                <w:sz w:val="20"/>
                <w:szCs w:val="20"/>
              </w:rPr>
            </w:pPr>
            <w:r>
              <w:rPr>
                <w:color w:val="auto"/>
                <w:sz w:val="20"/>
                <w:szCs w:val="20"/>
              </w:rPr>
              <w:t>无</w:t>
            </w:r>
          </w:p>
        </w:tc>
        <w:tc>
          <w:tcPr>
            <w:tcW w:w="704" w:type="dxa"/>
            <w:vAlign w:val="top"/>
          </w:tcPr>
          <w:p w14:paraId="68A83F34">
            <w:pPr>
              <w:pStyle w:val="22"/>
              <w:spacing w:before="166" w:line="228" w:lineRule="auto"/>
              <w:ind w:left="165"/>
              <w:rPr>
                <w:color w:val="auto"/>
                <w:sz w:val="20"/>
                <w:szCs w:val="20"/>
              </w:rPr>
            </w:pPr>
            <w:r>
              <w:rPr>
                <w:color w:val="auto"/>
                <w:spacing w:val="-5"/>
                <w:sz w:val="20"/>
                <w:szCs w:val="20"/>
              </w:rPr>
              <w:t>固体</w:t>
            </w:r>
          </w:p>
        </w:tc>
        <w:tc>
          <w:tcPr>
            <w:tcW w:w="1130" w:type="dxa"/>
            <w:vAlign w:val="top"/>
          </w:tcPr>
          <w:p w14:paraId="00290402">
            <w:pPr>
              <w:spacing w:before="200" w:line="199" w:lineRule="auto"/>
              <w:jc w:val="center"/>
              <w:rPr>
                <w:rFonts w:ascii="Times New Roman" w:hAnsi="Times New Roman" w:eastAsia="Times New Roman" w:cs="Times New Roman"/>
                <w:color w:val="auto"/>
                <w:sz w:val="20"/>
                <w:szCs w:val="20"/>
              </w:rPr>
            </w:pPr>
            <w:r>
              <w:rPr>
                <w:color w:val="auto"/>
                <w:sz w:val="20"/>
                <w:szCs w:val="20"/>
              </w:rPr>
              <w:t>无</w:t>
            </w:r>
          </w:p>
        </w:tc>
        <w:tc>
          <w:tcPr>
            <w:tcW w:w="1130" w:type="dxa"/>
            <w:vAlign w:val="top"/>
          </w:tcPr>
          <w:p w14:paraId="3E36D604">
            <w:pPr>
              <w:spacing w:before="204" w:line="195" w:lineRule="auto"/>
              <w:jc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352.9</w:t>
            </w:r>
          </w:p>
        </w:tc>
        <w:tc>
          <w:tcPr>
            <w:tcW w:w="1351" w:type="dxa"/>
            <w:vAlign w:val="top"/>
          </w:tcPr>
          <w:p w14:paraId="5FC16EF7">
            <w:pPr>
              <w:pStyle w:val="22"/>
              <w:spacing w:before="166" w:line="228" w:lineRule="auto"/>
              <w:jc w:val="center"/>
              <w:rPr>
                <w:rFonts w:hint="default" w:eastAsia="宋体"/>
                <w:color w:val="auto"/>
                <w:sz w:val="20"/>
                <w:szCs w:val="20"/>
                <w:lang w:val="en-US" w:eastAsia="zh-CN"/>
              </w:rPr>
            </w:pPr>
            <w:r>
              <w:rPr>
                <w:rFonts w:hint="eastAsia"/>
                <w:color w:val="auto"/>
                <w:sz w:val="20"/>
                <w:szCs w:val="20"/>
                <w:lang w:val="en-US" w:eastAsia="zh-CN"/>
              </w:rPr>
              <w:t>堆场存放</w:t>
            </w:r>
          </w:p>
        </w:tc>
        <w:tc>
          <w:tcPr>
            <w:tcW w:w="1730" w:type="dxa"/>
            <w:vAlign w:val="top"/>
          </w:tcPr>
          <w:p w14:paraId="3D01A84C">
            <w:pPr>
              <w:pStyle w:val="22"/>
              <w:spacing w:before="166" w:line="228" w:lineRule="auto"/>
              <w:jc w:val="center"/>
              <w:rPr>
                <w:color w:val="auto"/>
                <w:sz w:val="20"/>
                <w:szCs w:val="20"/>
              </w:rPr>
            </w:pPr>
            <w:r>
              <w:rPr>
                <w:rFonts w:hint="eastAsia"/>
                <w:color w:val="auto"/>
                <w:spacing w:val="8"/>
                <w:sz w:val="20"/>
                <w:szCs w:val="20"/>
              </w:rPr>
              <w:t>外售相关综合利用</w:t>
            </w:r>
          </w:p>
        </w:tc>
        <w:tc>
          <w:tcPr>
            <w:tcW w:w="1279" w:type="dxa"/>
            <w:vAlign w:val="top"/>
          </w:tcPr>
          <w:p w14:paraId="545E1BDD">
            <w:pPr>
              <w:spacing w:before="204" w:line="195" w:lineRule="auto"/>
              <w:jc w:val="center"/>
              <w:rPr>
                <w:rFonts w:ascii="Times New Roman" w:hAnsi="Times New Roman" w:eastAsia="Times New Roman" w:cs="Times New Roman"/>
                <w:color w:val="auto"/>
                <w:sz w:val="20"/>
                <w:szCs w:val="20"/>
              </w:rPr>
            </w:pPr>
            <w:r>
              <w:rPr>
                <w:rFonts w:hint="eastAsia" w:ascii="Times New Roman" w:hAnsi="Times New Roman" w:eastAsia="宋体" w:cs="Times New Roman"/>
                <w:color w:val="auto"/>
                <w:sz w:val="20"/>
                <w:szCs w:val="20"/>
                <w:lang w:val="en-US" w:eastAsia="zh-CN"/>
              </w:rPr>
              <w:t>352.9</w:t>
            </w:r>
          </w:p>
        </w:tc>
      </w:tr>
      <w:tr w14:paraId="0D524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583" w:type="dxa"/>
            <w:vAlign w:val="top"/>
          </w:tcPr>
          <w:p w14:paraId="208BC9A5">
            <w:pPr>
              <w:spacing w:before="205" w:line="195" w:lineRule="auto"/>
              <w:ind w:left="245"/>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3</w:t>
            </w:r>
          </w:p>
        </w:tc>
        <w:tc>
          <w:tcPr>
            <w:tcW w:w="1108" w:type="dxa"/>
            <w:vAlign w:val="top"/>
          </w:tcPr>
          <w:p w14:paraId="07C49B25">
            <w:pPr>
              <w:pStyle w:val="22"/>
              <w:spacing w:before="169" w:line="229" w:lineRule="auto"/>
              <w:jc w:val="center"/>
              <w:rPr>
                <w:rFonts w:hint="default" w:eastAsia="宋体"/>
                <w:color w:val="auto"/>
                <w:sz w:val="20"/>
                <w:szCs w:val="20"/>
                <w:lang w:val="en-US" w:eastAsia="zh-CN"/>
              </w:rPr>
            </w:pPr>
            <w:r>
              <w:rPr>
                <w:rFonts w:hint="eastAsia"/>
                <w:color w:val="auto"/>
                <w:sz w:val="20"/>
                <w:szCs w:val="20"/>
                <w:lang w:val="en-US" w:eastAsia="zh-CN"/>
              </w:rPr>
              <w:t>设备维保</w:t>
            </w:r>
          </w:p>
        </w:tc>
        <w:tc>
          <w:tcPr>
            <w:tcW w:w="1480" w:type="dxa"/>
            <w:vAlign w:val="top"/>
          </w:tcPr>
          <w:p w14:paraId="314C91C9">
            <w:pPr>
              <w:pStyle w:val="22"/>
              <w:spacing w:before="168" w:line="228" w:lineRule="auto"/>
              <w:ind w:left="113"/>
              <w:jc w:val="center"/>
              <w:rPr>
                <w:rFonts w:hint="default"/>
                <w:color w:val="auto"/>
                <w:sz w:val="20"/>
                <w:szCs w:val="20"/>
                <w:lang w:val="en-US"/>
              </w:rPr>
            </w:pPr>
            <w:r>
              <w:rPr>
                <w:rFonts w:hint="eastAsia"/>
                <w:color w:val="auto"/>
                <w:spacing w:val="8"/>
                <w:sz w:val="20"/>
                <w:szCs w:val="20"/>
                <w:lang w:val="en-US" w:eastAsia="zh-CN"/>
              </w:rPr>
              <w:t>废润滑油</w:t>
            </w:r>
          </w:p>
        </w:tc>
        <w:tc>
          <w:tcPr>
            <w:tcW w:w="1465" w:type="dxa"/>
            <w:vAlign w:val="center"/>
          </w:tcPr>
          <w:p w14:paraId="40233690">
            <w:pPr>
              <w:pStyle w:val="22"/>
              <w:spacing w:before="32" w:line="234" w:lineRule="auto"/>
              <w:ind w:left="629" w:right="208" w:hanging="415"/>
              <w:jc w:val="center"/>
              <w:rPr>
                <w:rFonts w:hint="default" w:eastAsia="宋体"/>
                <w:color w:val="auto"/>
                <w:sz w:val="20"/>
                <w:szCs w:val="20"/>
                <w:lang w:val="en-US" w:eastAsia="zh-CN"/>
              </w:rPr>
            </w:pPr>
            <w:r>
              <w:rPr>
                <w:rFonts w:hint="eastAsia"/>
                <w:color w:val="auto"/>
                <w:spacing w:val="7"/>
                <w:sz w:val="20"/>
                <w:szCs w:val="20"/>
                <w:lang w:val="en-US" w:eastAsia="zh-CN"/>
              </w:rPr>
              <w:t>危废废物</w:t>
            </w:r>
          </w:p>
        </w:tc>
        <w:tc>
          <w:tcPr>
            <w:tcW w:w="1272" w:type="dxa"/>
            <w:vAlign w:val="top"/>
          </w:tcPr>
          <w:p w14:paraId="72E9B3A8">
            <w:pPr>
              <w:spacing w:before="201" w:line="199" w:lineRule="auto"/>
              <w:jc w:val="center"/>
              <w:rPr>
                <w:rFonts w:hint="eastAsia" w:ascii="Times New Roman" w:hAnsi="Times New Roman" w:eastAsia="宋体" w:cs="Times New Roman"/>
                <w:color w:val="auto"/>
                <w:sz w:val="20"/>
                <w:szCs w:val="20"/>
                <w:lang w:eastAsia="zh-CN"/>
              </w:rPr>
            </w:pPr>
            <w:r>
              <w:rPr>
                <w:rFonts w:hint="eastAsia" w:eastAsia="宋体"/>
                <w:color w:val="auto"/>
                <w:sz w:val="20"/>
                <w:szCs w:val="20"/>
                <w:lang w:val="en-US" w:eastAsia="zh-CN"/>
              </w:rPr>
              <w:t>石油烃</w:t>
            </w:r>
          </w:p>
        </w:tc>
        <w:tc>
          <w:tcPr>
            <w:tcW w:w="704" w:type="dxa"/>
            <w:vAlign w:val="top"/>
          </w:tcPr>
          <w:p w14:paraId="3C9D9260">
            <w:pPr>
              <w:pStyle w:val="22"/>
              <w:spacing w:before="169" w:line="228" w:lineRule="auto"/>
              <w:ind w:left="165"/>
              <w:rPr>
                <w:rFonts w:hint="eastAsia" w:eastAsia="宋体"/>
                <w:color w:val="auto"/>
                <w:sz w:val="20"/>
                <w:szCs w:val="20"/>
                <w:lang w:eastAsia="zh-CN"/>
              </w:rPr>
            </w:pPr>
            <w:r>
              <w:rPr>
                <w:rFonts w:hint="eastAsia"/>
                <w:color w:val="auto"/>
                <w:spacing w:val="-5"/>
                <w:sz w:val="20"/>
                <w:szCs w:val="20"/>
                <w:lang w:val="en-US" w:eastAsia="zh-CN"/>
              </w:rPr>
              <w:t>液体</w:t>
            </w:r>
          </w:p>
        </w:tc>
        <w:tc>
          <w:tcPr>
            <w:tcW w:w="1130" w:type="dxa"/>
            <w:vAlign w:val="top"/>
          </w:tcPr>
          <w:p w14:paraId="364C7D3A">
            <w:pPr>
              <w:spacing w:before="201" w:line="199" w:lineRule="auto"/>
              <w:jc w:val="center"/>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1"/>
                <w:szCs w:val="21"/>
              </w:rPr>
              <w:t>T/I</w:t>
            </w:r>
          </w:p>
        </w:tc>
        <w:tc>
          <w:tcPr>
            <w:tcW w:w="1130" w:type="dxa"/>
            <w:vAlign w:val="top"/>
          </w:tcPr>
          <w:p w14:paraId="30427BB4">
            <w:pPr>
              <w:spacing w:before="205" w:line="195" w:lineRule="auto"/>
              <w:jc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0.1</w:t>
            </w:r>
          </w:p>
        </w:tc>
        <w:tc>
          <w:tcPr>
            <w:tcW w:w="1351" w:type="dxa"/>
            <w:vAlign w:val="top"/>
          </w:tcPr>
          <w:p w14:paraId="7479F302">
            <w:pPr>
              <w:pStyle w:val="22"/>
              <w:spacing w:before="169" w:line="228" w:lineRule="auto"/>
              <w:jc w:val="center"/>
              <w:rPr>
                <w:color w:val="auto"/>
                <w:sz w:val="20"/>
                <w:szCs w:val="20"/>
              </w:rPr>
            </w:pPr>
            <w:r>
              <w:rPr>
                <w:rFonts w:hint="default" w:ascii="Times New Roman" w:hAnsi="Times New Roman" w:eastAsia="宋体" w:cs="Times New Roman"/>
                <w:color w:val="auto"/>
                <w:sz w:val="21"/>
                <w:szCs w:val="21"/>
              </w:rPr>
              <w:t>铁桶密封贮存</w:t>
            </w:r>
          </w:p>
        </w:tc>
        <w:tc>
          <w:tcPr>
            <w:tcW w:w="1730" w:type="dxa"/>
            <w:vAlign w:val="top"/>
          </w:tcPr>
          <w:p w14:paraId="7014C60A">
            <w:pPr>
              <w:pStyle w:val="22"/>
              <w:spacing w:before="169" w:line="228" w:lineRule="auto"/>
              <w:jc w:val="center"/>
              <w:rPr>
                <w:rFonts w:hint="default" w:eastAsia="宋体"/>
                <w:color w:val="auto"/>
                <w:sz w:val="20"/>
                <w:szCs w:val="20"/>
                <w:lang w:val="en-US" w:eastAsia="zh-CN"/>
              </w:rPr>
            </w:pPr>
            <w:r>
              <w:rPr>
                <w:rFonts w:hint="eastAsia"/>
                <w:color w:val="auto"/>
                <w:spacing w:val="8"/>
                <w:sz w:val="20"/>
                <w:szCs w:val="20"/>
                <w:lang w:val="en-US" w:eastAsia="zh-CN"/>
              </w:rPr>
              <w:t>有资质单位处置</w:t>
            </w:r>
          </w:p>
        </w:tc>
        <w:tc>
          <w:tcPr>
            <w:tcW w:w="1279" w:type="dxa"/>
            <w:vAlign w:val="top"/>
          </w:tcPr>
          <w:p w14:paraId="22097692">
            <w:pPr>
              <w:spacing w:before="205" w:line="195" w:lineRule="auto"/>
              <w:jc w:val="center"/>
              <w:rPr>
                <w:rFonts w:hint="default" w:ascii="Times New Roman" w:hAnsi="Times New Roman" w:eastAsia="Times New Roman" w:cs="Times New Roman"/>
                <w:color w:val="auto"/>
                <w:sz w:val="20"/>
                <w:szCs w:val="20"/>
                <w:lang w:val="en-US"/>
              </w:rPr>
            </w:pPr>
            <w:r>
              <w:rPr>
                <w:rFonts w:hint="eastAsia" w:ascii="Times New Roman" w:hAnsi="Times New Roman" w:eastAsia="宋体" w:cs="Times New Roman"/>
                <w:color w:val="auto"/>
                <w:sz w:val="20"/>
                <w:szCs w:val="20"/>
                <w:lang w:val="en-US" w:eastAsia="zh-CN"/>
              </w:rPr>
              <w:t>0.1</w:t>
            </w:r>
          </w:p>
        </w:tc>
      </w:tr>
      <w:tr w14:paraId="03336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583" w:type="dxa"/>
            <w:vAlign w:val="top"/>
          </w:tcPr>
          <w:p w14:paraId="2CA7093F">
            <w:pPr>
              <w:spacing w:before="205" w:line="195" w:lineRule="auto"/>
              <w:ind w:left="245"/>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4</w:t>
            </w:r>
          </w:p>
        </w:tc>
        <w:tc>
          <w:tcPr>
            <w:tcW w:w="1108" w:type="dxa"/>
            <w:vAlign w:val="top"/>
          </w:tcPr>
          <w:p w14:paraId="130C2BB1">
            <w:pPr>
              <w:pStyle w:val="22"/>
              <w:spacing w:before="169" w:line="229" w:lineRule="auto"/>
              <w:jc w:val="center"/>
              <w:rPr>
                <w:rFonts w:hint="eastAsia"/>
                <w:color w:val="auto"/>
                <w:sz w:val="20"/>
                <w:szCs w:val="20"/>
                <w:lang w:val="en-US" w:eastAsia="zh-CN"/>
              </w:rPr>
            </w:pPr>
            <w:r>
              <w:rPr>
                <w:rFonts w:hint="eastAsia"/>
                <w:color w:val="auto"/>
                <w:sz w:val="20"/>
                <w:szCs w:val="20"/>
                <w:lang w:val="en-US" w:eastAsia="zh-CN"/>
              </w:rPr>
              <w:t>设备维保</w:t>
            </w:r>
          </w:p>
        </w:tc>
        <w:tc>
          <w:tcPr>
            <w:tcW w:w="1480" w:type="dxa"/>
            <w:vAlign w:val="top"/>
          </w:tcPr>
          <w:p w14:paraId="414E5FE2">
            <w:pPr>
              <w:pStyle w:val="22"/>
              <w:spacing w:before="168" w:line="228" w:lineRule="auto"/>
              <w:ind w:left="113"/>
              <w:jc w:val="center"/>
              <w:rPr>
                <w:rFonts w:hint="eastAsia"/>
                <w:color w:val="auto"/>
                <w:spacing w:val="8"/>
                <w:sz w:val="20"/>
                <w:szCs w:val="20"/>
                <w:lang w:val="en-US" w:eastAsia="zh-CN"/>
              </w:rPr>
            </w:pPr>
            <w:r>
              <w:rPr>
                <w:rFonts w:hint="eastAsia"/>
                <w:color w:val="auto"/>
                <w:spacing w:val="8"/>
                <w:sz w:val="20"/>
                <w:szCs w:val="20"/>
                <w:lang w:val="en-US" w:eastAsia="zh-CN"/>
              </w:rPr>
              <w:t>废含油抹布</w:t>
            </w:r>
          </w:p>
        </w:tc>
        <w:tc>
          <w:tcPr>
            <w:tcW w:w="1465" w:type="dxa"/>
            <w:vAlign w:val="center"/>
          </w:tcPr>
          <w:p w14:paraId="5105752C">
            <w:pPr>
              <w:pStyle w:val="22"/>
              <w:spacing w:before="32" w:line="234" w:lineRule="auto"/>
              <w:ind w:left="629" w:right="208" w:hanging="415"/>
              <w:jc w:val="center"/>
              <w:rPr>
                <w:rFonts w:hint="default"/>
                <w:color w:val="auto"/>
                <w:spacing w:val="7"/>
                <w:sz w:val="20"/>
                <w:szCs w:val="20"/>
                <w:lang w:val="en-US" w:eastAsia="zh-CN"/>
              </w:rPr>
            </w:pPr>
            <w:r>
              <w:rPr>
                <w:rFonts w:hint="eastAsia"/>
                <w:color w:val="auto"/>
                <w:spacing w:val="7"/>
                <w:sz w:val="20"/>
                <w:szCs w:val="20"/>
                <w:lang w:val="en-US" w:eastAsia="zh-CN"/>
              </w:rPr>
              <w:t>危险废物</w:t>
            </w:r>
          </w:p>
        </w:tc>
        <w:tc>
          <w:tcPr>
            <w:tcW w:w="1272" w:type="dxa"/>
            <w:vAlign w:val="top"/>
          </w:tcPr>
          <w:p w14:paraId="0BEDEB53">
            <w:pPr>
              <w:spacing w:before="201" w:line="199" w:lineRule="auto"/>
              <w:jc w:val="center"/>
              <w:rPr>
                <w:rFonts w:hint="default" w:eastAsia="宋体"/>
                <w:color w:val="auto"/>
                <w:sz w:val="20"/>
                <w:szCs w:val="20"/>
                <w:lang w:val="en-US" w:eastAsia="zh-CN"/>
              </w:rPr>
            </w:pPr>
            <w:r>
              <w:rPr>
                <w:rFonts w:hint="eastAsia" w:eastAsia="宋体"/>
                <w:color w:val="auto"/>
                <w:sz w:val="20"/>
                <w:szCs w:val="20"/>
                <w:lang w:val="en-US" w:eastAsia="zh-CN"/>
              </w:rPr>
              <w:t>石油烃</w:t>
            </w:r>
          </w:p>
        </w:tc>
        <w:tc>
          <w:tcPr>
            <w:tcW w:w="704" w:type="dxa"/>
            <w:vAlign w:val="top"/>
          </w:tcPr>
          <w:p w14:paraId="68D8072D">
            <w:pPr>
              <w:pStyle w:val="22"/>
              <w:spacing w:before="169" w:line="228" w:lineRule="auto"/>
              <w:ind w:left="165"/>
              <w:rPr>
                <w:rFonts w:hint="default"/>
                <w:color w:val="auto"/>
                <w:spacing w:val="-5"/>
                <w:sz w:val="20"/>
                <w:szCs w:val="20"/>
                <w:lang w:val="en-US" w:eastAsia="zh-CN"/>
              </w:rPr>
            </w:pPr>
            <w:r>
              <w:rPr>
                <w:rFonts w:hint="eastAsia"/>
                <w:color w:val="auto"/>
                <w:spacing w:val="-5"/>
                <w:sz w:val="20"/>
                <w:szCs w:val="20"/>
                <w:lang w:val="en-US" w:eastAsia="zh-CN"/>
              </w:rPr>
              <w:t>固体</w:t>
            </w:r>
          </w:p>
        </w:tc>
        <w:tc>
          <w:tcPr>
            <w:tcW w:w="1130" w:type="dxa"/>
            <w:vAlign w:val="top"/>
          </w:tcPr>
          <w:p w14:paraId="302C4EF4">
            <w:pPr>
              <w:spacing w:before="201" w:line="199" w:lineRule="auto"/>
              <w:jc w:val="center"/>
              <w:rPr>
                <w:rFonts w:ascii="Times New Roman" w:hAnsi="Times New Roman" w:eastAsia="Times New Roman" w:cs="Times New Roman"/>
                <w:color w:val="auto"/>
                <w:spacing w:val="1"/>
                <w:sz w:val="21"/>
                <w:szCs w:val="21"/>
              </w:rPr>
            </w:pPr>
            <w:r>
              <w:rPr>
                <w:rFonts w:ascii="Times New Roman" w:hAnsi="Times New Roman" w:eastAsia="Times New Roman" w:cs="Times New Roman"/>
                <w:color w:val="auto"/>
                <w:spacing w:val="1"/>
                <w:sz w:val="21"/>
                <w:szCs w:val="21"/>
              </w:rPr>
              <w:t>T/I</w:t>
            </w:r>
          </w:p>
        </w:tc>
        <w:tc>
          <w:tcPr>
            <w:tcW w:w="1130" w:type="dxa"/>
            <w:vAlign w:val="top"/>
          </w:tcPr>
          <w:p w14:paraId="67391A6C">
            <w:pPr>
              <w:spacing w:before="205" w:line="195" w:lineRule="auto"/>
              <w:jc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0.01</w:t>
            </w:r>
          </w:p>
        </w:tc>
        <w:tc>
          <w:tcPr>
            <w:tcW w:w="1351" w:type="dxa"/>
            <w:vAlign w:val="top"/>
          </w:tcPr>
          <w:p w14:paraId="31796C9D">
            <w:pPr>
              <w:pStyle w:val="22"/>
              <w:spacing w:before="169" w:line="228"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密封袋装</w:t>
            </w:r>
          </w:p>
        </w:tc>
        <w:tc>
          <w:tcPr>
            <w:tcW w:w="1730" w:type="dxa"/>
            <w:vAlign w:val="top"/>
          </w:tcPr>
          <w:p w14:paraId="59325FF4">
            <w:pPr>
              <w:pStyle w:val="22"/>
              <w:spacing w:before="169" w:line="228" w:lineRule="auto"/>
              <w:jc w:val="center"/>
              <w:rPr>
                <w:rFonts w:hint="default"/>
                <w:color w:val="auto"/>
                <w:spacing w:val="8"/>
                <w:sz w:val="20"/>
                <w:szCs w:val="20"/>
                <w:lang w:val="en-US" w:eastAsia="zh-CN"/>
              </w:rPr>
            </w:pPr>
            <w:r>
              <w:rPr>
                <w:rFonts w:hint="eastAsia"/>
                <w:color w:val="auto"/>
                <w:spacing w:val="8"/>
                <w:sz w:val="20"/>
                <w:szCs w:val="20"/>
                <w:lang w:val="en-US" w:eastAsia="zh-CN"/>
              </w:rPr>
              <w:t>有资质单位处置</w:t>
            </w:r>
          </w:p>
        </w:tc>
        <w:tc>
          <w:tcPr>
            <w:tcW w:w="1279" w:type="dxa"/>
            <w:vAlign w:val="top"/>
          </w:tcPr>
          <w:p w14:paraId="5CA11F25">
            <w:pPr>
              <w:spacing w:before="205" w:line="195" w:lineRule="auto"/>
              <w:jc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0.01</w:t>
            </w:r>
          </w:p>
        </w:tc>
      </w:tr>
      <w:tr w14:paraId="5D1C8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83" w:type="dxa"/>
            <w:vAlign w:val="top"/>
          </w:tcPr>
          <w:p w14:paraId="5ADF0E37">
            <w:pPr>
              <w:spacing w:before="206" w:line="195" w:lineRule="auto"/>
              <w:ind w:left="245"/>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5</w:t>
            </w:r>
          </w:p>
        </w:tc>
        <w:tc>
          <w:tcPr>
            <w:tcW w:w="1108" w:type="dxa"/>
            <w:vAlign w:val="top"/>
          </w:tcPr>
          <w:p w14:paraId="719712A1">
            <w:pPr>
              <w:pStyle w:val="22"/>
              <w:spacing w:before="170" w:line="228" w:lineRule="auto"/>
              <w:ind w:left="139"/>
              <w:rPr>
                <w:color w:val="auto"/>
                <w:sz w:val="20"/>
                <w:szCs w:val="20"/>
              </w:rPr>
            </w:pPr>
            <w:r>
              <w:rPr>
                <w:color w:val="auto"/>
                <w:spacing w:val="6"/>
                <w:sz w:val="20"/>
                <w:szCs w:val="20"/>
              </w:rPr>
              <w:t>厂区生活</w:t>
            </w:r>
          </w:p>
        </w:tc>
        <w:tc>
          <w:tcPr>
            <w:tcW w:w="1480" w:type="dxa"/>
            <w:vAlign w:val="top"/>
          </w:tcPr>
          <w:p w14:paraId="7B583875">
            <w:pPr>
              <w:pStyle w:val="22"/>
              <w:spacing w:before="170" w:line="228" w:lineRule="auto"/>
              <w:ind w:left="324"/>
              <w:rPr>
                <w:color w:val="auto"/>
                <w:sz w:val="20"/>
                <w:szCs w:val="20"/>
              </w:rPr>
            </w:pPr>
            <w:r>
              <w:rPr>
                <w:color w:val="auto"/>
                <w:spacing w:val="6"/>
                <w:sz w:val="20"/>
                <w:szCs w:val="20"/>
              </w:rPr>
              <w:t>生活垃圾</w:t>
            </w:r>
          </w:p>
        </w:tc>
        <w:tc>
          <w:tcPr>
            <w:tcW w:w="1465" w:type="dxa"/>
            <w:vAlign w:val="top"/>
          </w:tcPr>
          <w:p w14:paraId="76DDEDAB">
            <w:pPr>
              <w:pStyle w:val="22"/>
              <w:spacing w:before="170" w:line="228" w:lineRule="auto"/>
              <w:ind w:left="319"/>
              <w:rPr>
                <w:color w:val="auto"/>
                <w:sz w:val="20"/>
                <w:szCs w:val="20"/>
              </w:rPr>
            </w:pPr>
            <w:r>
              <w:rPr>
                <w:color w:val="auto"/>
                <w:spacing w:val="6"/>
                <w:sz w:val="20"/>
                <w:szCs w:val="20"/>
              </w:rPr>
              <w:t>一般固废</w:t>
            </w:r>
          </w:p>
        </w:tc>
        <w:tc>
          <w:tcPr>
            <w:tcW w:w="1272" w:type="dxa"/>
            <w:vAlign w:val="top"/>
          </w:tcPr>
          <w:p w14:paraId="2157432D">
            <w:pPr>
              <w:pStyle w:val="22"/>
              <w:spacing w:before="170" w:line="228" w:lineRule="auto"/>
              <w:jc w:val="center"/>
              <w:rPr>
                <w:color w:val="auto"/>
                <w:sz w:val="20"/>
                <w:szCs w:val="20"/>
              </w:rPr>
            </w:pPr>
            <w:r>
              <w:rPr>
                <w:color w:val="auto"/>
                <w:sz w:val="20"/>
                <w:szCs w:val="20"/>
              </w:rPr>
              <w:t>无</w:t>
            </w:r>
          </w:p>
        </w:tc>
        <w:tc>
          <w:tcPr>
            <w:tcW w:w="704" w:type="dxa"/>
            <w:vAlign w:val="top"/>
          </w:tcPr>
          <w:p w14:paraId="60196853">
            <w:pPr>
              <w:pStyle w:val="22"/>
              <w:spacing w:before="170" w:line="228" w:lineRule="auto"/>
              <w:ind w:left="165"/>
              <w:rPr>
                <w:color w:val="auto"/>
                <w:sz w:val="20"/>
                <w:szCs w:val="20"/>
              </w:rPr>
            </w:pPr>
            <w:r>
              <w:rPr>
                <w:color w:val="auto"/>
                <w:spacing w:val="-5"/>
                <w:sz w:val="20"/>
                <w:szCs w:val="20"/>
              </w:rPr>
              <w:t>固体</w:t>
            </w:r>
          </w:p>
        </w:tc>
        <w:tc>
          <w:tcPr>
            <w:tcW w:w="1130" w:type="dxa"/>
            <w:vAlign w:val="top"/>
          </w:tcPr>
          <w:p w14:paraId="2FF3D74D">
            <w:pPr>
              <w:pStyle w:val="22"/>
              <w:spacing w:before="170" w:line="228" w:lineRule="auto"/>
              <w:jc w:val="center"/>
              <w:rPr>
                <w:color w:val="auto"/>
                <w:sz w:val="20"/>
                <w:szCs w:val="20"/>
              </w:rPr>
            </w:pPr>
            <w:r>
              <w:rPr>
                <w:color w:val="auto"/>
                <w:sz w:val="20"/>
                <w:szCs w:val="20"/>
              </w:rPr>
              <w:t>无</w:t>
            </w:r>
          </w:p>
        </w:tc>
        <w:tc>
          <w:tcPr>
            <w:tcW w:w="1130" w:type="dxa"/>
            <w:vAlign w:val="top"/>
          </w:tcPr>
          <w:p w14:paraId="393A2BB6">
            <w:pPr>
              <w:spacing w:before="206" w:line="195" w:lineRule="auto"/>
              <w:jc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1.72</w:t>
            </w:r>
          </w:p>
        </w:tc>
        <w:tc>
          <w:tcPr>
            <w:tcW w:w="1351" w:type="dxa"/>
            <w:vAlign w:val="top"/>
          </w:tcPr>
          <w:p w14:paraId="416834C5">
            <w:pPr>
              <w:pStyle w:val="22"/>
              <w:spacing w:before="34" w:line="233" w:lineRule="auto"/>
              <w:ind w:left="470" w:right="148" w:hanging="312"/>
              <w:rPr>
                <w:color w:val="auto"/>
                <w:sz w:val="20"/>
                <w:szCs w:val="20"/>
              </w:rPr>
            </w:pPr>
            <w:r>
              <w:rPr>
                <w:color w:val="auto"/>
                <w:spacing w:val="7"/>
                <w:sz w:val="20"/>
                <w:szCs w:val="20"/>
              </w:rPr>
              <w:t>生活垃圾收</w:t>
            </w:r>
            <w:r>
              <w:rPr>
                <w:color w:val="auto"/>
                <w:spacing w:val="3"/>
                <w:sz w:val="20"/>
                <w:szCs w:val="20"/>
              </w:rPr>
              <w:t xml:space="preserve"> </w:t>
            </w:r>
            <w:r>
              <w:rPr>
                <w:color w:val="auto"/>
                <w:spacing w:val="4"/>
                <w:sz w:val="20"/>
                <w:szCs w:val="20"/>
              </w:rPr>
              <w:t>集点</w:t>
            </w:r>
          </w:p>
        </w:tc>
        <w:tc>
          <w:tcPr>
            <w:tcW w:w="1730" w:type="dxa"/>
            <w:vAlign w:val="top"/>
          </w:tcPr>
          <w:p w14:paraId="2830995D">
            <w:pPr>
              <w:pStyle w:val="22"/>
              <w:spacing w:before="34" w:line="233" w:lineRule="auto"/>
              <w:ind w:left="319" w:right="183" w:hanging="103"/>
              <w:rPr>
                <w:color w:val="auto"/>
                <w:sz w:val="20"/>
                <w:szCs w:val="20"/>
              </w:rPr>
            </w:pPr>
            <w:r>
              <w:rPr>
                <w:color w:val="auto"/>
                <w:spacing w:val="4"/>
                <w:sz w:val="20"/>
                <w:szCs w:val="20"/>
              </w:rPr>
              <w:t>由当地环卫部</w:t>
            </w:r>
            <w:r>
              <w:rPr>
                <w:color w:val="auto"/>
                <w:sz w:val="20"/>
                <w:szCs w:val="20"/>
              </w:rPr>
              <w:t xml:space="preserve"> </w:t>
            </w:r>
            <w:r>
              <w:rPr>
                <w:color w:val="auto"/>
                <w:spacing w:val="3"/>
                <w:sz w:val="20"/>
                <w:szCs w:val="20"/>
              </w:rPr>
              <w:t>门清运处理</w:t>
            </w:r>
          </w:p>
        </w:tc>
        <w:tc>
          <w:tcPr>
            <w:tcW w:w="1279" w:type="dxa"/>
            <w:vAlign w:val="top"/>
          </w:tcPr>
          <w:p w14:paraId="53F1E03A">
            <w:pPr>
              <w:spacing w:before="206" w:line="195" w:lineRule="auto"/>
              <w:jc w:val="center"/>
              <w:rPr>
                <w:rFonts w:ascii="Times New Roman" w:hAnsi="Times New Roman" w:eastAsia="Times New Roman" w:cs="Times New Roman"/>
                <w:color w:val="auto"/>
                <w:sz w:val="20"/>
                <w:szCs w:val="20"/>
              </w:rPr>
            </w:pPr>
            <w:r>
              <w:rPr>
                <w:rFonts w:hint="eastAsia" w:ascii="Times New Roman" w:hAnsi="Times New Roman" w:eastAsia="宋体" w:cs="Times New Roman"/>
                <w:color w:val="auto"/>
                <w:sz w:val="20"/>
                <w:szCs w:val="20"/>
                <w:lang w:val="en-US" w:eastAsia="zh-CN"/>
              </w:rPr>
              <w:t>1.72</w:t>
            </w:r>
          </w:p>
        </w:tc>
      </w:tr>
    </w:tbl>
    <w:p w14:paraId="35A0942E">
      <w:pPr>
        <w:pStyle w:val="6"/>
        <w:rPr>
          <w:color w:val="auto"/>
        </w:rPr>
      </w:pPr>
    </w:p>
    <w:p w14:paraId="07E9BFC2">
      <w:pPr>
        <w:rPr>
          <w:color w:val="auto"/>
        </w:rPr>
        <w:sectPr>
          <w:footerReference r:id="rId16" w:type="default"/>
          <w:pgSz w:w="16840" w:h="11907"/>
          <w:pgMar w:top="1012" w:right="1588" w:bottom="1222" w:left="2014" w:header="0" w:footer="1059" w:gutter="0"/>
          <w:pgNumType w:fmt="numberInDash"/>
          <w:cols w:space="720" w:num="1"/>
        </w:sectPr>
      </w:pPr>
    </w:p>
    <w:p w14:paraId="598B7240">
      <w:pPr>
        <w:spacing w:before="28"/>
        <w:rPr>
          <w:color w:val="auto"/>
        </w:rPr>
      </w:pPr>
    </w:p>
    <w:tbl>
      <w:tblPr>
        <w:tblStyle w:val="21"/>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54"/>
        <w:gridCol w:w="8158"/>
      </w:tblGrid>
      <w:tr w14:paraId="23E53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54" w:hRule="atLeast"/>
        </w:trPr>
        <w:tc>
          <w:tcPr>
            <w:tcW w:w="754" w:type="dxa"/>
            <w:tcBorders>
              <w:right w:val="single" w:color="000000" w:sz="2" w:space="0"/>
            </w:tcBorders>
            <w:vAlign w:val="top"/>
          </w:tcPr>
          <w:p w14:paraId="14A4DDC8">
            <w:pPr>
              <w:rPr>
                <w:rFonts w:ascii="Arial"/>
                <w:color w:val="auto"/>
                <w:sz w:val="21"/>
              </w:rPr>
            </w:pPr>
          </w:p>
        </w:tc>
        <w:tc>
          <w:tcPr>
            <w:tcW w:w="8158" w:type="dxa"/>
            <w:tcBorders>
              <w:left w:val="single" w:color="000000" w:sz="2" w:space="0"/>
            </w:tcBorders>
            <w:vAlign w:val="top"/>
          </w:tcPr>
          <w:p w14:paraId="0DB834A3">
            <w:pPr>
              <w:pStyle w:val="22"/>
              <w:spacing w:before="160" w:line="219" w:lineRule="auto"/>
              <w:ind w:firstLine="474" w:firstLineChars="200"/>
              <w:rPr>
                <w:rFonts w:hint="default" w:ascii="Times New Roman" w:hAnsi="Times New Roman" w:eastAsia="宋体" w:cs="Times New Roman"/>
                <w:b/>
                <w:bCs/>
                <w:color w:val="auto"/>
                <w:spacing w:val="-2"/>
                <w:lang w:val="en-US" w:eastAsia="zh-CN"/>
              </w:rPr>
            </w:pPr>
            <w:r>
              <w:rPr>
                <w:rFonts w:hint="default" w:ascii="Times New Roman" w:hAnsi="Times New Roman" w:cs="Times New Roman"/>
                <w:b/>
                <w:bCs/>
                <w:color w:val="auto"/>
                <w:spacing w:val="-2"/>
                <w:lang w:val="en-US" w:eastAsia="zh-CN"/>
              </w:rPr>
              <w:t>5.土壤、地下水</w:t>
            </w:r>
          </w:p>
          <w:p w14:paraId="0B658EE5">
            <w:pPr>
              <w:pStyle w:val="22"/>
              <w:spacing w:before="160" w:line="219" w:lineRule="auto"/>
              <w:ind w:firstLine="473"/>
              <w:rPr>
                <w:rFonts w:hint="eastAsia"/>
                <w:b w:val="0"/>
                <w:bCs w:val="0"/>
                <w:color w:val="auto"/>
                <w:spacing w:val="-2"/>
                <w:lang w:val="en-US" w:eastAsia="zh-CN"/>
              </w:rPr>
            </w:pPr>
            <w:r>
              <w:rPr>
                <w:rFonts w:hint="eastAsia"/>
                <w:b w:val="0"/>
                <w:bCs w:val="0"/>
                <w:color w:val="auto"/>
                <w:spacing w:val="-2"/>
                <w:lang w:val="en-US" w:eastAsia="zh-CN"/>
              </w:rPr>
              <w:t>（1）污染识别</w:t>
            </w:r>
          </w:p>
          <w:p w14:paraId="1D680583">
            <w:pPr>
              <w:pStyle w:val="22"/>
              <w:spacing w:before="160" w:line="360" w:lineRule="auto"/>
              <w:ind w:firstLine="472" w:firstLineChars="200"/>
              <w:rPr>
                <w:rFonts w:hint="eastAsia"/>
                <w:b w:val="0"/>
                <w:bCs w:val="0"/>
                <w:color w:val="auto"/>
                <w:spacing w:val="-2"/>
                <w:lang w:val="en-US" w:eastAsia="zh-CN"/>
              </w:rPr>
            </w:pPr>
            <w:r>
              <w:rPr>
                <w:rFonts w:hint="eastAsia"/>
                <w:b w:val="0"/>
                <w:bCs w:val="0"/>
                <w:color w:val="auto"/>
                <w:spacing w:val="-2"/>
                <w:lang w:val="en-US" w:eastAsia="zh-CN"/>
              </w:rPr>
              <w:t>本项目厂区地面进行硬化处理，并设置有围墙。生产废水经处理后回用于生产，不外排；生活污水经化粪池预处理后回用于周边林地灌溉；项目设置足够容积的废水池、过滤罐等设施，本项目无需考虑地面漫流污染途径。</w:t>
            </w:r>
          </w:p>
          <w:p w14:paraId="246AD66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b w:val="0"/>
                <w:bCs w:val="0"/>
                <w:color w:val="auto"/>
                <w:spacing w:val="-2"/>
                <w:lang w:val="en-US" w:eastAsia="zh-CN"/>
              </w:rPr>
            </w:pPr>
            <w:r>
              <w:rPr>
                <w:rFonts w:hint="eastAsia"/>
                <w:b w:val="0"/>
                <w:bCs w:val="0"/>
                <w:color w:val="auto"/>
                <w:spacing w:val="-2"/>
                <w:lang w:val="en-US" w:eastAsia="zh-CN"/>
              </w:rPr>
              <w:t>垂直入渗主要指由于占地范围内产生的污染物质的入渗迁移造成污染范围垂向扩大的影响途径。项目废水池、化粪池均采取一般地面硬底化防渗处理，且项目不涉及重金属、有毒有害污染物，因此不考虑垂直入渗对土壤和地下水的影响。</w:t>
            </w:r>
          </w:p>
          <w:p w14:paraId="3B7D8FA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b w:val="0"/>
                <w:bCs w:val="0"/>
                <w:color w:val="auto"/>
                <w:spacing w:val="-2"/>
                <w:lang w:val="en-US" w:eastAsia="zh-CN"/>
              </w:rPr>
            </w:pPr>
            <w:r>
              <w:rPr>
                <w:rFonts w:hint="eastAsia"/>
                <w:b w:val="0"/>
                <w:bCs w:val="0"/>
                <w:color w:val="auto"/>
                <w:spacing w:val="-2"/>
                <w:lang w:val="en-US" w:eastAsia="zh-CN"/>
              </w:rPr>
              <w:t>本项目属于</w:t>
            </w:r>
            <w:r>
              <w:rPr>
                <w:rFonts w:hint="default" w:ascii="Times New Roman" w:hAnsi="Times New Roman" w:cs="Times New Roman"/>
                <w:b w:val="0"/>
                <w:bCs w:val="0"/>
                <w:color w:val="auto"/>
                <w:spacing w:val="-2"/>
                <w:lang w:val="en-US" w:eastAsia="zh-CN"/>
              </w:rPr>
              <w:t>水泥制品制造，不属于《农用地土壤污染状况详查点位布设技术规定》（环办土壤函[2017]1021号）中</w:t>
            </w:r>
            <w:r>
              <w:rPr>
                <w:rFonts w:hint="eastAsia"/>
                <w:b w:val="0"/>
                <w:bCs w:val="0"/>
                <w:color w:val="auto"/>
                <w:spacing w:val="-2"/>
                <w:lang w:val="en-US" w:eastAsia="zh-CN"/>
              </w:rPr>
              <w:t>所列的需要考虑大气沉降影响行业，废气主要的污染因子是颗粒物，不涉及土壤污染重点污染物（镉、汞、六价铬、镍、砷、石油烃、二噁英、苯系物等），也不涉及建设用地土壤污染风险筛选值的其他污染物，不存在《土壤环境质量农用地污染风险管控标准（试行）》和《土壤环境质量建设用地土壤污染风险管控标准（试行）》中的管控因子，对周边环境影响较小。</w:t>
            </w:r>
          </w:p>
          <w:p w14:paraId="03E2154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71"/>
              <w:textAlignment w:val="baseline"/>
              <w:rPr>
                <w:rFonts w:hint="eastAsia"/>
                <w:b w:val="0"/>
                <w:bCs w:val="0"/>
                <w:color w:val="auto"/>
                <w:spacing w:val="-2"/>
                <w:lang w:val="en-US" w:eastAsia="zh-CN"/>
              </w:rPr>
            </w:pPr>
            <w:r>
              <w:rPr>
                <w:rFonts w:hint="eastAsia"/>
                <w:b w:val="0"/>
                <w:bCs w:val="0"/>
                <w:color w:val="auto"/>
                <w:spacing w:val="-2"/>
                <w:lang w:val="en-US" w:eastAsia="zh-CN"/>
              </w:rPr>
              <w:t>（</w:t>
            </w:r>
            <w:r>
              <w:rPr>
                <w:rFonts w:hint="default" w:ascii="Times New Roman" w:hAnsi="Times New Roman" w:cs="Times New Roman"/>
                <w:b w:val="0"/>
                <w:bCs w:val="0"/>
                <w:color w:val="auto"/>
                <w:spacing w:val="-2"/>
                <w:lang w:val="en-US" w:eastAsia="zh-CN"/>
              </w:rPr>
              <w:t>2</w:t>
            </w:r>
            <w:r>
              <w:rPr>
                <w:rFonts w:hint="eastAsia"/>
                <w:b w:val="0"/>
                <w:bCs w:val="0"/>
                <w:color w:val="auto"/>
                <w:spacing w:val="-2"/>
                <w:lang w:val="en-US" w:eastAsia="zh-CN"/>
              </w:rPr>
              <w:t>）防治措施</w:t>
            </w:r>
          </w:p>
          <w:p w14:paraId="7EF8CC1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default" w:ascii="Times New Roman" w:hAnsi="Times New Roman" w:cs="Times New Roman"/>
                <w:b w:val="0"/>
                <w:bCs w:val="0"/>
                <w:color w:val="auto"/>
                <w:spacing w:val="-2"/>
                <w:lang w:val="en-US" w:eastAsia="zh-CN"/>
              </w:rPr>
            </w:pPr>
            <w:r>
              <w:rPr>
                <w:rFonts w:hint="default" w:ascii="Times New Roman" w:hAnsi="Times New Roman" w:cs="Times New Roman"/>
                <w:b w:val="0"/>
                <w:bCs w:val="0"/>
                <w:color w:val="auto"/>
                <w:spacing w:val="-2"/>
                <w:lang w:val="en-US" w:eastAsia="zh-CN"/>
              </w:rPr>
              <w:t>1）源头控制措施</w:t>
            </w:r>
          </w:p>
          <w:p w14:paraId="2C55E07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default" w:ascii="Times New Roman" w:hAnsi="Times New Roman" w:cs="Times New Roman"/>
                <w:b w:val="0"/>
                <w:bCs w:val="0"/>
                <w:color w:val="auto"/>
                <w:spacing w:val="-2"/>
                <w:lang w:val="en-US" w:eastAsia="zh-CN"/>
              </w:rPr>
            </w:pPr>
            <w:r>
              <w:rPr>
                <w:rFonts w:hint="default" w:ascii="Times New Roman" w:hAnsi="Times New Roman" w:cs="Times New Roman"/>
                <w:b w:val="0"/>
                <w:bCs w:val="0"/>
                <w:color w:val="auto"/>
                <w:spacing w:val="-2"/>
                <w:lang w:val="en-US" w:eastAsia="zh-CN"/>
              </w:rPr>
              <w:t>在源头上采取措施进行控制，主要包括在工艺、管道、设备、废水、废气和废物储存及处理构筑物采取相应措施，防止和降低污染物跑、冒、滴、漏，将污染物泄漏的环境风险事故降到最低程度。加强对污水处理设施的巡视、管理及水量监测，及时掌握水量变化以便污水渗漏时做出判断并采取相应</w:t>
            </w:r>
            <w:r>
              <w:rPr>
                <w:rFonts w:hint="eastAsia" w:ascii="Times New Roman" w:hAnsi="Times New Roman" w:cs="Times New Roman"/>
                <w:b w:val="0"/>
                <w:bCs w:val="0"/>
                <w:color w:val="auto"/>
                <w:spacing w:val="-2"/>
                <w:lang w:val="en-US" w:eastAsia="zh-CN"/>
              </w:rPr>
              <w:t>措施</w:t>
            </w:r>
            <w:r>
              <w:rPr>
                <w:rFonts w:hint="default" w:ascii="Times New Roman" w:hAnsi="Times New Roman" w:cs="Times New Roman"/>
                <w:b w:val="0"/>
                <w:bCs w:val="0"/>
                <w:color w:val="auto"/>
                <w:spacing w:val="-2"/>
                <w:lang w:val="en-US" w:eastAsia="zh-CN"/>
              </w:rPr>
              <w:t>。加强废气治理设施检修、维护，使大气污染物得到有效处理，确保各污染物达标排放，杜绝事故排放的措施减轻大气沉降影响。</w:t>
            </w:r>
          </w:p>
          <w:p w14:paraId="27199AC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default" w:ascii="Times New Roman" w:hAnsi="Times New Roman" w:cs="Times New Roman"/>
                <w:b w:val="0"/>
                <w:bCs w:val="0"/>
                <w:color w:val="auto"/>
                <w:spacing w:val="-2"/>
                <w:lang w:val="en-US" w:eastAsia="zh-CN"/>
              </w:rPr>
            </w:pPr>
            <w:r>
              <w:rPr>
                <w:rFonts w:hint="default" w:ascii="Times New Roman" w:hAnsi="Times New Roman" w:cs="Times New Roman"/>
                <w:b w:val="0"/>
                <w:bCs w:val="0"/>
                <w:color w:val="auto"/>
                <w:spacing w:val="-2"/>
                <w:lang w:val="en-US" w:eastAsia="zh-CN"/>
              </w:rPr>
              <w:t>2）分区防治措施</w:t>
            </w:r>
          </w:p>
          <w:p w14:paraId="1F86767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default" w:ascii="Times New Roman" w:hAnsi="Times New Roman" w:cs="Times New Roman"/>
                <w:b w:val="0"/>
                <w:bCs w:val="0"/>
                <w:color w:val="auto"/>
                <w:spacing w:val="-2"/>
                <w:lang w:val="en-US" w:eastAsia="zh-CN"/>
              </w:rPr>
            </w:pPr>
            <w:r>
              <w:rPr>
                <w:rFonts w:hint="eastAsia" w:ascii="Times New Roman" w:hAnsi="Times New Roman" w:cs="Times New Roman"/>
                <w:b w:val="0"/>
                <w:bCs w:val="0"/>
                <w:color w:val="auto"/>
                <w:spacing w:val="-2"/>
                <w:lang w:val="en-US" w:eastAsia="zh-CN"/>
              </w:rPr>
              <w:t xml:space="preserve">本项目混凝土生产区、制砂区、废水池等区域采取一般防渗措施，防渗技术要求为：等效黏土防渗层Mb≥1 .5m，防渗系数K≤1×10 </w:t>
            </w:r>
            <w:r>
              <w:rPr>
                <w:rFonts w:hint="eastAsia" w:ascii="Times New Roman" w:hAnsi="Times New Roman" w:cs="Times New Roman"/>
                <w:b w:val="0"/>
                <w:bCs w:val="0"/>
                <w:color w:val="auto"/>
                <w:spacing w:val="-2"/>
                <w:vertAlign w:val="superscript"/>
                <w:lang w:val="en-US" w:eastAsia="zh-CN"/>
              </w:rPr>
              <w:t>-7</w:t>
            </w:r>
            <w:r>
              <w:rPr>
                <w:rFonts w:hint="eastAsia" w:ascii="Times New Roman" w:hAnsi="Times New Roman" w:cs="Times New Roman"/>
                <w:b w:val="0"/>
                <w:bCs w:val="0"/>
                <w:color w:val="auto"/>
                <w:spacing w:val="-2"/>
                <w:lang w:val="en-US" w:eastAsia="zh-CN"/>
              </w:rPr>
              <w:t xml:space="preserve"> cm/s。办公区、厂内道路为简单防渗，进行地面硬底化。危险废物暂存间为重点防渗区，按照危 险废物贮存污染控制标准》（GB18597-2023）进 行实施。</w:t>
            </w:r>
          </w:p>
          <w:p w14:paraId="20E5A154">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Times New Roman" w:hAnsi="Times New Roman" w:cs="Times New Roman"/>
                <w:b w:val="0"/>
                <w:bCs w:val="0"/>
                <w:color w:val="auto"/>
                <w:spacing w:val="-2"/>
                <w:lang w:val="en-US" w:eastAsia="zh-CN"/>
              </w:rPr>
            </w:pPr>
            <w:r>
              <w:rPr>
                <w:rFonts w:hint="eastAsia" w:ascii="Times New Roman" w:hAnsi="Times New Roman" w:cs="Times New Roman"/>
                <w:b w:val="0"/>
                <w:bCs w:val="0"/>
                <w:color w:val="auto"/>
                <w:spacing w:val="-2"/>
                <w:lang w:val="en-US" w:eastAsia="zh-CN"/>
              </w:rPr>
              <w:t>综上措施，经采取上述措施，本项目一般情况下不会对土壤、地下水产生明显的污染影响。</w:t>
            </w:r>
          </w:p>
          <w:p w14:paraId="00953371">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74" w:firstLineChars="200"/>
              <w:textAlignment w:val="baseline"/>
              <w:rPr>
                <w:rFonts w:hint="default" w:ascii="Times New Roman" w:hAnsi="Times New Roman" w:eastAsia="宋体" w:cs="Times New Roman"/>
                <w:b/>
                <w:bCs/>
                <w:color w:val="auto"/>
                <w:spacing w:val="-2"/>
                <w:lang w:val="en-US" w:eastAsia="zh-CN"/>
              </w:rPr>
            </w:pPr>
            <w:r>
              <w:rPr>
                <w:rFonts w:hint="eastAsia" w:ascii="Times New Roman" w:hAnsi="Times New Roman" w:cs="Times New Roman"/>
                <w:b/>
                <w:bCs/>
                <w:color w:val="auto"/>
                <w:spacing w:val="-2"/>
                <w:lang w:val="en-US" w:eastAsia="zh-CN"/>
              </w:rPr>
              <w:t>6</w:t>
            </w:r>
            <w:r>
              <w:rPr>
                <w:rFonts w:hint="default" w:ascii="Times New Roman" w:hAnsi="Times New Roman" w:cs="Times New Roman"/>
                <w:b/>
                <w:bCs/>
                <w:color w:val="auto"/>
                <w:spacing w:val="-2"/>
                <w:lang w:val="en-US" w:eastAsia="zh-CN"/>
              </w:rPr>
              <w:t>.</w:t>
            </w:r>
            <w:r>
              <w:rPr>
                <w:rFonts w:hint="eastAsia" w:ascii="Times New Roman" w:hAnsi="Times New Roman" w:cs="Times New Roman"/>
                <w:b/>
                <w:bCs/>
                <w:color w:val="auto"/>
                <w:spacing w:val="-2"/>
                <w:lang w:val="en-US" w:eastAsia="zh-CN"/>
              </w:rPr>
              <w:t>环境风险</w:t>
            </w:r>
          </w:p>
          <w:p w14:paraId="0C22EB4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Times New Roman" w:hAnsi="Times New Roman" w:cs="Times New Roman"/>
                <w:b w:val="0"/>
                <w:bCs w:val="0"/>
                <w:color w:val="auto"/>
                <w:spacing w:val="-2"/>
                <w:lang w:val="en-US" w:eastAsia="zh-CN"/>
              </w:rPr>
            </w:pPr>
            <w:r>
              <w:rPr>
                <w:rFonts w:hint="default" w:ascii="Times New Roman" w:hAnsi="Times New Roman" w:cs="Times New Roman"/>
                <w:b w:val="0"/>
                <w:bCs w:val="0"/>
                <w:color w:val="auto"/>
                <w:spacing w:val="-2"/>
                <w:lang w:val="en-US" w:eastAsia="zh-CN"/>
              </w:rPr>
              <w:t>环境风险评价的目的是分析和预测建设项目存在的潜在危险、有害因素 ，建设项目建设和运行期间可能发生的突发性事件或事故（一般不包括人为破坏及自然灾害），引起有毒有害和易燃易爆等物质泄漏，所造成的人身安全与环境影响和损害程度，提出合理可行的防范、应急与减缓措施，使建设项目事故率、损失和环境影响达到可接受水平</w:t>
            </w:r>
            <w:r>
              <w:rPr>
                <w:rFonts w:hint="eastAsia" w:ascii="Times New Roman" w:hAnsi="Times New Roman" w:cs="Times New Roman"/>
                <w:b w:val="0"/>
                <w:bCs w:val="0"/>
                <w:color w:val="auto"/>
                <w:spacing w:val="-2"/>
                <w:lang w:val="en-US" w:eastAsia="zh-CN"/>
              </w:rPr>
              <w:t>。</w:t>
            </w:r>
          </w:p>
          <w:p w14:paraId="3695893B">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default" w:ascii="Times New Roman" w:hAnsi="Times New Roman" w:cs="Times New Roman"/>
                <w:b w:val="0"/>
                <w:bCs w:val="0"/>
                <w:color w:val="auto"/>
                <w:spacing w:val="-2"/>
                <w:lang w:val="en-US" w:eastAsia="zh-CN"/>
              </w:rPr>
            </w:pPr>
            <w:r>
              <w:rPr>
                <w:rFonts w:hint="eastAsia" w:ascii="Times New Roman" w:hAnsi="Times New Roman" w:cs="Times New Roman"/>
                <w:b w:val="0"/>
                <w:bCs w:val="0"/>
                <w:color w:val="auto"/>
                <w:spacing w:val="-2"/>
                <w:lang w:val="en-US" w:eastAsia="zh-CN"/>
              </w:rPr>
              <w:t>（1）风险物质识别</w:t>
            </w:r>
          </w:p>
          <w:p w14:paraId="2FEC1D2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08" w:right="102" w:firstLine="482"/>
              <w:textAlignment w:val="baseline"/>
              <w:rPr>
                <w:color w:val="auto"/>
              </w:rPr>
            </w:pPr>
            <w:r>
              <w:rPr>
                <w:rFonts w:hint="default" w:ascii="Times New Roman" w:hAnsi="Times New Roman" w:cs="Times New Roman"/>
                <w:color w:val="auto"/>
                <w:spacing w:val="14"/>
                <w:lang w:val="en-US" w:eastAsia="zh-CN"/>
              </w:rPr>
              <w:t>对照</w:t>
            </w:r>
            <w:r>
              <w:rPr>
                <w:rFonts w:hint="default" w:ascii="Times New Roman" w:hAnsi="Times New Roman" w:cs="Times New Roman"/>
                <w:color w:val="auto"/>
                <w:spacing w:val="14"/>
              </w:rPr>
              <w:t>《建设项目环境风险评价技术导则》（HJ169-2018）附录B表B.2突发环境事件风险物质</w:t>
            </w:r>
            <w:r>
              <w:rPr>
                <w:rFonts w:hint="eastAsia" w:ascii="Times New Roman" w:hAnsi="Times New Roman" w:cs="Times New Roman"/>
                <w:color w:val="auto"/>
                <w:spacing w:val="14"/>
                <w:lang w:eastAsia="zh-CN"/>
              </w:rPr>
              <w:t>，</w:t>
            </w:r>
            <w:r>
              <w:rPr>
                <w:rFonts w:hint="eastAsia" w:ascii="Times New Roman" w:hAnsi="Times New Roman" w:cs="Times New Roman"/>
                <w:color w:val="auto"/>
                <w:spacing w:val="14"/>
                <w:lang w:val="en-US" w:eastAsia="zh-CN"/>
              </w:rPr>
              <w:t>本项目涉及的环境风险物质包括润滑油（最大储存量为0.1t，临界量为2500t，则q值为0.0004）、废润滑油（最大储存量为0.05t，临界量为50t，则q值为0.001），即项目Q值为0.0014小于1，</w:t>
            </w:r>
            <w:r>
              <w:rPr>
                <w:color w:val="auto"/>
                <w:spacing w:val="-7"/>
              </w:rPr>
              <w:t>环境风险潜势为Ⅰ</w:t>
            </w:r>
            <w:r>
              <w:rPr>
                <w:rFonts w:hint="eastAsia"/>
                <w:color w:val="auto"/>
                <w:spacing w:val="-7"/>
                <w:lang w:eastAsia="zh-CN"/>
              </w:rPr>
              <w:t>，</w:t>
            </w:r>
            <w:r>
              <w:rPr>
                <w:color w:val="auto"/>
                <w:spacing w:val="-7"/>
              </w:rPr>
              <w:t>不开展环境风险专项评价。</w:t>
            </w:r>
          </w:p>
          <w:p w14:paraId="77FAFEEB">
            <w:pPr>
              <w:pStyle w:val="22"/>
              <w:spacing w:before="59" w:line="360" w:lineRule="auto"/>
              <w:ind w:left="599"/>
              <w:rPr>
                <w:color w:val="auto"/>
              </w:rPr>
            </w:pPr>
            <w:r>
              <w:rPr>
                <w:color w:val="auto"/>
                <w:spacing w:val="-3"/>
              </w:rPr>
              <w:t>（</w:t>
            </w:r>
            <w:r>
              <w:rPr>
                <w:rFonts w:ascii="Times New Roman" w:hAnsi="Times New Roman" w:eastAsia="Times New Roman" w:cs="Times New Roman"/>
                <w:color w:val="auto"/>
                <w:spacing w:val="-3"/>
              </w:rPr>
              <w:t>2</w:t>
            </w:r>
            <w:r>
              <w:rPr>
                <w:color w:val="auto"/>
                <w:spacing w:val="-3"/>
              </w:rPr>
              <w:t>）环境风险分析</w:t>
            </w:r>
          </w:p>
          <w:p w14:paraId="45BE6F2B">
            <w:pPr>
              <w:pStyle w:val="22"/>
              <w:keepNext w:val="0"/>
              <w:keepLines w:val="0"/>
              <w:pageBreakBefore w:val="0"/>
              <w:widowControl/>
              <w:kinsoku w:val="0"/>
              <w:wordWrap/>
              <w:overflowPunct/>
              <w:topLinePunct w:val="0"/>
              <w:autoSpaceDE w:val="0"/>
              <w:autoSpaceDN w:val="0"/>
              <w:bidi w:val="0"/>
              <w:adjustRightInd w:val="0"/>
              <w:snapToGrid w:val="0"/>
              <w:spacing w:line="356" w:lineRule="auto"/>
              <w:ind w:left="108" w:right="40" w:firstLine="482"/>
              <w:jc w:val="both"/>
              <w:textAlignment w:val="baseline"/>
              <w:rPr>
                <w:color w:val="auto"/>
              </w:rPr>
            </w:pPr>
            <w:r>
              <w:rPr>
                <w:color w:val="auto"/>
              </w:rPr>
              <w:t>本项目生产工艺较为简单，主要考虑本项目</w:t>
            </w:r>
            <w:r>
              <w:rPr>
                <w:rFonts w:hint="eastAsia"/>
                <w:color w:val="auto"/>
                <w:lang w:val="en-US" w:eastAsia="zh-CN"/>
              </w:rPr>
              <w:t>废水</w:t>
            </w:r>
            <w:r>
              <w:rPr>
                <w:color w:val="auto"/>
              </w:rPr>
              <w:t>池，当由于人为管理不</w:t>
            </w:r>
            <w:r>
              <w:rPr>
                <w:color w:val="auto"/>
                <w:spacing w:val="14"/>
              </w:rPr>
              <w:t xml:space="preserve"> </w:t>
            </w:r>
            <w:r>
              <w:rPr>
                <w:color w:val="auto"/>
                <w:spacing w:val="-5"/>
              </w:rPr>
              <w:t>当，或者自然条件的影响（主要考虑暴雨情况）等导致废水事故排放，</w:t>
            </w:r>
            <w:r>
              <w:rPr>
                <w:color w:val="auto"/>
              </w:rPr>
              <w:t>事故状态下排放的废水将直接进入到外界水环境中，由于</w:t>
            </w:r>
            <w:r>
              <w:rPr>
                <w:rFonts w:hint="eastAsia"/>
                <w:color w:val="auto"/>
                <w:lang w:val="en-US" w:eastAsia="zh-CN"/>
              </w:rPr>
              <w:t>废水池中</w:t>
            </w:r>
            <w:r>
              <w:rPr>
                <w:color w:val="auto"/>
              </w:rPr>
              <w:t>悬浮物浓度相对较高，泄漏进入外界水环境中会导致局部水环境中悬浮物浓度短</w:t>
            </w:r>
            <w:r>
              <w:rPr>
                <w:color w:val="auto"/>
                <w:spacing w:val="-1"/>
              </w:rPr>
              <w:t>时间内明显上升，从而影响项目周边水体环境质量。</w:t>
            </w:r>
          </w:p>
          <w:p w14:paraId="4E3C5FAA">
            <w:pPr>
              <w:pStyle w:val="22"/>
              <w:spacing w:before="30" w:line="353" w:lineRule="auto"/>
              <w:ind w:right="41" w:firstLine="476" w:firstLineChars="200"/>
              <w:jc w:val="both"/>
              <w:rPr>
                <w:rFonts w:hint="eastAsia"/>
                <w:color w:val="auto"/>
                <w:spacing w:val="-1"/>
                <w:lang w:val="en-US" w:eastAsia="zh-CN"/>
              </w:rPr>
            </w:pPr>
            <w:r>
              <w:rPr>
                <w:rFonts w:hint="eastAsia"/>
                <w:color w:val="auto"/>
                <w:spacing w:val="-1"/>
                <w:lang w:val="en-US" w:eastAsia="zh-CN"/>
              </w:rPr>
              <w:t>润滑油和废润滑油为液态物质，在储存过程中，由于容器的腐蚀破损可 能造成泄漏，若泄漏的矿物油流入地表水、地下水、土壤环境，则会造成地表水、地下水、土壤的污染，破坏地表水、地下水、土壤中生物生存环境。</w:t>
            </w:r>
          </w:p>
          <w:p w14:paraId="1FA7F146">
            <w:pPr>
              <w:pStyle w:val="22"/>
              <w:spacing w:before="30" w:line="353" w:lineRule="auto"/>
              <w:ind w:right="41" w:firstLine="476" w:firstLineChars="200"/>
              <w:jc w:val="both"/>
              <w:rPr>
                <w:color w:val="auto"/>
              </w:rPr>
            </w:pPr>
            <w:r>
              <w:rPr>
                <w:rFonts w:hint="eastAsia"/>
                <w:color w:val="auto"/>
                <w:spacing w:val="-1"/>
                <w:lang w:val="en-US" w:eastAsia="zh-CN"/>
              </w:rPr>
              <w:t>此外，</w:t>
            </w:r>
            <w:r>
              <w:rPr>
                <w:color w:val="auto"/>
                <w:spacing w:val="-1"/>
              </w:rPr>
              <w:t>由于本项目粉尘为生产过程中产生的主要污染物，本项目粉尘污染防治</w:t>
            </w:r>
            <w:r>
              <w:rPr>
                <w:color w:val="auto"/>
                <w:spacing w:val="17"/>
              </w:rPr>
              <w:t xml:space="preserve"> </w:t>
            </w:r>
            <w:r>
              <w:rPr>
                <w:color w:val="auto"/>
              </w:rPr>
              <w:t>措施主要为脉冲布袋除尘器</w:t>
            </w:r>
            <w:r>
              <w:rPr>
                <w:rFonts w:hint="eastAsia"/>
                <w:color w:val="auto"/>
                <w:lang w:eastAsia="zh-CN"/>
              </w:rPr>
              <w:t>、</w:t>
            </w:r>
            <w:r>
              <w:rPr>
                <w:color w:val="auto"/>
              </w:rPr>
              <w:t>喷淋</w:t>
            </w:r>
            <w:r>
              <w:rPr>
                <w:rFonts w:hint="eastAsia"/>
                <w:color w:val="auto"/>
                <w:lang w:val="en-US" w:eastAsia="zh-CN"/>
              </w:rPr>
              <w:t>洒水</w:t>
            </w:r>
            <w:r>
              <w:rPr>
                <w:color w:val="auto"/>
              </w:rPr>
              <w:t>装置，当装置发生故障时，如设备老</w:t>
            </w:r>
            <w:r>
              <w:rPr>
                <w:color w:val="auto"/>
                <w:spacing w:val="16"/>
              </w:rPr>
              <w:t xml:space="preserve"> </w:t>
            </w:r>
            <w:r>
              <w:rPr>
                <w:color w:val="auto"/>
                <w:spacing w:val="-5"/>
              </w:rPr>
              <w:t>化破损、设备断电等情况，导致粉尘未得到及时处理，粉尘排放浓度会增加，</w:t>
            </w:r>
            <w:r>
              <w:rPr>
                <w:color w:val="auto"/>
                <w:spacing w:val="-1"/>
              </w:rPr>
              <w:t>对厂区周围大气环境会造成一定的影响。</w:t>
            </w:r>
          </w:p>
          <w:p w14:paraId="2FA3E32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99"/>
              <w:textAlignment w:val="baseline"/>
              <w:rPr>
                <w:color w:val="auto"/>
              </w:rPr>
            </w:pPr>
            <w:r>
              <w:rPr>
                <w:color w:val="auto"/>
                <w:spacing w:val="-3"/>
              </w:rPr>
              <w:t>（</w:t>
            </w:r>
            <w:r>
              <w:rPr>
                <w:rFonts w:ascii="Times New Roman" w:hAnsi="Times New Roman" w:eastAsia="Times New Roman" w:cs="Times New Roman"/>
                <w:color w:val="auto"/>
                <w:spacing w:val="-3"/>
              </w:rPr>
              <w:t>3</w:t>
            </w:r>
            <w:r>
              <w:rPr>
                <w:color w:val="auto"/>
                <w:spacing w:val="-3"/>
              </w:rPr>
              <w:t>）风险防范措施</w:t>
            </w:r>
          </w:p>
          <w:p w14:paraId="0285852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07" w:right="103" w:firstLine="479"/>
              <w:textAlignment w:val="baseline"/>
              <w:rPr>
                <w:color w:val="auto"/>
              </w:rPr>
            </w:pPr>
            <w:r>
              <w:rPr>
                <w:color w:val="auto"/>
              </w:rPr>
              <w:t>①规范</w:t>
            </w:r>
            <w:r>
              <w:rPr>
                <w:rFonts w:hint="eastAsia"/>
                <w:color w:val="auto"/>
                <w:lang w:val="en-US" w:eastAsia="zh-CN"/>
              </w:rPr>
              <w:t>废水</w:t>
            </w:r>
            <w:r>
              <w:rPr>
                <w:color w:val="auto"/>
              </w:rPr>
              <w:t>池</w:t>
            </w:r>
            <w:r>
              <w:rPr>
                <w:rFonts w:hint="eastAsia"/>
                <w:color w:val="auto"/>
                <w:lang w:val="en-US" w:eastAsia="zh-CN"/>
              </w:rPr>
              <w:t>的</w:t>
            </w:r>
            <w:r>
              <w:rPr>
                <w:color w:val="auto"/>
              </w:rPr>
              <w:t>建设，对</w:t>
            </w:r>
            <w:r>
              <w:rPr>
                <w:rFonts w:hint="eastAsia"/>
                <w:color w:val="auto"/>
                <w:lang w:val="en-US" w:eastAsia="zh-CN"/>
              </w:rPr>
              <w:t>废水池进行防渗处理</w:t>
            </w:r>
            <w:r>
              <w:rPr>
                <w:color w:val="auto"/>
              </w:rPr>
              <w:t>，</w:t>
            </w:r>
            <w:r>
              <w:rPr>
                <w:rFonts w:hint="eastAsia"/>
                <w:color w:val="auto"/>
                <w:lang w:val="en-US" w:eastAsia="zh-CN"/>
              </w:rPr>
              <w:t>定期清理废水池中沉积的淤泥，</w:t>
            </w:r>
            <w:r>
              <w:rPr>
                <w:color w:val="auto"/>
              </w:rPr>
              <w:t>确保池体质量达标、满足收集处理要求，防止因池体质量</w:t>
            </w:r>
            <w:r>
              <w:rPr>
                <w:color w:val="auto"/>
                <w:spacing w:val="-1"/>
              </w:rPr>
              <w:t>不达标导致的池体破损。</w:t>
            </w:r>
          </w:p>
          <w:p w14:paraId="60520C9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86"/>
              <w:textAlignment w:val="baseline"/>
              <w:rPr>
                <w:color w:val="auto"/>
              </w:rPr>
            </w:pPr>
            <w:r>
              <w:rPr>
                <w:color w:val="auto"/>
              </w:rPr>
              <w:t>②加强人员管理，定期对</w:t>
            </w:r>
            <w:r>
              <w:rPr>
                <w:rFonts w:hint="eastAsia"/>
                <w:color w:val="auto"/>
                <w:lang w:val="en-US" w:eastAsia="zh-CN"/>
              </w:rPr>
              <w:t>废水</w:t>
            </w:r>
            <w:r>
              <w:rPr>
                <w:color w:val="auto"/>
              </w:rPr>
              <w:t>池周围进行检查，预</w:t>
            </w:r>
            <w:r>
              <w:rPr>
                <w:color w:val="auto"/>
                <w:spacing w:val="-1"/>
              </w:rPr>
              <w:t>防风险事故的发生。</w:t>
            </w:r>
          </w:p>
          <w:p w14:paraId="1C28B534">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06" w:right="41" w:firstLine="479"/>
              <w:textAlignment w:val="baseline"/>
              <w:rPr>
                <w:color w:val="auto"/>
              </w:rPr>
            </w:pPr>
            <w:r>
              <w:rPr>
                <w:color w:val="auto"/>
                <w:spacing w:val="-5"/>
              </w:rPr>
              <w:t>③</w:t>
            </w:r>
            <w:r>
              <w:rPr>
                <w:rFonts w:hint="eastAsia"/>
                <w:color w:val="auto"/>
                <w:spacing w:val="-5"/>
              </w:rPr>
              <w:t>制定雨季应急管理方案</w:t>
            </w:r>
            <w:r>
              <w:rPr>
                <w:rFonts w:hint="eastAsia"/>
                <w:color w:val="auto"/>
                <w:spacing w:val="-5"/>
                <w:lang w:val="en-US" w:eastAsia="zh-CN"/>
              </w:rPr>
              <w:t>。</w:t>
            </w:r>
            <w:r>
              <w:rPr>
                <w:color w:val="auto"/>
                <w:spacing w:val="-5"/>
              </w:rPr>
              <w:t>雨季期间，加强对自然天气状况的监控，发生暴雨等自然环境影响时</w:t>
            </w:r>
            <w:r>
              <w:rPr>
                <w:rFonts w:hint="eastAsia"/>
                <w:color w:val="auto"/>
                <w:spacing w:val="-5"/>
                <w:lang w:eastAsia="zh-CN"/>
              </w:rPr>
              <w:t>，</w:t>
            </w:r>
            <w:r>
              <w:rPr>
                <w:rFonts w:hint="eastAsia"/>
                <w:color w:val="auto"/>
                <w:spacing w:val="-1"/>
              </w:rPr>
              <w:t>第一时间检查雨水切换阀，保证初期雨水全部入池，疏通堵塞的排水沟，避免</w:t>
            </w:r>
            <w:r>
              <w:rPr>
                <w:rFonts w:hint="eastAsia"/>
                <w:color w:val="auto"/>
                <w:spacing w:val="-1"/>
                <w:lang w:val="en-US" w:eastAsia="zh-CN"/>
              </w:rPr>
              <w:t>初期</w:t>
            </w:r>
            <w:r>
              <w:rPr>
                <w:rFonts w:hint="eastAsia"/>
                <w:color w:val="auto"/>
                <w:spacing w:val="-1"/>
              </w:rPr>
              <w:t>雨水沿地面漫流</w:t>
            </w:r>
            <w:r>
              <w:rPr>
                <w:rFonts w:hint="eastAsia"/>
                <w:color w:val="auto"/>
                <w:spacing w:val="-1"/>
                <w:lang w:eastAsia="zh-CN"/>
              </w:rPr>
              <w:t>。</w:t>
            </w:r>
            <w:r>
              <w:rPr>
                <w:rFonts w:hint="eastAsia"/>
                <w:color w:val="auto"/>
                <w:spacing w:val="-1"/>
                <w:lang w:val="en-US" w:eastAsia="zh-CN"/>
              </w:rPr>
              <w:t>项目对初期雨水进行收集，厂区设置有1个</w:t>
            </w:r>
            <w:r>
              <w:rPr>
                <w:rFonts w:hint="default" w:ascii="Times New Roman" w:hAnsi="Times New Roman" w:cs="Times New Roman"/>
                <w:color w:val="auto"/>
                <w:spacing w:val="-1"/>
                <w:lang w:val="en-US" w:eastAsia="zh-CN"/>
              </w:rPr>
              <w:t>600m</w:t>
            </w:r>
            <w:r>
              <w:rPr>
                <w:rFonts w:hint="default" w:ascii="Times New Roman" w:hAnsi="Times New Roman" w:cs="Times New Roman"/>
                <w:color w:val="auto"/>
                <w:spacing w:val="-1"/>
                <w:vertAlign w:val="superscript"/>
                <w:lang w:val="en-US" w:eastAsia="zh-CN"/>
              </w:rPr>
              <w:t>3</w:t>
            </w:r>
            <w:r>
              <w:rPr>
                <w:rFonts w:hint="default" w:ascii="Times New Roman" w:hAnsi="Times New Roman" w:cs="Times New Roman"/>
                <w:color w:val="auto"/>
                <w:spacing w:val="-1"/>
                <w:lang w:val="en-US" w:eastAsia="zh-CN"/>
              </w:rPr>
              <w:t>的污水池</w:t>
            </w:r>
            <w:r>
              <w:rPr>
                <w:rFonts w:hint="eastAsia"/>
                <w:color w:val="auto"/>
                <w:spacing w:val="-1"/>
                <w:lang w:val="en-US" w:eastAsia="zh-CN"/>
              </w:rPr>
              <w:t>，可满足初期雨水收集要求。建设单位应定期清理污水池污泥，确保有足够容积收集废水，</w:t>
            </w:r>
            <w:r>
              <w:rPr>
                <w:color w:val="auto"/>
                <w:spacing w:val="-1"/>
              </w:rPr>
              <w:t>防止废水外溢情况发生。</w:t>
            </w:r>
          </w:p>
          <w:p w14:paraId="20A2ABAC">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0" w:right="103" w:firstLine="475"/>
              <w:textAlignment w:val="baseline"/>
              <w:rPr>
                <w:color w:val="auto"/>
                <w:spacing w:val="-1"/>
              </w:rPr>
            </w:pPr>
            <w:r>
              <w:rPr>
                <w:color w:val="auto"/>
              </w:rPr>
              <w:t>④设置有专人负责废气收集与处理设施的维修与保养工作。对出现故障</w:t>
            </w:r>
            <w:r>
              <w:rPr>
                <w:color w:val="auto"/>
                <w:spacing w:val="17"/>
              </w:rPr>
              <w:t xml:space="preserve"> </w:t>
            </w:r>
            <w:r>
              <w:rPr>
                <w:color w:val="auto"/>
              </w:rPr>
              <w:t>的废气处理设施进行排查，分析故障原因，对破损部位进行修补。待废气处</w:t>
            </w:r>
            <w:r>
              <w:rPr>
                <w:color w:val="auto"/>
                <w:spacing w:val="13"/>
              </w:rPr>
              <w:t xml:space="preserve"> </w:t>
            </w:r>
            <w:r>
              <w:rPr>
                <w:color w:val="auto"/>
                <w:spacing w:val="-1"/>
              </w:rPr>
              <w:t>理装置恢复正常后，方可再投入生产。</w:t>
            </w:r>
          </w:p>
          <w:p w14:paraId="725C56AB">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0" w:right="103" w:firstLine="475"/>
              <w:textAlignment w:val="baseline"/>
              <w:rPr>
                <w:color w:val="auto"/>
                <w:spacing w:val="-1"/>
              </w:rPr>
            </w:pPr>
            <w:r>
              <w:rPr>
                <w:rFonts w:hint="eastAsia" w:ascii="宋体" w:hAnsi="宋体" w:eastAsia="宋体" w:cs="宋体"/>
                <w:color w:val="auto"/>
                <w:spacing w:val="-1"/>
              </w:rPr>
              <w:t>⑤在</w:t>
            </w:r>
            <w:r>
              <w:rPr>
                <w:rFonts w:hint="eastAsia" w:ascii="宋体" w:hAnsi="宋体" w:eastAsia="宋体" w:cs="宋体"/>
                <w:color w:val="auto"/>
                <w:spacing w:val="-1"/>
                <w:lang w:val="en-US" w:eastAsia="zh-CN"/>
              </w:rPr>
              <w:t>润滑</w:t>
            </w:r>
            <w:r>
              <w:rPr>
                <w:rFonts w:hint="eastAsia" w:ascii="宋体" w:hAnsi="宋体" w:eastAsia="宋体" w:cs="宋体"/>
                <w:color w:val="auto"/>
                <w:spacing w:val="-1"/>
              </w:rPr>
              <w:t>油</w:t>
            </w:r>
            <w:r>
              <w:rPr>
                <w:rFonts w:hint="eastAsia" w:ascii="宋体" w:hAnsi="宋体" w:eastAsia="宋体" w:cs="宋体"/>
                <w:color w:val="auto"/>
                <w:spacing w:val="-1"/>
                <w:lang w:eastAsia="zh-CN"/>
              </w:rPr>
              <w:t>、</w:t>
            </w:r>
            <w:r>
              <w:rPr>
                <w:rFonts w:hint="eastAsia" w:ascii="宋体" w:hAnsi="宋体" w:eastAsia="宋体" w:cs="宋体"/>
                <w:color w:val="auto"/>
                <w:spacing w:val="-1"/>
                <w:lang w:val="en-US" w:eastAsia="zh-CN"/>
              </w:rPr>
              <w:t>废润滑油</w:t>
            </w:r>
            <w:r>
              <w:rPr>
                <w:rFonts w:hint="eastAsia" w:ascii="宋体" w:hAnsi="宋体" w:eastAsia="宋体" w:cs="宋体"/>
                <w:color w:val="auto"/>
                <w:spacing w:val="-1"/>
              </w:rPr>
              <w:t>存储区设置围挡和防流失措施，危废暂存间地面采取硬化和重点防渗。一旦出现泄漏现象，及时控制泄漏点，并更换盛装容器，将泄漏的</w:t>
            </w:r>
            <w:r>
              <w:rPr>
                <w:rFonts w:hint="eastAsia" w:ascii="宋体" w:hAnsi="宋体" w:eastAsia="宋体" w:cs="宋体"/>
                <w:color w:val="auto"/>
                <w:spacing w:val="-1"/>
                <w:lang w:val="en-US" w:eastAsia="zh-CN"/>
              </w:rPr>
              <w:t>润滑</w:t>
            </w:r>
            <w:r>
              <w:rPr>
                <w:rFonts w:hint="eastAsia" w:ascii="宋体" w:hAnsi="宋体" w:eastAsia="宋体" w:cs="宋体"/>
                <w:color w:val="auto"/>
                <w:spacing w:val="-1"/>
              </w:rPr>
              <w:t>油采用专门的容器收集，及时清理或清洗泄漏的地点，防止</w:t>
            </w:r>
            <w:r>
              <w:rPr>
                <w:rFonts w:hint="eastAsia" w:ascii="宋体" w:hAnsi="宋体" w:eastAsia="宋体" w:cs="宋体"/>
                <w:color w:val="auto"/>
                <w:spacing w:val="-1"/>
                <w:lang w:val="en-US" w:eastAsia="zh-CN"/>
              </w:rPr>
              <w:t>润滑</w:t>
            </w:r>
            <w:r>
              <w:rPr>
                <w:rFonts w:hint="eastAsia" w:ascii="宋体" w:hAnsi="宋体" w:eastAsia="宋体" w:cs="宋体"/>
                <w:color w:val="auto"/>
                <w:spacing w:val="-1"/>
              </w:rPr>
              <w:t>油漫流或下渗。</w:t>
            </w:r>
          </w:p>
          <w:p w14:paraId="6299A056">
            <w:pPr>
              <w:pStyle w:val="22"/>
              <w:spacing w:before="25" w:line="360" w:lineRule="auto"/>
              <w:ind w:left="106" w:right="22" w:firstLine="484"/>
              <w:jc w:val="both"/>
              <w:rPr>
                <w:color w:val="auto"/>
              </w:rPr>
            </w:pPr>
            <w:r>
              <w:rPr>
                <w:color w:val="auto"/>
                <w:spacing w:val="-5"/>
              </w:rPr>
              <w:t>项目须严格落实上述措施，加强防范意识、责任意识，按规范进行操作。</w:t>
            </w:r>
            <w:r>
              <w:rPr>
                <w:color w:val="auto"/>
                <w:spacing w:val="12"/>
              </w:rPr>
              <w:t xml:space="preserve"> </w:t>
            </w:r>
            <w:r>
              <w:rPr>
                <w:color w:val="auto"/>
              </w:rPr>
              <w:t>在严格采取上述措施前提下，项目风险事故发生概率较低，运营期间环境风</w:t>
            </w:r>
            <w:r>
              <w:rPr>
                <w:color w:val="auto"/>
                <w:spacing w:val="16"/>
              </w:rPr>
              <w:t xml:space="preserve"> </w:t>
            </w:r>
            <w:r>
              <w:rPr>
                <w:color w:val="auto"/>
                <w:spacing w:val="-3"/>
              </w:rPr>
              <w:t>险可控。</w:t>
            </w:r>
          </w:p>
          <w:p w14:paraId="79EBE3AB">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87"/>
              <w:textAlignment w:val="baseline"/>
              <w:rPr>
                <w:rFonts w:hint="eastAsia" w:eastAsia="宋体"/>
                <w:color w:val="auto"/>
                <w:lang w:val="en-US" w:eastAsia="zh-CN"/>
              </w:rPr>
            </w:pPr>
            <w:r>
              <w:rPr>
                <w:rFonts w:hint="eastAsia" w:ascii="Times New Roman" w:hAnsi="Times New Roman" w:eastAsia="宋体" w:cs="Times New Roman"/>
                <w:b/>
                <w:bCs/>
                <w:color w:val="auto"/>
                <w:spacing w:val="-2"/>
                <w:lang w:val="en-US" w:eastAsia="zh-CN"/>
              </w:rPr>
              <w:t>7</w:t>
            </w:r>
            <w:r>
              <w:rPr>
                <w:rFonts w:ascii="Times New Roman" w:hAnsi="Times New Roman" w:eastAsia="Times New Roman" w:cs="Times New Roman"/>
                <w:b/>
                <w:bCs/>
                <w:color w:val="auto"/>
                <w:spacing w:val="-2"/>
              </w:rPr>
              <w:t xml:space="preserve">.  </w:t>
            </w:r>
            <w:r>
              <w:rPr>
                <w:rFonts w:hint="eastAsia" w:ascii="Times New Roman" w:hAnsi="Times New Roman" w:eastAsia="宋体" w:cs="Times New Roman"/>
                <w:b/>
                <w:bCs/>
                <w:color w:val="auto"/>
                <w:spacing w:val="-2"/>
                <w:lang w:val="en-US" w:eastAsia="zh-CN"/>
              </w:rPr>
              <w:t>生态</w:t>
            </w:r>
          </w:p>
          <w:p w14:paraId="3BF1095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ascii="Times New Roman" w:hAnsi="Times New Roman" w:eastAsia="Times New Roman" w:cs="Times New Roman"/>
                <w:b w:val="0"/>
                <w:bCs w:val="0"/>
                <w:color w:val="auto"/>
                <w:spacing w:val="-2"/>
              </w:rPr>
            </w:pPr>
            <w:r>
              <w:rPr>
                <w:rFonts w:hint="eastAsia" w:ascii="Times New Roman" w:hAnsi="Times New Roman" w:eastAsia="Times New Roman" w:cs="Times New Roman"/>
                <w:b w:val="0"/>
                <w:bCs w:val="0"/>
                <w:color w:val="auto"/>
                <w:spacing w:val="-2"/>
              </w:rPr>
              <w:t>本项目为新建项目，根据现场勘查，项目用地范围内无珍稀保护动植物，本项目不会对周边生态环境造成明显影响。</w:t>
            </w:r>
          </w:p>
          <w:p w14:paraId="4304341C">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90"/>
              <w:textAlignment w:val="baseline"/>
              <w:rPr>
                <w:color w:val="auto"/>
              </w:rPr>
            </w:pPr>
            <w:r>
              <w:rPr>
                <w:rFonts w:ascii="Times New Roman" w:hAnsi="Times New Roman" w:eastAsia="Times New Roman" w:cs="Times New Roman"/>
                <w:b/>
                <w:bCs/>
                <w:color w:val="auto"/>
                <w:spacing w:val="-2"/>
              </w:rPr>
              <w:t xml:space="preserve">8.  </w:t>
            </w:r>
            <w:r>
              <w:rPr>
                <w:b/>
                <w:bCs/>
                <w:color w:val="auto"/>
                <w:spacing w:val="-2"/>
              </w:rPr>
              <w:t>环境</w:t>
            </w:r>
            <w:r>
              <w:rPr>
                <w:rFonts w:hint="eastAsia"/>
                <w:b/>
                <w:bCs/>
                <w:color w:val="auto"/>
                <w:spacing w:val="-2"/>
                <w:lang w:val="en-US" w:eastAsia="zh-CN"/>
              </w:rPr>
              <w:t>管理与</w:t>
            </w:r>
            <w:r>
              <w:rPr>
                <w:b/>
                <w:bCs/>
                <w:color w:val="auto"/>
                <w:spacing w:val="-2"/>
              </w:rPr>
              <w:t>监测计划</w:t>
            </w:r>
          </w:p>
          <w:p w14:paraId="3D5B0FF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90"/>
              <w:textAlignment w:val="baseline"/>
              <w:rPr>
                <w:rFonts w:hint="default"/>
                <w:color w:val="auto"/>
                <w:spacing w:val="1"/>
                <w:lang w:val="en-US" w:eastAsia="zh-CN"/>
              </w:rPr>
            </w:pPr>
            <w:r>
              <w:rPr>
                <w:rFonts w:hint="eastAsia"/>
                <w:color w:val="auto"/>
                <w:spacing w:val="1"/>
                <w:lang w:val="en-US" w:eastAsia="zh-CN"/>
              </w:rPr>
              <w:t>（1）环境管理要求</w:t>
            </w:r>
          </w:p>
          <w:p w14:paraId="32BC1B3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color w:val="auto"/>
                <w:spacing w:val="1"/>
                <w:lang w:val="en-US" w:eastAsia="zh-CN"/>
              </w:rPr>
            </w:pPr>
            <w:r>
              <w:rPr>
                <w:rFonts w:hint="eastAsia"/>
                <w:color w:val="auto"/>
                <w:spacing w:val="1"/>
                <w:lang w:val="en-US" w:eastAsia="zh-CN"/>
              </w:rPr>
              <w:t>根据国家政策的有关规定及项目特点，建设单位将设置环境保护管理专门机构和安排相关管理人员等。环境管理机构的职责如下：</w:t>
            </w:r>
          </w:p>
          <w:p w14:paraId="797C0BAE">
            <w:pPr>
              <w:pageBreakBefore w:val="0"/>
              <w:kinsoku/>
              <w:topLinePunct w:val="0"/>
              <w:autoSpaceDE w:val="0"/>
              <w:autoSpaceDN w:val="0"/>
              <w:bidi w:val="0"/>
              <w:adjustRightInd w:val="0"/>
              <w:snapToGrid w:val="0"/>
              <w:spacing w:line="360" w:lineRule="auto"/>
              <w:ind w:firstLine="472"/>
              <w:jc w:val="left"/>
              <w:rPr>
                <w:rFonts w:hint="default" w:ascii="Times New Roman" w:hAnsi="Times New Roman" w:cs="Times New Roman"/>
                <w:color w:val="auto"/>
                <w:sz w:val="24"/>
                <w:szCs w:val="24"/>
                <w:u w:val="none" w:color="auto"/>
              </w:rPr>
            </w:pPr>
            <w:r>
              <w:rPr>
                <w:rFonts w:hint="eastAsia" w:ascii="Times New Roman" w:hAnsi="Times New Roman" w:eastAsia="宋体" w:cs="Times New Roman"/>
                <w:color w:val="auto"/>
                <w:sz w:val="24"/>
                <w:szCs w:val="24"/>
                <w:u w:val="none" w:color="auto"/>
                <w:lang w:val="en-US" w:eastAsia="zh-CN"/>
              </w:rPr>
              <w:t>1）</w:t>
            </w:r>
            <w:r>
              <w:rPr>
                <w:rFonts w:hint="default" w:ascii="Times New Roman" w:hAnsi="Times New Roman" w:cs="Times New Roman"/>
                <w:color w:val="auto"/>
                <w:sz w:val="24"/>
                <w:szCs w:val="24"/>
                <w:u w:val="none" w:color="auto"/>
              </w:rPr>
              <w:t>贯彻执行环境污染保护法和标准。</w:t>
            </w:r>
          </w:p>
          <w:p w14:paraId="1457677D">
            <w:pPr>
              <w:pageBreakBefore w:val="0"/>
              <w:kinsoku/>
              <w:topLinePunct w:val="0"/>
              <w:autoSpaceDE w:val="0"/>
              <w:autoSpaceDN w:val="0"/>
              <w:bidi w:val="0"/>
              <w:adjustRightInd w:val="0"/>
              <w:snapToGrid w:val="0"/>
              <w:spacing w:line="360" w:lineRule="auto"/>
              <w:ind w:firstLine="472"/>
              <w:jc w:val="left"/>
              <w:rPr>
                <w:rFonts w:hint="default" w:ascii="Times New Roman" w:hAnsi="Times New Roman" w:cs="Times New Roman"/>
                <w:color w:val="auto"/>
                <w:sz w:val="24"/>
                <w:szCs w:val="24"/>
                <w:u w:val="none" w:color="auto"/>
              </w:rPr>
            </w:pPr>
            <w:r>
              <w:rPr>
                <w:rFonts w:hint="eastAsia" w:ascii="Times New Roman" w:hAnsi="Times New Roman" w:eastAsia="宋体"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rPr>
              <w:t>组织制定和修改企业的环境污染保护管理体制规章制度，并监督执行。</w:t>
            </w:r>
          </w:p>
          <w:p w14:paraId="1C54DE1C">
            <w:pPr>
              <w:pageBreakBefore w:val="0"/>
              <w:kinsoku/>
              <w:topLinePunct w:val="0"/>
              <w:autoSpaceDE w:val="0"/>
              <w:autoSpaceDN w:val="0"/>
              <w:bidi w:val="0"/>
              <w:adjustRightInd w:val="0"/>
              <w:snapToGrid w:val="0"/>
              <w:spacing w:line="360" w:lineRule="auto"/>
              <w:ind w:firstLine="472"/>
              <w:jc w:val="left"/>
              <w:rPr>
                <w:rFonts w:hint="default" w:ascii="Times New Roman" w:hAnsi="Times New Roman" w:cs="Times New Roman"/>
                <w:color w:val="auto"/>
                <w:sz w:val="24"/>
                <w:szCs w:val="24"/>
                <w:u w:val="none" w:color="auto"/>
              </w:rPr>
            </w:pPr>
            <w:r>
              <w:rPr>
                <w:rFonts w:hint="eastAsia" w:ascii="Times New Roman" w:hAnsi="Times New Roman" w:eastAsia="宋体"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制定并组织实施环境保护规划和标准。</w:t>
            </w:r>
          </w:p>
          <w:p w14:paraId="65A2B3C9">
            <w:pPr>
              <w:pageBreakBefore w:val="0"/>
              <w:kinsoku/>
              <w:topLinePunct w:val="0"/>
              <w:autoSpaceDE w:val="0"/>
              <w:autoSpaceDN w:val="0"/>
              <w:bidi w:val="0"/>
              <w:adjustRightInd w:val="0"/>
              <w:snapToGrid w:val="0"/>
              <w:spacing w:line="360" w:lineRule="auto"/>
              <w:ind w:firstLine="472"/>
              <w:jc w:val="left"/>
              <w:rPr>
                <w:rFonts w:hint="default" w:ascii="Times New Roman" w:hAnsi="Times New Roman" w:cs="Times New Roman"/>
                <w:color w:val="auto"/>
                <w:sz w:val="24"/>
                <w:szCs w:val="24"/>
                <w:u w:val="none" w:color="auto"/>
              </w:rPr>
            </w:pPr>
            <w:r>
              <w:rPr>
                <w:rFonts w:hint="eastAsia" w:ascii="Times New Roman" w:hAnsi="Times New Roman" w:eastAsia="宋体"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rPr>
              <w:t>检查企业环境保护规划和计划。</w:t>
            </w:r>
          </w:p>
          <w:p w14:paraId="1AAAF652">
            <w:pPr>
              <w:pageBreakBefore w:val="0"/>
              <w:kinsoku/>
              <w:topLinePunct w:val="0"/>
              <w:autoSpaceDE w:val="0"/>
              <w:autoSpaceDN w:val="0"/>
              <w:bidi w:val="0"/>
              <w:adjustRightInd w:val="0"/>
              <w:snapToGrid w:val="0"/>
              <w:spacing w:line="360" w:lineRule="auto"/>
              <w:ind w:firstLine="472"/>
              <w:jc w:val="left"/>
              <w:rPr>
                <w:rFonts w:hint="default" w:ascii="Times New Roman" w:hAnsi="Times New Roman" w:cs="Times New Roman"/>
                <w:color w:val="auto"/>
                <w:sz w:val="24"/>
                <w:szCs w:val="24"/>
                <w:u w:val="none" w:color="auto"/>
              </w:rPr>
            </w:pPr>
            <w:r>
              <w:rPr>
                <w:rFonts w:hint="eastAsia" w:ascii="Times New Roman" w:hAnsi="Times New Roman" w:eastAsia="宋体"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rPr>
              <w:t>建立资料库。管理污染源监测数据及资料的收集与存档。</w:t>
            </w:r>
          </w:p>
          <w:p w14:paraId="2DBF3C64">
            <w:pPr>
              <w:pageBreakBefore w:val="0"/>
              <w:kinsoku/>
              <w:topLinePunct w:val="0"/>
              <w:autoSpaceDE w:val="0"/>
              <w:autoSpaceDN w:val="0"/>
              <w:bidi w:val="0"/>
              <w:adjustRightInd w:val="0"/>
              <w:snapToGrid w:val="0"/>
              <w:spacing w:line="360" w:lineRule="auto"/>
              <w:ind w:firstLine="472"/>
              <w:jc w:val="left"/>
              <w:rPr>
                <w:rFonts w:hint="default" w:ascii="Times New Roman" w:hAnsi="Times New Roman" w:cs="Times New Roman"/>
                <w:color w:val="auto"/>
                <w:sz w:val="24"/>
                <w:szCs w:val="24"/>
                <w:u w:val="none" w:color="auto"/>
              </w:rPr>
            </w:pPr>
            <w:r>
              <w:rPr>
                <w:rFonts w:hint="eastAsia" w:ascii="Times New Roman" w:hAnsi="Times New Roman" w:eastAsia="宋体"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rPr>
              <w:t>加强安全生产教育，制定定期维修机器设备制度。</w:t>
            </w:r>
          </w:p>
          <w:p w14:paraId="1E9DAC2D">
            <w:pPr>
              <w:pageBreakBefore w:val="0"/>
              <w:kinsoku/>
              <w:topLinePunct w:val="0"/>
              <w:autoSpaceDE w:val="0"/>
              <w:autoSpaceDN w:val="0"/>
              <w:bidi w:val="0"/>
              <w:adjustRightInd w:val="0"/>
              <w:snapToGrid w:val="0"/>
              <w:spacing w:line="360" w:lineRule="auto"/>
              <w:ind w:firstLine="472"/>
              <w:jc w:val="left"/>
              <w:rPr>
                <w:rFonts w:hint="default" w:ascii="Times New Roman" w:hAnsi="Times New Roman" w:cs="Times New Roman"/>
                <w:color w:val="auto"/>
                <w:sz w:val="24"/>
                <w:szCs w:val="24"/>
                <w:u w:val="none" w:color="auto"/>
              </w:rPr>
            </w:pPr>
            <w:r>
              <w:rPr>
                <w:rFonts w:hint="eastAsia" w:ascii="Times New Roman" w:hAnsi="Times New Roman" w:eastAsia="宋体" w:cs="Times New Roman"/>
                <w:color w:val="auto"/>
                <w:sz w:val="24"/>
                <w:szCs w:val="24"/>
                <w:u w:val="none" w:color="auto"/>
                <w:lang w:val="en-US" w:eastAsia="zh-CN"/>
              </w:rPr>
              <w:t>7）</w:t>
            </w:r>
            <w:r>
              <w:rPr>
                <w:rFonts w:hint="default" w:ascii="Times New Roman" w:hAnsi="Times New Roman" w:cs="Times New Roman"/>
                <w:color w:val="auto"/>
                <w:sz w:val="24"/>
                <w:szCs w:val="24"/>
                <w:u w:val="none" w:color="auto"/>
              </w:rPr>
              <w:t>开展环保知识教育，组织开展本企业的环保技术培训，提高员工的素质水平；领导和组织本企业的环境监测工作。</w:t>
            </w:r>
          </w:p>
          <w:p w14:paraId="305D80D3">
            <w:pPr>
              <w:pageBreakBefore w:val="0"/>
              <w:kinsoku/>
              <w:topLinePunct w:val="0"/>
              <w:bidi w:val="0"/>
              <w:adjustRightInd w:val="0"/>
              <w:snapToGrid w:val="0"/>
              <w:spacing w:line="360" w:lineRule="auto"/>
              <w:ind w:firstLine="472"/>
              <w:rPr>
                <w:rFonts w:hint="eastAsia"/>
                <w:color w:val="auto"/>
                <w:u w:val="none" w:color="auto"/>
                <w:lang w:val="en-US" w:eastAsia="zh-CN"/>
              </w:rPr>
            </w:pPr>
            <w:r>
              <w:rPr>
                <w:rFonts w:hint="eastAsia" w:ascii="Times New Roman" w:hAnsi="Times New Roman" w:eastAsia="宋体" w:cs="Times New Roman"/>
                <w:color w:val="auto"/>
                <w:sz w:val="24"/>
                <w:szCs w:val="24"/>
                <w:u w:val="none" w:color="auto"/>
                <w:lang w:val="en-US" w:eastAsia="zh-CN"/>
              </w:rPr>
              <w:t>8）</w:t>
            </w:r>
            <w:r>
              <w:rPr>
                <w:rFonts w:hint="default" w:ascii="Times New Roman" w:hAnsi="Times New Roman" w:cs="Times New Roman"/>
                <w:color w:val="auto"/>
                <w:sz w:val="24"/>
                <w:szCs w:val="24"/>
                <w:u w:val="none" w:color="auto"/>
              </w:rPr>
              <w:t>监督“三同时”的执行情况，处理污染事故。尤其重视污染处理措施的运行。</w:t>
            </w:r>
          </w:p>
          <w:p w14:paraId="3407839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90"/>
              <w:textAlignment w:val="baseline"/>
              <w:rPr>
                <w:rFonts w:hint="default"/>
                <w:color w:val="auto"/>
                <w:spacing w:val="1"/>
                <w:lang w:val="en-US" w:eastAsia="zh-CN"/>
              </w:rPr>
            </w:pPr>
            <w:r>
              <w:rPr>
                <w:rFonts w:hint="eastAsia"/>
                <w:color w:val="auto"/>
                <w:spacing w:val="1"/>
                <w:lang w:val="en-US" w:eastAsia="zh-CN"/>
              </w:rPr>
              <w:t>（2）自行监测计划</w:t>
            </w:r>
          </w:p>
          <w:p w14:paraId="50EAF55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90"/>
              <w:textAlignment w:val="baseline"/>
              <w:rPr>
                <w:color w:val="auto"/>
              </w:rPr>
            </w:pPr>
            <w:r>
              <w:rPr>
                <w:rFonts w:hint="eastAsia"/>
                <w:color w:val="auto"/>
                <w:spacing w:val="1"/>
                <w:lang w:val="en-US" w:eastAsia="zh-CN"/>
              </w:rPr>
              <w:t>参考</w:t>
            </w:r>
            <w:r>
              <w:rPr>
                <w:color w:val="auto"/>
                <w:spacing w:val="1"/>
              </w:rPr>
              <w:t>《排污单位自行监测技术指南 水泥工业》（</w:t>
            </w:r>
            <w:r>
              <w:rPr>
                <w:rFonts w:ascii="Times New Roman" w:hAnsi="Times New Roman" w:eastAsia="Times New Roman" w:cs="Times New Roman"/>
                <w:color w:val="auto"/>
              </w:rPr>
              <w:t>HJ</w:t>
            </w:r>
            <w:r>
              <w:rPr>
                <w:rFonts w:ascii="Times New Roman" w:hAnsi="Times New Roman" w:eastAsia="Times New Roman" w:cs="Times New Roman"/>
                <w:color w:val="auto"/>
                <w:spacing w:val="21"/>
              </w:rPr>
              <w:t xml:space="preserve"> </w:t>
            </w:r>
            <w:r>
              <w:rPr>
                <w:rFonts w:ascii="Times New Roman" w:hAnsi="Times New Roman" w:eastAsia="Times New Roman" w:cs="Times New Roman"/>
                <w:color w:val="auto"/>
                <w:spacing w:val="1"/>
              </w:rPr>
              <w:t>848-2017</w:t>
            </w:r>
            <w:r>
              <w:rPr>
                <w:color w:val="auto"/>
                <w:spacing w:val="18"/>
              </w:rPr>
              <w:t>），</w:t>
            </w:r>
            <w:r>
              <w:rPr>
                <w:color w:val="auto"/>
                <w:spacing w:val="1"/>
              </w:rPr>
              <w:t>本项</w:t>
            </w:r>
          </w:p>
          <w:p w14:paraId="092DAFAC">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53"/>
              <w:textAlignment w:val="baseline"/>
              <w:rPr>
                <w:color w:val="auto"/>
              </w:rPr>
            </w:pPr>
            <w:r>
              <w:rPr>
                <w:color w:val="auto"/>
                <w:spacing w:val="-3"/>
              </w:rPr>
              <w:t>目提出运营期污染源监测计划如表</w:t>
            </w:r>
            <w:r>
              <w:rPr>
                <w:color w:val="auto"/>
                <w:spacing w:val="-51"/>
              </w:rPr>
              <w:t xml:space="preserve"> </w:t>
            </w:r>
            <w:r>
              <w:rPr>
                <w:rFonts w:ascii="Times New Roman" w:hAnsi="Times New Roman" w:eastAsia="Times New Roman" w:cs="Times New Roman"/>
                <w:color w:val="auto"/>
                <w:spacing w:val="-3"/>
              </w:rPr>
              <w:t xml:space="preserve">4-8 </w:t>
            </w:r>
            <w:r>
              <w:rPr>
                <w:color w:val="auto"/>
                <w:spacing w:val="-3"/>
              </w:rPr>
              <w:t>所示。</w:t>
            </w:r>
          </w:p>
          <w:p w14:paraId="0D2166A5">
            <w:pPr>
              <w:pStyle w:val="22"/>
              <w:spacing w:before="181" w:line="360" w:lineRule="auto"/>
              <w:ind w:left="1782"/>
              <w:rPr>
                <w:color w:val="auto"/>
              </w:rPr>
            </w:pPr>
            <w:r>
              <w:rPr>
                <w:b/>
                <w:bCs/>
                <w:color w:val="auto"/>
                <w:spacing w:val="-2"/>
              </w:rPr>
              <w:t>表</w:t>
            </w:r>
            <w:r>
              <w:rPr>
                <w:color w:val="auto"/>
                <w:spacing w:val="-53"/>
              </w:rPr>
              <w:t xml:space="preserve"> </w:t>
            </w:r>
            <w:r>
              <w:rPr>
                <w:rFonts w:ascii="Times New Roman" w:hAnsi="Times New Roman" w:eastAsia="Times New Roman" w:cs="Times New Roman"/>
                <w:b/>
                <w:bCs/>
                <w:color w:val="auto"/>
                <w:spacing w:val="-2"/>
              </w:rPr>
              <w:t xml:space="preserve">4-8  </w:t>
            </w:r>
            <w:r>
              <w:rPr>
                <w:b/>
                <w:bCs/>
                <w:color w:val="auto"/>
                <w:spacing w:val="-2"/>
              </w:rPr>
              <w:t>本项目运营期污染源监测计划一览表</w:t>
            </w:r>
          </w:p>
          <w:p w14:paraId="3FABAB16">
            <w:pPr>
              <w:keepNext w:val="0"/>
              <w:keepLines w:val="0"/>
              <w:pageBreakBefore w:val="0"/>
              <w:widowControl/>
              <w:kinsoku w:val="0"/>
              <w:wordWrap/>
              <w:overflowPunct/>
              <w:topLinePunct w:val="0"/>
              <w:autoSpaceDE w:val="0"/>
              <w:autoSpaceDN w:val="0"/>
              <w:bidi w:val="0"/>
              <w:adjustRightInd w:val="0"/>
              <w:snapToGrid w:val="0"/>
              <w:spacing w:line="30" w:lineRule="exact"/>
              <w:textAlignment w:val="baseline"/>
              <w:rPr>
                <w:color w:val="auto"/>
              </w:rPr>
            </w:pPr>
          </w:p>
          <w:tbl>
            <w:tblPr>
              <w:tblStyle w:val="21"/>
              <w:tblW w:w="7829" w:type="dxa"/>
              <w:tblInd w:w="1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1"/>
              <w:gridCol w:w="1275"/>
              <w:gridCol w:w="1416"/>
              <w:gridCol w:w="1183"/>
              <w:gridCol w:w="3184"/>
            </w:tblGrid>
            <w:tr w14:paraId="67461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771" w:type="dxa"/>
                  <w:vAlign w:val="top"/>
                </w:tcPr>
                <w:p w14:paraId="769A5308">
                  <w:pPr>
                    <w:pStyle w:val="22"/>
                    <w:spacing w:before="140" w:line="228" w:lineRule="auto"/>
                    <w:ind w:left="179"/>
                    <w:rPr>
                      <w:color w:val="auto"/>
                      <w:sz w:val="20"/>
                      <w:szCs w:val="20"/>
                    </w:rPr>
                  </w:pPr>
                  <w:r>
                    <w:rPr>
                      <w:b/>
                      <w:bCs/>
                      <w:color w:val="auto"/>
                      <w:spacing w:val="3"/>
                      <w:sz w:val="20"/>
                      <w:szCs w:val="20"/>
                    </w:rPr>
                    <w:t>类型</w:t>
                  </w:r>
                </w:p>
              </w:tc>
              <w:tc>
                <w:tcPr>
                  <w:tcW w:w="1275" w:type="dxa"/>
                  <w:vAlign w:val="top"/>
                </w:tcPr>
                <w:p w14:paraId="0FE18FDF">
                  <w:pPr>
                    <w:pStyle w:val="22"/>
                    <w:spacing w:before="141" w:line="229" w:lineRule="auto"/>
                    <w:ind w:left="220"/>
                    <w:rPr>
                      <w:color w:val="auto"/>
                      <w:sz w:val="20"/>
                      <w:szCs w:val="20"/>
                    </w:rPr>
                  </w:pPr>
                  <w:r>
                    <w:rPr>
                      <w:b/>
                      <w:bCs/>
                      <w:color w:val="auto"/>
                      <w:spacing w:val="6"/>
                      <w:sz w:val="20"/>
                      <w:szCs w:val="20"/>
                    </w:rPr>
                    <w:t>监测点位</w:t>
                  </w:r>
                </w:p>
              </w:tc>
              <w:tc>
                <w:tcPr>
                  <w:tcW w:w="1416" w:type="dxa"/>
                  <w:vAlign w:val="top"/>
                </w:tcPr>
                <w:p w14:paraId="738BFDC6">
                  <w:pPr>
                    <w:pStyle w:val="22"/>
                    <w:spacing w:before="141" w:line="228" w:lineRule="auto"/>
                    <w:ind w:left="292"/>
                    <w:rPr>
                      <w:color w:val="auto"/>
                      <w:sz w:val="20"/>
                      <w:szCs w:val="20"/>
                    </w:rPr>
                  </w:pPr>
                  <w:r>
                    <w:rPr>
                      <w:b/>
                      <w:bCs/>
                      <w:color w:val="auto"/>
                      <w:spacing w:val="6"/>
                      <w:sz w:val="20"/>
                      <w:szCs w:val="20"/>
                    </w:rPr>
                    <w:t>监测指标</w:t>
                  </w:r>
                </w:p>
              </w:tc>
              <w:tc>
                <w:tcPr>
                  <w:tcW w:w="1183" w:type="dxa"/>
                  <w:vAlign w:val="top"/>
                </w:tcPr>
                <w:p w14:paraId="1E8D06FD">
                  <w:pPr>
                    <w:pStyle w:val="22"/>
                    <w:spacing w:before="140" w:line="228" w:lineRule="auto"/>
                    <w:ind w:left="176"/>
                    <w:rPr>
                      <w:color w:val="auto"/>
                      <w:sz w:val="20"/>
                      <w:szCs w:val="20"/>
                    </w:rPr>
                  </w:pPr>
                  <w:r>
                    <w:rPr>
                      <w:b/>
                      <w:bCs/>
                      <w:color w:val="auto"/>
                      <w:spacing w:val="6"/>
                      <w:sz w:val="20"/>
                      <w:szCs w:val="20"/>
                    </w:rPr>
                    <w:t>监测频次</w:t>
                  </w:r>
                </w:p>
              </w:tc>
              <w:tc>
                <w:tcPr>
                  <w:tcW w:w="3184" w:type="dxa"/>
                  <w:vAlign w:val="top"/>
                </w:tcPr>
                <w:p w14:paraId="153B8216">
                  <w:pPr>
                    <w:pStyle w:val="22"/>
                    <w:spacing w:before="140" w:line="228" w:lineRule="auto"/>
                    <w:ind w:left="965"/>
                    <w:rPr>
                      <w:color w:val="auto"/>
                      <w:sz w:val="20"/>
                      <w:szCs w:val="20"/>
                    </w:rPr>
                  </w:pPr>
                  <w:r>
                    <w:rPr>
                      <w:b/>
                      <w:bCs/>
                      <w:color w:val="auto"/>
                      <w:spacing w:val="6"/>
                      <w:sz w:val="20"/>
                      <w:szCs w:val="20"/>
                    </w:rPr>
                    <w:t>执行排放标准</w:t>
                  </w:r>
                </w:p>
              </w:tc>
            </w:tr>
            <w:tr w14:paraId="5848E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71" w:type="dxa"/>
                  <w:vMerge w:val="restart"/>
                  <w:vAlign w:val="center"/>
                </w:tcPr>
                <w:p w14:paraId="13F9C2C2">
                  <w:pPr>
                    <w:pStyle w:val="22"/>
                    <w:spacing w:before="304" w:line="228" w:lineRule="auto"/>
                    <w:ind w:left="178"/>
                    <w:jc w:val="both"/>
                    <w:rPr>
                      <w:color w:val="auto"/>
                      <w:sz w:val="20"/>
                      <w:szCs w:val="20"/>
                    </w:rPr>
                  </w:pPr>
                  <w:r>
                    <w:rPr>
                      <w:color w:val="auto"/>
                      <w:spacing w:val="5"/>
                      <w:sz w:val="20"/>
                      <w:szCs w:val="20"/>
                    </w:rPr>
                    <w:t>废气</w:t>
                  </w:r>
                </w:p>
              </w:tc>
              <w:tc>
                <w:tcPr>
                  <w:tcW w:w="1275" w:type="dxa"/>
                  <w:vAlign w:val="top"/>
                </w:tcPr>
                <w:p w14:paraId="06FFB21F">
                  <w:pPr>
                    <w:pStyle w:val="22"/>
                    <w:spacing w:before="306" w:line="228" w:lineRule="auto"/>
                    <w:jc w:val="center"/>
                    <w:rPr>
                      <w:rFonts w:hint="default" w:ascii="Times New Roman" w:hAnsi="Times New Roman" w:eastAsia="Times New Roman" w:cs="Times New Roman"/>
                      <w:color w:val="auto"/>
                      <w:spacing w:val="-1"/>
                      <w:sz w:val="20"/>
                      <w:szCs w:val="20"/>
                      <w:lang w:val="en-US" w:eastAsia="zh-CN"/>
                    </w:rPr>
                  </w:pPr>
                  <w:r>
                    <w:rPr>
                      <w:rFonts w:hint="eastAsia" w:ascii="Times New Roman" w:hAnsi="Times New Roman" w:eastAsia="Times New Roman" w:cs="Times New Roman"/>
                      <w:color w:val="auto"/>
                      <w:spacing w:val="-1"/>
                      <w:sz w:val="20"/>
                      <w:szCs w:val="20"/>
                      <w:lang w:val="en-US" w:eastAsia="zh-CN"/>
                    </w:rPr>
                    <w:t>DA001</w:t>
                  </w:r>
                </w:p>
              </w:tc>
              <w:tc>
                <w:tcPr>
                  <w:tcW w:w="1416" w:type="dxa"/>
                  <w:vAlign w:val="top"/>
                </w:tcPr>
                <w:p w14:paraId="493A228E">
                  <w:pPr>
                    <w:pStyle w:val="22"/>
                    <w:spacing w:before="306" w:line="228" w:lineRule="auto"/>
                    <w:jc w:val="center"/>
                    <w:rPr>
                      <w:rFonts w:ascii="Times New Roman" w:hAnsi="Times New Roman" w:eastAsia="Times New Roman" w:cs="Times New Roman"/>
                      <w:color w:val="auto"/>
                      <w:spacing w:val="-1"/>
                      <w:sz w:val="20"/>
                      <w:szCs w:val="20"/>
                    </w:rPr>
                  </w:pPr>
                  <w:r>
                    <w:rPr>
                      <w:rFonts w:ascii="Times New Roman" w:hAnsi="Times New Roman" w:eastAsia="Times New Roman" w:cs="Times New Roman"/>
                      <w:color w:val="auto"/>
                      <w:spacing w:val="-1"/>
                      <w:sz w:val="20"/>
                      <w:szCs w:val="20"/>
                    </w:rPr>
                    <w:t>颗粒物</w:t>
                  </w:r>
                </w:p>
              </w:tc>
              <w:tc>
                <w:tcPr>
                  <w:tcW w:w="1183" w:type="dxa"/>
                  <w:vAlign w:val="top"/>
                </w:tcPr>
                <w:p w14:paraId="4A2B9707">
                  <w:pPr>
                    <w:pStyle w:val="22"/>
                    <w:spacing w:before="306" w:line="228" w:lineRule="auto"/>
                    <w:jc w:val="center"/>
                    <w:rPr>
                      <w:rFonts w:ascii="Times New Roman" w:hAnsi="Times New Roman" w:eastAsia="Times New Roman" w:cs="Times New Roman"/>
                      <w:color w:val="auto"/>
                      <w:spacing w:val="-1"/>
                      <w:sz w:val="20"/>
                      <w:szCs w:val="20"/>
                    </w:rPr>
                  </w:pPr>
                  <w:r>
                    <w:rPr>
                      <w:rFonts w:ascii="Times New Roman" w:hAnsi="Times New Roman" w:eastAsia="Times New Roman" w:cs="Times New Roman"/>
                      <w:color w:val="auto"/>
                      <w:spacing w:val="-1"/>
                      <w:sz w:val="20"/>
                      <w:szCs w:val="20"/>
                    </w:rPr>
                    <w:t>1 次/季度</w:t>
                  </w:r>
                </w:p>
              </w:tc>
              <w:tc>
                <w:tcPr>
                  <w:tcW w:w="3184" w:type="dxa"/>
                  <w:vAlign w:val="top"/>
                </w:tcPr>
                <w:p w14:paraId="4F21D1DF">
                  <w:pPr>
                    <w:pStyle w:val="22"/>
                    <w:keepNext w:val="0"/>
                    <w:keepLines w:val="0"/>
                    <w:pageBreakBefore w:val="0"/>
                    <w:widowControl/>
                    <w:kinsoku w:val="0"/>
                    <w:wordWrap/>
                    <w:overflowPunct/>
                    <w:topLinePunct w:val="0"/>
                    <w:autoSpaceDE w:val="0"/>
                    <w:autoSpaceDN w:val="0"/>
                    <w:bidi w:val="0"/>
                    <w:adjustRightInd w:val="0"/>
                    <w:snapToGrid w:val="0"/>
                    <w:spacing w:line="228" w:lineRule="auto"/>
                    <w:ind w:left="193"/>
                    <w:textAlignment w:val="baseline"/>
                    <w:rPr>
                      <w:rFonts w:ascii="Times New Roman" w:hAnsi="Times New Roman" w:eastAsia="Times New Roman" w:cs="Times New Roman"/>
                      <w:color w:val="auto"/>
                      <w:spacing w:val="-1"/>
                      <w:sz w:val="20"/>
                      <w:szCs w:val="20"/>
                    </w:rPr>
                  </w:pPr>
                  <w:r>
                    <w:rPr>
                      <w:rFonts w:hint="eastAsia" w:ascii="Times New Roman" w:hAnsi="Times New Roman" w:eastAsia="Times New Roman" w:cs="Times New Roman"/>
                      <w:color w:val="auto"/>
                      <w:spacing w:val="-1"/>
                      <w:sz w:val="20"/>
                      <w:szCs w:val="20"/>
                    </w:rPr>
                    <w:t>《水泥工业大气污染物排放标准》（GB4915-2013）及2025年修改单中表2大气污染物特别排放限值</w:t>
                  </w:r>
                </w:p>
              </w:tc>
            </w:tr>
            <w:tr w14:paraId="4EC66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71" w:type="dxa"/>
                  <w:vMerge w:val="continue"/>
                  <w:vAlign w:val="top"/>
                </w:tcPr>
                <w:p w14:paraId="1BD2A4E8">
                  <w:pPr>
                    <w:pStyle w:val="22"/>
                    <w:spacing w:before="304" w:line="228" w:lineRule="auto"/>
                    <w:ind w:left="178"/>
                    <w:rPr>
                      <w:color w:val="auto"/>
                      <w:sz w:val="20"/>
                      <w:szCs w:val="20"/>
                    </w:rPr>
                  </w:pPr>
                </w:p>
              </w:tc>
              <w:tc>
                <w:tcPr>
                  <w:tcW w:w="1275" w:type="dxa"/>
                  <w:vAlign w:val="top"/>
                </w:tcPr>
                <w:p w14:paraId="26D424D9">
                  <w:pPr>
                    <w:pStyle w:val="22"/>
                    <w:spacing w:before="304" w:line="228" w:lineRule="auto"/>
                    <w:ind w:left="119"/>
                    <w:rPr>
                      <w:color w:val="auto"/>
                      <w:sz w:val="20"/>
                      <w:szCs w:val="20"/>
                    </w:rPr>
                  </w:pPr>
                  <w:r>
                    <w:rPr>
                      <w:color w:val="auto"/>
                      <w:spacing w:val="7"/>
                      <w:sz w:val="20"/>
                      <w:szCs w:val="20"/>
                    </w:rPr>
                    <w:t>厂界无组织</w:t>
                  </w:r>
                </w:p>
              </w:tc>
              <w:tc>
                <w:tcPr>
                  <w:tcW w:w="1416" w:type="dxa"/>
                  <w:vAlign w:val="top"/>
                </w:tcPr>
                <w:p w14:paraId="5B4123C3">
                  <w:pPr>
                    <w:pStyle w:val="22"/>
                    <w:spacing w:before="304" w:line="228" w:lineRule="auto"/>
                    <w:ind w:left="396"/>
                    <w:rPr>
                      <w:color w:val="auto"/>
                      <w:sz w:val="20"/>
                      <w:szCs w:val="20"/>
                    </w:rPr>
                  </w:pPr>
                  <w:r>
                    <w:rPr>
                      <w:color w:val="auto"/>
                      <w:spacing w:val="7"/>
                      <w:sz w:val="20"/>
                      <w:szCs w:val="20"/>
                    </w:rPr>
                    <w:t>颗粒物</w:t>
                  </w:r>
                </w:p>
              </w:tc>
              <w:tc>
                <w:tcPr>
                  <w:tcW w:w="1183" w:type="dxa"/>
                  <w:vAlign w:val="top"/>
                </w:tcPr>
                <w:p w14:paraId="4E1E64A0">
                  <w:pPr>
                    <w:pStyle w:val="22"/>
                    <w:spacing w:before="303" w:line="228" w:lineRule="auto"/>
                    <w:ind w:left="190"/>
                    <w:rPr>
                      <w:color w:val="auto"/>
                      <w:sz w:val="20"/>
                      <w:szCs w:val="20"/>
                    </w:rPr>
                  </w:pPr>
                  <w:r>
                    <w:rPr>
                      <w:rFonts w:ascii="Times New Roman" w:hAnsi="Times New Roman" w:eastAsia="Times New Roman" w:cs="Times New Roman"/>
                      <w:color w:val="auto"/>
                      <w:spacing w:val="-1"/>
                      <w:sz w:val="20"/>
                      <w:szCs w:val="20"/>
                    </w:rPr>
                    <w:t>1</w:t>
                  </w:r>
                  <w:r>
                    <w:rPr>
                      <w:rFonts w:ascii="Times New Roman" w:hAnsi="Times New Roman" w:eastAsia="Times New Roman" w:cs="Times New Roman"/>
                      <w:color w:val="auto"/>
                      <w:spacing w:val="18"/>
                      <w:w w:val="101"/>
                      <w:sz w:val="20"/>
                      <w:szCs w:val="20"/>
                    </w:rPr>
                    <w:t xml:space="preserve"> </w:t>
                  </w:r>
                  <w:r>
                    <w:rPr>
                      <w:color w:val="auto"/>
                      <w:spacing w:val="-1"/>
                      <w:sz w:val="20"/>
                      <w:szCs w:val="20"/>
                    </w:rPr>
                    <w:t>次</w:t>
                  </w:r>
                  <w:r>
                    <w:rPr>
                      <w:rFonts w:ascii="Times New Roman" w:hAnsi="Times New Roman" w:eastAsia="Times New Roman" w:cs="Times New Roman"/>
                      <w:color w:val="auto"/>
                      <w:spacing w:val="-1"/>
                      <w:sz w:val="20"/>
                      <w:szCs w:val="20"/>
                    </w:rPr>
                    <w:t>/</w:t>
                  </w:r>
                  <w:r>
                    <w:rPr>
                      <w:color w:val="auto"/>
                      <w:spacing w:val="-1"/>
                      <w:sz w:val="20"/>
                      <w:szCs w:val="20"/>
                    </w:rPr>
                    <w:t>季度</w:t>
                  </w:r>
                </w:p>
              </w:tc>
              <w:tc>
                <w:tcPr>
                  <w:tcW w:w="3184" w:type="dxa"/>
                  <w:vAlign w:val="top"/>
                </w:tcPr>
                <w:p w14:paraId="2ACA3DC4">
                  <w:pPr>
                    <w:pStyle w:val="22"/>
                    <w:spacing w:before="33" w:line="239" w:lineRule="auto"/>
                    <w:ind w:left="156" w:right="152" w:firstLine="80"/>
                    <w:rPr>
                      <w:color w:val="auto"/>
                      <w:sz w:val="20"/>
                      <w:szCs w:val="20"/>
                    </w:rPr>
                  </w:pPr>
                  <w:r>
                    <w:rPr>
                      <w:color w:val="auto"/>
                      <w:spacing w:val="8"/>
                      <w:sz w:val="20"/>
                      <w:szCs w:val="20"/>
                    </w:rPr>
                    <w:t>《水泥工业大气污染物排放标</w:t>
                  </w:r>
                  <w:r>
                    <w:rPr>
                      <w:color w:val="auto"/>
                      <w:spacing w:val="10"/>
                      <w:sz w:val="20"/>
                      <w:szCs w:val="20"/>
                    </w:rPr>
                    <w:t xml:space="preserve"> </w:t>
                  </w:r>
                  <w:r>
                    <w:rPr>
                      <w:color w:val="auto"/>
                      <w:spacing w:val="6"/>
                      <w:sz w:val="20"/>
                      <w:szCs w:val="20"/>
                    </w:rPr>
                    <w:t>准》（</w:t>
                  </w:r>
                  <w:r>
                    <w:rPr>
                      <w:rFonts w:ascii="Times New Roman" w:hAnsi="Times New Roman" w:eastAsia="Times New Roman" w:cs="Times New Roman"/>
                      <w:color w:val="auto"/>
                      <w:sz w:val="20"/>
                      <w:szCs w:val="20"/>
                    </w:rPr>
                    <w:t>GB</w:t>
                  </w:r>
                  <w:r>
                    <w:rPr>
                      <w:rFonts w:ascii="Times New Roman" w:hAnsi="Times New Roman" w:eastAsia="Times New Roman" w:cs="Times New Roman"/>
                      <w:color w:val="auto"/>
                      <w:spacing w:val="6"/>
                      <w:sz w:val="20"/>
                      <w:szCs w:val="20"/>
                    </w:rPr>
                    <w:t>4915-2013</w:t>
                  </w:r>
                  <w:r>
                    <w:rPr>
                      <w:color w:val="auto"/>
                      <w:spacing w:val="6"/>
                      <w:sz w:val="20"/>
                      <w:szCs w:val="20"/>
                    </w:rPr>
                    <w:t>）中表</w:t>
                  </w:r>
                  <w:r>
                    <w:rPr>
                      <w:color w:val="auto"/>
                      <w:spacing w:val="-34"/>
                      <w:sz w:val="20"/>
                      <w:szCs w:val="20"/>
                    </w:rPr>
                    <w:t xml:space="preserve"> </w:t>
                  </w:r>
                  <w:r>
                    <w:rPr>
                      <w:rFonts w:ascii="Times New Roman" w:hAnsi="Times New Roman" w:eastAsia="Times New Roman" w:cs="Times New Roman"/>
                      <w:color w:val="auto"/>
                      <w:spacing w:val="6"/>
                      <w:sz w:val="20"/>
                      <w:szCs w:val="20"/>
                    </w:rPr>
                    <w:t xml:space="preserve">3 </w:t>
                  </w:r>
                  <w:r>
                    <w:rPr>
                      <w:color w:val="auto"/>
                      <w:spacing w:val="6"/>
                      <w:sz w:val="20"/>
                      <w:szCs w:val="20"/>
                    </w:rPr>
                    <w:t>无</w:t>
                  </w:r>
                </w:p>
                <w:p w14:paraId="7C5E9C51">
                  <w:pPr>
                    <w:pStyle w:val="22"/>
                    <w:spacing w:before="26" w:line="215" w:lineRule="auto"/>
                    <w:ind w:left="968"/>
                    <w:rPr>
                      <w:color w:val="auto"/>
                      <w:sz w:val="20"/>
                      <w:szCs w:val="20"/>
                    </w:rPr>
                  </w:pPr>
                  <w:r>
                    <w:rPr>
                      <w:color w:val="auto"/>
                      <w:spacing w:val="7"/>
                      <w:sz w:val="20"/>
                      <w:szCs w:val="20"/>
                    </w:rPr>
                    <w:t>组织排放限值</w:t>
                  </w:r>
                </w:p>
              </w:tc>
            </w:tr>
            <w:tr w14:paraId="73D6F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771" w:type="dxa"/>
                  <w:vAlign w:val="center"/>
                </w:tcPr>
                <w:p w14:paraId="5C056F97">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color w:val="auto"/>
                      <w:spacing w:val="-1"/>
                      <w:sz w:val="20"/>
                      <w:szCs w:val="20"/>
                      <w:lang w:val="en-US" w:eastAsia="zh-CN"/>
                    </w:rPr>
                  </w:pPr>
                  <w:r>
                    <w:rPr>
                      <w:rFonts w:hint="eastAsia"/>
                      <w:color w:val="auto"/>
                      <w:spacing w:val="-1"/>
                      <w:sz w:val="20"/>
                      <w:szCs w:val="20"/>
                      <w:lang w:val="en-US" w:eastAsia="zh-CN"/>
                    </w:rPr>
                    <w:t>废水</w:t>
                  </w:r>
                </w:p>
              </w:tc>
              <w:tc>
                <w:tcPr>
                  <w:tcW w:w="1275" w:type="dxa"/>
                  <w:vAlign w:val="center"/>
                </w:tcPr>
                <w:p w14:paraId="39DD8196">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color w:val="auto"/>
                      <w:spacing w:val="2"/>
                      <w:sz w:val="20"/>
                      <w:szCs w:val="20"/>
                      <w:lang w:val="en-US" w:eastAsia="zh-CN"/>
                    </w:rPr>
                  </w:pPr>
                  <w:r>
                    <w:rPr>
                      <w:rFonts w:hint="eastAsia"/>
                      <w:color w:val="auto"/>
                      <w:spacing w:val="2"/>
                      <w:sz w:val="20"/>
                      <w:szCs w:val="20"/>
                      <w:lang w:val="en-US" w:eastAsia="zh-CN"/>
                    </w:rPr>
                    <w:t>生产废水</w:t>
                  </w:r>
                </w:p>
              </w:tc>
              <w:tc>
                <w:tcPr>
                  <w:tcW w:w="1416" w:type="dxa"/>
                  <w:vAlign w:val="center"/>
                </w:tcPr>
                <w:p w14:paraId="7DA4352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506" w:right="184" w:hanging="317"/>
                    <w:jc w:val="center"/>
                    <w:textAlignment w:val="baseline"/>
                    <w:rPr>
                      <w:rFonts w:hint="default" w:eastAsia="宋体"/>
                      <w:color w:val="auto"/>
                      <w:spacing w:val="7"/>
                      <w:sz w:val="20"/>
                      <w:szCs w:val="20"/>
                      <w:lang w:val="en-US" w:eastAsia="zh-CN"/>
                    </w:rPr>
                  </w:pPr>
                  <w:r>
                    <w:rPr>
                      <w:rFonts w:hint="default" w:ascii="Times New Roman" w:hAnsi="Times New Roman" w:cs="Times New Roman"/>
                      <w:color w:val="auto"/>
                      <w:spacing w:val="7"/>
                      <w:sz w:val="21"/>
                      <w:szCs w:val="21"/>
                      <w:lang w:val="en-US" w:eastAsia="zh-CN"/>
                    </w:rPr>
                    <w:t>pH</w:t>
                  </w:r>
                  <w:r>
                    <w:rPr>
                      <w:rFonts w:hint="eastAsia" w:ascii="Times New Roman" w:hAnsi="Times New Roman" w:cs="Times New Roman"/>
                      <w:color w:val="auto"/>
                      <w:spacing w:val="7"/>
                      <w:sz w:val="21"/>
                      <w:szCs w:val="21"/>
                      <w:lang w:val="en-US" w:eastAsia="zh-CN"/>
                    </w:rPr>
                    <w:t>、SS</w:t>
                  </w:r>
                </w:p>
              </w:tc>
              <w:tc>
                <w:tcPr>
                  <w:tcW w:w="1183" w:type="dxa"/>
                  <w:vAlign w:val="center"/>
                </w:tcPr>
                <w:p w14:paraId="1B87556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190"/>
                    <w:jc w:val="center"/>
                    <w:textAlignment w:val="baseline"/>
                    <w:rPr>
                      <w:rFonts w:hint="default" w:ascii="Times New Roman" w:hAnsi="Times New Roman" w:eastAsia="宋体" w:cs="Times New Roman"/>
                      <w:color w:val="auto"/>
                      <w:spacing w:val="-1"/>
                      <w:sz w:val="20"/>
                      <w:szCs w:val="20"/>
                      <w:lang w:val="en-US" w:eastAsia="zh-CN"/>
                    </w:rPr>
                  </w:pPr>
                  <w:r>
                    <w:rPr>
                      <w:rFonts w:ascii="Times New Roman" w:hAnsi="Times New Roman" w:eastAsia="Times New Roman" w:cs="Times New Roman"/>
                      <w:color w:val="auto"/>
                      <w:spacing w:val="-1"/>
                      <w:sz w:val="20"/>
                      <w:szCs w:val="20"/>
                    </w:rPr>
                    <w:t>1</w:t>
                  </w:r>
                  <w:r>
                    <w:rPr>
                      <w:rFonts w:ascii="Times New Roman" w:hAnsi="Times New Roman" w:eastAsia="Times New Roman" w:cs="Times New Roman"/>
                      <w:color w:val="auto"/>
                      <w:spacing w:val="18"/>
                      <w:w w:val="101"/>
                      <w:sz w:val="20"/>
                      <w:szCs w:val="20"/>
                    </w:rPr>
                    <w:t xml:space="preserve"> </w:t>
                  </w:r>
                  <w:r>
                    <w:rPr>
                      <w:color w:val="auto"/>
                      <w:spacing w:val="-1"/>
                      <w:sz w:val="20"/>
                      <w:szCs w:val="20"/>
                    </w:rPr>
                    <w:t>次</w:t>
                  </w:r>
                  <w:r>
                    <w:rPr>
                      <w:rFonts w:ascii="Times New Roman" w:hAnsi="Times New Roman" w:eastAsia="Times New Roman" w:cs="Times New Roman"/>
                      <w:color w:val="auto"/>
                      <w:spacing w:val="-1"/>
                      <w:sz w:val="20"/>
                      <w:szCs w:val="20"/>
                    </w:rPr>
                    <w:t>/</w:t>
                  </w:r>
                  <w:r>
                    <w:rPr>
                      <w:color w:val="auto"/>
                      <w:spacing w:val="-1"/>
                      <w:sz w:val="20"/>
                      <w:szCs w:val="20"/>
                    </w:rPr>
                    <w:t>季度</w:t>
                  </w:r>
                </w:p>
              </w:tc>
              <w:tc>
                <w:tcPr>
                  <w:tcW w:w="3184" w:type="dxa"/>
                  <w:vAlign w:val="center"/>
                </w:tcPr>
                <w:p w14:paraId="4D47561F">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color w:val="auto"/>
                      <w:spacing w:val="6"/>
                      <w:sz w:val="20"/>
                      <w:szCs w:val="20"/>
                      <w:lang w:val="en-US" w:eastAsia="zh-CN"/>
                    </w:rPr>
                  </w:pPr>
                  <w:r>
                    <w:rPr>
                      <w:rFonts w:hint="eastAsia"/>
                      <w:color w:val="auto"/>
                      <w:spacing w:val="6"/>
                      <w:sz w:val="20"/>
                      <w:szCs w:val="20"/>
                      <w:lang w:val="en-US" w:eastAsia="zh-CN"/>
                    </w:rPr>
                    <w:t>处理后废水需满足回用要求</w:t>
                  </w:r>
                </w:p>
              </w:tc>
            </w:tr>
            <w:tr w14:paraId="2A147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771" w:type="dxa"/>
                  <w:vAlign w:val="top"/>
                </w:tcPr>
                <w:p w14:paraId="79AB6DA3">
                  <w:pPr>
                    <w:rPr>
                      <w:rFonts w:ascii="Arial"/>
                      <w:color w:val="auto"/>
                      <w:sz w:val="21"/>
                    </w:rPr>
                  </w:pPr>
                </w:p>
                <w:p w14:paraId="5DFE7104">
                  <w:pPr>
                    <w:pStyle w:val="22"/>
                    <w:spacing w:before="65" w:line="228" w:lineRule="auto"/>
                    <w:ind w:left="189"/>
                    <w:rPr>
                      <w:color w:val="auto"/>
                      <w:sz w:val="20"/>
                      <w:szCs w:val="20"/>
                    </w:rPr>
                  </w:pPr>
                  <w:r>
                    <w:rPr>
                      <w:color w:val="auto"/>
                      <w:spacing w:val="-1"/>
                      <w:sz w:val="20"/>
                      <w:szCs w:val="20"/>
                    </w:rPr>
                    <w:t>噪声</w:t>
                  </w:r>
                </w:p>
              </w:tc>
              <w:tc>
                <w:tcPr>
                  <w:tcW w:w="1275" w:type="dxa"/>
                  <w:vAlign w:val="top"/>
                </w:tcPr>
                <w:p w14:paraId="6AC9FD22">
                  <w:pPr>
                    <w:rPr>
                      <w:rFonts w:ascii="Arial"/>
                      <w:color w:val="auto"/>
                      <w:sz w:val="21"/>
                    </w:rPr>
                  </w:pPr>
                </w:p>
                <w:p w14:paraId="0CA0B802">
                  <w:pPr>
                    <w:pStyle w:val="22"/>
                    <w:spacing w:before="65" w:line="228" w:lineRule="auto"/>
                    <w:ind w:left="241"/>
                    <w:rPr>
                      <w:color w:val="auto"/>
                      <w:sz w:val="20"/>
                      <w:szCs w:val="20"/>
                    </w:rPr>
                  </w:pPr>
                  <w:r>
                    <w:rPr>
                      <w:color w:val="auto"/>
                      <w:spacing w:val="2"/>
                      <w:sz w:val="20"/>
                      <w:szCs w:val="20"/>
                    </w:rPr>
                    <w:t>四周厂界</w:t>
                  </w:r>
                </w:p>
              </w:tc>
              <w:tc>
                <w:tcPr>
                  <w:tcW w:w="1416" w:type="dxa"/>
                  <w:vAlign w:val="top"/>
                </w:tcPr>
                <w:p w14:paraId="75AC51DA">
                  <w:pPr>
                    <w:pStyle w:val="22"/>
                    <w:spacing w:before="170"/>
                    <w:ind w:left="506" w:right="184" w:hanging="317"/>
                    <w:rPr>
                      <w:color w:val="auto"/>
                      <w:sz w:val="20"/>
                      <w:szCs w:val="20"/>
                    </w:rPr>
                  </w:pPr>
                  <w:r>
                    <w:rPr>
                      <w:color w:val="auto"/>
                      <w:spacing w:val="7"/>
                      <w:sz w:val="20"/>
                      <w:szCs w:val="20"/>
                    </w:rPr>
                    <w:t>昼间等效</w:t>
                  </w:r>
                  <w:r>
                    <w:rPr>
                      <w:color w:val="auto"/>
                      <w:spacing w:val="-44"/>
                      <w:sz w:val="20"/>
                      <w:szCs w:val="20"/>
                    </w:rPr>
                    <w:t xml:space="preserve"> </w:t>
                  </w:r>
                  <w:r>
                    <w:rPr>
                      <w:rFonts w:ascii="Times New Roman" w:hAnsi="Times New Roman" w:eastAsia="Times New Roman" w:cs="Times New Roman"/>
                      <w:color w:val="auto"/>
                      <w:spacing w:val="7"/>
                      <w:sz w:val="20"/>
                      <w:szCs w:val="20"/>
                    </w:rPr>
                    <w:t>A</w:t>
                  </w:r>
                  <w:r>
                    <w:rPr>
                      <w:rFonts w:ascii="Times New Roman" w:hAnsi="Times New Roman" w:eastAsia="Times New Roman" w:cs="Times New Roman"/>
                      <w:color w:val="auto"/>
                      <w:sz w:val="20"/>
                      <w:szCs w:val="20"/>
                    </w:rPr>
                    <w:t xml:space="preserve"> </w:t>
                  </w:r>
                  <w:r>
                    <w:rPr>
                      <w:color w:val="auto"/>
                      <w:spacing w:val="2"/>
                      <w:sz w:val="20"/>
                      <w:szCs w:val="20"/>
                    </w:rPr>
                    <w:t>声级</w:t>
                  </w:r>
                </w:p>
              </w:tc>
              <w:tc>
                <w:tcPr>
                  <w:tcW w:w="1183" w:type="dxa"/>
                  <w:vAlign w:val="top"/>
                </w:tcPr>
                <w:p w14:paraId="7A24F798">
                  <w:pPr>
                    <w:pStyle w:val="22"/>
                    <w:spacing w:before="306" w:line="228" w:lineRule="auto"/>
                    <w:ind w:left="190"/>
                    <w:rPr>
                      <w:color w:val="auto"/>
                      <w:sz w:val="20"/>
                      <w:szCs w:val="20"/>
                    </w:rPr>
                  </w:pPr>
                  <w:r>
                    <w:rPr>
                      <w:rFonts w:ascii="Times New Roman" w:hAnsi="Times New Roman" w:eastAsia="Times New Roman" w:cs="Times New Roman"/>
                      <w:color w:val="auto"/>
                      <w:spacing w:val="-1"/>
                      <w:sz w:val="20"/>
                      <w:szCs w:val="20"/>
                    </w:rPr>
                    <w:t>1</w:t>
                  </w:r>
                  <w:r>
                    <w:rPr>
                      <w:rFonts w:ascii="Times New Roman" w:hAnsi="Times New Roman" w:eastAsia="Times New Roman" w:cs="Times New Roman"/>
                      <w:color w:val="auto"/>
                      <w:spacing w:val="18"/>
                      <w:w w:val="101"/>
                      <w:sz w:val="20"/>
                      <w:szCs w:val="20"/>
                    </w:rPr>
                    <w:t xml:space="preserve"> </w:t>
                  </w:r>
                  <w:r>
                    <w:rPr>
                      <w:color w:val="auto"/>
                      <w:spacing w:val="-1"/>
                      <w:sz w:val="20"/>
                      <w:szCs w:val="20"/>
                    </w:rPr>
                    <w:t>次</w:t>
                  </w:r>
                  <w:r>
                    <w:rPr>
                      <w:rFonts w:ascii="Times New Roman" w:hAnsi="Times New Roman" w:eastAsia="Times New Roman" w:cs="Times New Roman"/>
                      <w:color w:val="auto"/>
                      <w:spacing w:val="-1"/>
                      <w:sz w:val="20"/>
                      <w:szCs w:val="20"/>
                    </w:rPr>
                    <w:t>/</w:t>
                  </w:r>
                  <w:r>
                    <w:rPr>
                      <w:color w:val="auto"/>
                      <w:spacing w:val="-1"/>
                      <w:sz w:val="20"/>
                      <w:szCs w:val="20"/>
                    </w:rPr>
                    <w:t>季度</w:t>
                  </w:r>
                </w:p>
              </w:tc>
              <w:tc>
                <w:tcPr>
                  <w:tcW w:w="3184" w:type="dxa"/>
                  <w:vAlign w:val="top"/>
                </w:tcPr>
                <w:p w14:paraId="02DBC5A4">
                  <w:pPr>
                    <w:pStyle w:val="22"/>
                    <w:spacing w:before="35" w:line="228" w:lineRule="auto"/>
                    <w:ind w:left="131"/>
                    <w:rPr>
                      <w:color w:val="auto"/>
                      <w:sz w:val="20"/>
                      <w:szCs w:val="20"/>
                    </w:rPr>
                  </w:pPr>
                  <w:r>
                    <w:rPr>
                      <w:color w:val="auto"/>
                      <w:spacing w:val="8"/>
                      <w:sz w:val="20"/>
                      <w:szCs w:val="20"/>
                    </w:rPr>
                    <w:t>《工业企业厂界环境噪声排放标</w:t>
                  </w:r>
                </w:p>
                <w:p w14:paraId="6038B660">
                  <w:pPr>
                    <w:pStyle w:val="22"/>
                    <w:spacing w:before="23" w:line="228" w:lineRule="auto"/>
                    <w:ind w:left="115"/>
                    <w:rPr>
                      <w:color w:val="auto"/>
                      <w:sz w:val="20"/>
                      <w:szCs w:val="20"/>
                    </w:rPr>
                  </w:pPr>
                  <w:r>
                    <w:rPr>
                      <w:color w:val="auto"/>
                      <w:spacing w:val="5"/>
                      <w:sz w:val="20"/>
                      <w:szCs w:val="20"/>
                    </w:rPr>
                    <w:t>准》（</w:t>
                  </w:r>
                  <w:r>
                    <w:rPr>
                      <w:rFonts w:ascii="Times New Roman" w:hAnsi="Times New Roman" w:eastAsia="Times New Roman" w:cs="Times New Roman"/>
                      <w:color w:val="auto"/>
                      <w:sz w:val="20"/>
                      <w:szCs w:val="20"/>
                    </w:rPr>
                    <w:t>GB</w:t>
                  </w:r>
                  <w:r>
                    <w:rPr>
                      <w:rFonts w:ascii="Times New Roman" w:hAnsi="Times New Roman" w:eastAsia="Times New Roman" w:cs="Times New Roman"/>
                      <w:color w:val="auto"/>
                      <w:spacing w:val="5"/>
                      <w:sz w:val="20"/>
                      <w:szCs w:val="20"/>
                    </w:rPr>
                    <w:t>12348-2008</w:t>
                  </w:r>
                  <w:r>
                    <w:rPr>
                      <w:color w:val="auto"/>
                      <w:spacing w:val="5"/>
                      <w:sz w:val="20"/>
                      <w:szCs w:val="20"/>
                    </w:rPr>
                    <w:t>）中</w:t>
                  </w:r>
                  <w:r>
                    <w:rPr>
                      <w:color w:val="auto"/>
                      <w:spacing w:val="-37"/>
                      <w:sz w:val="20"/>
                      <w:szCs w:val="20"/>
                    </w:rPr>
                    <w:t xml:space="preserve"> </w:t>
                  </w:r>
                  <w:r>
                    <w:rPr>
                      <w:rFonts w:ascii="Times New Roman" w:hAnsi="Times New Roman" w:eastAsia="Times New Roman" w:cs="Times New Roman"/>
                      <w:color w:val="auto"/>
                      <w:spacing w:val="5"/>
                      <w:sz w:val="20"/>
                      <w:szCs w:val="20"/>
                    </w:rPr>
                    <w:t xml:space="preserve">2 </w:t>
                  </w:r>
                  <w:r>
                    <w:rPr>
                      <w:color w:val="auto"/>
                      <w:spacing w:val="5"/>
                      <w:sz w:val="20"/>
                      <w:szCs w:val="20"/>
                    </w:rPr>
                    <w:t>类排</w:t>
                  </w:r>
                </w:p>
                <w:p w14:paraId="0ACB5791">
                  <w:pPr>
                    <w:pStyle w:val="22"/>
                    <w:spacing w:before="24" w:line="219" w:lineRule="auto"/>
                    <w:ind w:left="1282"/>
                    <w:rPr>
                      <w:color w:val="auto"/>
                      <w:sz w:val="20"/>
                      <w:szCs w:val="20"/>
                    </w:rPr>
                  </w:pPr>
                  <w:r>
                    <w:rPr>
                      <w:color w:val="auto"/>
                      <w:spacing w:val="6"/>
                      <w:sz w:val="20"/>
                      <w:szCs w:val="20"/>
                    </w:rPr>
                    <w:t>放标准</w:t>
                  </w:r>
                </w:p>
              </w:tc>
            </w:tr>
            <w:tr w14:paraId="2FB72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771" w:type="dxa"/>
                  <w:vAlign w:val="center"/>
                </w:tcPr>
                <w:p w14:paraId="635BF676">
                  <w:pPr>
                    <w:pStyle w:val="22"/>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rFonts w:hint="default" w:eastAsia="宋体"/>
                      <w:color w:val="auto"/>
                      <w:spacing w:val="-1"/>
                      <w:sz w:val="20"/>
                      <w:szCs w:val="20"/>
                      <w:lang w:val="en-US" w:eastAsia="zh-CN"/>
                    </w:rPr>
                  </w:pPr>
                  <w:r>
                    <w:rPr>
                      <w:rFonts w:hint="eastAsia"/>
                      <w:color w:val="auto"/>
                      <w:spacing w:val="-1"/>
                      <w:sz w:val="20"/>
                      <w:szCs w:val="20"/>
                      <w:lang w:val="en-US" w:eastAsia="zh-CN"/>
                    </w:rPr>
                    <w:t>环境空气</w:t>
                  </w:r>
                </w:p>
              </w:tc>
              <w:tc>
                <w:tcPr>
                  <w:tcW w:w="1275" w:type="dxa"/>
                  <w:vAlign w:val="center"/>
                </w:tcPr>
                <w:p w14:paraId="1BD0B8B6">
                  <w:pPr>
                    <w:pStyle w:val="22"/>
                    <w:keepNext w:val="0"/>
                    <w:keepLines w:val="0"/>
                    <w:pageBreakBefore w:val="0"/>
                    <w:widowControl/>
                    <w:kinsoku w:val="0"/>
                    <w:wordWrap/>
                    <w:overflowPunct/>
                    <w:topLinePunct w:val="0"/>
                    <w:autoSpaceDE w:val="0"/>
                    <w:autoSpaceDN w:val="0"/>
                    <w:bidi w:val="0"/>
                    <w:adjustRightInd w:val="0"/>
                    <w:snapToGrid w:val="0"/>
                    <w:spacing w:line="228" w:lineRule="auto"/>
                    <w:jc w:val="center"/>
                    <w:textAlignment w:val="baseline"/>
                    <w:rPr>
                      <w:color w:val="auto"/>
                      <w:spacing w:val="2"/>
                      <w:sz w:val="20"/>
                      <w:szCs w:val="20"/>
                    </w:rPr>
                  </w:pPr>
                  <w:r>
                    <w:rPr>
                      <w:rFonts w:hint="eastAsia"/>
                      <w:color w:val="auto"/>
                      <w:spacing w:val="2"/>
                      <w:sz w:val="20"/>
                      <w:szCs w:val="20"/>
                    </w:rPr>
                    <w:t>练塘村</w:t>
                  </w:r>
                </w:p>
              </w:tc>
              <w:tc>
                <w:tcPr>
                  <w:tcW w:w="1416" w:type="dxa"/>
                  <w:vAlign w:val="center"/>
                </w:tcPr>
                <w:p w14:paraId="420356CC">
                  <w:pPr>
                    <w:pStyle w:val="22"/>
                    <w:keepNext w:val="0"/>
                    <w:keepLines w:val="0"/>
                    <w:pageBreakBefore w:val="0"/>
                    <w:widowControl/>
                    <w:kinsoku w:val="0"/>
                    <w:wordWrap/>
                    <w:overflowPunct/>
                    <w:topLinePunct w:val="0"/>
                    <w:autoSpaceDE w:val="0"/>
                    <w:autoSpaceDN w:val="0"/>
                    <w:bidi w:val="0"/>
                    <w:adjustRightInd w:val="0"/>
                    <w:snapToGrid w:val="0"/>
                    <w:ind w:left="506" w:right="184" w:hanging="317"/>
                    <w:jc w:val="center"/>
                    <w:textAlignment w:val="baseline"/>
                    <w:rPr>
                      <w:rFonts w:hint="default" w:eastAsia="宋体"/>
                      <w:color w:val="auto"/>
                      <w:spacing w:val="7"/>
                      <w:sz w:val="20"/>
                      <w:szCs w:val="20"/>
                      <w:lang w:val="en-US" w:eastAsia="zh-CN"/>
                    </w:rPr>
                  </w:pPr>
                  <w:r>
                    <w:rPr>
                      <w:rFonts w:hint="default" w:ascii="Times New Roman" w:hAnsi="Times New Roman" w:cs="Times New Roman"/>
                      <w:color w:val="auto"/>
                      <w:spacing w:val="7"/>
                      <w:sz w:val="20"/>
                      <w:szCs w:val="20"/>
                      <w:lang w:val="en-US" w:eastAsia="zh-CN"/>
                    </w:rPr>
                    <w:t>TSP</w:t>
                  </w:r>
                </w:p>
              </w:tc>
              <w:tc>
                <w:tcPr>
                  <w:tcW w:w="1183" w:type="dxa"/>
                  <w:vAlign w:val="center"/>
                </w:tcPr>
                <w:p w14:paraId="33A011A9">
                  <w:pPr>
                    <w:pStyle w:val="22"/>
                    <w:keepNext w:val="0"/>
                    <w:keepLines w:val="0"/>
                    <w:pageBreakBefore w:val="0"/>
                    <w:widowControl/>
                    <w:kinsoku w:val="0"/>
                    <w:wordWrap/>
                    <w:overflowPunct/>
                    <w:topLinePunct w:val="0"/>
                    <w:autoSpaceDE w:val="0"/>
                    <w:autoSpaceDN w:val="0"/>
                    <w:bidi w:val="0"/>
                    <w:adjustRightInd w:val="0"/>
                    <w:snapToGrid w:val="0"/>
                    <w:spacing w:line="228" w:lineRule="auto"/>
                    <w:ind w:left="190"/>
                    <w:jc w:val="center"/>
                    <w:textAlignment w:val="baseline"/>
                    <w:rPr>
                      <w:rFonts w:hint="default" w:ascii="Times New Roman" w:hAnsi="Times New Roman" w:eastAsia="宋体" w:cs="Times New Roman"/>
                      <w:color w:val="auto"/>
                      <w:spacing w:val="-1"/>
                      <w:sz w:val="20"/>
                      <w:szCs w:val="20"/>
                      <w:lang w:val="en-US" w:eastAsia="zh-CN"/>
                    </w:rPr>
                  </w:pPr>
                  <w:r>
                    <w:rPr>
                      <w:rFonts w:hint="eastAsia" w:ascii="Times New Roman" w:hAnsi="Times New Roman" w:eastAsia="宋体" w:cs="Times New Roman"/>
                      <w:color w:val="auto"/>
                      <w:spacing w:val="-1"/>
                      <w:sz w:val="20"/>
                      <w:szCs w:val="20"/>
                      <w:lang w:val="en-US" w:eastAsia="zh-CN"/>
                    </w:rPr>
                    <w:t>1次/年</w:t>
                  </w:r>
                </w:p>
              </w:tc>
              <w:tc>
                <w:tcPr>
                  <w:tcW w:w="3184" w:type="dxa"/>
                  <w:vAlign w:val="center"/>
                </w:tcPr>
                <w:p w14:paraId="489F9AE6">
                  <w:pPr>
                    <w:pStyle w:val="22"/>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color w:val="auto"/>
                      <w:spacing w:val="6"/>
                      <w:sz w:val="20"/>
                      <w:szCs w:val="20"/>
                    </w:rPr>
                  </w:pPr>
                  <w:r>
                    <w:rPr>
                      <w:rFonts w:hint="eastAsia"/>
                      <w:color w:val="auto"/>
                      <w:spacing w:val="6"/>
                      <w:sz w:val="20"/>
                      <w:szCs w:val="20"/>
                    </w:rPr>
                    <w:t>《环境空气</w:t>
                  </w:r>
                  <w:r>
                    <w:rPr>
                      <w:rFonts w:hint="default" w:ascii="Times New Roman" w:hAnsi="Times New Roman" w:cs="Times New Roman"/>
                      <w:color w:val="auto"/>
                      <w:spacing w:val="6"/>
                      <w:sz w:val="20"/>
                      <w:szCs w:val="20"/>
                    </w:rPr>
                    <w:t>质量标准》（GB3095-2026）</w:t>
                  </w:r>
                </w:p>
              </w:tc>
            </w:tr>
          </w:tbl>
          <w:p w14:paraId="0B7048FE">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0" w:right="103" w:firstLine="475"/>
              <w:textAlignment w:val="baseline"/>
              <w:rPr>
                <w:color w:val="auto"/>
                <w:spacing w:val="-1"/>
              </w:rPr>
            </w:pPr>
          </w:p>
        </w:tc>
      </w:tr>
    </w:tbl>
    <w:p w14:paraId="2D0D45E3">
      <w:pPr>
        <w:pStyle w:val="6"/>
        <w:rPr>
          <w:color w:val="auto"/>
        </w:rPr>
      </w:pPr>
    </w:p>
    <w:p w14:paraId="7D55B18B">
      <w:pPr>
        <w:rPr>
          <w:color w:val="auto"/>
        </w:rPr>
        <w:sectPr>
          <w:footerReference r:id="rId17" w:type="default"/>
          <w:pgSz w:w="11906" w:h="16839"/>
          <w:pgMar w:top="1431" w:right="1489" w:bottom="1221" w:left="1489" w:header="0" w:footer="1058" w:gutter="0"/>
          <w:pgNumType w:fmt="numberInDash"/>
          <w:cols w:space="720" w:num="1"/>
        </w:sectPr>
      </w:pPr>
    </w:p>
    <w:p w14:paraId="19CA07B7">
      <w:pPr>
        <w:spacing w:before="315" w:line="221" w:lineRule="auto"/>
        <w:ind w:left="2431"/>
        <w:outlineLvl w:val="0"/>
        <w:rPr>
          <w:rFonts w:ascii="黑体" w:hAnsi="黑体" w:eastAsia="黑体" w:cs="黑体"/>
          <w:color w:val="auto"/>
          <w:sz w:val="30"/>
          <w:szCs w:val="30"/>
        </w:rPr>
      </w:pPr>
      <w:bookmarkStart w:id="8" w:name="bookmark9"/>
      <w:bookmarkEnd w:id="8"/>
      <w:bookmarkStart w:id="9" w:name="bookmark10"/>
      <w:bookmarkEnd w:id="9"/>
      <w:r>
        <w:rPr>
          <w:rFonts w:ascii="黑体" w:hAnsi="黑体" w:eastAsia="黑体" w:cs="黑体"/>
          <w:color w:val="auto"/>
          <w:spacing w:val="-2"/>
          <w:sz w:val="30"/>
          <w:szCs w:val="30"/>
        </w:rPr>
        <w:t>五、环境保护措施监督检查清单</w:t>
      </w:r>
    </w:p>
    <w:p w14:paraId="7710F818">
      <w:pPr>
        <w:spacing w:before="22"/>
        <w:rPr>
          <w:color w:val="auto"/>
        </w:rPr>
      </w:pPr>
    </w:p>
    <w:tbl>
      <w:tblPr>
        <w:tblStyle w:val="21"/>
        <w:tblW w:w="901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7"/>
        <w:gridCol w:w="1415"/>
        <w:gridCol w:w="1556"/>
        <w:gridCol w:w="1982"/>
        <w:gridCol w:w="2500"/>
      </w:tblGrid>
      <w:tr w14:paraId="06C8E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557" w:type="dxa"/>
            <w:tcBorders>
              <w:top w:val="single" w:color="000000" w:sz="6" w:space="0"/>
              <w:left w:val="single" w:color="000000" w:sz="6" w:space="0"/>
              <w:tl2br w:val="single" w:color="000000" w:sz="4" w:space="0"/>
            </w:tcBorders>
            <w:vAlign w:val="top"/>
          </w:tcPr>
          <w:p w14:paraId="7AEB88C1">
            <w:pPr>
              <w:pStyle w:val="22"/>
              <w:spacing w:before="35" w:line="228" w:lineRule="auto"/>
              <w:ind w:left="975"/>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内容</w:t>
            </w:r>
          </w:p>
          <w:p w14:paraId="44B28D65">
            <w:pPr>
              <w:pStyle w:val="22"/>
              <w:spacing w:before="26" w:line="228" w:lineRule="auto"/>
              <w:ind w:left="11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要素</w:t>
            </w:r>
          </w:p>
        </w:tc>
        <w:tc>
          <w:tcPr>
            <w:tcW w:w="1415" w:type="dxa"/>
            <w:tcBorders>
              <w:top w:val="single" w:color="000000" w:sz="6" w:space="0"/>
            </w:tcBorders>
            <w:vAlign w:val="top"/>
          </w:tcPr>
          <w:p w14:paraId="429BE363">
            <w:pPr>
              <w:pStyle w:val="22"/>
              <w:spacing w:before="35" w:line="221" w:lineRule="auto"/>
              <w:ind w:left="25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rPr>
              <w:t>排放口(编</w:t>
            </w:r>
          </w:p>
          <w:p w14:paraId="4E6C2016">
            <w:pPr>
              <w:pStyle w:val="22"/>
              <w:spacing w:before="34" w:line="221" w:lineRule="auto"/>
              <w:ind w:left="125"/>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5"/>
                <w:sz w:val="21"/>
                <w:szCs w:val="21"/>
              </w:rPr>
              <w:t>号、名称)/污</w:t>
            </w:r>
          </w:p>
          <w:p w14:paraId="6A9D5C17">
            <w:pPr>
              <w:pStyle w:val="22"/>
              <w:spacing w:before="32" w:line="217" w:lineRule="auto"/>
              <w:ind w:left="5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染源</w:t>
            </w:r>
          </w:p>
        </w:tc>
        <w:tc>
          <w:tcPr>
            <w:tcW w:w="1556" w:type="dxa"/>
            <w:tcBorders>
              <w:top w:val="single" w:color="000000" w:sz="6" w:space="0"/>
            </w:tcBorders>
            <w:vAlign w:val="top"/>
          </w:tcPr>
          <w:p w14:paraId="17A79845">
            <w:pPr>
              <w:spacing w:line="243" w:lineRule="auto"/>
              <w:rPr>
                <w:rFonts w:hint="default" w:ascii="Times New Roman" w:hAnsi="Times New Roman" w:eastAsia="宋体" w:cs="Times New Roman"/>
                <w:color w:val="auto"/>
                <w:sz w:val="21"/>
                <w:szCs w:val="21"/>
              </w:rPr>
            </w:pPr>
          </w:p>
          <w:p w14:paraId="7EFF11A8">
            <w:pPr>
              <w:pStyle w:val="22"/>
              <w:spacing w:before="65" w:line="228" w:lineRule="auto"/>
              <w:ind w:left="257"/>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rPr>
              <w:t>污染物项目</w:t>
            </w:r>
          </w:p>
        </w:tc>
        <w:tc>
          <w:tcPr>
            <w:tcW w:w="1982" w:type="dxa"/>
            <w:tcBorders>
              <w:top w:val="single" w:color="000000" w:sz="6" w:space="0"/>
            </w:tcBorders>
            <w:vAlign w:val="top"/>
          </w:tcPr>
          <w:p w14:paraId="427274AF">
            <w:pPr>
              <w:spacing w:line="243" w:lineRule="auto"/>
              <w:rPr>
                <w:rFonts w:hint="default" w:ascii="Times New Roman" w:hAnsi="Times New Roman" w:eastAsia="宋体" w:cs="Times New Roman"/>
                <w:color w:val="auto"/>
                <w:sz w:val="21"/>
                <w:szCs w:val="21"/>
              </w:rPr>
            </w:pPr>
          </w:p>
          <w:p w14:paraId="052A62CE">
            <w:pPr>
              <w:pStyle w:val="22"/>
              <w:spacing w:before="65" w:line="228" w:lineRule="auto"/>
              <w:ind w:left="36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环境保护措施</w:t>
            </w:r>
          </w:p>
        </w:tc>
        <w:tc>
          <w:tcPr>
            <w:tcW w:w="2500" w:type="dxa"/>
            <w:tcBorders>
              <w:top w:val="single" w:color="000000" w:sz="6" w:space="0"/>
              <w:right w:val="single" w:color="000000" w:sz="6" w:space="0"/>
            </w:tcBorders>
            <w:vAlign w:val="top"/>
          </w:tcPr>
          <w:p w14:paraId="4F27EE5D">
            <w:pPr>
              <w:spacing w:line="242" w:lineRule="auto"/>
              <w:rPr>
                <w:rFonts w:hint="default" w:ascii="Times New Roman" w:hAnsi="Times New Roman" w:eastAsia="宋体" w:cs="Times New Roman"/>
                <w:color w:val="auto"/>
                <w:sz w:val="21"/>
                <w:szCs w:val="21"/>
              </w:rPr>
            </w:pPr>
          </w:p>
          <w:p w14:paraId="6B11FEE1">
            <w:pPr>
              <w:pStyle w:val="22"/>
              <w:spacing w:before="65" w:line="228" w:lineRule="auto"/>
              <w:ind w:left="83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rPr>
              <w:t>执行标准</w:t>
            </w:r>
          </w:p>
        </w:tc>
      </w:tr>
      <w:tr w14:paraId="55FF1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557" w:type="dxa"/>
            <w:vMerge w:val="restart"/>
            <w:tcBorders>
              <w:left w:val="single" w:color="000000" w:sz="6" w:space="0"/>
            </w:tcBorders>
            <w:vAlign w:val="top"/>
          </w:tcPr>
          <w:p w14:paraId="5ED5A8A7">
            <w:pPr>
              <w:spacing w:line="357" w:lineRule="auto"/>
              <w:rPr>
                <w:rFonts w:hint="default" w:ascii="Times New Roman" w:hAnsi="Times New Roman" w:eastAsia="宋体" w:cs="Times New Roman"/>
                <w:color w:val="auto"/>
                <w:sz w:val="21"/>
                <w:szCs w:val="21"/>
              </w:rPr>
            </w:pPr>
          </w:p>
          <w:p w14:paraId="3EDB4A8D">
            <w:pPr>
              <w:spacing w:line="357" w:lineRule="auto"/>
              <w:rPr>
                <w:rFonts w:hint="default" w:ascii="Times New Roman" w:hAnsi="Times New Roman" w:eastAsia="宋体" w:cs="Times New Roman"/>
                <w:color w:val="auto"/>
                <w:sz w:val="21"/>
                <w:szCs w:val="21"/>
              </w:rPr>
            </w:pPr>
          </w:p>
          <w:p w14:paraId="0E28200B">
            <w:pPr>
              <w:pStyle w:val="22"/>
              <w:spacing w:before="65" w:line="228" w:lineRule="auto"/>
              <w:ind w:left="36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6"/>
                <w:sz w:val="21"/>
                <w:szCs w:val="21"/>
              </w:rPr>
              <w:t>大气环境</w:t>
            </w:r>
          </w:p>
        </w:tc>
        <w:tc>
          <w:tcPr>
            <w:tcW w:w="1415" w:type="dxa"/>
            <w:vAlign w:val="center"/>
          </w:tcPr>
          <w:p w14:paraId="6853DDE3">
            <w:pPr>
              <w:pStyle w:val="22"/>
              <w:spacing w:before="172" w:line="228" w:lineRule="auto"/>
              <w:jc w:val="center"/>
              <w:rPr>
                <w:rFonts w:hint="default" w:ascii="Times New Roman" w:hAnsi="Times New Roman" w:eastAsia="宋体" w:cs="Times New Roman"/>
                <w:color w:val="auto"/>
                <w:spacing w:val="3"/>
                <w:sz w:val="21"/>
                <w:szCs w:val="21"/>
                <w:lang w:val="en-US" w:eastAsia="zh-CN"/>
              </w:rPr>
            </w:pPr>
            <w:r>
              <w:rPr>
                <w:rFonts w:hint="default" w:ascii="Times New Roman" w:hAnsi="Times New Roman" w:eastAsia="宋体" w:cs="Times New Roman"/>
                <w:color w:val="auto"/>
                <w:spacing w:val="7"/>
                <w:sz w:val="21"/>
                <w:szCs w:val="21"/>
              </w:rPr>
              <w:t>投料及搅拌</w:t>
            </w:r>
          </w:p>
        </w:tc>
        <w:tc>
          <w:tcPr>
            <w:tcW w:w="1556" w:type="dxa"/>
            <w:vAlign w:val="center"/>
          </w:tcPr>
          <w:p w14:paraId="3AFAFFE0">
            <w:pPr>
              <w:pStyle w:val="22"/>
              <w:spacing w:before="182" w:line="228" w:lineRule="auto"/>
              <w:jc w:val="center"/>
              <w:rPr>
                <w:rFonts w:hint="default" w:ascii="Times New Roman" w:hAnsi="Times New Roman" w:eastAsia="宋体" w:cs="Times New Roman"/>
                <w:color w:val="auto"/>
                <w:spacing w:val="7"/>
                <w:sz w:val="21"/>
                <w:szCs w:val="21"/>
                <w:lang w:val="en-US" w:eastAsia="zh-CN"/>
              </w:rPr>
            </w:pPr>
            <w:r>
              <w:rPr>
                <w:rFonts w:hint="default" w:ascii="Times New Roman" w:hAnsi="Times New Roman" w:eastAsia="宋体" w:cs="Times New Roman"/>
                <w:color w:val="auto"/>
                <w:spacing w:val="7"/>
                <w:sz w:val="21"/>
                <w:szCs w:val="21"/>
              </w:rPr>
              <w:t>颗粒物</w:t>
            </w:r>
          </w:p>
        </w:tc>
        <w:tc>
          <w:tcPr>
            <w:tcW w:w="1982" w:type="dxa"/>
            <w:tcBorders>
              <w:bottom w:val="single" w:color="auto" w:sz="4" w:space="0"/>
            </w:tcBorders>
            <w:vAlign w:val="center"/>
          </w:tcPr>
          <w:p w14:paraId="26889A35">
            <w:pPr>
              <w:pStyle w:val="22"/>
              <w:spacing w:before="182" w:line="227" w:lineRule="auto"/>
              <w:jc w:val="center"/>
              <w:rPr>
                <w:rFonts w:hint="default" w:ascii="Times New Roman" w:hAnsi="Times New Roman" w:eastAsia="宋体" w:cs="Times New Roman"/>
                <w:color w:val="auto"/>
                <w:spacing w:val="7"/>
                <w:sz w:val="21"/>
                <w:szCs w:val="21"/>
                <w:lang w:val="en-US" w:eastAsia="zh-CN"/>
              </w:rPr>
            </w:pPr>
            <w:r>
              <w:rPr>
                <w:rFonts w:hint="default" w:ascii="Times New Roman" w:hAnsi="Times New Roman" w:eastAsia="宋体" w:cs="Times New Roman"/>
                <w:color w:val="auto"/>
                <w:spacing w:val="7"/>
                <w:sz w:val="21"/>
                <w:szCs w:val="21"/>
              </w:rPr>
              <w:t>布袋除尘</w:t>
            </w:r>
            <w:r>
              <w:rPr>
                <w:rFonts w:hint="eastAsia" w:ascii="Times New Roman" w:hAnsi="Times New Roman" w:eastAsia="宋体" w:cs="Times New Roman"/>
                <w:color w:val="auto"/>
                <w:spacing w:val="7"/>
                <w:sz w:val="21"/>
                <w:szCs w:val="21"/>
                <w:lang w:val="en-US" w:eastAsia="zh-CN"/>
              </w:rPr>
              <w:t>+15m高排气筒</w:t>
            </w:r>
          </w:p>
        </w:tc>
        <w:tc>
          <w:tcPr>
            <w:tcW w:w="2500" w:type="dxa"/>
            <w:tcBorders>
              <w:bottom w:val="single" w:color="auto" w:sz="4" w:space="0"/>
              <w:right w:val="single" w:color="000000" w:sz="6" w:space="0"/>
            </w:tcBorders>
            <w:vAlign w:val="center"/>
          </w:tcPr>
          <w:p w14:paraId="7F7F7379">
            <w:pPr>
              <w:pStyle w:val="22"/>
              <w:spacing w:before="186" w:line="227"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lang w:val="en-US" w:eastAsia="zh-CN"/>
              </w:rPr>
              <w:t>《水泥工业大气污染物排放标准》（GB4915-2013）及2025年修改单中表2大气污染物特别排放限值</w:t>
            </w:r>
          </w:p>
        </w:tc>
      </w:tr>
      <w:tr w14:paraId="03418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557" w:type="dxa"/>
            <w:vMerge w:val="continue"/>
            <w:tcBorders>
              <w:left w:val="single" w:color="000000" w:sz="6" w:space="0"/>
            </w:tcBorders>
            <w:vAlign w:val="top"/>
          </w:tcPr>
          <w:p w14:paraId="400FF264">
            <w:pPr>
              <w:pStyle w:val="22"/>
              <w:spacing w:before="65" w:line="228" w:lineRule="auto"/>
              <w:ind w:left="360"/>
              <w:rPr>
                <w:rFonts w:hint="default" w:ascii="Times New Roman" w:hAnsi="Times New Roman" w:eastAsia="宋体" w:cs="Times New Roman"/>
                <w:color w:val="auto"/>
                <w:spacing w:val="6"/>
                <w:sz w:val="21"/>
                <w:szCs w:val="21"/>
              </w:rPr>
            </w:pPr>
          </w:p>
        </w:tc>
        <w:tc>
          <w:tcPr>
            <w:tcW w:w="1415" w:type="dxa"/>
            <w:vAlign w:val="top"/>
          </w:tcPr>
          <w:p w14:paraId="55F3186C">
            <w:pPr>
              <w:pStyle w:val="22"/>
              <w:spacing w:before="176" w:line="228" w:lineRule="auto"/>
              <w:jc w:val="center"/>
              <w:rPr>
                <w:rFonts w:hint="default" w:ascii="Times New Roman" w:hAnsi="Times New Roman" w:eastAsia="宋体" w:cs="Times New Roman"/>
                <w:color w:val="auto"/>
                <w:spacing w:val="3"/>
                <w:sz w:val="21"/>
                <w:szCs w:val="21"/>
                <w:lang w:val="en-US" w:eastAsia="zh-CN"/>
              </w:rPr>
            </w:pPr>
            <w:r>
              <w:rPr>
                <w:rFonts w:hint="default" w:ascii="Times New Roman" w:hAnsi="Times New Roman" w:eastAsia="宋体" w:cs="Times New Roman"/>
                <w:color w:val="auto"/>
                <w:spacing w:val="3"/>
                <w:sz w:val="21"/>
                <w:szCs w:val="21"/>
                <w:lang w:val="en-US" w:eastAsia="zh-CN"/>
              </w:rPr>
              <w:t>破碎、筛分</w:t>
            </w:r>
          </w:p>
        </w:tc>
        <w:tc>
          <w:tcPr>
            <w:tcW w:w="1556" w:type="dxa"/>
            <w:vAlign w:val="top"/>
          </w:tcPr>
          <w:p w14:paraId="19C42A9E">
            <w:pPr>
              <w:pStyle w:val="22"/>
              <w:spacing w:before="186" w:line="228" w:lineRule="auto"/>
              <w:ind w:left="466" w:leftChars="0"/>
              <w:rPr>
                <w:rFonts w:hint="default" w:ascii="Times New Roman" w:hAnsi="Times New Roman" w:eastAsia="宋体" w:cs="Times New Roman"/>
                <w:color w:val="auto"/>
                <w:spacing w:val="7"/>
                <w:sz w:val="21"/>
                <w:szCs w:val="21"/>
                <w:lang w:val="en-US" w:eastAsia="zh-CN"/>
              </w:rPr>
            </w:pPr>
            <w:r>
              <w:rPr>
                <w:rFonts w:hint="default" w:ascii="Times New Roman" w:hAnsi="Times New Roman" w:eastAsia="宋体" w:cs="Times New Roman"/>
                <w:color w:val="auto"/>
                <w:spacing w:val="7"/>
                <w:sz w:val="21"/>
                <w:szCs w:val="21"/>
                <w:lang w:val="en-US" w:eastAsia="zh-CN"/>
              </w:rPr>
              <w:t>颗粒物</w:t>
            </w:r>
          </w:p>
        </w:tc>
        <w:tc>
          <w:tcPr>
            <w:tcW w:w="1982" w:type="dxa"/>
            <w:tcBorders>
              <w:top w:val="single" w:color="auto" w:sz="4" w:space="0"/>
            </w:tcBorders>
            <w:vAlign w:val="top"/>
          </w:tcPr>
          <w:p w14:paraId="407D7ADB">
            <w:pPr>
              <w:pStyle w:val="22"/>
              <w:spacing w:before="186" w:line="227" w:lineRule="auto"/>
              <w:jc w:val="center"/>
              <w:rPr>
                <w:rFonts w:hint="default" w:ascii="Times New Roman" w:hAnsi="Times New Roman" w:eastAsia="宋体" w:cs="Times New Roman"/>
                <w:color w:val="auto"/>
                <w:spacing w:val="7"/>
                <w:sz w:val="21"/>
                <w:szCs w:val="21"/>
                <w:lang w:val="en-US" w:eastAsia="zh-CN"/>
              </w:rPr>
            </w:pPr>
            <w:r>
              <w:rPr>
                <w:rFonts w:hint="default" w:ascii="Times New Roman" w:hAnsi="Times New Roman" w:eastAsia="宋体" w:cs="Times New Roman"/>
                <w:color w:val="auto"/>
                <w:spacing w:val="7"/>
                <w:sz w:val="21"/>
                <w:szCs w:val="21"/>
                <w:lang w:val="en-US" w:eastAsia="zh-CN"/>
              </w:rPr>
              <w:t>喷淋洒水降尘</w:t>
            </w:r>
          </w:p>
        </w:tc>
        <w:tc>
          <w:tcPr>
            <w:tcW w:w="2500" w:type="dxa"/>
            <w:vMerge w:val="restart"/>
            <w:tcBorders>
              <w:top w:val="single" w:color="auto" w:sz="4" w:space="0"/>
              <w:right w:val="single" w:color="000000" w:sz="6" w:space="0"/>
            </w:tcBorders>
            <w:vAlign w:val="center"/>
          </w:tcPr>
          <w:p w14:paraId="70B89962">
            <w:pPr>
              <w:pStyle w:val="22"/>
              <w:spacing w:before="65" w:line="228" w:lineRule="auto"/>
              <w:ind w:left="207"/>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水泥工业大气污染物排</w:t>
            </w:r>
          </w:p>
          <w:p w14:paraId="584BC711">
            <w:pPr>
              <w:pStyle w:val="22"/>
              <w:spacing w:before="24" w:line="228" w:lineRule="auto"/>
              <w:ind w:right="8"/>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放标准》（</w:t>
            </w:r>
            <w:r>
              <w:rPr>
                <w:rFonts w:hint="default" w:ascii="Times New Roman" w:hAnsi="Times New Roman" w:eastAsia="宋体" w:cs="Times New Roman"/>
                <w:color w:val="auto"/>
                <w:sz w:val="21"/>
                <w:szCs w:val="21"/>
              </w:rPr>
              <w:t>GB</w:t>
            </w:r>
            <w:r>
              <w:rPr>
                <w:rFonts w:hint="default" w:ascii="Times New Roman" w:hAnsi="Times New Roman" w:eastAsia="宋体" w:cs="Times New Roman"/>
                <w:color w:val="auto"/>
                <w:spacing w:val="1"/>
                <w:sz w:val="21"/>
                <w:szCs w:val="21"/>
              </w:rPr>
              <w:t>4915-2013）</w:t>
            </w:r>
          </w:p>
          <w:p w14:paraId="6E5B9CA1">
            <w:pPr>
              <w:pStyle w:val="22"/>
              <w:spacing w:before="25" w:line="228" w:lineRule="auto"/>
              <w:ind w:left="224"/>
              <w:jc w:val="center"/>
              <w:rPr>
                <w:rFonts w:hint="default" w:ascii="Times New Roman" w:hAnsi="Times New Roman" w:eastAsia="宋体" w:cs="Times New Roman"/>
                <w:color w:val="auto"/>
                <w:spacing w:val="5"/>
                <w:sz w:val="21"/>
                <w:szCs w:val="21"/>
              </w:rPr>
            </w:pPr>
            <w:r>
              <w:rPr>
                <w:rFonts w:hint="default" w:ascii="Times New Roman" w:hAnsi="Times New Roman" w:eastAsia="宋体" w:cs="Times New Roman"/>
                <w:color w:val="auto"/>
                <w:spacing w:val="5"/>
                <w:sz w:val="21"/>
                <w:szCs w:val="21"/>
              </w:rPr>
              <w:t>中表</w:t>
            </w:r>
            <w:r>
              <w:rPr>
                <w:rFonts w:hint="default" w:ascii="Times New Roman" w:hAnsi="Times New Roman" w:eastAsia="宋体" w:cs="Times New Roman"/>
                <w:color w:val="auto"/>
                <w:spacing w:val="-34"/>
                <w:sz w:val="21"/>
                <w:szCs w:val="21"/>
              </w:rPr>
              <w:t xml:space="preserve"> </w:t>
            </w:r>
            <w:r>
              <w:rPr>
                <w:rFonts w:hint="default" w:ascii="Times New Roman" w:hAnsi="Times New Roman" w:eastAsia="宋体" w:cs="Times New Roman"/>
                <w:color w:val="auto"/>
                <w:spacing w:val="5"/>
                <w:sz w:val="21"/>
                <w:szCs w:val="21"/>
              </w:rPr>
              <w:t>3 无组织排放限值</w:t>
            </w:r>
          </w:p>
        </w:tc>
      </w:tr>
      <w:tr w14:paraId="6221A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557" w:type="dxa"/>
            <w:vMerge w:val="continue"/>
            <w:tcBorders>
              <w:left w:val="single" w:color="000000" w:sz="6" w:space="0"/>
            </w:tcBorders>
            <w:vAlign w:val="top"/>
          </w:tcPr>
          <w:p w14:paraId="7C1981E4">
            <w:pPr>
              <w:pStyle w:val="22"/>
              <w:spacing w:before="65" w:line="228" w:lineRule="auto"/>
              <w:ind w:left="360"/>
              <w:rPr>
                <w:rFonts w:hint="default" w:ascii="Times New Roman" w:hAnsi="Times New Roman" w:eastAsia="宋体" w:cs="Times New Roman"/>
                <w:color w:val="auto"/>
                <w:sz w:val="21"/>
                <w:szCs w:val="21"/>
              </w:rPr>
            </w:pPr>
          </w:p>
        </w:tc>
        <w:tc>
          <w:tcPr>
            <w:tcW w:w="1415" w:type="dxa"/>
            <w:vAlign w:val="top"/>
          </w:tcPr>
          <w:p w14:paraId="19B90607">
            <w:pPr>
              <w:pStyle w:val="22"/>
              <w:spacing w:before="176" w:line="228" w:lineRule="auto"/>
              <w:ind w:left="5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lang w:val="en-US" w:eastAsia="zh-CN"/>
              </w:rPr>
              <w:t>粉料</w:t>
            </w:r>
            <w:r>
              <w:rPr>
                <w:rFonts w:hint="default" w:ascii="Times New Roman" w:hAnsi="Times New Roman" w:eastAsia="宋体" w:cs="Times New Roman"/>
                <w:color w:val="auto"/>
                <w:spacing w:val="3"/>
                <w:sz w:val="21"/>
                <w:szCs w:val="21"/>
              </w:rPr>
              <w:t>仓</w:t>
            </w:r>
          </w:p>
        </w:tc>
        <w:tc>
          <w:tcPr>
            <w:tcW w:w="1556" w:type="dxa"/>
            <w:vAlign w:val="top"/>
          </w:tcPr>
          <w:p w14:paraId="1BB32D9E">
            <w:pPr>
              <w:pStyle w:val="22"/>
              <w:spacing w:before="186" w:line="228" w:lineRule="auto"/>
              <w:ind w:left="46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rPr>
              <w:t>颗粒物</w:t>
            </w:r>
          </w:p>
        </w:tc>
        <w:tc>
          <w:tcPr>
            <w:tcW w:w="1982" w:type="dxa"/>
            <w:vAlign w:val="top"/>
          </w:tcPr>
          <w:p w14:paraId="278249EF">
            <w:pPr>
              <w:pStyle w:val="22"/>
              <w:spacing w:before="186" w:line="227" w:lineRule="auto"/>
              <w:ind w:left="57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rPr>
              <w:t>布袋除尘</w:t>
            </w:r>
          </w:p>
        </w:tc>
        <w:tc>
          <w:tcPr>
            <w:tcW w:w="2500" w:type="dxa"/>
            <w:vMerge w:val="continue"/>
            <w:tcBorders>
              <w:right w:val="single" w:color="000000" w:sz="6" w:space="0"/>
            </w:tcBorders>
            <w:vAlign w:val="top"/>
          </w:tcPr>
          <w:p w14:paraId="62BE17A2">
            <w:pPr>
              <w:pStyle w:val="22"/>
              <w:spacing w:before="25" w:line="228" w:lineRule="auto"/>
              <w:ind w:left="224"/>
              <w:rPr>
                <w:rFonts w:hint="default" w:ascii="Times New Roman" w:hAnsi="Times New Roman" w:eastAsia="宋体" w:cs="Times New Roman"/>
                <w:color w:val="auto"/>
                <w:sz w:val="21"/>
                <w:szCs w:val="21"/>
              </w:rPr>
            </w:pPr>
          </w:p>
        </w:tc>
      </w:tr>
      <w:tr w14:paraId="6C32C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557" w:type="dxa"/>
            <w:vMerge w:val="continue"/>
            <w:tcBorders>
              <w:left w:val="single" w:color="000000" w:sz="6" w:space="0"/>
            </w:tcBorders>
            <w:vAlign w:val="top"/>
          </w:tcPr>
          <w:p w14:paraId="39610AF9">
            <w:pPr>
              <w:rPr>
                <w:rFonts w:hint="default" w:ascii="Times New Roman" w:hAnsi="Times New Roman" w:eastAsia="宋体" w:cs="Times New Roman"/>
                <w:color w:val="auto"/>
                <w:sz w:val="21"/>
                <w:szCs w:val="21"/>
              </w:rPr>
            </w:pPr>
          </w:p>
        </w:tc>
        <w:tc>
          <w:tcPr>
            <w:tcW w:w="1415" w:type="dxa"/>
            <w:vAlign w:val="top"/>
          </w:tcPr>
          <w:p w14:paraId="3243E42A">
            <w:pPr>
              <w:pStyle w:val="22"/>
              <w:spacing w:before="172" w:line="228" w:lineRule="auto"/>
              <w:jc w:val="center"/>
              <w:rPr>
                <w:rFonts w:hint="default" w:ascii="Times New Roman" w:hAnsi="Times New Roman" w:eastAsia="宋体" w:cs="Times New Roman"/>
                <w:color w:val="auto"/>
                <w:spacing w:val="7"/>
                <w:sz w:val="21"/>
                <w:szCs w:val="21"/>
                <w:lang w:val="en-US" w:eastAsia="zh-CN"/>
              </w:rPr>
            </w:pPr>
            <w:r>
              <w:rPr>
                <w:rFonts w:hint="eastAsia" w:ascii="Times New Roman" w:hAnsi="Times New Roman" w:cs="Times New Roman"/>
                <w:color w:val="auto"/>
                <w:spacing w:val="7"/>
                <w:sz w:val="21"/>
                <w:szCs w:val="21"/>
                <w:lang w:val="en-US" w:eastAsia="zh-CN"/>
              </w:rPr>
              <w:t>装卸扬尘</w:t>
            </w:r>
          </w:p>
        </w:tc>
        <w:tc>
          <w:tcPr>
            <w:tcW w:w="1556" w:type="dxa"/>
            <w:vAlign w:val="top"/>
          </w:tcPr>
          <w:p w14:paraId="330D39F1">
            <w:pPr>
              <w:pStyle w:val="22"/>
              <w:spacing w:before="182" w:line="228" w:lineRule="auto"/>
              <w:ind w:left="466"/>
              <w:rPr>
                <w:rFonts w:hint="default" w:ascii="Times New Roman" w:hAnsi="Times New Roman" w:eastAsia="宋体" w:cs="Times New Roman"/>
                <w:color w:val="auto"/>
                <w:spacing w:val="7"/>
                <w:sz w:val="21"/>
                <w:szCs w:val="21"/>
                <w:lang w:val="en-US" w:eastAsia="zh-CN"/>
              </w:rPr>
            </w:pPr>
            <w:r>
              <w:rPr>
                <w:rFonts w:hint="default" w:ascii="Times New Roman" w:hAnsi="Times New Roman" w:eastAsia="宋体" w:cs="Times New Roman"/>
                <w:color w:val="auto"/>
                <w:spacing w:val="7"/>
                <w:sz w:val="21"/>
                <w:szCs w:val="21"/>
              </w:rPr>
              <w:t>颗粒物</w:t>
            </w:r>
          </w:p>
        </w:tc>
        <w:tc>
          <w:tcPr>
            <w:tcW w:w="1982" w:type="dxa"/>
            <w:vAlign w:val="top"/>
          </w:tcPr>
          <w:p w14:paraId="4EBBF50C">
            <w:pPr>
              <w:pStyle w:val="22"/>
              <w:spacing w:before="182" w:line="227" w:lineRule="auto"/>
              <w:ind w:left="576"/>
              <w:rPr>
                <w:rFonts w:hint="default" w:ascii="Times New Roman" w:hAnsi="Times New Roman" w:eastAsia="宋体" w:cs="Times New Roman"/>
                <w:color w:val="auto"/>
                <w:spacing w:val="7"/>
                <w:sz w:val="21"/>
                <w:szCs w:val="21"/>
              </w:rPr>
            </w:pPr>
            <w:r>
              <w:rPr>
                <w:rFonts w:hint="eastAsia" w:ascii="Times New Roman" w:hAnsi="Times New Roman" w:cs="Times New Roman"/>
                <w:color w:val="auto"/>
                <w:spacing w:val="7"/>
                <w:sz w:val="21"/>
                <w:szCs w:val="21"/>
                <w:lang w:val="en-US" w:eastAsia="zh-CN"/>
              </w:rPr>
              <w:t>喷雾除尘</w:t>
            </w:r>
          </w:p>
        </w:tc>
        <w:tc>
          <w:tcPr>
            <w:tcW w:w="2500" w:type="dxa"/>
            <w:vMerge w:val="continue"/>
            <w:tcBorders>
              <w:right w:val="single" w:color="000000" w:sz="6" w:space="0"/>
            </w:tcBorders>
            <w:vAlign w:val="top"/>
          </w:tcPr>
          <w:p w14:paraId="4826FDFA">
            <w:pPr>
              <w:rPr>
                <w:rFonts w:hint="default" w:ascii="Times New Roman" w:hAnsi="Times New Roman" w:eastAsia="宋体" w:cs="Times New Roman"/>
                <w:color w:val="auto"/>
                <w:sz w:val="21"/>
                <w:szCs w:val="21"/>
              </w:rPr>
            </w:pPr>
          </w:p>
        </w:tc>
      </w:tr>
      <w:tr w14:paraId="0EE17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557" w:type="dxa"/>
            <w:vMerge w:val="continue"/>
            <w:tcBorders>
              <w:left w:val="single" w:color="000000" w:sz="6" w:space="0"/>
            </w:tcBorders>
            <w:vAlign w:val="top"/>
          </w:tcPr>
          <w:p w14:paraId="204F5F7F">
            <w:pPr>
              <w:rPr>
                <w:rFonts w:hint="default" w:ascii="Times New Roman" w:hAnsi="Times New Roman" w:eastAsia="宋体" w:cs="Times New Roman"/>
                <w:color w:val="auto"/>
                <w:sz w:val="21"/>
                <w:szCs w:val="21"/>
              </w:rPr>
            </w:pPr>
          </w:p>
        </w:tc>
        <w:tc>
          <w:tcPr>
            <w:tcW w:w="1415" w:type="dxa"/>
            <w:vAlign w:val="top"/>
          </w:tcPr>
          <w:p w14:paraId="3676CE60">
            <w:pPr>
              <w:pStyle w:val="22"/>
              <w:spacing w:before="187" w:line="228"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运输扬尘</w:t>
            </w:r>
          </w:p>
        </w:tc>
        <w:tc>
          <w:tcPr>
            <w:tcW w:w="1556" w:type="dxa"/>
            <w:vAlign w:val="top"/>
          </w:tcPr>
          <w:p w14:paraId="289A28AC">
            <w:pPr>
              <w:pStyle w:val="22"/>
              <w:spacing w:before="196" w:line="228" w:lineRule="auto"/>
              <w:ind w:left="46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rPr>
              <w:t>颗粒物</w:t>
            </w:r>
          </w:p>
        </w:tc>
        <w:tc>
          <w:tcPr>
            <w:tcW w:w="1982" w:type="dxa"/>
            <w:vAlign w:val="top"/>
          </w:tcPr>
          <w:p w14:paraId="387D8B42">
            <w:pPr>
              <w:pStyle w:val="22"/>
              <w:spacing w:before="62" w:line="239" w:lineRule="auto"/>
              <w:ind w:left="369" w:right="182" w:hanging="194"/>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洒水降尘、</w:t>
            </w:r>
            <w:r>
              <w:rPr>
                <w:rFonts w:hint="default" w:ascii="Times New Roman" w:hAnsi="Times New Roman" w:eastAsia="宋体" w:cs="Times New Roman"/>
                <w:color w:val="auto"/>
                <w:spacing w:val="1"/>
                <w:sz w:val="21"/>
                <w:szCs w:val="21"/>
              </w:rPr>
              <w:t xml:space="preserve"> </w:t>
            </w:r>
            <w:r>
              <w:rPr>
                <w:rFonts w:hint="default" w:ascii="Times New Roman" w:hAnsi="Times New Roman" w:eastAsia="宋体" w:cs="Times New Roman"/>
                <w:color w:val="auto"/>
                <w:spacing w:val="7"/>
                <w:sz w:val="21"/>
                <w:szCs w:val="21"/>
              </w:rPr>
              <w:t>车辆冲洗控制</w:t>
            </w:r>
          </w:p>
        </w:tc>
        <w:tc>
          <w:tcPr>
            <w:tcW w:w="2500" w:type="dxa"/>
            <w:vMerge w:val="continue"/>
            <w:tcBorders>
              <w:right w:val="single" w:color="000000" w:sz="6" w:space="0"/>
            </w:tcBorders>
            <w:vAlign w:val="top"/>
          </w:tcPr>
          <w:p w14:paraId="0E07C047">
            <w:pPr>
              <w:rPr>
                <w:rFonts w:hint="default" w:ascii="Times New Roman" w:hAnsi="Times New Roman" w:eastAsia="宋体" w:cs="Times New Roman"/>
                <w:color w:val="auto"/>
                <w:sz w:val="21"/>
                <w:szCs w:val="21"/>
              </w:rPr>
            </w:pPr>
          </w:p>
        </w:tc>
      </w:tr>
      <w:tr w14:paraId="35A93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1557" w:type="dxa"/>
            <w:vMerge w:val="restart"/>
            <w:tcBorders>
              <w:left w:val="single" w:color="000000" w:sz="6" w:space="0"/>
              <w:bottom w:val="nil"/>
            </w:tcBorders>
            <w:vAlign w:val="top"/>
          </w:tcPr>
          <w:p w14:paraId="69281E19">
            <w:pPr>
              <w:spacing w:line="252" w:lineRule="auto"/>
              <w:rPr>
                <w:rFonts w:hint="default" w:ascii="Times New Roman" w:hAnsi="Times New Roman" w:eastAsia="宋体" w:cs="Times New Roman"/>
                <w:color w:val="auto"/>
                <w:sz w:val="21"/>
                <w:szCs w:val="21"/>
              </w:rPr>
            </w:pPr>
          </w:p>
          <w:p w14:paraId="5C9B8871">
            <w:pPr>
              <w:spacing w:line="253" w:lineRule="auto"/>
              <w:rPr>
                <w:rFonts w:hint="default" w:ascii="Times New Roman" w:hAnsi="Times New Roman" w:eastAsia="宋体" w:cs="Times New Roman"/>
                <w:color w:val="auto"/>
                <w:sz w:val="21"/>
                <w:szCs w:val="21"/>
              </w:rPr>
            </w:pPr>
          </w:p>
          <w:p w14:paraId="1FE50B79">
            <w:pPr>
              <w:spacing w:line="253" w:lineRule="auto"/>
              <w:rPr>
                <w:rFonts w:hint="default" w:ascii="Times New Roman" w:hAnsi="Times New Roman" w:eastAsia="宋体" w:cs="Times New Roman"/>
                <w:color w:val="auto"/>
                <w:sz w:val="21"/>
                <w:szCs w:val="21"/>
              </w:rPr>
            </w:pPr>
          </w:p>
          <w:p w14:paraId="1A0B3E56">
            <w:pPr>
              <w:pStyle w:val="22"/>
              <w:spacing w:before="65" w:line="228" w:lineRule="auto"/>
              <w:ind w:left="25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地表水环境</w:t>
            </w:r>
          </w:p>
        </w:tc>
        <w:tc>
          <w:tcPr>
            <w:tcW w:w="1415" w:type="dxa"/>
            <w:vAlign w:val="top"/>
          </w:tcPr>
          <w:p w14:paraId="1DACEA52">
            <w:pPr>
              <w:spacing w:line="285" w:lineRule="auto"/>
              <w:rPr>
                <w:rFonts w:hint="default" w:ascii="Times New Roman" w:hAnsi="Times New Roman" w:eastAsia="宋体" w:cs="Times New Roman"/>
                <w:color w:val="auto"/>
                <w:sz w:val="21"/>
                <w:szCs w:val="21"/>
              </w:rPr>
            </w:pPr>
          </w:p>
          <w:p w14:paraId="50DB816F">
            <w:pPr>
              <w:pStyle w:val="22"/>
              <w:spacing w:before="65" w:line="228" w:lineRule="auto"/>
              <w:ind w:left="29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6"/>
                <w:sz w:val="21"/>
                <w:szCs w:val="21"/>
              </w:rPr>
              <w:t>生活污水</w:t>
            </w:r>
          </w:p>
        </w:tc>
        <w:tc>
          <w:tcPr>
            <w:tcW w:w="1556" w:type="dxa"/>
            <w:vAlign w:val="top"/>
          </w:tcPr>
          <w:p w14:paraId="71A4995F">
            <w:pPr>
              <w:pStyle w:val="22"/>
              <w:spacing w:before="252" w:line="229" w:lineRule="auto"/>
              <w:ind w:left="268" w:right="111" w:hanging="159"/>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pacing w:val="-1"/>
                <w:sz w:val="21"/>
                <w:szCs w:val="21"/>
                <w:lang w:val="en-US" w:eastAsia="zh-CN"/>
              </w:rPr>
              <w:t>pH、</w:t>
            </w:r>
            <w:r>
              <w:rPr>
                <w:rFonts w:hint="default" w:ascii="Times New Roman" w:hAnsi="Times New Roman" w:eastAsia="宋体" w:cs="Times New Roman"/>
                <w:color w:val="auto"/>
                <w:spacing w:val="-1"/>
                <w:sz w:val="21"/>
                <w:szCs w:val="21"/>
              </w:rPr>
              <w:t>COD</w:t>
            </w:r>
            <w:r>
              <w:rPr>
                <w:rFonts w:hint="default" w:ascii="Times New Roman" w:hAnsi="Times New Roman" w:eastAsia="宋体" w:cs="Times New Roman"/>
                <w:color w:val="auto"/>
                <w:spacing w:val="-21"/>
                <w:sz w:val="21"/>
                <w:szCs w:val="21"/>
              </w:rPr>
              <w:t xml:space="preserve"> </w:t>
            </w:r>
            <w:r>
              <w:rPr>
                <w:rFonts w:hint="default" w:ascii="Times New Roman" w:hAnsi="Times New Roman" w:eastAsia="宋体" w:cs="Times New Roman"/>
                <w:color w:val="auto"/>
                <w:spacing w:val="-1"/>
                <w:sz w:val="21"/>
                <w:szCs w:val="21"/>
              </w:rPr>
              <w:t>、BOD</w:t>
            </w:r>
            <w:r>
              <w:rPr>
                <w:rFonts w:hint="default" w:ascii="Times New Roman" w:hAnsi="Times New Roman" w:eastAsia="宋体" w:cs="Times New Roman"/>
                <w:color w:val="auto"/>
                <w:spacing w:val="-1"/>
                <w:position w:val="-1"/>
                <w:sz w:val="21"/>
                <w:szCs w:val="21"/>
                <w:vertAlign w:val="subscript"/>
              </w:rPr>
              <w:t>5</w:t>
            </w:r>
            <w:r>
              <w:rPr>
                <w:rFonts w:hint="default" w:ascii="Times New Roman" w:hAnsi="Times New Roman" w:eastAsia="宋体" w:cs="Times New Roman"/>
                <w:color w:val="auto"/>
                <w:spacing w:val="-1"/>
                <w:sz w:val="21"/>
                <w:szCs w:val="21"/>
              </w:rPr>
              <w:t>、</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13"/>
                <w:sz w:val="21"/>
                <w:szCs w:val="21"/>
              </w:rPr>
              <w:t>氨氮、</w:t>
            </w:r>
            <w:r>
              <w:rPr>
                <w:rFonts w:hint="eastAsia" w:ascii="Times New Roman" w:hAnsi="Times New Roman" w:eastAsia="宋体" w:cs="Times New Roman"/>
                <w:color w:val="auto"/>
                <w:spacing w:val="13"/>
                <w:sz w:val="21"/>
                <w:szCs w:val="21"/>
                <w:lang w:val="en-US" w:eastAsia="zh-CN"/>
              </w:rPr>
              <w:t>SS</w:t>
            </w:r>
          </w:p>
        </w:tc>
        <w:tc>
          <w:tcPr>
            <w:tcW w:w="1982" w:type="dxa"/>
            <w:vAlign w:val="top"/>
          </w:tcPr>
          <w:p w14:paraId="3BAACDE6">
            <w:pPr>
              <w:pStyle w:val="22"/>
              <w:spacing w:before="79" w:line="228" w:lineRule="auto"/>
              <w:ind w:left="157"/>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化粪池处理后用于</w:t>
            </w:r>
          </w:p>
          <w:p w14:paraId="45BCC4AD">
            <w:pPr>
              <w:pStyle w:val="22"/>
              <w:spacing w:before="24" w:line="228" w:lineRule="auto"/>
              <w:ind w:left="159"/>
              <w:rPr>
                <w:rFonts w:hint="default" w:ascii="Times New Roman" w:hAnsi="Times New Roman" w:eastAsia="宋体" w:cs="Times New Roman"/>
                <w:color w:val="auto"/>
                <w:sz w:val="21"/>
                <w:szCs w:val="21"/>
              </w:rPr>
            </w:pPr>
            <w:r>
              <w:rPr>
                <w:rFonts w:hint="eastAsia" w:ascii="Times New Roman" w:hAnsi="Times New Roman" w:cs="Times New Roman"/>
                <w:color w:val="auto"/>
                <w:spacing w:val="8"/>
                <w:sz w:val="21"/>
                <w:szCs w:val="21"/>
                <w:lang w:val="en-US" w:eastAsia="zh-CN"/>
              </w:rPr>
              <w:t>周边林地灌溉</w:t>
            </w:r>
            <w:r>
              <w:rPr>
                <w:rFonts w:hint="default" w:ascii="Times New Roman" w:hAnsi="Times New Roman" w:eastAsia="宋体" w:cs="Times New Roman"/>
                <w:color w:val="auto"/>
                <w:spacing w:val="8"/>
                <w:sz w:val="21"/>
                <w:szCs w:val="21"/>
              </w:rPr>
              <w:t>，不</w:t>
            </w:r>
          </w:p>
          <w:p w14:paraId="260FD4F7">
            <w:pPr>
              <w:pStyle w:val="22"/>
              <w:spacing w:before="27" w:line="228" w:lineRule="auto"/>
              <w:ind w:left="79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外排</w:t>
            </w:r>
          </w:p>
        </w:tc>
        <w:tc>
          <w:tcPr>
            <w:tcW w:w="2500" w:type="dxa"/>
            <w:tcBorders>
              <w:right w:val="single" w:color="000000" w:sz="6" w:space="0"/>
            </w:tcBorders>
            <w:vAlign w:val="top"/>
          </w:tcPr>
          <w:p w14:paraId="3604A577">
            <w:pPr>
              <w:pStyle w:val="22"/>
              <w:spacing w:before="79" w:line="239" w:lineRule="auto"/>
              <w:ind w:right="12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rPr>
              <w:t>《农田灌溉水质标准》</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6"/>
                <w:sz w:val="21"/>
                <w:szCs w:val="21"/>
              </w:rPr>
              <w:t>（</w:t>
            </w:r>
            <w:r>
              <w:rPr>
                <w:rFonts w:hint="default" w:ascii="Times New Roman" w:hAnsi="Times New Roman" w:eastAsia="宋体" w:cs="Times New Roman"/>
                <w:color w:val="auto"/>
                <w:sz w:val="21"/>
                <w:szCs w:val="21"/>
              </w:rPr>
              <w:t>GB</w:t>
            </w:r>
            <w:r>
              <w:rPr>
                <w:rFonts w:hint="default" w:ascii="Times New Roman" w:hAnsi="Times New Roman" w:eastAsia="宋体" w:cs="Times New Roman"/>
                <w:color w:val="auto"/>
                <w:spacing w:val="6"/>
                <w:sz w:val="21"/>
                <w:szCs w:val="21"/>
              </w:rPr>
              <w:t>5084-2021）中</w:t>
            </w:r>
            <w:r>
              <w:rPr>
                <w:rFonts w:hint="eastAsia" w:ascii="Times New Roman" w:hAnsi="Times New Roman" w:cs="Times New Roman"/>
                <w:color w:val="auto"/>
                <w:spacing w:val="6"/>
                <w:sz w:val="21"/>
                <w:szCs w:val="21"/>
                <w:lang w:val="en-US" w:eastAsia="zh-CN"/>
              </w:rPr>
              <w:t>旱地</w:t>
            </w:r>
            <w:r>
              <w:rPr>
                <w:rFonts w:hint="default" w:ascii="Times New Roman" w:hAnsi="Times New Roman" w:eastAsia="宋体" w:cs="Times New Roman"/>
                <w:color w:val="auto"/>
                <w:spacing w:val="8"/>
                <w:sz w:val="21"/>
                <w:szCs w:val="21"/>
              </w:rPr>
              <w:t>作物标准要求</w:t>
            </w:r>
          </w:p>
        </w:tc>
      </w:tr>
      <w:tr w14:paraId="30097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557" w:type="dxa"/>
            <w:vMerge w:val="continue"/>
            <w:tcBorders>
              <w:top w:val="nil"/>
              <w:left w:val="single" w:color="000000" w:sz="6" w:space="0"/>
            </w:tcBorders>
            <w:vAlign w:val="top"/>
          </w:tcPr>
          <w:p w14:paraId="0BDB8490">
            <w:pPr>
              <w:rPr>
                <w:rFonts w:hint="default" w:ascii="Times New Roman" w:hAnsi="Times New Roman" w:eastAsia="宋体" w:cs="Times New Roman"/>
                <w:color w:val="auto"/>
                <w:sz w:val="21"/>
                <w:szCs w:val="21"/>
              </w:rPr>
            </w:pPr>
          </w:p>
        </w:tc>
        <w:tc>
          <w:tcPr>
            <w:tcW w:w="1415" w:type="dxa"/>
            <w:vAlign w:val="top"/>
          </w:tcPr>
          <w:p w14:paraId="667791CC">
            <w:pPr>
              <w:pStyle w:val="22"/>
              <w:spacing w:before="234"/>
              <w:ind w:right="109"/>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生产废水</w:t>
            </w:r>
            <w:r>
              <w:rPr>
                <w:rFonts w:hint="eastAsia" w:ascii="Times New Roman" w:hAnsi="Times New Roman" w:eastAsia="宋体" w:cs="Times New Roman"/>
                <w:color w:val="auto"/>
                <w:spacing w:val="-2"/>
                <w:sz w:val="21"/>
                <w:szCs w:val="21"/>
                <w:lang w:eastAsia="zh-CN"/>
              </w:rPr>
              <w:t>、</w:t>
            </w:r>
            <w:r>
              <w:rPr>
                <w:rFonts w:hint="default" w:ascii="Times New Roman" w:hAnsi="Times New Roman" w:eastAsia="宋体" w:cs="Times New Roman"/>
                <w:color w:val="auto"/>
                <w:spacing w:val="-2"/>
                <w:sz w:val="21"/>
                <w:szCs w:val="21"/>
              </w:rPr>
              <w:t>初</w:t>
            </w:r>
            <w:r>
              <w:rPr>
                <w:rFonts w:hint="default" w:ascii="Times New Roman" w:hAnsi="Times New Roman" w:eastAsia="宋体" w:cs="Times New Roman"/>
                <w:color w:val="auto"/>
                <w:spacing w:val="1"/>
                <w:sz w:val="21"/>
                <w:szCs w:val="21"/>
              </w:rPr>
              <w:t xml:space="preserve"> </w:t>
            </w:r>
            <w:r>
              <w:rPr>
                <w:rFonts w:hint="default" w:ascii="Times New Roman" w:hAnsi="Times New Roman" w:eastAsia="宋体" w:cs="Times New Roman"/>
                <w:color w:val="auto"/>
                <w:spacing w:val="6"/>
                <w:sz w:val="21"/>
                <w:szCs w:val="21"/>
              </w:rPr>
              <w:t>期雨水</w:t>
            </w:r>
          </w:p>
        </w:tc>
        <w:tc>
          <w:tcPr>
            <w:tcW w:w="1556" w:type="dxa"/>
            <w:vAlign w:val="top"/>
          </w:tcPr>
          <w:p w14:paraId="06622C17">
            <w:pPr>
              <w:spacing w:line="346" w:lineRule="auto"/>
              <w:rPr>
                <w:rFonts w:hint="default" w:ascii="Times New Roman" w:hAnsi="Times New Roman" w:eastAsia="宋体" w:cs="Times New Roman"/>
                <w:color w:val="auto"/>
                <w:sz w:val="21"/>
                <w:szCs w:val="21"/>
              </w:rPr>
            </w:pPr>
          </w:p>
          <w:p w14:paraId="24FC9F20">
            <w:pPr>
              <w:spacing w:before="58" w:line="195" w:lineRule="auto"/>
              <w:ind w:left="669"/>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pacing w:val="-3"/>
                <w:sz w:val="21"/>
                <w:szCs w:val="21"/>
                <w:lang w:val="en-US" w:eastAsia="zh-CN"/>
              </w:rPr>
              <w:t>pH、</w:t>
            </w:r>
            <w:r>
              <w:rPr>
                <w:rFonts w:hint="default" w:ascii="Times New Roman" w:hAnsi="Times New Roman" w:eastAsia="宋体" w:cs="Times New Roman"/>
                <w:color w:val="auto"/>
                <w:spacing w:val="-3"/>
                <w:sz w:val="21"/>
                <w:szCs w:val="21"/>
              </w:rPr>
              <w:t>SS</w:t>
            </w:r>
          </w:p>
        </w:tc>
        <w:tc>
          <w:tcPr>
            <w:tcW w:w="1982" w:type="dxa"/>
            <w:vAlign w:val="top"/>
          </w:tcPr>
          <w:p w14:paraId="6B64FB25">
            <w:pPr>
              <w:pStyle w:val="22"/>
              <w:spacing w:before="96" w:line="227" w:lineRule="auto"/>
              <w:ind w:left="144"/>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rPr>
              <w:t>沉淀+</w:t>
            </w:r>
            <w:r>
              <w:rPr>
                <w:rFonts w:hint="eastAsia" w:ascii="Times New Roman" w:hAnsi="Times New Roman" w:eastAsia="宋体" w:cs="Times New Roman"/>
                <w:color w:val="auto"/>
                <w:spacing w:val="7"/>
                <w:sz w:val="21"/>
                <w:szCs w:val="21"/>
                <w:lang w:val="en-US" w:eastAsia="zh-CN"/>
              </w:rPr>
              <w:t>过滤罐</w:t>
            </w:r>
            <w:r>
              <w:rPr>
                <w:rFonts w:hint="default" w:ascii="Times New Roman" w:hAnsi="Times New Roman" w:eastAsia="宋体" w:cs="Times New Roman"/>
                <w:color w:val="auto"/>
                <w:spacing w:val="7"/>
                <w:sz w:val="21"/>
                <w:szCs w:val="21"/>
              </w:rPr>
              <w:t>+板</w:t>
            </w:r>
          </w:p>
          <w:p w14:paraId="3BEB73CE">
            <w:pPr>
              <w:pStyle w:val="22"/>
              <w:spacing w:before="24" w:line="228" w:lineRule="auto"/>
              <w:ind w:left="26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框压滤处理后回</w:t>
            </w:r>
          </w:p>
          <w:p w14:paraId="54B71EC1">
            <w:pPr>
              <w:pStyle w:val="22"/>
              <w:spacing w:before="27" w:line="228" w:lineRule="auto"/>
              <w:ind w:left="475"/>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rPr>
              <w:t>用，不外排</w:t>
            </w:r>
          </w:p>
        </w:tc>
        <w:tc>
          <w:tcPr>
            <w:tcW w:w="2500" w:type="dxa"/>
            <w:tcBorders>
              <w:right w:val="single" w:color="000000" w:sz="6" w:space="0"/>
            </w:tcBorders>
            <w:vAlign w:val="top"/>
          </w:tcPr>
          <w:p w14:paraId="77E11B25">
            <w:pPr>
              <w:spacing w:line="343" w:lineRule="auto"/>
              <w:rPr>
                <w:rFonts w:hint="default" w:ascii="Times New Roman" w:hAnsi="Times New Roman" w:eastAsia="宋体" w:cs="Times New Roman"/>
                <w:color w:val="auto"/>
                <w:sz w:val="21"/>
                <w:szCs w:val="21"/>
              </w:rPr>
            </w:pPr>
          </w:p>
          <w:p w14:paraId="4D8B415B">
            <w:pPr>
              <w:spacing w:before="57" w:line="199" w:lineRule="auto"/>
              <w:ind w:left="121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w:t>
            </w:r>
          </w:p>
        </w:tc>
      </w:tr>
      <w:tr w14:paraId="52AA5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557" w:type="dxa"/>
            <w:tcBorders>
              <w:left w:val="single" w:color="000000" w:sz="6" w:space="0"/>
            </w:tcBorders>
            <w:vAlign w:val="top"/>
          </w:tcPr>
          <w:p w14:paraId="4C02EF3B">
            <w:pPr>
              <w:spacing w:line="378" w:lineRule="auto"/>
              <w:rPr>
                <w:rFonts w:hint="default" w:ascii="Times New Roman" w:hAnsi="Times New Roman" w:eastAsia="宋体" w:cs="Times New Roman"/>
                <w:color w:val="auto"/>
                <w:sz w:val="21"/>
                <w:szCs w:val="21"/>
              </w:rPr>
            </w:pPr>
          </w:p>
          <w:p w14:paraId="7E6678AC">
            <w:pPr>
              <w:pStyle w:val="22"/>
              <w:spacing w:before="65" w:line="228" w:lineRule="auto"/>
              <w:ind w:left="467"/>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5"/>
                <w:sz w:val="21"/>
                <w:szCs w:val="21"/>
              </w:rPr>
              <w:t>声环境</w:t>
            </w:r>
          </w:p>
        </w:tc>
        <w:tc>
          <w:tcPr>
            <w:tcW w:w="1415" w:type="dxa"/>
            <w:vAlign w:val="top"/>
          </w:tcPr>
          <w:p w14:paraId="4D832D0B">
            <w:pPr>
              <w:spacing w:line="378" w:lineRule="auto"/>
              <w:rPr>
                <w:rFonts w:hint="default" w:ascii="Times New Roman" w:hAnsi="Times New Roman" w:eastAsia="宋体" w:cs="Times New Roman"/>
                <w:color w:val="auto"/>
                <w:sz w:val="21"/>
                <w:szCs w:val="21"/>
              </w:rPr>
            </w:pPr>
          </w:p>
          <w:p w14:paraId="4C9ED06C">
            <w:pPr>
              <w:pStyle w:val="22"/>
              <w:spacing w:before="65" w:line="228" w:lineRule="auto"/>
              <w:ind w:left="5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厂区</w:t>
            </w:r>
          </w:p>
        </w:tc>
        <w:tc>
          <w:tcPr>
            <w:tcW w:w="1556" w:type="dxa"/>
            <w:vAlign w:val="top"/>
          </w:tcPr>
          <w:p w14:paraId="594D99AE">
            <w:pPr>
              <w:spacing w:line="378" w:lineRule="auto"/>
              <w:rPr>
                <w:rFonts w:hint="default" w:ascii="Times New Roman" w:hAnsi="Times New Roman" w:eastAsia="宋体" w:cs="Times New Roman"/>
                <w:color w:val="auto"/>
                <w:sz w:val="21"/>
                <w:szCs w:val="21"/>
              </w:rPr>
            </w:pPr>
          </w:p>
          <w:p w14:paraId="7EB346DA">
            <w:pPr>
              <w:pStyle w:val="22"/>
              <w:spacing w:before="65" w:line="227" w:lineRule="auto"/>
              <w:ind w:left="36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rPr>
              <w:t>机械噪声</w:t>
            </w:r>
          </w:p>
        </w:tc>
        <w:tc>
          <w:tcPr>
            <w:tcW w:w="1982" w:type="dxa"/>
            <w:vAlign w:val="top"/>
          </w:tcPr>
          <w:p w14:paraId="53D719A6">
            <w:pPr>
              <w:spacing w:line="243" w:lineRule="auto"/>
              <w:rPr>
                <w:rFonts w:hint="default" w:ascii="Times New Roman" w:hAnsi="Times New Roman" w:eastAsia="宋体" w:cs="Times New Roman"/>
                <w:color w:val="auto"/>
                <w:sz w:val="21"/>
                <w:szCs w:val="21"/>
              </w:rPr>
            </w:pPr>
          </w:p>
          <w:p w14:paraId="4D348C5A">
            <w:pPr>
              <w:pStyle w:val="22"/>
              <w:spacing w:before="65"/>
              <w:ind w:left="263" w:right="150" w:hanging="106"/>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8"/>
                <w:sz w:val="21"/>
                <w:szCs w:val="21"/>
              </w:rPr>
              <w:t>合理布置、</w:t>
            </w:r>
            <w:r>
              <w:rPr>
                <w:rFonts w:hint="eastAsia" w:ascii="Times New Roman" w:hAnsi="Times New Roman" w:eastAsia="宋体" w:cs="Times New Roman"/>
                <w:color w:val="auto"/>
                <w:spacing w:val="8"/>
                <w:sz w:val="21"/>
                <w:szCs w:val="21"/>
                <w:lang w:val="en-US" w:eastAsia="zh-CN"/>
              </w:rPr>
              <w:t>减振、隔声</w:t>
            </w:r>
          </w:p>
        </w:tc>
        <w:tc>
          <w:tcPr>
            <w:tcW w:w="2500" w:type="dxa"/>
            <w:tcBorders>
              <w:right w:val="single" w:color="000000" w:sz="6" w:space="0"/>
            </w:tcBorders>
            <w:vAlign w:val="top"/>
          </w:tcPr>
          <w:p w14:paraId="219AADA2">
            <w:pPr>
              <w:pStyle w:val="22"/>
              <w:spacing w:before="37" w:line="228" w:lineRule="auto"/>
              <w:ind w:left="21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《工业企业厂界环境噪</w:t>
            </w:r>
          </w:p>
          <w:p w14:paraId="6667DC1C">
            <w:pPr>
              <w:pStyle w:val="22"/>
              <w:spacing w:before="24" w:line="228" w:lineRule="auto"/>
              <w:ind w:left="37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9"/>
                <w:sz w:val="21"/>
                <w:szCs w:val="21"/>
              </w:rPr>
              <w:t>声排放标准》（</w:t>
            </w:r>
            <w:r>
              <w:rPr>
                <w:rFonts w:hint="default" w:ascii="Times New Roman" w:hAnsi="Times New Roman" w:eastAsia="宋体" w:cs="Times New Roman"/>
                <w:color w:val="auto"/>
                <w:sz w:val="21"/>
                <w:szCs w:val="21"/>
              </w:rPr>
              <w:t>GB</w:t>
            </w:r>
          </w:p>
          <w:p w14:paraId="3C3D6E16">
            <w:pPr>
              <w:pStyle w:val="22"/>
              <w:spacing w:before="25" w:line="228" w:lineRule="auto"/>
              <w:ind w:left="135"/>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12348-2008）中</w:t>
            </w:r>
            <w:r>
              <w:rPr>
                <w:rFonts w:hint="default" w:ascii="Times New Roman" w:hAnsi="Times New Roman" w:eastAsia="宋体" w:cs="Times New Roman"/>
                <w:color w:val="auto"/>
                <w:spacing w:val="-38"/>
                <w:sz w:val="21"/>
                <w:szCs w:val="21"/>
              </w:rPr>
              <w:t xml:space="preserve"> </w:t>
            </w:r>
            <w:r>
              <w:rPr>
                <w:rFonts w:hint="default" w:ascii="Times New Roman" w:hAnsi="Times New Roman" w:eastAsia="宋体" w:cs="Times New Roman"/>
                <w:color w:val="auto"/>
                <w:spacing w:val="4"/>
                <w:sz w:val="21"/>
                <w:szCs w:val="21"/>
              </w:rPr>
              <w:t>2 类排放</w:t>
            </w:r>
          </w:p>
          <w:p w14:paraId="2FEBEC9F">
            <w:pPr>
              <w:pStyle w:val="22"/>
              <w:spacing w:before="24" w:line="212" w:lineRule="auto"/>
              <w:ind w:left="104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标准</w:t>
            </w:r>
          </w:p>
        </w:tc>
      </w:tr>
      <w:tr w14:paraId="6AE69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557" w:type="dxa"/>
            <w:tcBorders>
              <w:left w:val="single" w:color="000000" w:sz="6" w:space="0"/>
            </w:tcBorders>
            <w:vAlign w:val="top"/>
          </w:tcPr>
          <w:p w14:paraId="29395478">
            <w:pPr>
              <w:spacing w:line="316" w:lineRule="auto"/>
              <w:rPr>
                <w:rFonts w:hint="default" w:ascii="Times New Roman" w:hAnsi="Times New Roman" w:eastAsia="宋体" w:cs="Times New Roman"/>
                <w:color w:val="auto"/>
                <w:sz w:val="21"/>
                <w:szCs w:val="21"/>
              </w:rPr>
            </w:pPr>
          </w:p>
          <w:p w14:paraId="780BECE2">
            <w:pPr>
              <w:pStyle w:val="22"/>
              <w:spacing w:before="65" w:line="228" w:lineRule="auto"/>
              <w:ind w:left="38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电磁辐射</w:t>
            </w:r>
          </w:p>
        </w:tc>
        <w:tc>
          <w:tcPr>
            <w:tcW w:w="7453" w:type="dxa"/>
            <w:gridSpan w:val="4"/>
            <w:tcBorders>
              <w:right w:val="single" w:color="000000" w:sz="6" w:space="0"/>
            </w:tcBorders>
            <w:vAlign w:val="top"/>
          </w:tcPr>
          <w:p w14:paraId="07391FC9">
            <w:pPr>
              <w:spacing w:line="317" w:lineRule="auto"/>
              <w:rPr>
                <w:rFonts w:hint="default" w:ascii="Times New Roman" w:hAnsi="Times New Roman" w:eastAsia="宋体" w:cs="Times New Roman"/>
                <w:color w:val="auto"/>
                <w:sz w:val="21"/>
                <w:szCs w:val="21"/>
              </w:rPr>
            </w:pPr>
          </w:p>
          <w:p w14:paraId="30768A12">
            <w:pPr>
              <w:pStyle w:val="22"/>
              <w:spacing w:before="65" w:line="228" w:lineRule="auto"/>
              <w:ind w:left="362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无</w:t>
            </w:r>
          </w:p>
        </w:tc>
      </w:tr>
      <w:tr w14:paraId="085AD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1557" w:type="dxa"/>
            <w:tcBorders>
              <w:left w:val="single" w:color="000000" w:sz="6" w:space="0"/>
            </w:tcBorders>
            <w:vAlign w:val="top"/>
          </w:tcPr>
          <w:p w14:paraId="4E04E84B">
            <w:pPr>
              <w:spacing w:line="253" w:lineRule="auto"/>
              <w:rPr>
                <w:rFonts w:hint="default" w:ascii="Times New Roman" w:hAnsi="Times New Roman" w:eastAsia="宋体" w:cs="Times New Roman"/>
                <w:color w:val="auto"/>
                <w:sz w:val="21"/>
                <w:szCs w:val="21"/>
              </w:rPr>
            </w:pPr>
          </w:p>
          <w:p w14:paraId="0178466E">
            <w:pPr>
              <w:spacing w:line="253" w:lineRule="auto"/>
              <w:rPr>
                <w:rFonts w:hint="default" w:ascii="Times New Roman" w:hAnsi="Times New Roman" w:eastAsia="宋体" w:cs="Times New Roman"/>
                <w:color w:val="auto"/>
                <w:sz w:val="21"/>
                <w:szCs w:val="21"/>
              </w:rPr>
            </w:pPr>
          </w:p>
          <w:p w14:paraId="210C2E0B">
            <w:pPr>
              <w:pStyle w:val="22"/>
              <w:spacing w:before="65" w:line="228" w:lineRule="auto"/>
              <w:ind w:left="375"/>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固体废物</w:t>
            </w:r>
          </w:p>
        </w:tc>
        <w:tc>
          <w:tcPr>
            <w:tcW w:w="7453" w:type="dxa"/>
            <w:gridSpan w:val="4"/>
            <w:tcBorders>
              <w:right w:val="single" w:color="000000" w:sz="6" w:space="0"/>
            </w:tcBorders>
            <w:vAlign w:val="top"/>
          </w:tcPr>
          <w:p w14:paraId="49B3B042">
            <w:pPr>
              <w:pStyle w:val="22"/>
              <w:spacing w:before="299" w:line="244" w:lineRule="auto"/>
              <w:ind w:left="107" w:right="33" w:firstLine="13"/>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除尘器收集的粉尘</w:t>
            </w:r>
            <w:r>
              <w:rPr>
                <w:rFonts w:hint="default" w:ascii="Times New Roman" w:hAnsi="Times New Roman" w:eastAsia="宋体" w:cs="Times New Roman"/>
                <w:color w:val="auto"/>
                <w:spacing w:val="-32"/>
                <w:sz w:val="21"/>
                <w:szCs w:val="21"/>
              </w:rPr>
              <w:t xml:space="preserve"> </w:t>
            </w:r>
            <w:r>
              <w:rPr>
                <w:rFonts w:hint="eastAsia" w:ascii="Times New Roman" w:hAnsi="Times New Roman" w:cs="Times New Roman"/>
                <w:color w:val="auto"/>
                <w:spacing w:val="-32"/>
                <w:sz w:val="21"/>
                <w:szCs w:val="21"/>
                <w:lang w:val="en-US" w:eastAsia="zh-CN"/>
              </w:rPr>
              <w:t>回用于生产，</w:t>
            </w:r>
            <w:r>
              <w:rPr>
                <w:rFonts w:hint="eastAsia" w:ascii="Times New Roman" w:hAnsi="Times New Roman" w:eastAsia="宋体" w:cs="Times New Roman"/>
                <w:color w:val="auto"/>
                <w:spacing w:val="3"/>
                <w:sz w:val="21"/>
                <w:szCs w:val="21"/>
                <w:lang w:val="en-US" w:eastAsia="zh-CN"/>
              </w:rPr>
              <w:t>废水沉淀</w:t>
            </w:r>
            <w:r>
              <w:rPr>
                <w:rFonts w:hint="default" w:ascii="Times New Roman" w:hAnsi="Times New Roman" w:eastAsia="宋体" w:cs="Times New Roman"/>
                <w:color w:val="auto"/>
                <w:spacing w:val="3"/>
                <w:sz w:val="21"/>
                <w:szCs w:val="21"/>
              </w:rPr>
              <w:t>污泥</w:t>
            </w:r>
            <w:r>
              <w:rPr>
                <w:rFonts w:hint="default" w:ascii="Times New Roman" w:hAnsi="Times New Roman" w:eastAsia="宋体" w:cs="Times New Roman"/>
                <w:color w:val="auto"/>
                <w:spacing w:val="-34"/>
                <w:sz w:val="21"/>
                <w:szCs w:val="21"/>
              </w:rPr>
              <w:t>外售相关综合利用</w:t>
            </w:r>
            <w:r>
              <w:rPr>
                <w:rFonts w:hint="eastAsia" w:ascii="Times New Roman" w:hAnsi="Times New Roman" w:cs="Times New Roman"/>
                <w:color w:val="auto"/>
                <w:spacing w:val="3"/>
                <w:sz w:val="21"/>
                <w:szCs w:val="21"/>
                <w:lang w:eastAsia="zh-CN"/>
              </w:rPr>
              <w:t>，</w:t>
            </w:r>
            <w:r>
              <w:rPr>
                <w:rFonts w:hint="eastAsia" w:ascii="Times New Roman" w:hAnsi="Times New Roman" w:cs="Times New Roman"/>
                <w:color w:val="auto"/>
                <w:spacing w:val="3"/>
                <w:sz w:val="21"/>
                <w:szCs w:val="21"/>
                <w:lang w:val="en-US" w:eastAsia="zh-CN"/>
              </w:rPr>
              <w:t>废润滑油及废含油抹布委托有资质的单位处置</w:t>
            </w:r>
            <w:r>
              <w:rPr>
                <w:rFonts w:hint="default" w:ascii="Times New Roman" w:hAnsi="Times New Roman" w:eastAsia="宋体" w:cs="Times New Roman"/>
                <w:color w:val="auto"/>
                <w:spacing w:val="2"/>
                <w:sz w:val="21"/>
                <w:szCs w:val="21"/>
              </w:rPr>
              <w:t>；</w:t>
            </w:r>
            <w:r>
              <w:rPr>
                <w:rFonts w:hint="default" w:ascii="Times New Roman" w:hAnsi="Times New Roman" w:eastAsia="宋体" w:cs="Times New Roman"/>
                <w:color w:val="auto"/>
                <w:spacing w:val="9"/>
                <w:sz w:val="21"/>
                <w:szCs w:val="21"/>
              </w:rPr>
              <w:t>生活垃圾经收集后由环卫部门处置。</w:t>
            </w:r>
          </w:p>
        </w:tc>
      </w:tr>
      <w:tr w14:paraId="0C26E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4" w:hRule="atLeast"/>
        </w:trPr>
        <w:tc>
          <w:tcPr>
            <w:tcW w:w="1557" w:type="dxa"/>
            <w:tcBorders>
              <w:left w:val="single" w:color="000000" w:sz="6" w:space="0"/>
            </w:tcBorders>
            <w:vAlign w:val="top"/>
          </w:tcPr>
          <w:p w14:paraId="4B660B15">
            <w:pPr>
              <w:pStyle w:val="22"/>
              <w:spacing w:before="193"/>
              <w:ind w:left="149" w:right="148"/>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土壤及地下水</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7"/>
                <w:sz w:val="21"/>
                <w:szCs w:val="21"/>
              </w:rPr>
              <w:t>污染防治措施</w:t>
            </w:r>
          </w:p>
        </w:tc>
        <w:tc>
          <w:tcPr>
            <w:tcW w:w="7453" w:type="dxa"/>
            <w:gridSpan w:val="4"/>
            <w:tcBorders>
              <w:right w:val="single" w:color="000000" w:sz="6" w:space="0"/>
            </w:tcBorders>
            <w:vAlign w:val="top"/>
          </w:tcPr>
          <w:p w14:paraId="790B60E9">
            <w:pPr>
              <w:spacing w:line="262" w:lineRule="auto"/>
              <w:rPr>
                <w:rFonts w:hint="default" w:ascii="Times New Roman" w:hAnsi="Times New Roman" w:eastAsia="宋体" w:cs="Times New Roman"/>
                <w:color w:val="auto"/>
                <w:sz w:val="21"/>
                <w:szCs w:val="21"/>
              </w:rPr>
            </w:pPr>
          </w:p>
          <w:p w14:paraId="585666D5">
            <w:pPr>
              <w:pStyle w:val="22"/>
              <w:spacing w:before="65" w:line="227" w:lineRule="auto"/>
              <w:ind w:left="107"/>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源头控制、分区防渗。</w:t>
            </w:r>
          </w:p>
        </w:tc>
      </w:tr>
      <w:tr w14:paraId="58070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557" w:type="dxa"/>
            <w:tcBorders>
              <w:left w:val="single" w:color="000000" w:sz="6" w:space="0"/>
            </w:tcBorders>
            <w:vAlign w:val="top"/>
          </w:tcPr>
          <w:p w14:paraId="06945138">
            <w:pPr>
              <w:pStyle w:val="22"/>
              <w:spacing w:before="265" w:line="228" w:lineRule="auto"/>
              <w:ind w:left="15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rPr>
              <w:t>生态保护措施</w:t>
            </w:r>
          </w:p>
        </w:tc>
        <w:tc>
          <w:tcPr>
            <w:tcW w:w="7453" w:type="dxa"/>
            <w:gridSpan w:val="4"/>
            <w:tcBorders>
              <w:right w:val="single" w:color="000000" w:sz="6" w:space="0"/>
            </w:tcBorders>
            <w:vAlign w:val="top"/>
          </w:tcPr>
          <w:p w14:paraId="1E81CA5C">
            <w:pPr>
              <w:pStyle w:val="22"/>
              <w:spacing w:before="264" w:line="228" w:lineRule="auto"/>
              <w:ind w:left="111"/>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44D4B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1557" w:type="dxa"/>
            <w:tcBorders>
              <w:left w:val="single" w:color="000000" w:sz="6" w:space="0"/>
            </w:tcBorders>
            <w:vAlign w:val="top"/>
          </w:tcPr>
          <w:p w14:paraId="426B96FD">
            <w:pPr>
              <w:pStyle w:val="22"/>
              <w:spacing w:before="220"/>
              <w:ind w:right="359"/>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rPr>
              <w:t>环境风险</w:t>
            </w:r>
            <w:r>
              <w:rPr>
                <w:rFonts w:hint="default" w:ascii="Times New Roman" w:hAnsi="Times New Roman" w:eastAsia="宋体" w:cs="Times New Roman"/>
                <w:color w:val="auto"/>
                <w:spacing w:val="4"/>
                <w:sz w:val="21"/>
                <w:szCs w:val="21"/>
              </w:rPr>
              <w:t>防范措施</w:t>
            </w:r>
          </w:p>
        </w:tc>
        <w:tc>
          <w:tcPr>
            <w:tcW w:w="7453" w:type="dxa"/>
            <w:gridSpan w:val="4"/>
            <w:tcBorders>
              <w:right w:val="single" w:color="000000" w:sz="6" w:space="0"/>
            </w:tcBorders>
            <w:vAlign w:val="top"/>
          </w:tcPr>
          <w:p w14:paraId="313FAAF0">
            <w:pPr>
              <w:pStyle w:val="22"/>
              <w:spacing w:before="219"/>
              <w:ind w:left="109" w:right="204" w:hanging="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落实本报告提出的各项分析方法措施，加强防范意识、责任意识，按规范进行操作。</w:t>
            </w:r>
          </w:p>
        </w:tc>
      </w:tr>
      <w:tr w14:paraId="61E09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557" w:type="dxa"/>
            <w:tcBorders>
              <w:left w:val="single" w:color="000000" w:sz="6" w:space="0"/>
              <w:bottom w:val="single" w:color="000000" w:sz="6" w:space="0"/>
            </w:tcBorders>
            <w:vAlign w:val="top"/>
          </w:tcPr>
          <w:p w14:paraId="706197BC">
            <w:pPr>
              <w:pStyle w:val="22"/>
              <w:spacing w:before="65" w:line="228" w:lineRule="auto"/>
              <w:ind w:left="35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rPr>
              <w:t>其他环境</w:t>
            </w:r>
          </w:p>
          <w:p w14:paraId="3DE1E260">
            <w:pPr>
              <w:pStyle w:val="22"/>
              <w:spacing w:before="25" w:line="228" w:lineRule="auto"/>
              <w:ind w:left="362"/>
              <w:outlineLvl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6"/>
                <w:sz w:val="21"/>
                <w:szCs w:val="21"/>
              </w:rPr>
              <w:t>管理要求</w:t>
            </w:r>
          </w:p>
        </w:tc>
        <w:tc>
          <w:tcPr>
            <w:tcW w:w="7453" w:type="dxa"/>
            <w:gridSpan w:val="4"/>
            <w:tcBorders>
              <w:bottom w:val="single" w:color="000000" w:sz="6" w:space="0"/>
              <w:right w:val="single" w:color="000000" w:sz="6" w:space="0"/>
            </w:tcBorders>
            <w:vAlign w:val="center"/>
          </w:tcPr>
          <w:p w14:paraId="464C0E15">
            <w:pPr>
              <w:ind w:firstLine="420" w:firstLineChars="200"/>
              <w:jc w:val="left"/>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bl>
    <w:p w14:paraId="3E01038D">
      <w:pPr>
        <w:pStyle w:val="6"/>
        <w:rPr>
          <w:color w:val="auto"/>
        </w:rPr>
      </w:pPr>
    </w:p>
    <w:p w14:paraId="7DB50F30">
      <w:pPr>
        <w:rPr>
          <w:color w:val="auto"/>
        </w:rPr>
        <w:sectPr>
          <w:footerReference r:id="rId18" w:type="default"/>
          <w:pgSz w:w="11906" w:h="16839"/>
          <w:pgMar w:top="1431" w:right="1440" w:bottom="1221" w:left="1440" w:header="0" w:footer="1059" w:gutter="0"/>
          <w:pgNumType w:fmt="numberInDash"/>
          <w:cols w:space="720" w:num="1"/>
        </w:sectPr>
      </w:pPr>
    </w:p>
    <w:p w14:paraId="60F42921">
      <w:pPr>
        <w:pStyle w:val="6"/>
        <w:spacing w:line="246" w:lineRule="auto"/>
        <w:rPr>
          <w:color w:val="auto"/>
        </w:rPr>
      </w:pPr>
    </w:p>
    <w:p w14:paraId="4283003F">
      <w:pPr>
        <w:pStyle w:val="6"/>
        <w:spacing w:line="247" w:lineRule="auto"/>
        <w:rPr>
          <w:color w:val="auto"/>
        </w:rPr>
      </w:pPr>
    </w:p>
    <w:p w14:paraId="4B5EDF0A">
      <w:pPr>
        <w:spacing w:before="98" w:line="226" w:lineRule="auto"/>
        <w:ind w:left="3862"/>
        <w:outlineLvl w:val="0"/>
        <w:rPr>
          <w:rFonts w:ascii="黑体" w:hAnsi="黑体" w:eastAsia="黑体" w:cs="黑体"/>
          <w:color w:val="auto"/>
          <w:sz w:val="30"/>
          <w:szCs w:val="30"/>
        </w:rPr>
      </w:pPr>
      <w:bookmarkStart w:id="10" w:name="bookmark11"/>
      <w:bookmarkEnd w:id="10"/>
      <w:bookmarkStart w:id="11" w:name="bookmark12"/>
      <w:bookmarkEnd w:id="11"/>
      <w:r>
        <w:rPr>
          <w:rFonts w:ascii="黑体" w:hAnsi="黑体" w:eastAsia="黑体" w:cs="黑体"/>
          <w:color w:val="auto"/>
          <w:spacing w:val="-6"/>
          <w:sz w:val="30"/>
          <w:szCs w:val="30"/>
        </w:rPr>
        <w:t>六、结论</w:t>
      </w:r>
    </w:p>
    <w:p w14:paraId="74262319">
      <w:pPr>
        <w:spacing w:before="15"/>
        <w:rPr>
          <w:color w:val="auto"/>
        </w:rPr>
      </w:pPr>
    </w:p>
    <w:tbl>
      <w:tblPr>
        <w:tblStyle w:val="21"/>
        <w:tblW w:w="8962"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962"/>
      </w:tblGrid>
      <w:tr w14:paraId="5D2A64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206" w:hRule="atLeast"/>
        </w:trPr>
        <w:tc>
          <w:tcPr>
            <w:tcW w:w="8962" w:type="dxa"/>
            <w:vAlign w:val="top"/>
          </w:tcPr>
          <w:p w14:paraId="5C00F80F">
            <w:pPr>
              <w:pStyle w:val="22"/>
              <w:keepNext w:val="0"/>
              <w:keepLines w:val="0"/>
              <w:pageBreakBefore w:val="0"/>
              <w:widowControl/>
              <w:kinsoku w:val="0"/>
              <w:wordWrap/>
              <w:overflowPunct/>
              <w:topLinePunct w:val="0"/>
              <w:autoSpaceDE w:val="0"/>
              <w:autoSpaceDN w:val="0"/>
              <w:bidi w:val="0"/>
              <w:adjustRightInd w:val="0"/>
              <w:snapToGrid w:val="0"/>
              <w:spacing w:before="100" w:line="356" w:lineRule="auto"/>
              <w:ind w:left="113" w:firstLine="488"/>
              <w:jc w:val="both"/>
              <w:textAlignment w:val="baseline"/>
              <w:rPr>
                <w:b/>
                <w:bCs/>
                <w:color w:val="auto"/>
              </w:rPr>
            </w:pPr>
            <w:r>
              <w:rPr>
                <w:rFonts w:hint="eastAsia"/>
                <w:b/>
                <w:bCs/>
                <w:color w:val="auto"/>
                <w:spacing w:val="-4"/>
              </w:rPr>
              <w:t>乐昌市银岳贸易有限公司年产</w:t>
            </w:r>
            <w:r>
              <w:rPr>
                <w:rFonts w:hint="default" w:ascii="Times New Roman" w:hAnsi="Times New Roman" w:cs="Times New Roman"/>
                <w:b/>
                <w:bCs/>
                <w:color w:val="auto"/>
                <w:spacing w:val="-4"/>
              </w:rPr>
              <w:t>5</w:t>
            </w:r>
            <w:r>
              <w:rPr>
                <w:rFonts w:hint="eastAsia"/>
                <w:b/>
                <w:bCs/>
                <w:color w:val="auto"/>
                <w:spacing w:val="-4"/>
              </w:rPr>
              <w:t>万立方米混凝土搅拌站项目</w:t>
            </w:r>
            <w:r>
              <w:rPr>
                <w:b/>
                <w:bCs/>
                <w:color w:val="auto"/>
                <w:spacing w:val="-6"/>
              </w:rPr>
              <w:t>符合国家产业政策，选址合理，符合</w:t>
            </w:r>
            <w:r>
              <w:rPr>
                <w:rFonts w:hint="eastAsia"/>
                <w:b/>
                <w:bCs/>
                <w:color w:val="auto"/>
                <w:spacing w:val="-6"/>
              </w:rPr>
              <w:t>生态环境分区管控</w:t>
            </w:r>
            <w:r>
              <w:rPr>
                <w:b/>
                <w:bCs/>
                <w:color w:val="auto"/>
                <w:spacing w:val="-6"/>
              </w:rPr>
              <w:t>的管理要求，</w:t>
            </w:r>
            <w:r>
              <w:rPr>
                <w:b/>
                <w:bCs/>
                <w:color w:val="auto"/>
                <w:spacing w:val="-3"/>
              </w:rPr>
              <w:t>对于项目运营过程中产生的各类污染物，建设单位提出了切实可行</w:t>
            </w:r>
            <w:r>
              <w:rPr>
                <w:b/>
                <w:bCs/>
                <w:color w:val="auto"/>
                <w:spacing w:val="-2"/>
              </w:rPr>
              <w:t>有效的治理措施，污染物可做到达标排放，对</w:t>
            </w:r>
            <w:r>
              <w:rPr>
                <w:b/>
                <w:bCs/>
                <w:color w:val="auto"/>
                <w:spacing w:val="-3"/>
              </w:rPr>
              <w:t>环境的影响在可接受范围内。</w:t>
            </w:r>
          </w:p>
          <w:p w14:paraId="6BAB3B40">
            <w:pPr>
              <w:pStyle w:val="22"/>
              <w:spacing w:before="35" w:line="219" w:lineRule="auto"/>
              <w:ind w:left="594"/>
              <w:rPr>
                <w:color w:val="auto"/>
              </w:rPr>
            </w:pPr>
            <w:r>
              <w:rPr>
                <w:b/>
                <w:bCs/>
                <w:color w:val="auto"/>
                <w:spacing w:val="-2"/>
              </w:rPr>
              <w:t>综上所述，从环境保护角度考虑，本项目是</w:t>
            </w:r>
            <w:r>
              <w:rPr>
                <w:b/>
                <w:bCs/>
                <w:color w:val="auto"/>
                <w:spacing w:val="-3"/>
              </w:rPr>
              <w:t>可行的。</w:t>
            </w:r>
          </w:p>
        </w:tc>
      </w:tr>
    </w:tbl>
    <w:p w14:paraId="19ABE486">
      <w:pPr>
        <w:pStyle w:val="6"/>
        <w:rPr>
          <w:color w:val="auto"/>
        </w:rPr>
      </w:pPr>
      <w:bookmarkStart w:id="12" w:name="bookmark13"/>
      <w:bookmarkEnd w:id="12"/>
    </w:p>
    <w:sectPr>
      <w:footerReference r:id="rId19" w:type="default"/>
      <w:pgSz w:w="11906" w:h="16839"/>
      <w:pgMar w:top="1367" w:right="958" w:bottom="1663" w:left="1012" w:header="0" w:footer="69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A73B8">
    <w:pPr>
      <w:spacing w:line="176" w:lineRule="auto"/>
      <w:ind w:left="44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6CE6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4B96CE6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5CF5D">
    <w:pPr>
      <w:spacing w:line="176" w:lineRule="auto"/>
      <w:ind w:left="43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E8F21">
                          <w:pPr>
                            <w:pStyle w:val="1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17E8F21">
                    <w:pPr>
                      <w:pStyle w:val="1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FEB6A">
    <w:pPr>
      <w:spacing w:line="176" w:lineRule="auto"/>
      <w:ind w:left="65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2808E">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1A12808E">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0ABD7">
    <w:pPr>
      <w:spacing w:line="176" w:lineRule="auto"/>
      <w:ind w:left="43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06308">
                          <w:pPr>
                            <w:pStyle w:val="1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02106308">
                    <w:pPr>
                      <w:pStyle w:val="1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0CE02">
    <w:pPr>
      <w:spacing w:line="176" w:lineRule="auto"/>
      <w:ind w:left="44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24AD8">
                          <w:pPr>
                            <w:pStyle w:val="1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6CF24AD8">
                    <w:pPr>
                      <w:pStyle w:val="1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DF7EB">
    <w:pPr>
      <w:spacing w:line="167" w:lineRule="auto"/>
      <w:ind w:left="12262"/>
      <w:rPr>
        <w:rFonts w:ascii="宋体" w:hAnsi="宋体" w:eastAsia="宋体" w:cs="宋体"/>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B9D1B">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1E8B9D1B">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53935">
    <w:pPr>
      <w:spacing w:line="176" w:lineRule="auto"/>
      <w:ind w:left="44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92822">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66292822">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8B535">
    <w:pPr>
      <w:spacing w:line="176" w:lineRule="auto"/>
      <w:ind w:left="44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D3A96">
                          <w:pPr>
                            <w:pStyle w:val="1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578D3A96">
                    <w:pPr>
                      <w:pStyle w:val="1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1F0A5">
    <w:pPr>
      <w:spacing w:line="176" w:lineRule="auto"/>
      <w:ind w:left="44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506EC">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25506EC">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B541A">
    <w:pPr>
      <w:spacing w:line="176" w:lineRule="auto"/>
      <w:ind w:left="43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0D2F6">
                          <w:pPr>
                            <w:pStyle w:val="1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5CF0D2F6">
                    <w:pPr>
                      <w:pStyle w:val="1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F822D">
    <w:pPr>
      <w:spacing w:line="176" w:lineRule="auto"/>
      <w:ind w:left="43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05A80">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53405A80">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7301A">
    <w:pPr>
      <w:spacing w:line="176" w:lineRule="auto"/>
      <w:ind w:left="43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DA719">
                          <w:pPr>
                            <w:pStyle w:val="1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427DA719">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37ED2">
    <w:pPr>
      <w:spacing w:line="176" w:lineRule="auto"/>
      <w:ind w:left="65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AC5CE">
                          <w:pPr>
                            <w:pStyle w:val="1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150AC5CE">
                    <w:pPr>
                      <w:pStyle w:val="1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6E2D1">
    <w:pPr>
      <w:spacing w:line="176" w:lineRule="auto"/>
      <w:ind w:left="43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7EF35">
                          <w:pPr>
                            <w:pStyle w:val="1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7E67EF35">
                    <w:pPr>
                      <w:pStyle w:val="1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B659B">
    <w:pPr>
      <w:pStyle w:val="15"/>
    </w:pPr>
    <w:r>
      <w:pict>
        <v:shape id="PowerPlusWaterMarkObject16866167" o:spid="_x0000_s2049" o:spt="136" type="#_x0000_t136" style="position:absolute;left:0pt;height:130.25pt;width:456.95pt;mso-position-horizontal:center;mso-position-horizontal-relative:margin;mso-position-vertical:center;mso-position-vertical-relative:margin;rotation:20643840f;z-index:-251642880;mso-width-relative:page;mso-height-relative:page;" fillcolor="#C0C0C0" filled="t" stroked="f" coordsize="21600,21600" adj="10800">
          <v:path/>
          <v:fill on="t" opacity="32768f" focussize="0,0"/>
          <v:stroke on="f"/>
          <v:imagedata o:title=""/>
          <o:lock v:ext="edit" grouping="f" rotation="f" text="f" aspectratio="t"/>
          <v:textpath on="t" fitshape="t" fitpath="t" trim="t" xscale="f" string="严禁复制"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62326"/>
    <w:multiLevelType w:val="singleLevel"/>
    <w:tmpl w:val="A9662326"/>
    <w:lvl w:ilvl="0" w:tentative="0">
      <w:start w:val="4"/>
      <w:numFmt w:val="decimal"/>
      <w:lvlText w:val="%1."/>
      <w:lvlJc w:val="left"/>
      <w:pPr>
        <w:tabs>
          <w:tab w:val="left" w:pos="312"/>
        </w:tabs>
      </w:pPr>
    </w:lvl>
  </w:abstractNum>
  <w:abstractNum w:abstractNumId="1">
    <w:nsid w:val="C0E8B06D"/>
    <w:multiLevelType w:val="singleLevel"/>
    <w:tmpl w:val="C0E8B06D"/>
    <w:lvl w:ilvl="0" w:tentative="0">
      <w:start w:val="1"/>
      <w:numFmt w:val="decimal"/>
      <w:suff w:val="nothing"/>
      <w:lvlText w:val="%1）"/>
      <w:lvlJc w:val="left"/>
    </w:lvl>
  </w:abstractNum>
  <w:abstractNum w:abstractNumId="2">
    <w:nsid w:val="F58A7E15"/>
    <w:multiLevelType w:val="singleLevel"/>
    <w:tmpl w:val="F58A7E15"/>
    <w:lvl w:ilvl="0" w:tentative="0">
      <w:start w:val="6"/>
      <w:numFmt w:val="decimal"/>
      <w:suff w:val="nothing"/>
      <w:lvlText w:val="%1）"/>
      <w:lvlJc w:val="left"/>
    </w:lvl>
  </w:abstractNum>
  <w:abstractNum w:abstractNumId="3">
    <w:nsid w:val="6D1F553F"/>
    <w:multiLevelType w:val="singleLevel"/>
    <w:tmpl w:val="6D1F553F"/>
    <w:lvl w:ilvl="0" w:tentative="0">
      <w:start w:val="2"/>
      <w:numFmt w:val="decimal"/>
      <w:suff w:val="nothing"/>
      <w:lvlText w:val="%1）"/>
      <w:lvlJc w:val="left"/>
    </w:lvl>
  </w:abstractNum>
  <w:abstractNum w:abstractNumId="4">
    <w:nsid w:val="77AB4389"/>
    <w:multiLevelType w:val="singleLevel"/>
    <w:tmpl w:val="77AB4389"/>
    <w:lvl w:ilvl="0" w:tentative="0">
      <w:start w:val="1"/>
      <w:numFmt w:val="decimal"/>
      <w:suff w:val="nothing"/>
      <w:lvlText w:val="%1）"/>
      <w:lvlJc w:val="left"/>
      <w:rPr>
        <w:rFonts w:hint="default"/>
        <w:color w:val="FF000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496DA9"/>
    <w:rsid w:val="00D72607"/>
    <w:rsid w:val="00EF16FF"/>
    <w:rsid w:val="01374E54"/>
    <w:rsid w:val="01390BCC"/>
    <w:rsid w:val="01457570"/>
    <w:rsid w:val="01730582"/>
    <w:rsid w:val="01FA3D45"/>
    <w:rsid w:val="02420130"/>
    <w:rsid w:val="025008C3"/>
    <w:rsid w:val="025256C8"/>
    <w:rsid w:val="02693733"/>
    <w:rsid w:val="028D5BF3"/>
    <w:rsid w:val="02C3767C"/>
    <w:rsid w:val="02C81B1F"/>
    <w:rsid w:val="02DA750A"/>
    <w:rsid w:val="03D270B5"/>
    <w:rsid w:val="03DA48E8"/>
    <w:rsid w:val="03E219EE"/>
    <w:rsid w:val="03EF7C67"/>
    <w:rsid w:val="041341B1"/>
    <w:rsid w:val="04275653"/>
    <w:rsid w:val="04602913"/>
    <w:rsid w:val="04620439"/>
    <w:rsid w:val="046462C2"/>
    <w:rsid w:val="04C80BE4"/>
    <w:rsid w:val="04C9154C"/>
    <w:rsid w:val="05AB1FA9"/>
    <w:rsid w:val="05AB5E10"/>
    <w:rsid w:val="05D9297D"/>
    <w:rsid w:val="05E624F6"/>
    <w:rsid w:val="062D0413"/>
    <w:rsid w:val="06532730"/>
    <w:rsid w:val="06606BFB"/>
    <w:rsid w:val="066B5CCB"/>
    <w:rsid w:val="067F3525"/>
    <w:rsid w:val="069845E6"/>
    <w:rsid w:val="06AE1485"/>
    <w:rsid w:val="06C851FE"/>
    <w:rsid w:val="06DF2215"/>
    <w:rsid w:val="074309F6"/>
    <w:rsid w:val="078B1E0F"/>
    <w:rsid w:val="079A3FBB"/>
    <w:rsid w:val="07B54D24"/>
    <w:rsid w:val="07FE4A62"/>
    <w:rsid w:val="080A5070"/>
    <w:rsid w:val="08A637F4"/>
    <w:rsid w:val="08DE181B"/>
    <w:rsid w:val="090E293E"/>
    <w:rsid w:val="09366FA2"/>
    <w:rsid w:val="09F4161E"/>
    <w:rsid w:val="0A165F4E"/>
    <w:rsid w:val="0A330DCA"/>
    <w:rsid w:val="0AAF0151"/>
    <w:rsid w:val="0AD12F3C"/>
    <w:rsid w:val="0B0264D2"/>
    <w:rsid w:val="0B8549BF"/>
    <w:rsid w:val="0BAC41E4"/>
    <w:rsid w:val="0BBE064B"/>
    <w:rsid w:val="0C112E71"/>
    <w:rsid w:val="0C1F46AF"/>
    <w:rsid w:val="0C37664F"/>
    <w:rsid w:val="0C3923C8"/>
    <w:rsid w:val="0C4A1EDF"/>
    <w:rsid w:val="0C616DDD"/>
    <w:rsid w:val="0D171A08"/>
    <w:rsid w:val="0D271AAC"/>
    <w:rsid w:val="0D532E09"/>
    <w:rsid w:val="0D782A7C"/>
    <w:rsid w:val="0E0B4A8C"/>
    <w:rsid w:val="0E1C78AB"/>
    <w:rsid w:val="0E7C5BBA"/>
    <w:rsid w:val="0FF7237E"/>
    <w:rsid w:val="0FF90D16"/>
    <w:rsid w:val="10106BD9"/>
    <w:rsid w:val="10C761F4"/>
    <w:rsid w:val="10FD7E68"/>
    <w:rsid w:val="11072A94"/>
    <w:rsid w:val="115A0E16"/>
    <w:rsid w:val="11874169"/>
    <w:rsid w:val="11BA3663"/>
    <w:rsid w:val="11E22BBA"/>
    <w:rsid w:val="125E66E4"/>
    <w:rsid w:val="126D2DCB"/>
    <w:rsid w:val="12AD31C8"/>
    <w:rsid w:val="12E110C3"/>
    <w:rsid w:val="131D0E94"/>
    <w:rsid w:val="132F1E2E"/>
    <w:rsid w:val="13313DF9"/>
    <w:rsid w:val="133438E9"/>
    <w:rsid w:val="13441D7E"/>
    <w:rsid w:val="138008DC"/>
    <w:rsid w:val="13BF1404"/>
    <w:rsid w:val="13E72483"/>
    <w:rsid w:val="143D4D2B"/>
    <w:rsid w:val="14636234"/>
    <w:rsid w:val="146778C6"/>
    <w:rsid w:val="14D14285"/>
    <w:rsid w:val="14D64C58"/>
    <w:rsid w:val="151439D2"/>
    <w:rsid w:val="151543CF"/>
    <w:rsid w:val="153A3533"/>
    <w:rsid w:val="15714980"/>
    <w:rsid w:val="162B4B9C"/>
    <w:rsid w:val="1674297A"/>
    <w:rsid w:val="172F4AF3"/>
    <w:rsid w:val="174D4F79"/>
    <w:rsid w:val="17835AB1"/>
    <w:rsid w:val="17836BED"/>
    <w:rsid w:val="17F81A60"/>
    <w:rsid w:val="182E744D"/>
    <w:rsid w:val="18502F73"/>
    <w:rsid w:val="18697B91"/>
    <w:rsid w:val="18B2778A"/>
    <w:rsid w:val="18CE20EA"/>
    <w:rsid w:val="18D9355E"/>
    <w:rsid w:val="19516FA3"/>
    <w:rsid w:val="197607B7"/>
    <w:rsid w:val="19E87392"/>
    <w:rsid w:val="1A0A7151"/>
    <w:rsid w:val="1A512FD2"/>
    <w:rsid w:val="1A7D7923"/>
    <w:rsid w:val="1AAB4D8E"/>
    <w:rsid w:val="1B4B17D0"/>
    <w:rsid w:val="1BAA4748"/>
    <w:rsid w:val="1C0C5403"/>
    <w:rsid w:val="1C101C83"/>
    <w:rsid w:val="1C3C12E2"/>
    <w:rsid w:val="1C454285"/>
    <w:rsid w:val="1CE935AE"/>
    <w:rsid w:val="1CF94F18"/>
    <w:rsid w:val="1D364D5F"/>
    <w:rsid w:val="1D5C5F16"/>
    <w:rsid w:val="1DC93A10"/>
    <w:rsid w:val="1DDD40F6"/>
    <w:rsid w:val="1DE96178"/>
    <w:rsid w:val="1DEA0062"/>
    <w:rsid w:val="1E1D46AD"/>
    <w:rsid w:val="1E4C7D38"/>
    <w:rsid w:val="1E797BD7"/>
    <w:rsid w:val="1E934C12"/>
    <w:rsid w:val="1EA336D1"/>
    <w:rsid w:val="1EAB7E95"/>
    <w:rsid w:val="1EEC34CC"/>
    <w:rsid w:val="1F2111C5"/>
    <w:rsid w:val="1F3C5FFF"/>
    <w:rsid w:val="1F4C4A3C"/>
    <w:rsid w:val="1F555A28"/>
    <w:rsid w:val="1F630DDF"/>
    <w:rsid w:val="1F7E2174"/>
    <w:rsid w:val="20020FF7"/>
    <w:rsid w:val="206A094A"/>
    <w:rsid w:val="207D242B"/>
    <w:rsid w:val="2093753B"/>
    <w:rsid w:val="20CC30EE"/>
    <w:rsid w:val="20FF1092"/>
    <w:rsid w:val="215F4227"/>
    <w:rsid w:val="21A34113"/>
    <w:rsid w:val="220152DE"/>
    <w:rsid w:val="22237002"/>
    <w:rsid w:val="22673393"/>
    <w:rsid w:val="227B6E3E"/>
    <w:rsid w:val="22C6758F"/>
    <w:rsid w:val="22F16810"/>
    <w:rsid w:val="23711FEF"/>
    <w:rsid w:val="23A9020B"/>
    <w:rsid w:val="23DB2FA1"/>
    <w:rsid w:val="2426102C"/>
    <w:rsid w:val="244B5226"/>
    <w:rsid w:val="2452748C"/>
    <w:rsid w:val="24681644"/>
    <w:rsid w:val="246F4781"/>
    <w:rsid w:val="249917FE"/>
    <w:rsid w:val="24A47FEE"/>
    <w:rsid w:val="24B6415E"/>
    <w:rsid w:val="24FA6740"/>
    <w:rsid w:val="24FE1C1A"/>
    <w:rsid w:val="250F4135"/>
    <w:rsid w:val="25BC18C5"/>
    <w:rsid w:val="25DB38F1"/>
    <w:rsid w:val="26282E39"/>
    <w:rsid w:val="26306192"/>
    <w:rsid w:val="266D2F42"/>
    <w:rsid w:val="26797620"/>
    <w:rsid w:val="26E256DE"/>
    <w:rsid w:val="271730EA"/>
    <w:rsid w:val="271D560E"/>
    <w:rsid w:val="271F0DEE"/>
    <w:rsid w:val="2762237B"/>
    <w:rsid w:val="279C5427"/>
    <w:rsid w:val="27AD5466"/>
    <w:rsid w:val="27F37477"/>
    <w:rsid w:val="288822B5"/>
    <w:rsid w:val="28F039B6"/>
    <w:rsid w:val="29001DAB"/>
    <w:rsid w:val="298A50E2"/>
    <w:rsid w:val="298B14F0"/>
    <w:rsid w:val="29A70519"/>
    <w:rsid w:val="2B3202B6"/>
    <w:rsid w:val="2B976F30"/>
    <w:rsid w:val="2B98685A"/>
    <w:rsid w:val="2C796D04"/>
    <w:rsid w:val="2C7E7C57"/>
    <w:rsid w:val="2C8844F1"/>
    <w:rsid w:val="2C931228"/>
    <w:rsid w:val="2CA3146B"/>
    <w:rsid w:val="2CD21D51"/>
    <w:rsid w:val="2CF75313"/>
    <w:rsid w:val="2D0068BE"/>
    <w:rsid w:val="2D336E93"/>
    <w:rsid w:val="2D6333A1"/>
    <w:rsid w:val="2D6F2631"/>
    <w:rsid w:val="2DA105FB"/>
    <w:rsid w:val="2DB476A8"/>
    <w:rsid w:val="2DE41D3C"/>
    <w:rsid w:val="2DE52846"/>
    <w:rsid w:val="2DF9330D"/>
    <w:rsid w:val="2E1756A9"/>
    <w:rsid w:val="2E514EF7"/>
    <w:rsid w:val="2EB86D24"/>
    <w:rsid w:val="2ECE02F6"/>
    <w:rsid w:val="2EFC1307"/>
    <w:rsid w:val="2F1F0594"/>
    <w:rsid w:val="2F1F6DA3"/>
    <w:rsid w:val="2F2B2677"/>
    <w:rsid w:val="2F2D7712"/>
    <w:rsid w:val="2F697F3B"/>
    <w:rsid w:val="2F8512FC"/>
    <w:rsid w:val="2FAF1140"/>
    <w:rsid w:val="300264A9"/>
    <w:rsid w:val="300C68EA"/>
    <w:rsid w:val="303C5439"/>
    <w:rsid w:val="305F45CA"/>
    <w:rsid w:val="30937A49"/>
    <w:rsid w:val="30AE3B50"/>
    <w:rsid w:val="30CD4789"/>
    <w:rsid w:val="30DB4799"/>
    <w:rsid w:val="31177F87"/>
    <w:rsid w:val="311F752F"/>
    <w:rsid w:val="31333AF1"/>
    <w:rsid w:val="31A66981"/>
    <w:rsid w:val="31E51575"/>
    <w:rsid w:val="32103FEE"/>
    <w:rsid w:val="32576F09"/>
    <w:rsid w:val="32755658"/>
    <w:rsid w:val="3289460C"/>
    <w:rsid w:val="32AB45B8"/>
    <w:rsid w:val="32D95BE4"/>
    <w:rsid w:val="331A29C9"/>
    <w:rsid w:val="33B26438"/>
    <w:rsid w:val="33CD6DCE"/>
    <w:rsid w:val="33D47F63"/>
    <w:rsid w:val="33DC1707"/>
    <w:rsid w:val="340A3BAB"/>
    <w:rsid w:val="3433113A"/>
    <w:rsid w:val="349D2C44"/>
    <w:rsid w:val="34DB551B"/>
    <w:rsid w:val="34E97A94"/>
    <w:rsid w:val="34EE34A0"/>
    <w:rsid w:val="35234E2B"/>
    <w:rsid w:val="353D22BD"/>
    <w:rsid w:val="35814314"/>
    <w:rsid w:val="35AD4532"/>
    <w:rsid w:val="35C051BF"/>
    <w:rsid w:val="35C8515E"/>
    <w:rsid w:val="35CD4AB6"/>
    <w:rsid w:val="36174C78"/>
    <w:rsid w:val="367C4ADB"/>
    <w:rsid w:val="367E4545"/>
    <w:rsid w:val="36B863D5"/>
    <w:rsid w:val="36CA3A99"/>
    <w:rsid w:val="36E27AE8"/>
    <w:rsid w:val="36F308D9"/>
    <w:rsid w:val="370A20E7"/>
    <w:rsid w:val="37217B5C"/>
    <w:rsid w:val="373A6E70"/>
    <w:rsid w:val="377E081F"/>
    <w:rsid w:val="379245B6"/>
    <w:rsid w:val="37C8447C"/>
    <w:rsid w:val="37DA7D0B"/>
    <w:rsid w:val="37FB6841"/>
    <w:rsid w:val="380174EA"/>
    <w:rsid w:val="38315C5A"/>
    <w:rsid w:val="384A4E91"/>
    <w:rsid w:val="384D2BD3"/>
    <w:rsid w:val="38E3083D"/>
    <w:rsid w:val="38EC278D"/>
    <w:rsid w:val="39503ABF"/>
    <w:rsid w:val="395123E3"/>
    <w:rsid w:val="39A14A8C"/>
    <w:rsid w:val="39F94DC1"/>
    <w:rsid w:val="3A3F654C"/>
    <w:rsid w:val="3A9C2D7B"/>
    <w:rsid w:val="3AE53EB3"/>
    <w:rsid w:val="3B1D1C97"/>
    <w:rsid w:val="3B561D9F"/>
    <w:rsid w:val="3B9B77FE"/>
    <w:rsid w:val="3C07449B"/>
    <w:rsid w:val="3C174336"/>
    <w:rsid w:val="3C362B2F"/>
    <w:rsid w:val="3C6568F8"/>
    <w:rsid w:val="3CA32DC2"/>
    <w:rsid w:val="3CE50946"/>
    <w:rsid w:val="3D136199"/>
    <w:rsid w:val="3D1E4B3E"/>
    <w:rsid w:val="3D3C7820"/>
    <w:rsid w:val="3DA9265A"/>
    <w:rsid w:val="3DC555CC"/>
    <w:rsid w:val="3E904E16"/>
    <w:rsid w:val="3E9B4013"/>
    <w:rsid w:val="3EA42E21"/>
    <w:rsid w:val="3EB037AF"/>
    <w:rsid w:val="3ED74FA5"/>
    <w:rsid w:val="3EE4477F"/>
    <w:rsid w:val="3F051B12"/>
    <w:rsid w:val="3F23578A"/>
    <w:rsid w:val="3F2A5A1C"/>
    <w:rsid w:val="3F487C50"/>
    <w:rsid w:val="3F5A715D"/>
    <w:rsid w:val="3F694BD8"/>
    <w:rsid w:val="3FE0432D"/>
    <w:rsid w:val="3FE1257F"/>
    <w:rsid w:val="40073668"/>
    <w:rsid w:val="40A315E2"/>
    <w:rsid w:val="40CA0701"/>
    <w:rsid w:val="40EE65D6"/>
    <w:rsid w:val="4162324B"/>
    <w:rsid w:val="424B3CDF"/>
    <w:rsid w:val="429F5DD9"/>
    <w:rsid w:val="430F4EA2"/>
    <w:rsid w:val="43680A02"/>
    <w:rsid w:val="439128F1"/>
    <w:rsid w:val="43AD2778"/>
    <w:rsid w:val="43BA373D"/>
    <w:rsid w:val="43DB5854"/>
    <w:rsid w:val="43E23FA6"/>
    <w:rsid w:val="43E91A02"/>
    <w:rsid w:val="44222D52"/>
    <w:rsid w:val="446948F1"/>
    <w:rsid w:val="446A440B"/>
    <w:rsid w:val="44831473"/>
    <w:rsid w:val="448636F5"/>
    <w:rsid w:val="44B31EE6"/>
    <w:rsid w:val="452503B2"/>
    <w:rsid w:val="454B2248"/>
    <w:rsid w:val="45521829"/>
    <w:rsid w:val="457F42E3"/>
    <w:rsid w:val="45D3296A"/>
    <w:rsid w:val="45DC4A98"/>
    <w:rsid w:val="45EE2AB7"/>
    <w:rsid w:val="463D7DE3"/>
    <w:rsid w:val="46712847"/>
    <w:rsid w:val="468B47AB"/>
    <w:rsid w:val="46916381"/>
    <w:rsid w:val="46A146E0"/>
    <w:rsid w:val="46FA690F"/>
    <w:rsid w:val="470A192F"/>
    <w:rsid w:val="471A45C8"/>
    <w:rsid w:val="475E52BA"/>
    <w:rsid w:val="47690EAD"/>
    <w:rsid w:val="47911A05"/>
    <w:rsid w:val="47E83338"/>
    <w:rsid w:val="482E20D9"/>
    <w:rsid w:val="48435459"/>
    <w:rsid w:val="48F0738F"/>
    <w:rsid w:val="491D5CAA"/>
    <w:rsid w:val="49247038"/>
    <w:rsid w:val="493D44E8"/>
    <w:rsid w:val="49553696"/>
    <w:rsid w:val="49757894"/>
    <w:rsid w:val="49D27BE0"/>
    <w:rsid w:val="49D404BD"/>
    <w:rsid w:val="49F00D11"/>
    <w:rsid w:val="4A1E1CDA"/>
    <w:rsid w:val="4A5B71C5"/>
    <w:rsid w:val="4A6873F9"/>
    <w:rsid w:val="4A6C0C97"/>
    <w:rsid w:val="4A7144FF"/>
    <w:rsid w:val="4A914BA1"/>
    <w:rsid w:val="4AD30D16"/>
    <w:rsid w:val="4ADD1B95"/>
    <w:rsid w:val="4B1530DD"/>
    <w:rsid w:val="4B5F5B48"/>
    <w:rsid w:val="4B76520C"/>
    <w:rsid w:val="4C147838"/>
    <w:rsid w:val="4C4172EC"/>
    <w:rsid w:val="4C6A56AA"/>
    <w:rsid w:val="4CCD7FCE"/>
    <w:rsid w:val="4CD77A52"/>
    <w:rsid w:val="4CF83F5C"/>
    <w:rsid w:val="4D037CA3"/>
    <w:rsid w:val="4D04165B"/>
    <w:rsid w:val="4D4B54DB"/>
    <w:rsid w:val="4D4E2123"/>
    <w:rsid w:val="4D53256B"/>
    <w:rsid w:val="4D6420F9"/>
    <w:rsid w:val="4DA8648A"/>
    <w:rsid w:val="4DB50BA7"/>
    <w:rsid w:val="4DF325DC"/>
    <w:rsid w:val="4E1902F3"/>
    <w:rsid w:val="4EB946C7"/>
    <w:rsid w:val="4EDD03B5"/>
    <w:rsid w:val="4EEF1E97"/>
    <w:rsid w:val="4F2531AE"/>
    <w:rsid w:val="4F3B50DC"/>
    <w:rsid w:val="4F6A0337"/>
    <w:rsid w:val="4F8C3B89"/>
    <w:rsid w:val="4FD834FE"/>
    <w:rsid w:val="502156C0"/>
    <w:rsid w:val="50546455"/>
    <w:rsid w:val="50597E3F"/>
    <w:rsid w:val="50615016"/>
    <w:rsid w:val="50740CF9"/>
    <w:rsid w:val="50781210"/>
    <w:rsid w:val="514B3CFC"/>
    <w:rsid w:val="51D830B6"/>
    <w:rsid w:val="51E932DA"/>
    <w:rsid w:val="520039D2"/>
    <w:rsid w:val="52187956"/>
    <w:rsid w:val="522B768A"/>
    <w:rsid w:val="52585AF8"/>
    <w:rsid w:val="5268443A"/>
    <w:rsid w:val="52AD62F0"/>
    <w:rsid w:val="52BE04FE"/>
    <w:rsid w:val="53165C44"/>
    <w:rsid w:val="53456529"/>
    <w:rsid w:val="538232D9"/>
    <w:rsid w:val="53913478"/>
    <w:rsid w:val="539C385A"/>
    <w:rsid w:val="53A5521A"/>
    <w:rsid w:val="53AC65A8"/>
    <w:rsid w:val="53B37937"/>
    <w:rsid w:val="53C54323"/>
    <w:rsid w:val="53DC3268"/>
    <w:rsid w:val="54161C73"/>
    <w:rsid w:val="54342932"/>
    <w:rsid w:val="5435659E"/>
    <w:rsid w:val="54556C40"/>
    <w:rsid w:val="547215A0"/>
    <w:rsid w:val="547B5380"/>
    <w:rsid w:val="54996B2C"/>
    <w:rsid w:val="549C661D"/>
    <w:rsid w:val="54B41BB8"/>
    <w:rsid w:val="54B716A8"/>
    <w:rsid w:val="54DE4E87"/>
    <w:rsid w:val="55197C6D"/>
    <w:rsid w:val="55741347"/>
    <w:rsid w:val="55AC6D33"/>
    <w:rsid w:val="55AF412E"/>
    <w:rsid w:val="55F178D6"/>
    <w:rsid w:val="56177552"/>
    <w:rsid w:val="563F54B2"/>
    <w:rsid w:val="56551179"/>
    <w:rsid w:val="565D1DDC"/>
    <w:rsid w:val="56723AD9"/>
    <w:rsid w:val="567535C9"/>
    <w:rsid w:val="5697353F"/>
    <w:rsid w:val="56D73355"/>
    <w:rsid w:val="570D067D"/>
    <w:rsid w:val="570E068D"/>
    <w:rsid w:val="571C1C97"/>
    <w:rsid w:val="576A2A02"/>
    <w:rsid w:val="57707B89"/>
    <w:rsid w:val="57AC250F"/>
    <w:rsid w:val="57AC3163"/>
    <w:rsid w:val="57DD4F82"/>
    <w:rsid w:val="57F66044"/>
    <w:rsid w:val="580E5A83"/>
    <w:rsid w:val="585E1C06"/>
    <w:rsid w:val="5866141B"/>
    <w:rsid w:val="587A4EC7"/>
    <w:rsid w:val="58845D45"/>
    <w:rsid w:val="588A1AC6"/>
    <w:rsid w:val="58977E20"/>
    <w:rsid w:val="58EA0B58"/>
    <w:rsid w:val="599A3D2F"/>
    <w:rsid w:val="59D00274"/>
    <w:rsid w:val="59D80DBD"/>
    <w:rsid w:val="59EF7044"/>
    <w:rsid w:val="5A1E1882"/>
    <w:rsid w:val="5A973E9B"/>
    <w:rsid w:val="5AC73CC7"/>
    <w:rsid w:val="5B5075CB"/>
    <w:rsid w:val="5BB93137"/>
    <w:rsid w:val="5BE2525D"/>
    <w:rsid w:val="5BE9513C"/>
    <w:rsid w:val="5CC6692D"/>
    <w:rsid w:val="5CC74453"/>
    <w:rsid w:val="5D0A075D"/>
    <w:rsid w:val="5D192F00"/>
    <w:rsid w:val="5D7719D5"/>
    <w:rsid w:val="5DAA0B36"/>
    <w:rsid w:val="5DB021CC"/>
    <w:rsid w:val="5DBB3FB7"/>
    <w:rsid w:val="5DF43025"/>
    <w:rsid w:val="5DF9688E"/>
    <w:rsid w:val="5E1B3D5C"/>
    <w:rsid w:val="5E227B93"/>
    <w:rsid w:val="5E2D4789"/>
    <w:rsid w:val="5E39312E"/>
    <w:rsid w:val="5EB6652D"/>
    <w:rsid w:val="5F1F1CA0"/>
    <w:rsid w:val="5F93061C"/>
    <w:rsid w:val="5F93497E"/>
    <w:rsid w:val="60064219"/>
    <w:rsid w:val="600A2FD4"/>
    <w:rsid w:val="6037544B"/>
    <w:rsid w:val="606D6DE0"/>
    <w:rsid w:val="607B7A2E"/>
    <w:rsid w:val="60863D99"/>
    <w:rsid w:val="60900BF1"/>
    <w:rsid w:val="60EB4BB4"/>
    <w:rsid w:val="6126368B"/>
    <w:rsid w:val="61573869"/>
    <w:rsid w:val="61831064"/>
    <w:rsid w:val="61A66D2D"/>
    <w:rsid w:val="61EF3628"/>
    <w:rsid w:val="62045801"/>
    <w:rsid w:val="62233ED9"/>
    <w:rsid w:val="622C5484"/>
    <w:rsid w:val="62404C02"/>
    <w:rsid w:val="62436329"/>
    <w:rsid w:val="62886432"/>
    <w:rsid w:val="63424833"/>
    <w:rsid w:val="63927568"/>
    <w:rsid w:val="63A921DA"/>
    <w:rsid w:val="63B0096C"/>
    <w:rsid w:val="64047D3A"/>
    <w:rsid w:val="64405216"/>
    <w:rsid w:val="64505292"/>
    <w:rsid w:val="64601415"/>
    <w:rsid w:val="64A01811"/>
    <w:rsid w:val="64DA2918"/>
    <w:rsid w:val="65424FBE"/>
    <w:rsid w:val="65451723"/>
    <w:rsid w:val="65644F35"/>
    <w:rsid w:val="6578453C"/>
    <w:rsid w:val="65C13390"/>
    <w:rsid w:val="65D73958"/>
    <w:rsid w:val="65E47E23"/>
    <w:rsid w:val="66246472"/>
    <w:rsid w:val="66482160"/>
    <w:rsid w:val="66652D12"/>
    <w:rsid w:val="66DF7510"/>
    <w:rsid w:val="66E85EDA"/>
    <w:rsid w:val="67535261"/>
    <w:rsid w:val="67AD3D48"/>
    <w:rsid w:val="67FA56DC"/>
    <w:rsid w:val="683355C8"/>
    <w:rsid w:val="684828EC"/>
    <w:rsid w:val="68D354E6"/>
    <w:rsid w:val="69074555"/>
    <w:rsid w:val="69605A13"/>
    <w:rsid w:val="69F462BF"/>
    <w:rsid w:val="6A1C5DDE"/>
    <w:rsid w:val="6A2C71C8"/>
    <w:rsid w:val="6A3F387A"/>
    <w:rsid w:val="6A59237F"/>
    <w:rsid w:val="6AB41D08"/>
    <w:rsid w:val="6ACB3360"/>
    <w:rsid w:val="6B824366"/>
    <w:rsid w:val="6B8F3580"/>
    <w:rsid w:val="6BE20961"/>
    <w:rsid w:val="6BFB1A23"/>
    <w:rsid w:val="6C1F71D5"/>
    <w:rsid w:val="6C4E5FF7"/>
    <w:rsid w:val="6C8B2DA7"/>
    <w:rsid w:val="6CAE6A95"/>
    <w:rsid w:val="6CB829EE"/>
    <w:rsid w:val="6D064B23"/>
    <w:rsid w:val="6D0D35D4"/>
    <w:rsid w:val="6D4430F9"/>
    <w:rsid w:val="6D5B4F1A"/>
    <w:rsid w:val="6D5B6DAA"/>
    <w:rsid w:val="6D7C1E1C"/>
    <w:rsid w:val="6DA34120"/>
    <w:rsid w:val="6DE22E9A"/>
    <w:rsid w:val="6DEE7A91"/>
    <w:rsid w:val="6EAB612E"/>
    <w:rsid w:val="6ED3687D"/>
    <w:rsid w:val="6EF84E1E"/>
    <w:rsid w:val="6F1B2B08"/>
    <w:rsid w:val="6F35524C"/>
    <w:rsid w:val="6F4B2CC1"/>
    <w:rsid w:val="6F6F075E"/>
    <w:rsid w:val="6FF15617"/>
    <w:rsid w:val="70701266"/>
    <w:rsid w:val="70AE5F6D"/>
    <w:rsid w:val="71036320"/>
    <w:rsid w:val="710D5505"/>
    <w:rsid w:val="71447216"/>
    <w:rsid w:val="714E56E1"/>
    <w:rsid w:val="71E13469"/>
    <w:rsid w:val="72117E3D"/>
    <w:rsid w:val="72263A65"/>
    <w:rsid w:val="724F7F65"/>
    <w:rsid w:val="72766526"/>
    <w:rsid w:val="72837328"/>
    <w:rsid w:val="728C1627"/>
    <w:rsid w:val="7318735E"/>
    <w:rsid w:val="73216213"/>
    <w:rsid w:val="7325566E"/>
    <w:rsid w:val="732F57E1"/>
    <w:rsid w:val="73665063"/>
    <w:rsid w:val="73683C95"/>
    <w:rsid w:val="73B0271B"/>
    <w:rsid w:val="73C979D4"/>
    <w:rsid w:val="74007778"/>
    <w:rsid w:val="7406353F"/>
    <w:rsid w:val="74315718"/>
    <w:rsid w:val="74470E83"/>
    <w:rsid w:val="744D3038"/>
    <w:rsid w:val="746C7BF2"/>
    <w:rsid w:val="74E13391"/>
    <w:rsid w:val="74FE7A11"/>
    <w:rsid w:val="756B19C7"/>
    <w:rsid w:val="758B0B4E"/>
    <w:rsid w:val="75B3496A"/>
    <w:rsid w:val="76045978"/>
    <w:rsid w:val="7608293E"/>
    <w:rsid w:val="762070B4"/>
    <w:rsid w:val="762A53DF"/>
    <w:rsid w:val="769F401E"/>
    <w:rsid w:val="76DD4B47"/>
    <w:rsid w:val="76E22EB1"/>
    <w:rsid w:val="76EF6628"/>
    <w:rsid w:val="77802E0E"/>
    <w:rsid w:val="77D9530E"/>
    <w:rsid w:val="77DE0B76"/>
    <w:rsid w:val="788C2381"/>
    <w:rsid w:val="788F0D20"/>
    <w:rsid w:val="78B05C24"/>
    <w:rsid w:val="78D4194A"/>
    <w:rsid w:val="793D367B"/>
    <w:rsid w:val="797572B9"/>
    <w:rsid w:val="79AC3677"/>
    <w:rsid w:val="7A187C44"/>
    <w:rsid w:val="7A1F7224"/>
    <w:rsid w:val="7A614D27"/>
    <w:rsid w:val="7AB8642D"/>
    <w:rsid w:val="7AEA7832"/>
    <w:rsid w:val="7B022DCE"/>
    <w:rsid w:val="7B166879"/>
    <w:rsid w:val="7B2E771F"/>
    <w:rsid w:val="7B6167B8"/>
    <w:rsid w:val="7BCD381F"/>
    <w:rsid w:val="7BEB3C37"/>
    <w:rsid w:val="7BFA6FFA"/>
    <w:rsid w:val="7C10151B"/>
    <w:rsid w:val="7C4D3D65"/>
    <w:rsid w:val="7C5533D1"/>
    <w:rsid w:val="7C594C70"/>
    <w:rsid w:val="7CA53A11"/>
    <w:rsid w:val="7CE01DE2"/>
    <w:rsid w:val="7D2304BB"/>
    <w:rsid w:val="7D4D5E56"/>
    <w:rsid w:val="7D6619C8"/>
    <w:rsid w:val="7D9D293A"/>
    <w:rsid w:val="7D9E2DD0"/>
    <w:rsid w:val="7DC26844"/>
    <w:rsid w:val="7DEB2D2E"/>
    <w:rsid w:val="7E1A7A97"/>
    <w:rsid w:val="7E3435D7"/>
    <w:rsid w:val="7E370FE0"/>
    <w:rsid w:val="7E77762F"/>
    <w:rsid w:val="7EFE6EC1"/>
    <w:rsid w:val="7F0C582D"/>
    <w:rsid w:val="7F0F7867"/>
    <w:rsid w:val="7F384E5A"/>
    <w:rsid w:val="7F46479C"/>
    <w:rsid w:val="7F606315"/>
    <w:rsid w:val="7F7B2182"/>
    <w:rsid w:val="7F7E59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3"/>
    <w:qFormat/>
    <w:uiPriority w:val="99"/>
    <w:pPr>
      <w:keepNext/>
      <w:keepLines/>
      <w:outlineLvl w:val="2"/>
    </w:pPr>
    <w:rPr>
      <w:rFonts w:ascii="Times New Roman" w:hAnsi="Times New Roman"/>
      <w:b/>
      <w:bCs/>
      <w:sz w:val="30"/>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99"/>
    <w:pPr>
      <w:ind w:firstLine="420"/>
    </w:pPr>
    <w:rPr>
      <w:szCs w:val="20"/>
    </w:rPr>
  </w:style>
  <w:style w:type="paragraph" w:styleId="5">
    <w:name w:val="annotation text"/>
    <w:basedOn w:val="1"/>
    <w:qFormat/>
    <w:uiPriority w:val="0"/>
    <w:pPr>
      <w:jc w:val="left"/>
    </w:pPr>
  </w:style>
  <w:style w:type="paragraph" w:styleId="6">
    <w:name w:val="Body Text"/>
    <w:basedOn w:val="1"/>
    <w:next w:val="7"/>
    <w:semiHidden/>
    <w:qFormat/>
    <w:uiPriority w:val="0"/>
    <w:rPr>
      <w:rFonts w:ascii="Arial" w:hAnsi="Arial" w:eastAsia="Arial" w:cs="Arial"/>
      <w:sz w:val="21"/>
      <w:szCs w:val="21"/>
      <w:lang w:val="en-US" w:eastAsia="en-US" w:bidi="ar-SA"/>
    </w:rPr>
  </w:style>
  <w:style w:type="paragraph" w:customStyle="1" w:styleId="7">
    <w:name w:val="明显引用1"/>
    <w:next w:val="1"/>
    <w:qFormat/>
    <w:uiPriority w:val="0"/>
    <w:pPr>
      <w:wordWrap w:val="0"/>
      <w:spacing w:before="360" w:after="360"/>
      <w:ind w:left="950" w:right="950"/>
      <w:jc w:val="center"/>
    </w:pPr>
    <w:rPr>
      <w:rFonts w:ascii="Calibri" w:hAnsi="Calibri" w:eastAsia="宋体" w:cs="Times New Roman"/>
      <w:i/>
      <w:sz w:val="21"/>
      <w:lang w:val="en-US" w:eastAsia="zh-CN" w:bidi="ar-SA"/>
    </w:rPr>
  </w:style>
  <w:style w:type="paragraph" w:styleId="8">
    <w:name w:val="Body Text Indent"/>
    <w:basedOn w:val="1"/>
    <w:next w:val="1"/>
    <w:qFormat/>
    <w:uiPriority w:val="0"/>
    <w:pPr>
      <w:spacing w:after="120"/>
      <w:ind w:left="420" w:leftChars="200"/>
    </w:pPr>
    <w:rPr>
      <w:kern w:val="0"/>
      <w:sz w:val="24"/>
      <w:szCs w:val="20"/>
    </w:rPr>
  </w:style>
  <w:style w:type="paragraph" w:styleId="9">
    <w:name w:val="Plain Text"/>
    <w:basedOn w:val="1"/>
    <w:next w:val="10"/>
    <w:qFormat/>
    <w:uiPriority w:val="0"/>
    <w:pPr>
      <w:widowControl/>
      <w:spacing w:before="100" w:beforeAutospacing="1" w:after="100" w:afterAutospacing="1"/>
      <w:jc w:val="left"/>
    </w:pPr>
    <w:rPr>
      <w:rFonts w:ascii="ˎ̥" w:hAnsi="ˎ̥"/>
      <w:kern w:val="0"/>
      <w:sz w:val="18"/>
      <w:szCs w:val="18"/>
    </w:rPr>
  </w:style>
  <w:style w:type="paragraph" w:customStyle="1" w:styleId="10">
    <w:name w:val="Default"/>
    <w:basedOn w:val="11"/>
    <w:next w:val="12"/>
    <w:autoRedefine/>
    <w:qFormat/>
    <w:uiPriority w:val="0"/>
    <w:pPr>
      <w:tabs>
        <w:tab w:val="right" w:pos="0"/>
      </w:tabs>
      <w:autoSpaceDE w:val="0"/>
      <w:autoSpaceDN w:val="0"/>
    </w:pPr>
    <w:rPr>
      <w:rFonts w:ascii="仿宋" w:hAnsi="Times New Roman" w:eastAsia="仿宋" w:cs="仿宋"/>
      <w:color w:val="000000"/>
    </w:rPr>
  </w:style>
  <w:style w:type="paragraph" w:customStyle="1" w:styleId="11">
    <w:name w:val="纯文本1"/>
    <w:basedOn w:val="1"/>
    <w:autoRedefine/>
    <w:qFormat/>
    <w:uiPriority w:val="0"/>
    <w:pPr>
      <w:tabs>
        <w:tab w:val="right" w:pos="0"/>
      </w:tabs>
      <w:adjustRightInd w:val="0"/>
      <w:snapToGrid w:val="0"/>
      <w:spacing w:line="360" w:lineRule="auto"/>
      <w:jc w:val="center"/>
      <w:textAlignment w:val="baseline"/>
    </w:pPr>
    <w:rPr>
      <w:rFonts w:ascii="宋体" w:hAnsi="Courier New" w:eastAsia="仿宋_GB2312"/>
      <w:snapToGrid w:val="0"/>
      <w:sz w:val="24"/>
    </w:rPr>
  </w:style>
  <w:style w:type="paragraph" w:customStyle="1" w:styleId="12">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13">
    <w:name w:val="Body Text Indent 2"/>
    <w:basedOn w:val="1"/>
    <w:qFormat/>
    <w:uiPriority w:val="0"/>
    <w:pPr>
      <w:spacing w:line="360" w:lineRule="auto"/>
      <w:ind w:firstLine="573" w:firstLineChars="200"/>
    </w:pPr>
    <w:rPr>
      <w:sz w:val="2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qFormat/>
    <w:uiPriority w:val="0"/>
    <w:rPr>
      <w:sz w:val="24"/>
    </w:rPr>
  </w:style>
  <w:style w:type="paragraph" w:styleId="17">
    <w:name w:val="Body Text First Indent"/>
    <w:basedOn w:val="6"/>
    <w:next w:val="1"/>
    <w:qFormat/>
    <w:uiPriority w:val="0"/>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宋体" w:hAnsi="宋体" w:eastAsia="宋体" w:cs="宋体"/>
      <w:sz w:val="24"/>
      <w:szCs w:val="24"/>
      <w:lang w:val="en-US" w:eastAsia="en-US" w:bidi="ar-SA"/>
    </w:rPr>
  </w:style>
  <w:style w:type="paragraph" w:customStyle="1" w:styleId="23">
    <w:name w:val="表格字体"/>
    <w:basedOn w:val="1"/>
    <w:qFormat/>
    <w:uiPriority w:val="0"/>
    <w:pPr>
      <w:jc w:val="center"/>
    </w:pPr>
    <w:rPr>
      <w:rFonts w:cs="宋体"/>
      <w:kern w:val="0"/>
      <w:sz w:val="20"/>
    </w:rPr>
  </w:style>
  <w:style w:type="paragraph" w:customStyle="1" w:styleId="24">
    <w:name w:val="0正文"/>
    <w:basedOn w:val="8"/>
    <w:qFormat/>
    <w:uiPriority w:val="0"/>
    <w:pPr>
      <w:spacing w:line="360" w:lineRule="auto"/>
      <w:ind w:firstLine="720" w:firstLineChars="200"/>
    </w:pPr>
    <w:rPr>
      <w:sz w:val="24"/>
      <w:szCs w:val="22"/>
      <w:lang w:val="en-US" w:bidi="ar-SA"/>
    </w:rPr>
  </w:style>
  <w:style w:type="paragraph" w:customStyle="1" w:styleId="25">
    <w:name w:val="正文-2"/>
    <w:basedOn w:val="1"/>
    <w:qFormat/>
    <w:uiPriority w:val="0"/>
    <w:pPr>
      <w:wordWrap w:val="0"/>
      <w:autoSpaceDE w:val="0"/>
      <w:autoSpaceDN w:val="0"/>
      <w:adjustRightInd w:val="0"/>
      <w:snapToGrid w:val="0"/>
      <w:spacing w:line="360" w:lineRule="auto"/>
      <w:ind w:firstLine="720" w:firstLineChars="200"/>
      <w:jc w:val="left"/>
    </w:pPr>
    <w:rPr>
      <w:rFonts w:hint="eastAsia" w:cs="宋体"/>
      <w:kern w:val="0"/>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5.wmf"/><Relationship Id="rId25" Type="http://schemas.openxmlformats.org/officeDocument/2006/relationships/oleObject" Target="embeddings/oleObject1.bin"/><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2.xml><?xml version="1.0" encoding="utf-8"?>
<contractReview xmlns="http://schemas.wps.cn/vas-ai-hub/contract-review">
  <reviewItems>
    <reviewItem>
      <errorID>8d46ced4-6740-46ac-9ace-9df4b013c918</errorID>
      <errorWord>局</errorWord>
      <group>L1_Word</group>
      <groupName>字词问题</groupName>
      <ability>L2_Typo</ability>
      <abilityName>字词错误</abilityName>
      <candidateList>
        <item>局在</item>
      </candidateList>
      <explain/>
      <paraID>3C65D2E9</paraID>
      <start>26</start>
      <end>27</end>
      <status>ignored</status>
      <modifiedWord/>
      <trackRevisions>false</trackRevisions>
    </reviewItem>
    <reviewItem>
      <errorID>24bbc671-f193-4f9e-a4bb-78fc26390678</errorID>
      <errorWord>[2026]5号</errorWord>
      <group>L1_Knowledge</group>
      <groupName>知识性问题</groupName>
      <ability>L2_Knowledge</ability>
      <abilityName>其他知识</abilityName>
      <candidateList>
        <item>〔2026〕5号</item>
      </candidateList>
      <explain>发文字号格式错误。</explain>
      <paraID>3C65D2E9</paraID>
      <start>62</start>
      <end>70</end>
      <status>ignored</status>
      <modifiedWord/>
      <trackRevisions>false</trackRevisions>
    </reviewItem>
    <reviewItem>
      <errorID>8a649439-eec2-4f1e-ba15-442e04f4a791</errorID>
      <errorWord>境影响</errorWord>
      <group>L1_Word</group>
      <groupName>字词问题</groupName>
      <ability>L2_Typo</ability>
      <abilityName>字词错误</abilityName>
      <candidateList>
        <item>环境影响</item>
      </candidateList>
      <explain/>
      <paraID>1E8E41ED</paraID>
      <start>0</start>
      <end>3</end>
      <status>ignored</status>
      <modifiedWord/>
      <trackRevisions>false</trackRevisions>
    </reviewItem>
    <reviewItem>
      <errorID>d2a8271f-d0d9-4d47-8dfd-03fdc5e6978a</errorID>
      <errorWord>《产业结构调整指导目 录》（2024年本）</errorWord>
      <group>L1_Knowledge</group>
      <groupName>知识性问题</groupName>
      <ability>L2_Knowledge</ability>
      <abilityName>其他知识</abilityName>
      <candidateList>
        <item>《产业结构调整指导目 录（2024年本）》</item>
      </candidateList>
      <explain>疑似政策文件、法律法规名称等书写不规范，请注意检查。</explain>
      <paraID>7662651E</paraID>
      <start>22</start>
      <end>43</end>
      <status>ignored</status>
      <modifiedWord/>
      <trackRevisions>false</trackRevisions>
    </reviewItem>
    <reviewItem>
      <errorID>8c3e1c52-5695-4fae-ad8b-e54d63c20b54</errorID>
      <errorWord>城镇总体规划</errorWord>
      <group>L1_Knowledge</group>
      <groupName>知识性问题</groupName>
      <ability>L2_Term</ability>
      <abilityName>专业术语</abilityName>
      <candidateList>
        <item>城市总体规划</item>
      </candidateList>
      <explain/>
      <paraID>3DECA202</paraID>
      <start>107</start>
      <end>113</end>
      <status>modified</status>
      <modifiedWord>城市总体规划</modifiedWord>
      <trackRevisions>false</trackRevisions>
    </reviewItem>
    <reviewItem>
      <errorID>fc149f4b-3ea5-4d82-bdcc-3e6e38453fcb</errorID>
      <errorWord>[2021]</errorWord>
      <group>L1_Punc</group>
      <groupName>标点问题</groupName>
      <ability>L2_Punc_CN</ability>
      <abilityName/>
      <candidateList>
        <item>〔2021〕</item>
      </candidateList>
      <explain/>
      <paraID>3D5B6EC3</paraID>
      <start>41</start>
      <end>47</end>
      <status>ignored</status>
      <modifiedWord/>
      <trackRevisions>false</trackRevisions>
    </reviewItem>
    <reviewItem>
      <errorID>086ec7e3-8b81-4ef1-afd8-7e5bc10e4433</errorID>
      <errorWord>&lt;</errorWord>
      <group>L1_Format</group>
      <groupName>格式问题</groupName>
      <ability>L2_HalfPunc_CN</ability>
      <abilityName/>
      <candidateList>
        <item>〈</item>
      </candidateList>
      <explain>文本全半角错误。</explain>
      <paraID>3D5B6EC3</paraID>
      <start>67</start>
      <end>68</end>
      <status>ignored</status>
      <modifiedWord/>
      <trackRevisions>false</trackRevisions>
    </reviewItem>
    <reviewItem>
      <errorID>a1191489-f7d0-4284-a0e4-414ee2f88ade</errorID>
      <errorWord>&gt;</errorWord>
      <group>L1_Format</group>
      <groupName>格式问题</groupName>
      <ability>L2_HalfPunc_CN</ability>
      <abilityName/>
      <candidateList>
        <item>〉</item>
      </candidateList>
      <explain>文本全半角错误。</explain>
      <paraID>3D5B6EC3</paraID>
      <start>86</start>
      <end>87</end>
      <status>ignored</status>
      <modifiedWord/>
      <trackRevisions>false</trackRevisions>
    </reviewItem>
    <reviewItem>
      <errorID>3fe46cee-f72a-4c8c-af20-d7ad6ebb3d11</errorID>
      <errorWord>[2024]</errorWord>
      <group>L1_Punc</group>
      <groupName>标点问题</groupName>
      <ability>L2_Punc_CN</ability>
      <abilityName/>
      <candidateList>
        <item>〔2024〕</item>
      </candidateList>
      <explain/>
      <paraID>3D5B6EC3</paraID>
      <start>95</start>
      <end>101</end>
      <status>ignored</status>
      <modifiedWord/>
      <trackRevisions>false</trackRevisions>
    </reviewItem>
    <reviewItem>
      <errorID>a27bd4ee-72a5-463c-a7d1-7f7a4c2f9341</errorID>
      <errorWord>)</errorWord>
      <group>L1_Format</group>
      <groupName>格式问题</groupName>
      <ability>L2_HalfPunc_CN</ability>
      <abilityName/>
      <candidateList>
        <item>）</item>
      </candidateList>
      <explain>文本全半角错误。</explain>
      <paraID>6C64D383</paraID>
      <start>177</start>
      <end>178</end>
      <status>ignored</status>
      <modifiedWord/>
      <trackRevisions>false</trackRevisions>
    </reviewItem>
    <reviewItem>
      <errorID>2b3944b2-62be-4aa2-afb1-01976d97b1d3</errorID>
      <errorWord>(</errorWord>
      <group>L1_Format</group>
      <groupName>格式问题</groupName>
      <ability>L2_HalfPunc_CN</ability>
      <abilityName/>
      <candidateList>
        <item>（</item>
      </candidateList>
      <explain>文本全半角错误。</explain>
      <paraID>2472CE0B</paraID>
      <start>9</start>
      <end>10</end>
      <status>ignored</status>
      <modifiedWord/>
      <trackRevisions>false</trackRevisions>
    </reviewItem>
    <reviewItem>
      <errorID>d12172d3-6e1a-4760-ae03-6967f8d5e53f</errorID>
      <errorWord>)</errorWord>
      <group>L1_Format</group>
      <groupName>格式问题</groupName>
      <ability>L2_HalfPunc_CN</ability>
      <abilityName/>
      <candidateList>
        <item>）</item>
      </candidateList>
      <explain>文本全半角错误。</explain>
      <paraID>2472CE0B</paraID>
      <start>14</start>
      <end>15</end>
      <status>ignored</status>
      <modifiedWord/>
      <trackRevisions>false</trackRevisions>
    </reviewItem>
    <reviewItem>
      <errorID>19540b39-a6bf-4842-93da-3f2890adc21a</errorID>
      <errorWord>城乡结合部</errorWord>
      <group>L1_Word</group>
      <groupName>字词问题</groupName>
      <ability>L2_Typo</ability>
      <abilityName>字词错误</abilityName>
      <candidateList>
        <item>城乡接合部</item>
      </candidateList>
      <explain/>
      <paraID> F9BA258</paraID>
      <start>35</start>
      <end>40</end>
      <status>ignored</status>
      <modifiedWord/>
      <trackRevisions>false</trackRevisions>
    </reviewItem>
    <reviewItem>
      <errorID>20c7071e-2459-4865-a7b8-2a7afebe00bd</errorID>
      <errorWord>三线一单</errorWord>
      <group>L1_Political</group>
      <groupName>政治性问题</groupName>
      <ability>L2_Keyword</ability>
      <abilityName>固定表述</abilityName>
      <candidateList>
        <item>‘三线一单’</item>
      </candidateList>
      <explain>注意检查当前固定表述标点是否使用规范。</explain>
      <paraID>14D0E480</paraID>
      <start>33</start>
      <end>37</end>
      <status>ignored</status>
      <modifiedWord/>
      <trackRevisions>false</trackRevisions>
    </reviewItem>
    <reviewItem>
      <errorID>769f67cf-d7d2-4bc8-975e-b3c289d72cfe</errorID>
      <errorWord>韶关市长</errorWord>
      <group>L1_Political</group>
      <groupName>政治性问题</groupName>
      <ability>L2_Unpolitical</ability>
      <abilityName>政治敏感错误</abilityName>
      <candidateList>
        <item>韶关市市长</item>
      </candidateList>
      <explain/>
      <paraID>14D0E480</paraID>
      <start>144</start>
      <end>148</end>
      <status>ignored</status>
      <modifiedWord/>
      <trackRevisions>false</trackRevisions>
    </reviewItem>
    <reviewItem>
      <errorID>b50af7a3-b674-4fcf-885f-db640ca4bce5</errorID>
      <errorWord>-</errorWord>
      <group>L1_Format</group>
      <groupName>格式问题</groupName>
      <ability>L2_HalfPunc_CN</ability>
      <abilityName/>
      <candidateList>
        <item>－</item>
      </candidateList>
      <explain>文本全半角错误。</explain>
      <paraID>14D0E480</paraID>
      <start>149</start>
      <end>150</end>
      <status>ignored</status>
      <modifiedWord/>
      <trackRevisions>false</trackRevisions>
    </reviewItem>
    <reviewItem>
      <errorID>409f1a24-cf6b-48b8-859f-71929989d002</errorID>
      <errorWord>&lt;</errorWord>
      <group>L1_Format</group>
      <groupName>格式问题</groupName>
      <ability>L2_HalfPunc_CN</ability>
      <abilityName/>
      <candidateList>
        <item>〈</item>
      </candidateList>
      <explain>文本全半角错误。</explain>
      <paraID>48ADCD09</paraID>
      <start>4</start>
      <end>5</end>
      <status>ignored</status>
      <modifiedWord/>
      <trackRevisions>false</trackRevisions>
    </reviewItem>
    <reviewItem>
      <errorID>357189e8-2518-4c38-8240-3397a2714f3a</errorID>
      <errorWord>&gt;</errorWord>
      <group>L1_Format</group>
      <groupName>格式问题</groupName>
      <ability>L2_HalfPunc_CN</ability>
      <abilityName/>
      <candidateList>
        <item>〉</item>
      </candidateList>
      <explain>文本全半角错误。</explain>
      <paraID>48ADCD09</paraID>
      <start>21</start>
      <end>22</end>
      <status>ignored</status>
      <modifiedWord/>
      <trackRevisions>false</trackRevisions>
    </reviewItem>
    <reviewItem>
      <errorID>34710614-31d9-47d9-8cd6-8177f3e1aad3</errorID>
      <errorWord>，</errorWord>
      <group>L1_Word</group>
      <groupName>字词问题</groupName>
      <ability>L2_Typo</ability>
      <abilityName>字词错误</abilityName>
      <candidateList>
        <item>，对</item>
      </candidateList>
      <explain/>
      <paraID>384B1388</paraID>
      <start>21</start>
      <end>22</end>
      <status>ignored</status>
      <modifiedWord/>
      <trackRevisions>false</trackRevisions>
    </reviewItem>
    <reviewItem>
      <errorID>2c3af47b-f1e3-457a-9595-9ba88a3a4754</errorID>
      <errorWord>程</errorWord>
      <group>L1_Word</group>
      <groupName>字词问题</groupName>
      <ability>L2_Typo</ability>
      <abilityName>字词错误</abilityName>
      <candidateList>
        <item>程中</item>
      </candidateList>
      <explain/>
      <paraID>6E9BC5BB</paraID>
      <start>18</start>
      <end>19</end>
      <status>ignored</status>
      <modifiedWord/>
      <trackRevisions>false</trackRevisions>
    </reviewItem>
    <reviewItem>
      <errorID>b66e64c8-914b-4519-ae1e-b0693872190b</errorID>
      <errorWord>维护结构</errorWord>
      <group>L1_Word</group>
      <groupName>字词问题</groupName>
      <ability>L2_Typo</ability>
      <abilityName>字词错误</abilityName>
      <candidateList>
        <item>围护结构</item>
      </candidateList>
      <explain>存在发音相同字词的误用。</explain>
      <paraID>57F9CBC6</paraID>
      <start>32</start>
      <end>36</end>
      <status>ignored</status>
      <modifiedWord/>
      <trackRevisions>false</trackRevisions>
    </reviewItem>
    <reviewItem>
      <errorID>fa9ae089-e118-447f-b1c5-11f89b495257</errorID>
      <errorWord>&lt;</errorWord>
      <group>L1_Format</group>
      <groupName>格式问题</groupName>
      <ability>L2_HalfPunc_CN</ability>
      <abilityName/>
      <candidateList>
        <item>〈</item>
      </candidateList>
      <explain>文本全半角错误。</explain>
      <paraID> 8105480</paraID>
      <start>12</start>
      <end>13</end>
      <status>ignored</status>
      <modifiedWord/>
      <trackRevisions>false</trackRevisions>
    </reviewItem>
    <reviewItem>
      <errorID>18818b78-bab6-4cbe-a80f-318f9e1db45a</errorID>
      <errorWord>&gt;</errorWord>
      <group>L1_Format</group>
      <groupName>格式问题</groupName>
      <ability>L2_HalfPunc_CN</ability>
      <abilityName/>
      <candidateList>
        <item>〉</item>
      </candidateList>
      <explain>文本全半角错误。</explain>
      <paraID> 8105480</paraID>
      <start>29</start>
      <end>30</end>
      <status>ignored</status>
      <modifiedWord/>
      <trackRevisions>false</trackRevisions>
    </reviewItem>
    <reviewItem>
      <errorID>8d4522b7-88a7-473b-a464-72752e6470f9</errorID>
      <errorWord>细沙</errorWord>
      <group>L1_Word</group>
      <groupName>字词问题</groupName>
      <ability>L2_Typo</ability>
      <abilityName>字词错误</abilityName>
      <candidateList>
        <item>细砂</item>
      </candidateList>
      <explain/>
      <paraID>21A6D1F2</paraID>
      <start>35</start>
      <end>37</end>
      <status>ignored</status>
      <modifiedWord/>
      <trackRevisions>false</trackRevisions>
    </reviewItem>
    <reviewItem>
      <errorID>4d45eff6-a50d-40e7-91d1-8a1d85185f56</errorID>
      <errorWord>（</errorWord>
      <group>L1_Punc</group>
      <groupName>标点问题</groupName>
      <ability>L2_Punc_CN</ability>
      <abilityName/>
      <candidateList/>
      <explain>同一形式括号套用。</explain>
      <paraID>56EA27EB</paraID>
      <start>143</start>
      <end>144</end>
      <status>ignored</status>
      <modifiedWord/>
      <trackRevisions>false</trackRevisions>
    </reviewItem>
    <reviewItem>
      <errorID>13329687-0bd4-4014-8e3a-0bcb6800b23f</errorID>
      <errorWord>）</errorWord>
      <group>L1_Punc</group>
      <groupName>标点问题</groupName>
      <ability>L2_Punc_CN</ability>
      <abilityName/>
      <candidateList/>
      <explain>同一形式括号套用。</explain>
      <paraID>56EA27EB</paraID>
      <start>146</start>
      <end>147</end>
      <status>ignored</status>
      <modifiedWord/>
      <trackRevisions>false</trackRevisions>
    </reviewItem>
    <reviewItem>
      <errorID>0400ce19-2663-4f8b-b630-4c436c99428f</errorID>
      <errorWord>[2026]5号</errorWord>
      <group>L1_Knowledge</group>
      <groupName>知识性问题</groupName>
      <ability>L2_Knowledge</ability>
      <abilityName>其他知识</abilityName>
      <candidateList>
        <item>〔2026〕5号</item>
      </candidateList>
      <explain>发文字号格式错误。</explain>
      <paraID>56EA27EB</paraID>
      <start>150</start>
      <end>158</end>
      <status>unmodified</status>
      <modifiedWord/>
      <trackRevisions>false</trackRevisions>
    </reviewItem>
    <reviewItem>
      <errorID>4065eab0-df4e-4ad5-9a7b-efa4b27d591d</errorID>
      <errorWord>细沙</errorWord>
      <group>L1_Word</group>
      <groupName>字词问题</groupName>
      <ability>L2_Typo</ability>
      <abilityName>字词错误</abilityName>
      <candidateList>
        <item>细砂</item>
      </candidateList>
      <explain/>
      <paraID>3F325A33</paraID>
      <start>10</start>
      <end>12</end>
      <status>unmodified</status>
      <modifiedWord/>
      <trackRevisions>false</trackRevisions>
    </reviewItem>
    <reviewItem>
      <errorID>afc3e1b8-1352-4c4c-a4e4-0805f92dc00b</errorID>
      <errorWord>属</errorWord>
      <group>L1_Word</group>
      <groupName>字词问题</groupName>
      <ability>L2_Typo</ability>
      <abilityName>字词错误</abilityName>
      <candidateList>
        <item>是</item>
      </candidateList>
      <explain>存在发音相近字词的误用。</explain>
      <paraID>62336C27</paraID>
      <start>200</start>
      <end>201</end>
      <status>unmodified</status>
      <modifiedWord/>
      <trackRevisions>false</trackRevisions>
    </reviewItem>
    <reviewItem>
      <errorID>f770336f-ecf8-4ba9-a7d2-589f6cb31857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2BC63FA3</paraID>
      <start>0</start>
      <end>2</end>
      <status>unmodified</status>
      <modifiedWord/>
      <trackRevisions>false</trackRevisions>
    </reviewItem>
    <reviewItem>
      <errorID>35e0fce4-2bfb-4981-8f5f-49be3fa9741d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1E6BB368</paraID>
      <start>0</start>
      <end>2</end>
      <status>unmodified</status>
      <modifiedWord/>
      <trackRevisions>false</trackRevisions>
    </reviewItem>
    <reviewItem>
      <errorID>d03f6225-fda1-42e8-a842-fba0ae5a0589</errorID>
      <errorWord>-</errorWord>
      <group>L1_Format</group>
      <groupName>格式问题</groupName>
      <ability>L2_HalfPunc_CN</ability>
      <abilityName/>
      <candidateList>
        <item>－</item>
      </candidateList>
      <explain>文本全半角错误。</explain>
      <paraID> A7FE29F</paraID>
      <start>81</start>
      <end>82</end>
      <status>unmodified</status>
      <modifiedWord/>
      <trackRevisions>false</trackRevisions>
    </reviewItem>
    <reviewItem>
      <errorID>6c091bd6-5d48-4f05-9652-e45e16451813</errorID>
      <errorWord>《建筑给水排水设计规范（GB50015-2019）》</errorWord>
      <group>L1_Knowledge</group>
      <groupName>知识性问题</groupName>
      <ability>L2_Knowledge</ability>
      <abilityName>其他知识</abilityName>
      <candidateList>
        <item>《建筑给水排水设计规范》（GB50015-2019）</item>
      </candidateList>
      <explain>疑似政策文件、法律法规名称等书写不规范，请注意检查。</explain>
      <paraID>63B5D5C7</paraID>
      <start>199</start>
      <end>225</end>
      <status>unmodified</status>
      <modifiedWord/>
      <trackRevisions>false</trackRevisions>
    </reviewItem>
    <reviewItem>
      <errorID>9d9c705f-4d62-4861-af66-a5580bf390d0</errorID>
      <errorWord>~</errorWord>
      <group>L1_Format</group>
      <groupName>格式问题</groupName>
      <ability>L2_HalfPunc_CN</ability>
      <abilityName/>
      <candidateList>
        <item>～</item>
      </candidateList>
      <explain>文本全半角错误。</explain>
      <paraID>63B5D5C7</paraID>
      <start>251</start>
      <end>252</end>
      <status>unmodified</status>
      <modifiedWord/>
      <trackRevisions>false</trackRevisions>
    </reviewItem>
    <reviewItem>
      <errorID>917ecf6c-3fe2-4fff-86c7-1afa0c02f3d3</errorID>
      <errorWord>程</errorWord>
      <group>L1_Word</group>
      <groupName>字词问题</groupName>
      <ability>L2_Typo</ability>
      <abilityName>字词错误</abilityName>
      <candidateList>
        <item>程中</item>
      </candidateList>
      <explain/>
      <paraID>6151EC50</paraID>
      <start>19</start>
      <end>20</end>
      <status>unmodified</status>
      <modifiedWord/>
      <trackRevisions>false</trackRevisions>
    </reviewItem>
    <reviewItem>
      <errorID>b06dcb28-7b41-49cc-80de-bd5036728c40</errorID>
      <errorWord>计</errorWord>
      <group>L1_Word</group>
      <groupName>字词问题</groupName>
      <ability>L2_Typo</ability>
      <abilityName>字词错误</abilityName>
      <candidateList>
        <item>计算</item>
      </candidateList>
      <explain/>
      <paraID>4236352A</paraID>
      <start>48</start>
      <end>49</end>
      <status>unmodified</status>
      <modifiedWord/>
      <trackRevisions>false</trackRevisions>
    </reviewItem>
    <reviewItem>
      <errorID>6c501cac-7eaa-46cd-af75-ab300850cfe6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555D0D42</paraID>
      <start>0</start>
      <end>2</end>
      <status>unmodified</status>
      <modifiedWord/>
      <trackRevisions>false</trackRevisions>
    </reviewItem>
    <reviewItem>
      <errorID>3a4cec85-5e60-4a88-a94a-2fc1dd94be8c</errorID>
      <errorWord>工作过</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555D0D42</paraID>
      <start>2</start>
      <end>5</end>
      <status>unmodified</status>
      <modifiedWord/>
      <trackRevisions>false</trackRevisions>
    </reviewItem>
    <reviewItem>
      <errorID>8d651ff4-19d6-4a39-8f2c-75ae8c1e85c7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14C7D397</paraID>
      <start>0</start>
      <end>2</end>
      <status>unmodified</status>
      <modifiedWord/>
      <trackRevisions>false</trackRevisions>
    </reviewItem>
    <reviewItem>
      <errorID>7993c9e7-89ca-4df9-a2af-d2a59dde2832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C013CA9</paraID>
      <start>0</start>
      <end>2</end>
      <status>unmodified</status>
      <modifiedWord/>
      <trackRevisions>false</trackRevisions>
    </reviewItem>
    <reviewItem>
      <errorID>f3b5e53d-5c6a-48cf-a2e7-9cb9bd77ec8a</errorID>
      <errorWord>（</errorWord>
      <group>L1_Punc</group>
      <groupName>标点问题</groupName>
      <ability>L2_Punc_CN</ability>
      <abilityName/>
      <candidateList/>
      <explain>同一形式括号套用。</explain>
      <paraID> AD70C99</paraID>
      <start>75</start>
      <end>76</end>
      <status>unmodified</status>
      <modifiedWord/>
      <trackRevisions>false</trackRevisions>
    </reviewItem>
    <reviewItem>
      <errorID>d591500a-e604-4138-9c0e-a4036d64df36</errorID>
      <errorWord>）</errorWord>
      <group>L1_Punc</group>
      <groupName>标点问题</groupName>
      <ability>L2_Punc_CN</ability>
      <abilityName/>
      <candidateList/>
      <explain>同一形式括号套用。</explain>
      <paraID> AD70C99</paraID>
      <start>78</start>
      <end>79</end>
      <status>unmodified</status>
      <modifiedWord/>
      <trackRevisions>false</trackRevisions>
    </reviewItem>
    <reviewItem>
      <errorID>6c4af7f6-3b94-48f9-9a3e-e617de9bcafc</errorID>
      <errorWord>[2026]5号</errorWord>
      <group>L1_Knowledge</group>
      <groupName>知识性问题</groupName>
      <ability>L2_Knowledge</ability>
      <abilityName>其他知识</abilityName>
      <candidateList>
        <item>〔2026〕5号</item>
      </candidateList>
      <explain>发文字号格式错误。</explain>
      <paraID> AD70C99</paraID>
      <start>82</start>
      <end>90</end>
      <status>unmodified</status>
      <modifiedWord/>
      <trackRevisions>false</trackRevisions>
    </reviewItem>
    <reviewItem>
      <errorID>02271f4e-6f5b-430f-b463-ac76f39f9d1b</errorID>
      <errorWord>属</errorWord>
      <group>L1_Word</group>
      <groupName>字词问题</groupName>
      <ability>L2_Typo</ability>
      <abilityName>字词错误</abilityName>
      <candidateList>
        <item>属于</item>
      </candidateList>
      <explain/>
      <paraID>153191CC</paraID>
      <start>142</start>
      <end>143</end>
      <status>unmodified</status>
      <modifiedWord/>
      <trackRevisions>false</trackRevisions>
    </reviewItem>
    <reviewItem>
      <errorID>0ef379e9-e042-468c-9720-7233f8344d44</errorID>
      <errorWord>（</errorWord>
      <group>L1_Format</group>
      <groupName>格式问题</groupName>
      <ability>L2_HalfPunc_CN</ability>
      <abilityName/>
      <candidateList>
        <item>(</item>
      </candidateList>
      <explain>文本全半角错误。</explain>
      <paraID>7A801AA9</paraID>
      <start>2</start>
      <end>3</end>
      <status>unmodified</status>
      <modifiedWord/>
      <trackRevisions>false</trackRevisions>
    </reviewItem>
    <reviewItem>
      <errorID>9ccc38ac-e5fb-4b13-ba7c-4578bdf45766</errorID>
      <errorWord>）</errorWord>
      <group>L1_Format</group>
      <groupName>格式问题</groupName>
      <ability>L2_HalfPunc_CN</ability>
      <abilityName/>
      <candidateList>
        <item>)</item>
      </candidateList>
      <explain>文本全半角错误。</explain>
      <paraID>7A801AA9</paraID>
      <start>8</start>
      <end>9</end>
      <status>unmodified</status>
      <modifiedWord/>
      <trackRevisions>false</trackRevisions>
    </reviewItem>
    <reviewItem>
      <errorID>f1eb22f2-8e0c-4f2a-a93b-69e83a7246c2</errorID>
      <errorWord>《</errorWord>
      <group>L1_Punc</group>
      <groupName>标点问题</groupName>
      <ability>L2_Punc_CN</ability>
      <abilityName/>
      <candidateList/>
      <explain>此处标点可能未正确匹配，请检查句子中是否存在标点冗余、缺失或使用错误的情况。</explain>
      <paraID>40A0D9BB</paraID>
      <start>2</start>
      <end>3</end>
      <status>unmodified</status>
      <modifiedWord/>
      <trackRevisions>false</trackRevisions>
    </reviewItem>
    <reviewItem>
      <errorID>b1954063-9ea2-4278-8caf-1152d06d354d</errorID>
      <errorWord>)</errorWord>
      <group>L1_Format</group>
      <groupName>格式问题</groupName>
      <ability>L2_HalfPunc_CN</ability>
      <abilityName/>
      <candidateList>
        <item>）</item>
      </candidateList>
      <explain>文本全半角错误。</explain>
      <paraID>40A0D9BB</paraID>
      <start>88</start>
      <end>89</end>
      <status>unmodified</status>
      <modifiedWord/>
      <trackRevisions>false</trackRevisions>
    </reviewItem>
    <reviewItem>
      <errorID>099f0974-3650-47bd-922c-f637d3e2fbdc</errorID>
      <errorWord>含有水份</errorWord>
      <group>L1_Word</group>
      <groupName>字词问题</groupName>
      <ability>L2_Variant</ability>
      <abilityName>异形词</abilityName>
      <candidateList>
        <item>含有水分</item>
      </candidateList>
      <explain>词汇[含有水份]的规范词形写作[含有水分]。</explain>
      <paraID>533CE4C6</paraID>
      <start>38</start>
      <end>42</end>
      <status>unmodified</status>
      <modifiedWord/>
      <trackRevisions>false</trackRevisions>
    </reviewItem>
    <reviewItem>
      <errorID>9eae46a2-1db6-49ec-8a3a-60d484b5d0d1</errorID>
      <errorWord>程</errorWord>
      <group>L1_Word</group>
      <groupName>字词问题</groupName>
      <ability>L2_Typo</ability>
      <abilityName>字词错误</abilityName>
      <candidateList>
        <item>程中</item>
      </candidateList>
      <explain/>
      <paraID> 12B61EC</paraID>
      <start>42</start>
      <end>43</end>
      <status>unmodified</status>
      <modifiedWord/>
      <trackRevisions>false</trackRevisions>
    </reviewItem>
    <reviewItem>
      <errorID>4ed2f650-c0b4-4eca-adf0-546670508b17</errorID>
      <errorWord>)</errorWord>
      <group>L1_Format</group>
      <groupName>格式问题</groupName>
      <ability>L2_HalfPunc_CN</ability>
      <abilityName/>
      <candidateList>
        <item>）</item>
      </candidateList>
      <explain>文本全半角错误。</explain>
      <paraID>23684F80</paraID>
      <start>9</start>
      <end>10</end>
      <status>unmodified</status>
      <modifiedWord/>
      <trackRevisions>false</trackRevisions>
    </reviewItem>
    <reviewItem>
      <errorID>1492872e-217c-4ad8-8625-8fa77e3629e2</errorID>
      <errorWord>)</errorWord>
      <group>L1_Format</group>
      <groupName>格式问题</groupName>
      <ability>L2_HalfPunc_CN</ability>
      <abilityName/>
      <candidateList>
        <item>）</item>
      </candidateList>
      <explain>文本全半角错误。</explain>
      <paraID>311F11EF</paraID>
      <start>9</start>
      <end>10</end>
      <status>unmodified</status>
      <modifiedWord/>
      <trackRevisions>false</trackRevisions>
    </reviewItem>
    <reviewItem>
      <errorID>8c44aa2a-af47-4cb7-85d1-6e9882ed4a5e</errorID>
      <errorWord>(</errorWord>
      <group>L1_Format</group>
      <groupName>格式问题</groupName>
      <ability>L2_HalfPunc_CN</ability>
      <abilityName/>
      <candidateList>
        <item>（</item>
      </candidateList>
      <explain>文本全半角错误。</explain>
      <paraID>4B7332DA</paraID>
      <start>4</start>
      <end>5</end>
      <status>unmodified</status>
      <modifiedWord/>
      <trackRevisions>false</trackRevisions>
    </reviewItem>
    <reviewItem>
      <errorID>91310f67-38f5-4f9a-8a3f-d1740d341daf</errorID>
      <errorWord>)</errorWord>
      <group>L1_Format</group>
      <groupName>格式问题</groupName>
      <ability>L2_HalfPunc_CN</ability>
      <abilityName/>
      <candidateList>
        <item>）</item>
      </candidateList>
      <explain>文本全半角错误。</explain>
      <paraID>4B7332DA</paraID>
      <start>9</start>
      <end>10</end>
      <status>unmodified</status>
      <modifiedWord/>
      <trackRevisions>false</trackRevisions>
    </reviewItem>
    <reviewItem>
      <errorID>40431693-e5f3-4b30-86d1-f6f07274efc7</errorID>
      <errorWord>(</errorWord>
      <group>L1_Format</group>
      <groupName>格式问题</groupName>
      <ability>L2_HalfPunc_CN</ability>
      <abilityName/>
      <candidateList>
        <item>（</item>
      </candidateList>
      <explain>文本全半角错误。</explain>
      <paraID>2D8EFA10</paraID>
      <start>3</start>
      <end>4</end>
      <status>unmodified</status>
      <modifiedWord/>
      <trackRevisions>false</trackRevisions>
    </reviewItem>
    <reviewItem>
      <errorID>ef7810d9-82a4-4223-b8b3-9479ecc5417e</errorID>
      <errorWord>)</errorWord>
      <group>L1_Format</group>
      <groupName>格式问题</groupName>
      <ability>L2_HalfPunc_CN</ability>
      <abilityName/>
      <candidateList>
        <item>）</item>
      </candidateList>
      <explain>文本全半角错误。</explain>
      <paraID>2D8EFA10</paraID>
      <start>7</start>
      <end>8</end>
      <status>unmodified</status>
      <modifiedWord/>
      <trackRevisions>false</trackRevisions>
    </reviewItem>
    <reviewItem>
      <errorID>3419b78f-c9ea-470d-9a40-341ffc1951d2</errorID>
      <errorWord>(</errorWord>
      <group>L1_Format</group>
      <groupName>格式问题</groupName>
      <ability>L2_HalfPunc_CN</ability>
      <abilityName/>
      <candidateList>
        <item>（</item>
      </candidateList>
      <explain>文本全半角错误。</explain>
      <paraID>48E13EED</paraID>
      <start>4</start>
      <end>5</end>
      <status>unmodified</status>
      <modifiedWord/>
      <trackRevisions>false</trackRevisions>
    </reviewItem>
    <reviewItem>
      <errorID>a30b5aa8-7d66-42e8-9e06-c90d4adba16b</errorID>
      <errorWord>)</errorWord>
      <group>L1_Format</group>
      <groupName>格式问题</groupName>
      <ability>L2_HalfPunc_CN</ability>
      <abilityName/>
      <candidateList>
        <item>）</item>
      </candidateList>
      <explain>文本全半角错误。</explain>
      <paraID>48E13EED</paraID>
      <start>9</start>
      <end>10</end>
      <status>unmodified</status>
      <modifiedWord/>
      <trackRevisions>false</trackRevisions>
    </reviewItem>
    <reviewItem>
      <errorID>1c9379f8-d995-4fe4-a436-d97ef9478478</errorID>
      <errorWord>(</errorWord>
      <group>L1_Format</group>
      <groupName>格式问题</groupName>
      <ability>L2_HalfPunc_CN</ability>
      <abilityName/>
      <candidateList>
        <item>（</item>
      </candidateList>
      <explain>文本全半角错误。</explain>
      <paraID>6D31C5A5</paraID>
      <start>3</start>
      <end>4</end>
      <status>unmodified</status>
      <modifiedWord/>
      <trackRevisions>false</trackRevisions>
    </reviewItem>
    <reviewItem>
      <errorID>90e22438-b4a7-4747-a278-b9ae6ad5a646</errorID>
      <errorWord>)</errorWord>
      <group>L1_Format</group>
      <groupName>格式问题</groupName>
      <ability>L2_HalfPunc_CN</ability>
      <abilityName/>
      <candidateList>
        <item>）</item>
      </candidateList>
      <explain>文本全半角错误。</explain>
      <paraID>6D31C5A5</paraID>
      <start>7</start>
      <end>8</end>
      <status>unmodified</status>
      <modifiedWord/>
      <trackRevisions>false</trackRevisions>
    </reviewItem>
    <reviewItem>
      <errorID>784d9e5f-ac48-4342-801b-bc764807fc83</errorID>
      <errorWord>（</errorWord>
      <group>L1_Format</group>
      <groupName>格式问题</groupName>
      <ability>L2_HalfPunc_CN</ability>
      <abilityName/>
      <candidateList>
        <item>(</item>
      </candidateList>
      <explain>文本全半角错误。</explain>
      <paraID>79035718</paraID>
      <start>7</start>
      <end>8</end>
      <status>unmodified</status>
      <modifiedWord/>
      <trackRevisions>false</trackRevisions>
    </reviewItem>
    <reviewItem>
      <errorID>2df61a32-62cc-4b35-829e-ae0efbc95d1f</errorID>
      <errorWord>）</errorWord>
      <group>L1_Format</group>
      <groupName>格式问题</groupName>
      <ability>L2_HalfPunc_CN</ability>
      <abilityName/>
      <candidateList>
        <item>)</item>
      </candidateList>
      <explain>文本全半角错误。</explain>
      <paraID>79035718</paraID>
      <start>18</start>
      <end>19</end>
      <status>unmodified</status>
      <modifiedWord/>
      <trackRevisions>false</trackRevisions>
    </reviewItem>
    <reviewItem>
      <errorID>c98ea76d-706a-4c98-be97-a79a51d1b467</errorID>
      <errorWord>&lt;</errorWord>
      <group>L1_Format</group>
      <groupName>格式问题</groupName>
      <ability>L2_HalfPunc_CN</ability>
      <abilityName/>
      <candidateList>
        <item>〈</item>
      </candidateList>
      <explain>文本全半角错误。</explain>
      <paraID>2FBDF261</paraID>
      <start>11</start>
      <end>12</end>
      <status>unmodified</status>
      <modifiedWord/>
      <trackRevisions>false</trackRevisions>
    </reviewItem>
    <reviewItem>
      <errorID>9cb2c6ff-f3f3-42d6-98f6-c18ed99580ce</errorID>
      <errorWord>&gt;</errorWord>
      <group>L1_Format</group>
      <groupName>格式问题</groupName>
      <ability>L2_HalfPunc_CN</ability>
      <abilityName/>
      <candidateList>
        <item>〉</item>
      </candidateList>
      <explain>文本全半角错误。</explain>
      <paraID>2FBDF261</paraID>
      <start>28</start>
      <end>29</end>
      <status>unmodified</status>
      <modifiedWord/>
      <trackRevisions>false</trackRevisions>
    </reviewItem>
    <reviewItem>
      <errorID>2eb649b3-14cf-487f-98c7-43699fb36ca7</errorID>
      <errorWord>与</errorWord>
      <group>L1_Word</group>
      <groupName>字词问题</groupName>
      <ability>L2_Typo</ability>
      <abilityName>字词错误</abilityName>
      <candidateList>
        <item>于</item>
      </candidateList>
      <explain>（於）yú❶〈介〉a）在：她生～1949年｜来信已～日前收到｜黄河发源～青海。b）向：问道～盲｜告慰～知己｜求救～人。c）给：嫁祸～人｜献身～科学事业。d）对；对于：忠～祖国｜有益～人民｜形势～我们有利。e）自；从：青出～蓝｜出～自愿。f）表示比较：大～｜少～｜高～｜低～。g）表示被动：见笑～大方之家。</explain>
      <paraID>55A94C2B</paraID>
      <start>88</start>
      <end>89</end>
      <status>unmodified</status>
      <modifiedWord/>
      <trackRevisions>false</trackRevisions>
    </reviewItem>
    <reviewItem>
      <errorID>112c06be-d9c7-4013-aac3-4796c1112135</errorID>
      <errorWord>交有</errorWord>
      <group>L1_Word</group>
      <groupName>字词问题</groupName>
      <ability>L2_Typo</ability>
      <abilityName>字词错误</abilityName>
      <candidateList>
        <item>交由</item>
      </candidateList>
      <explain>存在发音相同字词的误用。</explain>
      <paraID>40ED610D</paraID>
      <start>35</start>
      <end>37</end>
      <status>unmodified</status>
      <modifiedWord/>
      <trackRevisions>false</trackRevisions>
    </reviewItem>
    <reviewItem>
      <errorID>856a19c9-be79-4172-976c-c01f693c9b32</errorID>
      <errorWord>同意</errorWord>
      <group>L1_Word</group>
      <groupName>字词问题</groupName>
      <ability>L2_Typo</ability>
      <abilityName>字词错误</abilityName>
      <candidateList>
        <item>同一</item>
      </candidateList>
      <explain/>
      <paraID>  6148C7</paraID>
      <start>62</start>
      <end>64</end>
      <status>modified</status>
      <modifiedWord>同一</modifiedWord>
      <trackRevisions>false</trackRevisions>
    </reviewItem>
    <reviewItem>
      <errorID>fb33a003-b88f-4459-8298-373e76dbafcd</errorID>
      <errorWord>装</errorWord>
      <group>L1_Word</group>
      <groupName>字词问题</groupName>
      <ability>L2_Typo</ability>
      <abilityName>字词错误</abilityName>
      <candidateList>
        <item>装在</item>
      </candidateList>
      <explain/>
      <paraID>70E50BCB</paraID>
      <start>99</start>
      <end>101</end>
      <status>modified</status>
      <modifiedWord>装在</modifiedWord>
      <trackRevisions>false</trackRevisions>
    </reviewItem>
    <reviewItem>
      <errorID>4ecc30e7-2654-42c3-9347-f558984d9b17</errorID>
      <errorWord>同意</errorWord>
      <group>L1_Word</group>
      <groupName>字词问题</groupName>
      <ability>L2_Typo</ability>
      <abilityName>字词错误</abilityName>
      <candidateList>
        <item>同一</item>
      </candidateList>
      <explain/>
      <paraID>6FF7B450</paraID>
      <start>52</start>
      <end>54</end>
      <status>modified</status>
      <modifiedWord>同一</modifiedWord>
      <trackRevisions>false</trackRevisions>
    </reviewItem>
    <reviewItem>
      <errorID>e24411f3-476c-4007-9245-946f32dd2b86</errorID>
      <errorWord>有有</errorWord>
      <group>L1_Word</group>
      <groupName>字词问题</groupName>
      <ability>L2_Typo</ability>
      <abilityName>字词错误</abilityName>
      <candidateList>
        <item>有</item>
      </candidateList>
      <explain>〈书〉同“又”▲：三十～八年。</explain>
      <paraID>1149317F</paraID>
      <start>22</start>
      <end>23</end>
      <status>modified</status>
      <modifiedWord>有</modifiedWord>
      <trackRevisions>false</trackRevisions>
    </reviewItem>
    <reviewItem>
      <errorID>f18bedb7-7c5d-4f20-ba78-e7c2331529b1</errorID>
      <errorWord>[2017]1021号</errorWord>
      <group>L1_Knowledge</group>
      <groupName>知识性问题</groupName>
      <ability>L2_Knowledge</ability>
      <abilityName>其他知识</abilityName>
      <candidateList>
        <item>〔2017〕1021号</item>
      </candidateList>
      <explain>发文字号格式错误。</explain>
      <paraID>3B7D8FA9</paraID>
      <start>42</start>
      <end>53</end>
      <status>ignored</status>
      <modifiedWord/>
      <trackRevisions>false</trackRevisions>
    </reviewItem>
    <reviewItem>
      <errorID>2ba2b5ab-6d7a-49df-85a5-d3ddc0864088</errorID>
      <errorWord>做出判断</errorWord>
      <group>L1_Word</group>
      <groupName>字词问题</groupName>
      <ability>L2_Typo</ability>
      <abilityName>字词错误</abilityName>
      <candidateList>
        <item>作出判断</item>
      </candidateList>
      <explain/>
      <paraID>2C55E076</paraID>
      <start>122</start>
      <end>126</end>
      <status>unmodified</status>
      <modifiedWord/>
      <trackRevisions>false</trackRevisions>
    </reviewItem>
    <reviewItem>
      <errorID>350985e1-0326-4918-8e0d-aa38774e09ab</errorID>
      <errorWord>，</errorWord>
      <group>L1_Word</group>
      <groupName>字词问题</groupName>
      <ability>L2_Typo</ability>
      <abilityName>字词错误</abilityName>
      <candidateList>
        <item>，以</item>
      </candidateList>
      <explain/>
      <paraID>2C55E076</paraID>
      <start>171</start>
      <end>172</end>
      <status>unmodified</status>
      <modifiedWord/>
      <trackRevisions>false</trackRevisions>
    </reviewItem>
    <reviewItem>
      <errorID>ff9ef972-bc44-4a32-aad6-2ea6d2f0da03</errorID>
      <errorWord>》</errorWord>
      <group>L1_Punc</group>
      <groupName>标点问题</groupName>
      <ability>L2_Punc_CN</ability>
      <abilityName/>
      <candidateList/>
      <explain>此处标点可能未正确匹配，请检查句子中是否存在标点冗余、缺失或使用错误的情况。</explain>
      <paraID>1F867675</paraID>
      <start>123</start>
      <end>124</end>
      <status>unmodified</status>
      <modifiedWord/>
      <trackRevisions>false</trackRevisions>
    </reviewItem>
    <reviewItem>
      <errorID>5f713c00-6eae-4eb4-baf8-bb6d730d309e</errorID>
      <errorWord>进入到</errorWord>
      <group>L1_Word</group>
      <groupName>字词问题</groupName>
      <ability>L2_Typo</ability>
      <abilityName>字词错误</abilityName>
      <candidateList>
        <item>进入</item>
      </candidateList>
      <explain>〈动〉支进到某个范围或某个时期里：～学校｜～新阶段◇～角色。</explain>
      <paraID>45BE6F2B</paraID>
      <start>76</start>
      <end>79</end>
      <status>unmodified</status>
      <modifiedWord/>
      <trackRevisions>false</trackRevisions>
    </reviewItem>
    <reviewItem>
      <errorID>cc597dd6-319f-4111-9ae5-e8df0314c744</errorID>
      <errorWord>制</errorWord>
      <group>L1_Word</group>
      <groupName>字词问题</groupName>
      <ability>L2_Typo</ability>
      <abilityName>字词错误</abilityName>
      <candidateList>
        <item>制和</item>
      </candidateList>
      <explain/>
      <paraID>1457677D</paraID>
      <start>21</start>
      <end>22</end>
      <status>unmodified</status>
      <modifiedWord/>
      <trackRevisions>false</trackRevisions>
    </reviewItem>
    <reviewItem>
      <errorID>6a1cff09-65d6-4882-9077-c7634b67b59f</errorID>
      <errorWord>(</errorWord>
      <group>L1_Format</group>
      <groupName>格式问题</groupName>
      <ability>L2_HalfPunc_CN</ability>
      <abilityName/>
      <candidateList>
        <item>（</item>
      </candidateList>
      <explain>文本全半角错误。</explain>
      <paraID>429BE363</paraID>
      <start>3</start>
      <end>4</end>
      <status>unmodified</status>
      <modifiedWord/>
      <trackRevisions>false</trackRevisions>
    </reviewItem>
    <reviewItem>
      <errorID>83f14478-a81a-4c70-8da9-8f746899f8f5</errorID>
      <errorWord>)</errorWord>
      <group>L1_Format</group>
      <groupName>格式问题</groupName>
      <ability>L2_HalfPunc_CN</ability>
      <abilityName/>
      <candidateList>
        <item>）</item>
      </candidateList>
      <explain>文本全半角错误。</explain>
      <paraID>4E6C2016</paraID>
      <start>4</start>
      <end>5</end>
      <status>unmodified</status>
      <modifiedWord/>
      <trackRevisions>false</trackRevisions>
    </reviewItem>
    <reviewItem>
      <errorID>75594a02-3eb0-4346-9149-ba0dcd9b3964</errorID>
      <errorWord>》</errorWord>
      <group>L1_Punc</group>
      <groupName>标点问题</groupName>
      <ability>L2_Punc_CN</ability>
      <abilityName/>
      <candidateList/>
      <explain>此处标点可能未正确匹配，请检查句子中是否存在标点冗余、缺失或使用错误的情况。</explain>
      <paraID>584BC711</paraID>
      <start>3</start>
      <end>4</end>
      <status>unmodified</status>
      <modifiedWord/>
      <trackRevisions>false</trackRevisions>
    </reviewItem>
    <reviewItem>
      <errorID>f2c58fae-939b-4c8a-9db9-0f0036d60531</errorID>
      <errorWord>（</errorWord>
      <group>L1_Punc</group>
      <groupName>标点问题</groupName>
      <ability>L2_Punc_CN</ability>
      <abilityName/>
      <candidateList/>
      <explain>此处标点可能未正确匹配，请检查句子中是否存在标点冗余、缺失或使用错误的情况。</explain>
      <paraID>6667DC1C</paraID>
      <start>6</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c51c4c-c2b2-40f0-9713-05b411eef471}">
  <ds:schemaRefs/>
</ds:datastoreItem>
</file>

<file path=docProps/app.xml><?xml version="1.0" encoding="utf-8"?>
<Properties xmlns="http://schemas.openxmlformats.org/officeDocument/2006/extended-properties" xmlns:vt="http://schemas.openxmlformats.org/officeDocument/2006/docPropsVTypes">
  <Pages>49</Pages>
  <Words>11356</Words>
  <Characters>11842</Characters>
  <TotalTime>0</TotalTime>
  <ScaleCrop>false</ScaleCrop>
  <LinksUpToDate>false</LinksUpToDate>
  <CharactersWithSpaces>12110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2024-12-24T15:05:00Z</dcterms:created>
  <dc:creator>Administrator</dc:creator>
  <cp:lastModifiedBy>6285977</cp:lastModifiedBy>
  <dcterms:modified xsi:type="dcterms:W3CDTF">2026-06-08T08:27:59Z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2024-12-24T15:44:12Z</vt:filetime>
  </property>
  <property fmtid="{D5CDD505-2E9C-101B-9397-08002B2CF9AE}" pid="4" name="KSOTemplateDocerSaveRecord">
    <vt:lpwstr>eyJoZGlkIjoiZTNiMmJjMGUyMDNhMGI0MjllZTc4OTE3ODRjOTBjMWQiLCJ1c2VySWQiOiI0MTk1NzQ4MDgifQ==</vt:lpwstr>
  </property>
  <property fmtid="{D5CDD505-2E9C-101B-9397-08002B2CF9AE}" pid="5" name="KSOProductBuildVer">
    <vt:lpwstr>2052-12.1.0.26895</vt:lpwstr>
  </property>
  <property fmtid="{D5CDD505-2E9C-101B-9397-08002B2CF9AE}" pid="6" name="ICV">
    <vt:lpwstr>C6667F9DC6CA43C59D4F4B2C5EE619CD_13</vt:lpwstr>
  </property>
</Properties>
</file>